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47FE1C" w14:textId="77777777" w:rsidR="00A93146" w:rsidRDefault="000F2C12" w:rsidP="005230AB">
      <w:pPr>
        <w:pStyle w:val="Heading1"/>
      </w:pPr>
      <w:bookmarkStart w:id="0" w:name="_Toc318811397"/>
      <w:bookmarkStart w:id="1" w:name="_Toc318813814"/>
      <w:bookmarkStart w:id="2" w:name="_Toc320269462"/>
      <w:bookmarkStart w:id="3" w:name="_Toc326312050"/>
      <w:bookmarkStart w:id="4" w:name="_Toc370821012"/>
      <w:bookmarkStart w:id="5" w:name="_Toc371947173"/>
      <w:bookmarkStart w:id="6" w:name="_Toc372705138"/>
      <w:bookmarkStart w:id="7" w:name="_Toc372705314"/>
      <w:r>
        <w:rPr>
          <w:i/>
        </w:rPr>
        <w:t>Australian Jobs Act 2013</w:t>
      </w:r>
      <w:bookmarkStart w:id="8" w:name="_Toc318813815"/>
      <w:bookmarkStart w:id="9" w:name="_Toc320269463"/>
      <w:bookmarkStart w:id="10" w:name="_Toc326312051"/>
      <w:bookmarkEnd w:id="0"/>
      <w:bookmarkEnd w:id="1"/>
      <w:bookmarkEnd w:id="2"/>
      <w:bookmarkEnd w:id="3"/>
    </w:p>
    <w:p w14:paraId="6C8C1AEF" w14:textId="09F6C0F2" w:rsidR="00A375F1" w:rsidRPr="00A375F1" w:rsidRDefault="006665F4" w:rsidP="004C0E30">
      <w:pPr>
        <w:pStyle w:val="Heading1"/>
      </w:pPr>
      <w:r>
        <w:br/>
        <w:t>User Guide for Australian Industry Participation plan</w:t>
      </w:r>
      <w:bookmarkEnd w:id="4"/>
      <w:bookmarkEnd w:id="5"/>
      <w:bookmarkEnd w:id="6"/>
      <w:bookmarkEnd w:id="7"/>
      <w:bookmarkEnd w:id="8"/>
      <w:bookmarkEnd w:id="9"/>
      <w:bookmarkEnd w:id="10"/>
      <w:r w:rsidR="0054477E">
        <w:t>s</w:t>
      </w:r>
    </w:p>
    <w:p w14:paraId="55F23F47" w14:textId="26A1F179" w:rsidR="00683997" w:rsidRDefault="0054477E" w:rsidP="006B7D46">
      <w:r>
        <w:rPr>
          <w:rStyle w:val="Strong"/>
        </w:rPr>
        <w:t>July</w:t>
      </w:r>
      <w:r w:rsidR="000F2C12">
        <w:rPr>
          <w:rStyle w:val="Strong"/>
        </w:rPr>
        <w:t xml:space="preserve"> 2019</w:t>
      </w:r>
    </w:p>
    <w:p w14:paraId="49727BC1" w14:textId="77777777" w:rsidR="004F58DC" w:rsidRDefault="004F58DC" w:rsidP="00683997"/>
    <w:p w14:paraId="23ADA0E2" w14:textId="78E62072" w:rsidR="0054477E" w:rsidRDefault="0054477E" w:rsidP="00683997"/>
    <w:tbl>
      <w:tblPr>
        <w:tblStyle w:val="TableGrid"/>
        <w:tblW w:w="0" w:type="auto"/>
        <w:tblLook w:val="04A0" w:firstRow="1" w:lastRow="0" w:firstColumn="1" w:lastColumn="0" w:noHBand="0" w:noVBand="1"/>
      </w:tblPr>
      <w:tblGrid>
        <w:gridCol w:w="8990"/>
      </w:tblGrid>
      <w:tr w:rsidR="0054477E" w14:paraId="646FD2F5" w14:textId="77777777" w:rsidTr="0054477E">
        <w:tc>
          <w:tcPr>
            <w:tcW w:w="8990" w:type="dxa"/>
          </w:tcPr>
          <w:p w14:paraId="36869786" w14:textId="5097DF16" w:rsidR="0054477E" w:rsidRDefault="0054477E" w:rsidP="0054477E">
            <w:pPr>
              <w:rPr>
                <w:rStyle w:val="Strong"/>
              </w:rPr>
            </w:pPr>
            <w:r>
              <w:rPr>
                <w:rStyle w:val="Strong"/>
              </w:rPr>
              <w:t xml:space="preserve">This user guide is for project proponents and facility operators preparing their Australian Industry Participation plan under the </w:t>
            </w:r>
            <w:r w:rsidRPr="00802B29">
              <w:rPr>
                <w:rStyle w:val="Strong"/>
                <w:i/>
              </w:rPr>
              <w:t>Australian Jobs Act 2013</w:t>
            </w:r>
          </w:p>
        </w:tc>
      </w:tr>
    </w:tbl>
    <w:p w14:paraId="1B286CE4" w14:textId="77777777" w:rsidR="0054477E" w:rsidRDefault="0054477E" w:rsidP="00683997"/>
    <w:p w14:paraId="2579058C" w14:textId="77777777" w:rsidR="0054477E" w:rsidRPr="00683997" w:rsidRDefault="0054477E" w:rsidP="00683997">
      <w:pPr>
        <w:sectPr w:rsidR="0054477E" w:rsidRPr="00683997" w:rsidSect="004F5E76">
          <w:headerReference w:type="default" r:id="rId12"/>
          <w:footerReference w:type="even" r:id="rId13"/>
          <w:footerReference w:type="default" r:id="rId14"/>
          <w:pgSz w:w="11906" w:h="16838"/>
          <w:pgMar w:top="5760" w:right="1466" w:bottom="1440" w:left="1440" w:header="708" w:footer="708" w:gutter="0"/>
          <w:cols w:space="708"/>
          <w:docGrid w:linePitch="360"/>
        </w:sectPr>
      </w:pPr>
    </w:p>
    <w:p w14:paraId="480289B5" w14:textId="77777777" w:rsidR="00DD56AF" w:rsidRDefault="00924A08" w:rsidP="00DD56AF">
      <w:pPr>
        <w:pStyle w:val="Heading2"/>
        <w:rPr>
          <w:noProof/>
        </w:rPr>
      </w:pPr>
      <w:bookmarkStart w:id="11" w:name="_Toc320269464"/>
      <w:bookmarkStart w:id="12" w:name="_Toc326312052"/>
      <w:bookmarkStart w:id="13" w:name="_Toc370821013"/>
      <w:bookmarkStart w:id="14" w:name="_Toc371947174"/>
      <w:bookmarkStart w:id="15" w:name="_Toc372705139"/>
      <w:bookmarkStart w:id="16" w:name="_Toc372705315"/>
      <w:r>
        <w:lastRenderedPageBreak/>
        <w:t>Table of Contents</w:t>
      </w:r>
      <w:bookmarkEnd w:id="11"/>
      <w:bookmarkEnd w:id="12"/>
      <w:bookmarkEnd w:id="13"/>
      <w:bookmarkEnd w:id="14"/>
      <w:bookmarkEnd w:id="15"/>
      <w:bookmarkEnd w:id="16"/>
      <w:r w:rsidR="00DD56AF">
        <w:fldChar w:fldCharType="begin"/>
      </w:r>
      <w:r w:rsidR="00DD56AF">
        <w:instrText xml:space="preserve"> TOC \o "1-4" </w:instrText>
      </w:r>
      <w:r w:rsidR="00DD56AF">
        <w:fldChar w:fldCharType="separate"/>
      </w:r>
    </w:p>
    <w:p w14:paraId="2469C27E" w14:textId="6591687B" w:rsidR="00DD56AF" w:rsidRDefault="00E50749" w:rsidP="00BF04AB">
      <w:pPr>
        <w:pStyle w:val="TOC2"/>
        <w:rPr>
          <w:rFonts w:asciiTheme="minorHAnsi" w:eastAsiaTheme="minorEastAsia" w:hAnsiTheme="minorHAnsi" w:cstheme="minorBidi"/>
          <w:noProof/>
          <w:szCs w:val="22"/>
          <w:lang w:eastAsia="en-AU"/>
        </w:rPr>
      </w:pPr>
      <w:r>
        <w:rPr>
          <w:noProof/>
        </w:rPr>
        <w:t>Overview</w:t>
      </w:r>
      <w:r w:rsidR="00DD56AF">
        <w:rPr>
          <w:noProof/>
        </w:rPr>
        <w:tab/>
      </w:r>
      <w:r w:rsidR="00A74E00">
        <w:rPr>
          <w:noProof/>
        </w:rPr>
        <w:t>4</w:t>
      </w:r>
    </w:p>
    <w:p w14:paraId="0857182B" w14:textId="77777777" w:rsidR="00DD56AF" w:rsidRDefault="00DD56AF" w:rsidP="00BF04AB">
      <w:pPr>
        <w:pStyle w:val="TOC2"/>
        <w:rPr>
          <w:rFonts w:asciiTheme="minorHAnsi" w:eastAsiaTheme="minorEastAsia" w:hAnsiTheme="minorHAnsi" w:cstheme="minorBidi"/>
          <w:noProof/>
          <w:szCs w:val="22"/>
          <w:lang w:eastAsia="en-AU"/>
        </w:rPr>
      </w:pPr>
      <w:r>
        <w:rPr>
          <w:noProof/>
        </w:rPr>
        <w:t>About this User Guide</w:t>
      </w:r>
      <w:r>
        <w:rPr>
          <w:noProof/>
        </w:rPr>
        <w:tab/>
      </w:r>
      <w:r>
        <w:rPr>
          <w:noProof/>
        </w:rPr>
        <w:fldChar w:fldCharType="begin"/>
      </w:r>
      <w:r>
        <w:rPr>
          <w:noProof/>
        </w:rPr>
        <w:instrText xml:space="preserve"> PAGEREF _Toc372705317 \h </w:instrText>
      </w:r>
      <w:r>
        <w:rPr>
          <w:noProof/>
        </w:rPr>
      </w:r>
      <w:r>
        <w:rPr>
          <w:noProof/>
        </w:rPr>
        <w:fldChar w:fldCharType="separate"/>
      </w:r>
      <w:r w:rsidR="0051635F">
        <w:rPr>
          <w:noProof/>
        </w:rPr>
        <w:t>5</w:t>
      </w:r>
      <w:r>
        <w:rPr>
          <w:noProof/>
        </w:rPr>
        <w:fldChar w:fldCharType="end"/>
      </w:r>
    </w:p>
    <w:p w14:paraId="1046EC89" w14:textId="77777777" w:rsidR="00DD56AF" w:rsidRDefault="00DD56AF" w:rsidP="00BF04AB">
      <w:pPr>
        <w:pStyle w:val="TOC2"/>
        <w:rPr>
          <w:rFonts w:asciiTheme="minorHAnsi" w:eastAsiaTheme="minorEastAsia" w:hAnsiTheme="minorHAnsi" w:cstheme="minorBidi"/>
          <w:noProof/>
          <w:szCs w:val="22"/>
          <w:lang w:eastAsia="en-AU"/>
        </w:rPr>
      </w:pPr>
      <w:r>
        <w:rPr>
          <w:noProof/>
        </w:rPr>
        <w:t>What is an AIP plan?</w:t>
      </w:r>
      <w:r>
        <w:rPr>
          <w:noProof/>
        </w:rPr>
        <w:tab/>
      </w:r>
      <w:r>
        <w:rPr>
          <w:noProof/>
        </w:rPr>
        <w:fldChar w:fldCharType="begin"/>
      </w:r>
      <w:r>
        <w:rPr>
          <w:noProof/>
        </w:rPr>
        <w:instrText xml:space="preserve"> PAGEREF _Toc372705318 \h </w:instrText>
      </w:r>
      <w:r>
        <w:rPr>
          <w:noProof/>
        </w:rPr>
      </w:r>
      <w:r>
        <w:rPr>
          <w:noProof/>
        </w:rPr>
        <w:fldChar w:fldCharType="separate"/>
      </w:r>
      <w:r w:rsidR="0051635F">
        <w:rPr>
          <w:noProof/>
        </w:rPr>
        <w:t>6</w:t>
      </w:r>
      <w:r>
        <w:rPr>
          <w:noProof/>
        </w:rPr>
        <w:fldChar w:fldCharType="end"/>
      </w:r>
    </w:p>
    <w:p w14:paraId="0BECFF1E" w14:textId="77777777" w:rsidR="00DD56AF" w:rsidRDefault="00DD56AF" w:rsidP="00BF04AB">
      <w:pPr>
        <w:pStyle w:val="TOC3"/>
        <w:rPr>
          <w:rFonts w:asciiTheme="minorHAnsi" w:eastAsiaTheme="minorEastAsia" w:hAnsiTheme="minorHAnsi" w:cstheme="minorBidi"/>
          <w:noProof/>
          <w:szCs w:val="22"/>
          <w:lang w:eastAsia="en-AU"/>
        </w:rPr>
      </w:pPr>
      <w:r>
        <w:rPr>
          <w:noProof/>
        </w:rPr>
        <w:t>How to prepare an AIP plan</w:t>
      </w:r>
      <w:r>
        <w:rPr>
          <w:noProof/>
        </w:rPr>
        <w:tab/>
      </w:r>
      <w:r>
        <w:rPr>
          <w:noProof/>
        </w:rPr>
        <w:fldChar w:fldCharType="begin"/>
      </w:r>
      <w:r>
        <w:rPr>
          <w:noProof/>
        </w:rPr>
        <w:instrText xml:space="preserve"> PAGEREF _Toc372705319 \h </w:instrText>
      </w:r>
      <w:r>
        <w:rPr>
          <w:noProof/>
        </w:rPr>
      </w:r>
      <w:r>
        <w:rPr>
          <w:noProof/>
        </w:rPr>
        <w:fldChar w:fldCharType="separate"/>
      </w:r>
      <w:r w:rsidR="0051635F">
        <w:rPr>
          <w:noProof/>
        </w:rPr>
        <w:t>7</w:t>
      </w:r>
      <w:r>
        <w:rPr>
          <w:noProof/>
        </w:rPr>
        <w:fldChar w:fldCharType="end"/>
      </w:r>
    </w:p>
    <w:p w14:paraId="1E03CFFB" w14:textId="14D9B1A7" w:rsidR="00DD56AF" w:rsidRDefault="00A74E00" w:rsidP="00832A1B">
      <w:pPr>
        <w:pStyle w:val="TOC4"/>
        <w:rPr>
          <w:rFonts w:asciiTheme="minorHAnsi" w:eastAsiaTheme="minorEastAsia" w:hAnsiTheme="minorHAnsi" w:cstheme="minorBidi"/>
          <w:noProof/>
          <w:szCs w:val="22"/>
          <w:lang w:eastAsia="en-AU"/>
        </w:rPr>
      </w:pPr>
      <w:r>
        <w:rPr>
          <w:noProof/>
        </w:rPr>
        <w:t xml:space="preserve">Overview of </w:t>
      </w:r>
      <w:bookmarkStart w:id="17" w:name="_GoBack"/>
      <w:bookmarkEnd w:id="17"/>
      <w:r w:rsidR="00DD56AF">
        <w:rPr>
          <w:noProof/>
        </w:rPr>
        <w:t>AIP Plan Criteria</w:t>
      </w:r>
      <w:r w:rsidR="00DD56AF">
        <w:rPr>
          <w:noProof/>
        </w:rPr>
        <w:tab/>
      </w:r>
      <w:r w:rsidR="00DD56AF">
        <w:rPr>
          <w:noProof/>
        </w:rPr>
        <w:fldChar w:fldCharType="begin"/>
      </w:r>
      <w:r w:rsidR="00DD56AF">
        <w:rPr>
          <w:noProof/>
        </w:rPr>
        <w:instrText xml:space="preserve"> PAGEREF _Toc372705320 \h </w:instrText>
      </w:r>
      <w:r w:rsidR="00DD56AF">
        <w:rPr>
          <w:noProof/>
        </w:rPr>
      </w:r>
      <w:r w:rsidR="00DD56AF">
        <w:rPr>
          <w:noProof/>
        </w:rPr>
        <w:fldChar w:fldCharType="separate"/>
      </w:r>
      <w:r w:rsidR="0051635F">
        <w:rPr>
          <w:noProof/>
        </w:rPr>
        <w:t>7</w:t>
      </w:r>
      <w:r w:rsidR="00DD56AF">
        <w:rPr>
          <w:noProof/>
        </w:rPr>
        <w:fldChar w:fldCharType="end"/>
      </w:r>
    </w:p>
    <w:p w14:paraId="134E9EDD" w14:textId="77777777" w:rsidR="00DD56AF" w:rsidRDefault="00DD56AF" w:rsidP="00BF04AB">
      <w:pPr>
        <w:pStyle w:val="TOC3"/>
        <w:rPr>
          <w:rFonts w:asciiTheme="minorHAnsi" w:eastAsiaTheme="minorEastAsia" w:hAnsiTheme="minorHAnsi" w:cstheme="minorBidi"/>
          <w:noProof/>
          <w:szCs w:val="22"/>
          <w:lang w:eastAsia="en-AU"/>
        </w:rPr>
      </w:pPr>
      <w:r>
        <w:rPr>
          <w:noProof/>
        </w:rPr>
        <w:t>How to address AIP plan questions</w:t>
      </w:r>
      <w:r>
        <w:rPr>
          <w:noProof/>
        </w:rPr>
        <w:tab/>
      </w:r>
      <w:r>
        <w:rPr>
          <w:noProof/>
        </w:rPr>
        <w:fldChar w:fldCharType="begin"/>
      </w:r>
      <w:r>
        <w:rPr>
          <w:noProof/>
        </w:rPr>
        <w:instrText xml:space="preserve"> PAGEREF _Toc372705321 \h </w:instrText>
      </w:r>
      <w:r>
        <w:rPr>
          <w:noProof/>
        </w:rPr>
      </w:r>
      <w:r>
        <w:rPr>
          <w:noProof/>
        </w:rPr>
        <w:fldChar w:fldCharType="separate"/>
      </w:r>
      <w:r w:rsidR="0051635F">
        <w:rPr>
          <w:noProof/>
        </w:rPr>
        <w:t>9</w:t>
      </w:r>
      <w:r>
        <w:rPr>
          <w:noProof/>
        </w:rPr>
        <w:fldChar w:fldCharType="end"/>
      </w:r>
    </w:p>
    <w:p w14:paraId="4A312D1F" w14:textId="77777777" w:rsidR="00DD56AF" w:rsidRDefault="00DD56AF" w:rsidP="00BF04AB">
      <w:pPr>
        <w:pStyle w:val="TOC3"/>
        <w:rPr>
          <w:rFonts w:asciiTheme="minorHAnsi" w:eastAsiaTheme="minorEastAsia" w:hAnsiTheme="minorHAnsi" w:cstheme="minorBidi"/>
          <w:noProof/>
          <w:szCs w:val="22"/>
          <w:lang w:eastAsia="en-AU"/>
        </w:rPr>
      </w:pPr>
      <w:r>
        <w:rPr>
          <w:noProof/>
        </w:rPr>
        <w:t>Submitting an AIP plan</w:t>
      </w:r>
      <w:r>
        <w:rPr>
          <w:noProof/>
        </w:rPr>
        <w:tab/>
      </w:r>
      <w:r>
        <w:rPr>
          <w:noProof/>
        </w:rPr>
        <w:fldChar w:fldCharType="begin"/>
      </w:r>
      <w:r>
        <w:rPr>
          <w:noProof/>
        </w:rPr>
        <w:instrText xml:space="preserve"> PAGEREF _Toc372705322 \h </w:instrText>
      </w:r>
      <w:r>
        <w:rPr>
          <w:noProof/>
        </w:rPr>
      </w:r>
      <w:r>
        <w:rPr>
          <w:noProof/>
        </w:rPr>
        <w:fldChar w:fldCharType="separate"/>
      </w:r>
      <w:r w:rsidR="0051635F">
        <w:rPr>
          <w:noProof/>
        </w:rPr>
        <w:t>10</w:t>
      </w:r>
      <w:r>
        <w:rPr>
          <w:noProof/>
        </w:rPr>
        <w:fldChar w:fldCharType="end"/>
      </w:r>
    </w:p>
    <w:p w14:paraId="5B9CD7E0" w14:textId="77777777" w:rsidR="00DD56AF" w:rsidRDefault="00DD56AF" w:rsidP="00BF04AB">
      <w:pPr>
        <w:pStyle w:val="TOC3"/>
        <w:rPr>
          <w:rFonts w:asciiTheme="minorHAnsi" w:eastAsiaTheme="minorEastAsia" w:hAnsiTheme="minorHAnsi" w:cstheme="minorBidi"/>
          <w:noProof/>
          <w:szCs w:val="22"/>
          <w:lang w:eastAsia="en-AU"/>
        </w:rPr>
      </w:pPr>
      <w:r>
        <w:rPr>
          <w:noProof/>
        </w:rPr>
        <w:t>AIP plan assessment and approval</w:t>
      </w:r>
      <w:r>
        <w:rPr>
          <w:noProof/>
        </w:rPr>
        <w:tab/>
      </w:r>
      <w:r>
        <w:rPr>
          <w:noProof/>
        </w:rPr>
        <w:fldChar w:fldCharType="begin"/>
      </w:r>
      <w:r>
        <w:rPr>
          <w:noProof/>
        </w:rPr>
        <w:instrText xml:space="preserve"> PAGEREF _Toc372705323 \h </w:instrText>
      </w:r>
      <w:r>
        <w:rPr>
          <w:noProof/>
        </w:rPr>
      </w:r>
      <w:r>
        <w:rPr>
          <w:noProof/>
        </w:rPr>
        <w:fldChar w:fldCharType="separate"/>
      </w:r>
      <w:r w:rsidR="0051635F">
        <w:rPr>
          <w:noProof/>
        </w:rPr>
        <w:t>10</w:t>
      </w:r>
      <w:r>
        <w:rPr>
          <w:noProof/>
        </w:rPr>
        <w:fldChar w:fldCharType="end"/>
      </w:r>
    </w:p>
    <w:p w14:paraId="2B128F82" w14:textId="77777777" w:rsidR="00DD56AF" w:rsidRDefault="00DD56AF" w:rsidP="00BF04AB">
      <w:pPr>
        <w:pStyle w:val="TOC3"/>
        <w:rPr>
          <w:rFonts w:asciiTheme="minorHAnsi" w:eastAsiaTheme="minorEastAsia" w:hAnsiTheme="minorHAnsi" w:cstheme="minorBidi"/>
          <w:noProof/>
          <w:szCs w:val="22"/>
          <w:lang w:eastAsia="en-AU"/>
        </w:rPr>
      </w:pPr>
      <w:r>
        <w:rPr>
          <w:noProof/>
        </w:rPr>
        <w:t>Publication of AIP plan Summaries</w:t>
      </w:r>
      <w:r>
        <w:rPr>
          <w:noProof/>
        </w:rPr>
        <w:tab/>
      </w:r>
      <w:r>
        <w:rPr>
          <w:noProof/>
        </w:rPr>
        <w:fldChar w:fldCharType="begin"/>
      </w:r>
      <w:r>
        <w:rPr>
          <w:noProof/>
        </w:rPr>
        <w:instrText xml:space="preserve"> PAGEREF _Toc372705324 \h </w:instrText>
      </w:r>
      <w:r>
        <w:rPr>
          <w:noProof/>
        </w:rPr>
      </w:r>
      <w:r>
        <w:rPr>
          <w:noProof/>
        </w:rPr>
        <w:fldChar w:fldCharType="separate"/>
      </w:r>
      <w:r w:rsidR="0051635F">
        <w:rPr>
          <w:noProof/>
        </w:rPr>
        <w:t>10</w:t>
      </w:r>
      <w:r>
        <w:rPr>
          <w:noProof/>
        </w:rPr>
        <w:fldChar w:fldCharType="end"/>
      </w:r>
    </w:p>
    <w:p w14:paraId="02182D9F" w14:textId="77777777" w:rsidR="00DD56AF" w:rsidRDefault="00DD56AF" w:rsidP="00BF04AB">
      <w:pPr>
        <w:pStyle w:val="TOC3"/>
        <w:rPr>
          <w:rFonts w:asciiTheme="minorHAnsi" w:eastAsiaTheme="minorEastAsia" w:hAnsiTheme="minorHAnsi" w:cstheme="minorBidi"/>
          <w:noProof/>
          <w:szCs w:val="22"/>
          <w:lang w:eastAsia="en-AU"/>
        </w:rPr>
      </w:pPr>
      <w:r>
        <w:rPr>
          <w:noProof/>
        </w:rPr>
        <w:t>Duration of approved AIP plans</w:t>
      </w:r>
      <w:r>
        <w:rPr>
          <w:noProof/>
        </w:rPr>
        <w:tab/>
      </w:r>
      <w:r>
        <w:rPr>
          <w:noProof/>
        </w:rPr>
        <w:fldChar w:fldCharType="begin"/>
      </w:r>
      <w:r>
        <w:rPr>
          <w:noProof/>
        </w:rPr>
        <w:instrText xml:space="preserve"> PAGEREF _Toc372705325 \h </w:instrText>
      </w:r>
      <w:r>
        <w:rPr>
          <w:noProof/>
        </w:rPr>
      </w:r>
      <w:r>
        <w:rPr>
          <w:noProof/>
        </w:rPr>
        <w:fldChar w:fldCharType="separate"/>
      </w:r>
      <w:r w:rsidR="0051635F">
        <w:rPr>
          <w:noProof/>
        </w:rPr>
        <w:t>11</w:t>
      </w:r>
      <w:r>
        <w:rPr>
          <w:noProof/>
        </w:rPr>
        <w:fldChar w:fldCharType="end"/>
      </w:r>
    </w:p>
    <w:p w14:paraId="749AD37F" w14:textId="77777777" w:rsidR="00DD56AF" w:rsidRDefault="00DD56AF" w:rsidP="00BF04AB">
      <w:pPr>
        <w:pStyle w:val="TOC3"/>
        <w:rPr>
          <w:rFonts w:asciiTheme="minorHAnsi" w:eastAsiaTheme="minorEastAsia" w:hAnsiTheme="minorHAnsi" w:cstheme="minorBidi"/>
          <w:noProof/>
          <w:szCs w:val="22"/>
          <w:lang w:eastAsia="en-AU"/>
        </w:rPr>
      </w:pPr>
      <w:r>
        <w:rPr>
          <w:noProof/>
        </w:rPr>
        <w:t>Record Keeping</w:t>
      </w:r>
      <w:r>
        <w:rPr>
          <w:noProof/>
        </w:rPr>
        <w:tab/>
      </w:r>
      <w:r>
        <w:rPr>
          <w:noProof/>
        </w:rPr>
        <w:fldChar w:fldCharType="begin"/>
      </w:r>
      <w:r>
        <w:rPr>
          <w:noProof/>
        </w:rPr>
        <w:instrText xml:space="preserve"> PAGEREF _Toc372705326 \h </w:instrText>
      </w:r>
      <w:r>
        <w:rPr>
          <w:noProof/>
        </w:rPr>
      </w:r>
      <w:r>
        <w:rPr>
          <w:noProof/>
        </w:rPr>
        <w:fldChar w:fldCharType="separate"/>
      </w:r>
      <w:r w:rsidR="0051635F">
        <w:rPr>
          <w:noProof/>
        </w:rPr>
        <w:t>11</w:t>
      </w:r>
      <w:r>
        <w:rPr>
          <w:noProof/>
        </w:rPr>
        <w:fldChar w:fldCharType="end"/>
      </w:r>
    </w:p>
    <w:p w14:paraId="7EBC6B6E" w14:textId="3DD4B2D8" w:rsidR="00DD56AF" w:rsidRDefault="00486D62" w:rsidP="00486D62">
      <w:pPr>
        <w:pStyle w:val="TOC3"/>
        <w:rPr>
          <w:rFonts w:asciiTheme="minorHAnsi" w:eastAsiaTheme="minorEastAsia" w:hAnsiTheme="minorHAnsi" w:cstheme="minorBidi"/>
          <w:noProof/>
          <w:szCs w:val="22"/>
          <w:lang w:eastAsia="en-AU"/>
        </w:rPr>
      </w:pPr>
      <w:r>
        <w:rPr>
          <w:noProof/>
        </w:rPr>
        <w:t>Changing or r</w:t>
      </w:r>
      <w:r w:rsidR="00DD56AF">
        <w:rPr>
          <w:noProof/>
        </w:rPr>
        <w:t>eplacing an AIP plan</w:t>
      </w:r>
      <w:r w:rsidR="00DD56AF">
        <w:rPr>
          <w:noProof/>
        </w:rPr>
        <w:tab/>
      </w:r>
      <w:r w:rsidR="00DD56AF">
        <w:rPr>
          <w:noProof/>
        </w:rPr>
        <w:fldChar w:fldCharType="begin"/>
      </w:r>
      <w:r w:rsidR="00DD56AF">
        <w:rPr>
          <w:noProof/>
        </w:rPr>
        <w:instrText xml:space="preserve"> PAGEREF _Toc372705327 \h </w:instrText>
      </w:r>
      <w:r w:rsidR="00DD56AF">
        <w:rPr>
          <w:noProof/>
        </w:rPr>
      </w:r>
      <w:r w:rsidR="00DD56AF">
        <w:rPr>
          <w:noProof/>
        </w:rPr>
        <w:fldChar w:fldCharType="separate"/>
      </w:r>
      <w:r w:rsidR="0051635F">
        <w:rPr>
          <w:noProof/>
        </w:rPr>
        <w:t>11</w:t>
      </w:r>
      <w:r w:rsidR="00DD56AF">
        <w:rPr>
          <w:noProof/>
        </w:rPr>
        <w:fldChar w:fldCharType="end"/>
      </w:r>
    </w:p>
    <w:p w14:paraId="1D725A91" w14:textId="77777777" w:rsidR="00DD56AF" w:rsidRDefault="00DD56AF" w:rsidP="00BF04AB">
      <w:pPr>
        <w:pStyle w:val="TOC2"/>
        <w:rPr>
          <w:rFonts w:asciiTheme="minorHAnsi" w:eastAsiaTheme="minorEastAsia" w:hAnsiTheme="minorHAnsi" w:cstheme="minorBidi"/>
          <w:noProof/>
          <w:szCs w:val="22"/>
          <w:lang w:eastAsia="en-AU"/>
        </w:rPr>
      </w:pPr>
      <w:r>
        <w:rPr>
          <w:noProof/>
        </w:rPr>
        <w:t>Detailed AIP plan Criteria</w:t>
      </w:r>
      <w:r>
        <w:rPr>
          <w:noProof/>
        </w:rPr>
        <w:tab/>
      </w:r>
      <w:r>
        <w:rPr>
          <w:noProof/>
        </w:rPr>
        <w:fldChar w:fldCharType="begin"/>
      </w:r>
      <w:r>
        <w:rPr>
          <w:noProof/>
        </w:rPr>
        <w:instrText xml:space="preserve"> PAGEREF _Toc372705329 \h </w:instrText>
      </w:r>
      <w:r>
        <w:rPr>
          <w:noProof/>
        </w:rPr>
      </w:r>
      <w:r>
        <w:rPr>
          <w:noProof/>
        </w:rPr>
        <w:fldChar w:fldCharType="separate"/>
      </w:r>
      <w:r w:rsidR="0051635F">
        <w:rPr>
          <w:noProof/>
        </w:rPr>
        <w:t>13</w:t>
      </w:r>
      <w:r>
        <w:rPr>
          <w:noProof/>
        </w:rPr>
        <w:fldChar w:fldCharType="end"/>
      </w:r>
    </w:p>
    <w:p w14:paraId="47092D0A" w14:textId="77777777" w:rsidR="00DD56AF" w:rsidRDefault="00DD56AF" w:rsidP="00BF04AB">
      <w:pPr>
        <w:pStyle w:val="TOC3"/>
        <w:rPr>
          <w:rFonts w:asciiTheme="minorHAnsi" w:eastAsiaTheme="minorEastAsia" w:hAnsiTheme="minorHAnsi" w:cstheme="minorBidi"/>
          <w:noProof/>
          <w:szCs w:val="22"/>
          <w:lang w:eastAsia="en-AU"/>
        </w:rPr>
      </w:pPr>
      <w:r>
        <w:rPr>
          <w:noProof/>
        </w:rPr>
        <w:t>Part A – Title</w:t>
      </w:r>
      <w:r>
        <w:rPr>
          <w:noProof/>
        </w:rPr>
        <w:tab/>
      </w:r>
      <w:r>
        <w:rPr>
          <w:noProof/>
        </w:rPr>
        <w:fldChar w:fldCharType="begin"/>
      </w:r>
      <w:r>
        <w:rPr>
          <w:noProof/>
        </w:rPr>
        <w:instrText xml:space="preserve"> PAGEREF _Toc372705330 \h </w:instrText>
      </w:r>
      <w:r>
        <w:rPr>
          <w:noProof/>
        </w:rPr>
      </w:r>
      <w:r>
        <w:rPr>
          <w:noProof/>
        </w:rPr>
        <w:fldChar w:fldCharType="separate"/>
      </w:r>
      <w:r w:rsidR="0051635F">
        <w:rPr>
          <w:noProof/>
        </w:rPr>
        <w:t>13</w:t>
      </w:r>
      <w:r>
        <w:rPr>
          <w:noProof/>
        </w:rPr>
        <w:fldChar w:fldCharType="end"/>
      </w:r>
    </w:p>
    <w:p w14:paraId="4611B399" w14:textId="77777777" w:rsidR="00DD56AF" w:rsidRDefault="00DD56AF" w:rsidP="00832A1B">
      <w:pPr>
        <w:pStyle w:val="TOC4"/>
        <w:rPr>
          <w:rFonts w:asciiTheme="minorHAnsi" w:eastAsiaTheme="minorEastAsia" w:hAnsiTheme="minorHAnsi" w:cstheme="minorBidi"/>
          <w:noProof/>
          <w:szCs w:val="22"/>
          <w:lang w:eastAsia="en-AU"/>
        </w:rPr>
      </w:pPr>
      <w:r>
        <w:rPr>
          <w:noProof/>
        </w:rPr>
        <w:t>A.1 – Project Proponent Details</w:t>
      </w:r>
      <w:r>
        <w:rPr>
          <w:noProof/>
        </w:rPr>
        <w:tab/>
      </w:r>
      <w:r>
        <w:rPr>
          <w:noProof/>
        </w:rPr>
        <w:fldChar w:fldCharType="begin"/>
      </w:r>
      <w:r>
        <w:rPr>
          <w:noProof/>
        </w:rPr>
        <w:instrText xml:space="preserve"> PAGEREF _Toc372705331 \h </w:instrText>
      </w:r>
      <w:r>
        <w:rPr>
          <w:noProof/>
        </w:rPr>
      </w:r>
      <w:r>
        <w:rPr>
          <w:noProof/>
        </w:rPr>
        <w:fldChar w:fldCharType="separate"/>
      </w:r>
      <w:r w:rsidR="0051635F">
        <w:rPr>
          <w:noProof/>
        </w:rPr>
        <w:t>13</w:t>
      </w:r>
      <w:r>
        <w:rPr>
          <w:noProof/>
        </w:rPr>
        <w:fldChar w:fldCharType="end"/>
      </w:r>
    </w:p>
    <w:p w14:paraId="3023BBB1" w14:textId="77777777" w:rsidR="00DD56AF" w:rsidRDefault="00DD56AF" w:rsidP="00832A1B">
      <w:pPr>
        <w:pStyle w:val="TOC4"/>
        <w:rPr>
          <w:rFonts w:asciiTheme="minorHAnsi" w:eastAsiaTheme="minorEastAsia" w:hAnsiTheme="minorHAnsi" w:cstheme="minorBidi"/>
          <w:noProof/>
          <w:szCs w:val="22"/>
          <w:lang w:eastAsia="en-AU"/>
        </w:rPr>
      </w:pPr>
      <w:r>
        <w:rPr>
          <w:noProof/>
        </w:rPr>
        <w:t>A.2 – Project Details</w:t>
      </w:r>
      <w:r>
        <w:rPr>
          <w:noProof/>
        </w:rPr>
        <w:tab/>
      </w:r>
      <w:r>
        <w:rPr>
          <w:noProof/>
        </w:rPr>
        <w:fldChar w:fldCharType="begin"/>
      </w:r>
      <w:r>
        <w:rPr>
          <w:noProof/>
        </w:rPr>
        <w:instrText xml:space="preserve"> PAGEREF _Toc372705332 \h </w:instrText>
      </w:r>
      <w:r>
        <w:rPr>
          <w:noProof/>
        </w:rPr>
      </w:r>
      <w:r>
        <w:rPr>
          <w:noProof/>
        </w:rPr>
        <w:fldChar w:fldCharType="separate"/>
      </w:r>
      <w:r w:rsidR="0051635F">
        <w:rPr>
          <w:noProof/>
        </w:rPr>
        <w:t>13</w:t>
      </w:r>
      <w:r>
        <w:rPr>
          <w:noProof/>
        </w:rPr>
        <w:fldChar w:fldCharType="end"/>
      </w:r>
    </w:p>
    <w:p w14:paraId="65E4373C" w14:textId="77777777" w:rsidR="00DD56AF" w:rsidRDefault="00DD56AF" w:rsidP="00832A1B">
      <w:pPr>
        <w:pStyle w:val="TOC4"/>
        <w:rPr>
          <w:rFonts w:asciiTheme="minorHAnsi" w:eastAsiaTheme="minorEastAsia" w:hAnsiTheme="minorHAnsi" w:cstheme="minorBidi"/>
          <w:noProof/>
          <w:szCs w:val="22"/>
          <w:lang w:eastAsia="en-AU"/>
        </w:rPr>
      </w:pPr>
      <w:r>
        <w:rPr>
          <w:noProof/>
        </w:rPr>
        <w:t>A.3 – AIP plan authorised person declaration</w:t>
      </w:r>
      <w:r>
        <w:rPr>
          <w:noProof/>
        </w:rPr>
        <w:tab/>
      </w:r>
      <w:r>
        <w:rPr>
          <w:noProof/>
        </w:rPr>
        <w:fldChar w:fldCharType="begin"/>
      </w:r>
      <w:r>
        <w:rPr>
          <w:noProof/>
        </w:rPr>
        <w:instrText xml:space="preserve"> PAGEREF _Toc372705333 \h </w:instrText>
      </w:r>
      <w:r>
        <w:rPr>
          <w:noProof/>
        </w:rPr>
      </w:r>
      <w:r>
        <w:rPr>
          <w:noProof/>
        </w:rPr>
        <w:fldChar w:fldCharType="separate"/>
      </w:r>
      <w:r w:rsidR="0051635F">
        <w:rPr>
          <w:noProof/>
        </w:rPr>
        <w:t>14</w:t>
      </w:r>
      <w:r>
        <w:rPr>
          <w:noProof/>
        </w:rPr>
        <w:fldChar w:fldCharType="end"/>
      </w:r>
    </w:p>
    <w:p w14:paraId="7F27F300" w14:textId="77777777" w:rsidR="00DD56AF" w:rsidRDefault="00DD56AF" w:rsidP="00BF04AB">
      <w:pPr>
        <w:pStyle w:val="TOC3"/>
        <w:rPr>
          <w:rFonts w:asciiTheme="minorHAnsi" w:eastAsiaTheme="minorEastAsia" w:hAnsiTheme="minorHAnsi" w:cstheme="minorBidi"/>
          <w:noProof/>
          <w:szCs w:val="22"/>
          <w:lang w:eastAsia="en-AU"/>
        </w:rPr>
      </w:pPr>
      <w:r>
        <w:rPr>
          <w:noProof/>
        </w:rPr>
        <w:t>Part B – Project Phase</w:t>
      </w:r>
      <w:r>
        <w:rPr>
          <w:noProof/>
        </w:rPr>
        <w:tab/>
      </w:r>
      <w:r>
        <w:rPr>
          <w:noProof/>
        </w:rPr>
        <w:fldChar w:fldCharType="begin"/>
      </w:r>
      <w:r>
        <w:rPr>
          <w:noProof/>
        </w:rPr>
        <w:instrText xml:space="preserve"> PAGEREF _Toc372705334 \h </w:instrText>
      </w:r>
      <w:r>
        <w:rPr>
          <w:noProof/>
        </w:rPr>
      </w:r>
      <w:r>
        <w:rPr>
          <w:noProof/>
        </w:rPr>
        <w:fldChar w:fldCharType="separate"/>
      </w:r>
      <w:r w:rsidR="0051635F">
        <w:rPr>
          <w:noProof/>
        </w:rPr>
        <w:t>15</w:t>
      </w:r>
      <w:r>
        <w:rPr>
          <w:noProof/>
        </w:rPr>
        <w:fldChar w:fldCharType="end"/>
      </w:r>
    </w:p>
    <w:p w14:paraId="3AA25105" w14:textId="77777777" w:rsidR="00DD56AF" w:rsidRDefault="00DD56AF" w:rsidP="00832A1B">
      <w:pPr>
        <w:pStyle w:val="TOC4"/>
        <w:rPr>
          <w:rFonts w:asciiTheme="minorHAnsi" w:eastAsiaTheme="minorEastAsia" w:hAnsiTheme="minorHAnsi" w:cstheme="minorBidi"/>
          <w:noProof/>
          <w:szCs w:val="22"/>
          <w:lang w:eastAsia="en-AU"/>
        </w:rPr>
      </w:pPr>
      <w:r>
        <w:rPr>
          <w:noProof/>
        </w:rPr>
        <w:t>B.1 – Contact Details</w:t>
      </w:r>
      <w:r>
        <w:rPr>
          <w:noProof/>
        </w:rPr>
        <w:tab/>
      </w:r>
      <w:r>
        <w:rPr>
          <w:noProof/>
        </w:rPr>
        <w:fldChar w:fldCharType="begin"/>
      </w:r>
      <w:r>
        <w:rPr>
          <w:noProof/>
        </w:rPr>
        <w:instrText xml:space="preserve"> PAGEREF _Toc372705335 \h </w:instrText>
      </w:r>
      <w:r>
        <w:rPr>
          <w:noProof/>
        </w:rPr>
      </w:r>
      <w:r>
        <w:rPr>
          <w:noProof/>
        </w:rPr>
        <w:fldChar w:fldCharType="separate"/>
      </w:r>
      <w:r w:rsidR="0051635F">
        <w:rPr>
          <w:noProof/>
        </w:rPr>
        <w:t>15</w:t>
      </w:r>
      <w:r>
        <w:rPr>
          <w:noProof/>
        </w:rPr>
        <w:fldChar w:fldCharType="end"/>
      </w:r>
    </w:p>
    <w:p w14:paraId="000AF6C6" w14:textId="6E715575" w:rsidR="00DD56AF" w:rsidRDefault="00DD56AF" w:rsidP="00832A1B">
      <w:pPr>
        <w:pStyle w:val="TOC4"/>
        <w:rPr>
          <w:rFonts w:asciiTheme="minorHAnsi" w:eastAsiaTheme="minorEastAsia" w:hAnsiTheme="minorHAnsi" w:cstheme="minorBidi"/>
          <w:noProof/>
          <w:szCs w:val="22"/>
          <w:lang w:eastAsia="en-AU"/>
        </w:rPr>
      </w:pPr>
      <w:r>
        <w:rPr>
          <w:noProof/>
        </w:rPr>
        <w:t>B.2 – Opportunities to supply goods and services</w:t>
      </w:r>
      <w:r>
        <w:rPr>
          <w:noProof/>
        </w:rPr>
        <w:tab/>
      </w:r>
      <w:r w:rsidR="00ED44E4">
        <w:rPr>
          <w:noProof/>
        </w:rPr>
        <w:t>1</w:t>
      </w:r>
      <w:r w:rsidR="00486D62">
        <w:rPr>
          <w:noProof/>
        </w:rPr>
        <w:t>5</w:t>
      </w:r>
    </w:p>
    <w:p w14:paraId="3FA9C81F" w14:textId="13F665FB" w:rsidR="00DD56AF" w:rsidRDefault="00DD56AF" w:rsidP="00832A1B">
      <w:pPr>
        <w:pStyle w:val="TOC4"/>
        <w:rPr>
          <w:rFonts w:asciiTheme="minorHAnsi" w:eastAsiaTheme="minorEastAsia" w:hAnsiTheme="minorHAnsi" w:cstheme="minorBidi"/>
          <w:noProof/>
          <w:szCs w:val="22"/>
          <w:lang w:eastAsia="en-AU"/>
        </w:rPr>
      </w:pPr>
      <w:r>
        <w:rPr>
          <w:noProof/>
        </w:rPr>
        <w:t xml:space="preserve">B.3 – Publication of </w:t>
      </w:r>
      <w:r w:rsidR="00AF420F">
        <w:rPr>
          <w:noProof/>
        </w:rPr>
        <w:t>Information</w:t>
      </w:r>
      <w:r>
        <w:rPr>
          <w:noProof/>
        </w:rPr>
        <w:tab/>
      </w:r>
      <w:r>
        <w:rPr>
          <w:noProof/>
        </w:rPr>
        <w:fldChar w:fldCharType="begin"/>
      </w:r>
      <w:r>
        <w:rPr>
          <w:noProof/>
        </w:rPr>
        <w:instrText xml:space="preserve"> PAGEREF _Toc372705337 \h </w:instrText>
      </w:r>
      <w:r>
        <w:rPr>
          <w:noProof/>
        </w:rPr>
      </w:r>
      <w:r>
        <w:rPr>
          <w:noProof/>
        </w:rPr>
        <w:fldChar w:fldCharType="separate"/>
      </w:r>
      <w:r w:rsidR="0051635F">
        <w:rPr>
          <w:noProof/>
        </w:rPr>
        <w:t>18</w:t>
      </w:r>
      <w:r>
        <w:rPr>
          <w:noProof/>
        </w:rPr>
        <w:fldChar w:fldCharType="end"/>
      </w:r>
    </w:p>
    <w:p w14:paraId="6F6F1DF5" w14:textId="77777777" w:rsidR="00DD56AF" w:rsidRDefault="00DD56AF" w:rsidP="00832A1B">
      <w:pPr>
        <w:pStyle w:val="TOC4"/>
        <w:rPr>
          <w:rFonts w:asciiTheme="minorHAnsi" w:eastAsiaTheme="minorEastAsia" w:hAnsiTheme="minorHAnsi" w:cstheme="minorBidi"/>
          <w:noProof/>
          <w:szCs w:val="22"/>
          <w:lang w:eastAsia="en-AU"/>
        </w:rPr>
      </w:pPr>
      <w:r>
        <w:rPr>
          <w:noProof/>
        </w:rPr>
        <w:t>B.4 – Communicating and Providing Opportunities</w:t>
      </w:r>
      <w:r>
        <w:rPr>
          <w:noProof/>
        </w:rPr>
        <w:tab/>
      </w:r>
      <w:r>
        <w:rPr>
          <w:noProof/>
        </w:rPr>
        <w:fldChar w:fldCharType="begin"/>
      </w:r>
      <w:r>
        <w:rPr>
          <w:noProof/>
        </w:rPr>
        <w:instrText xml:space="preserve"> PAGEREF _Toc372705338 \h </w:instrText>
      </w:r>
      <w:r>
        <w:rPr>
          <w:noProof/>
        </w:rPr>
      </w:r>
      <w:r>
        <w:rPr>
          <w:noProof/>
        </w:rPr>
        <w:fldChar w:fldCharType="separate"/>
      </w:r>
      <w:r w:rsidR="0051635F">
        <w:rPr>
          <w:noProof/>
        </w:rPr>
        <w:t>20</w:t>
      </w:r>
      <w:r>
        <w:rPr>
          <w:noProof/>
        </w:rPr>
        <w:fldChar w:fldCharType="end"/>
      </w:r>
    </w:p>
    <w:p w14:paraId="14DD3F89" w14:textId="77777777" w:rsidR="00DD56AF" w:rsidRDefault="00DD56AF" w:rsidP="00832A1B">
      <w:pPr>
        <w:pStyle w:val="TOC4"/>
        <w:rPr>
          <w:rFonts w:asciiTheme="minorHAnsi" w:eastAsiaTheme="minorEastAsia" w:hAnsiTheme="minorHAnsi" w:cstheme="minorBidi"/>
          <w:noProof/>
          <w:szCs w:val="22"/>
          <w:lang w:eastAsia="en-AU"/>
        </w:rPr>
      </w:pPr>
      <w:r>
        <w:rPr>
          <w:noProof/>
        </w:rPr>
        <w:t>B.5 – Facilitating Future Opportunities</w:t>
      </w:r>
      <w:r>
        <w:rPr>
          <w:noProof/>
        </w:rPr>
        <w:tab/>
      </w:r>
      <w:r>
        <w:rPr>
          <w:noProof/>
        </w:rPr>
        <w:fldChar w:fldCharType="begin"/>
      </w:r>
      <w:r>
        <w:rPr>
          <w:noProof/>
        </w:rPr>
        <w:instrText xml:space="preserve"> PAGEREF _Toc372705339 \h </w:instrText>
      </w:r>
      <w:r>
        <w:rPr>
          <w:noProof/>
        </w:rPr>
      </w:r>
      <w:r>
        <w:rPr>
          <w:noProof/>
        </w:rPr>
        <w:fldChar w:fldCharType="separate"/>
      </w:r>
      <w:r w:rsidR="0051635F">
        <w:rPr>
          <w:noProof/>
        </w:rPr>
        <w:t>23</w:t>
      </w:r>
      <w:r>
        <w:rPr>
          <w:noProof/>
        </w:rPr>
        <w:fldChar w:fldCharType="end"/>
      </w:r>
    </w:p>
    <w:p w14:paraId="06DB243E" w14:textId="77777777" w:rsidR="00DD56AF" w:rsidRDefault="00DD56AF" w:rsidP="00832A1B">
      <w:pPr>
        <w:pStyle w:val="TOC4"/>
        <w:rPr>
          <w:rFonts w:asciiTheme="minorHAnsi" w:eastAsiaTheme="minorEastAsia" w:hAnsiTheme="minorHAnsi" w:cstheme="minorBidi"/>
          <w:noProof/>
          <w:szCs w:val="22"/>
          <w:lang w:eastAsia="en-AU"/>
        </w:rPr>
      </w:pPr>
      <w:r>
        <w:rPr>
          <w:noProof/>
        </w:rPr>
        <w:t>B.6 – Implementation Resources</w:t>
      </w:r>
      <w:r>
        <w:rPr>
          <w:noProof/>
        </w:rPr>
        <w:tab/>
      </w:r>
      <w:r>
        <w:rPr>
          <w:noProof/>
        </w:rPr>
        <w:fldChar w:fldCharType="begin"/>
      </w:r>
      <w:r>
        <w:rPr>
          <w:noProof/>
        </w:rPr>
        <w:instrText xml:space="preserve"> PAGEREF _Toc372705340 \h </w:instrText>
      </w:r>
      <w:r>
        <w:rPr>
          <w:noProof/>
        </w:rPr>
      </w:r>
      <w:r>
        <w:rPr>
          <w:noProof/>
        </w:rPr>
        <w:fldChar w:fldCharType="separate"/>
      </w:r>
      <w:r w:rsidR="0051635F">
        <w:rPr>
          <w:noProof/>
        </w:rPr>
        <w:t>26</w:t>
      </w:r>
      <w:r>
        <w:rPr>
          <w:noProof/>
        </w:rPr>
        <w:fldChar w:fldCharType="end"/>
      </w:r>
    </w:p>
    <w:p w14:paraId="200A1E37" w14:textId="59BC7B96" w:rsidR="00DD56AF" w:rsidRDefault="00DD56AF" w:rsidP="00BF04AB">
      <w:pPr>
        <w:pStyle w:val="TOC3"/>
        <w:rPr>
          <w:rFonts w:asciiTheme="minorHAnsi" w:eastAsiaTheme="minorEastAsia" w:hAnsiTheme="minorHAnsi" w:cstheme="minorBidi"/>
          <w:noProof/>
          <w:szCs w:val="22"/>
          <w:lang w:eastAsia="en-AU"/>
        </w:rPr>
      </w:pPr>
      <w:r>
        <w:rPr>
          <w:noProof/>
        </w:rPr>
        <w:t xml:space="preserve">Part C – </w:t>
      </w:r>
      <w:r w:rsidR="00486D62">
        <w:rPr>
          <w:noProof/>
        </w:rPr>
        <w:t xml:space="preserve">Initial Facility </w:t>
      </w:r>
      <w:r>
        <w:rPr>
          <w:noProof/>
        </w:rPr>
        <w:t>Operation</w:t>
      </w:r>
      <w:r w:rsidR="00486D62">
        <w:rPr>
          <w:noProof/>
        </w:rPr>
        <w:t>al</w:t>
      </w:r>
      <w:r>
        <w:rPr>
          <w:noProof/>
        </w:rPr>
        <w:t xml:space="preserve"> Phase</w:t>
      </w:r>
      <w:r>
        <w:rPr>
          <w:noProof/>
        </w:rPr>
        <w:tab/>
      </w:r>
      <w:r>
        <w:rPr>
          <w:noProof/>
        </w:rPr>
        <w:fldChar w:fldCharType="begin"/>
      </w:r>
      <w:r>
        <w:rPr>
          <w:noProof/>
        </w:rPr>
        <w:instrText xml:space="preserve"> PAGEREF _Toc372705341 \h </w:instrText>
      </w:r>
      <w:r>
        <w:rPr>
          <w:noProof/>
        </w:rPr>
      </w:r>
      <w:r>
        <w:rPr>
          <w:noProof/>
        </w:rPr>
        <w:fldChar w:fldCharType="separate"/>
      </w:r>
      <w:r w:rsidR="0051635F">
        <w:rPr>
          <w:noProof/>
        </w:rPr>
        <w:t>28</w:t>
      </w:r>
      <w:r>
        <w:rPr>
          <w:noProof/>
        </w:rPr>
        <w:fldChar w:fldCharType="end"/>
      </w:r>
    </w:p>
    <w:p w14:paraId="3F35E698" w14:textId="77777777" w:rsidR="00DD56AF" w:rsidRDefault="00DD56AF" w:rsidP="00832A1B">
      <w:pPr>
        <w:pStyle w:val="TOC4"/>
        <w:rPr>
          <w:rFonts w:asciiTheme="minorHAnsi" w:eastAsiaTheme="minorEastAsia" w:hAnsiTheme="minorHAnsi" w:cstheme="minorBidi"/>
          <w:noProof/>
          <w:szCs w:val="22"/>
          <w:lang w:eastAsia="en-AU"/>
        </w:rPr>
      </w:pPr>
      <w:r>
        <w:rPr>
          <w:noProof/>
        </w:rPr>
        <w:t>C.1 – Operator Details</w:t>
      </w:r>
      <w:r>
        <w:rPr>
          <w:noProof/>
        </w:rPr>
        <w:tab/>
      </w:r>
      <w:r>
        <w:rPr>
          <w:noProof/>
        </w:rPr>
        <w:fldChar w:fldCharType="begin"/>
      </w:r>
      <w:r>
        <w:rPr>
          <w:noProof/>
        </w:rPr>
        <w:instrText xml:space="preserve"> PAGEREF _Toc372705342 \h </w:instrText>
      </w:r>
      <w:r>
        <w:rPr>
          <w:noProof/>
        </w:rPr>
      </w:r>
      <w:r>
        <w:rPr>
          <w:noProof/>
        </w:rPr>
        <w:fldChar w:fldCharType="separate"/>
      </w:r>
      <w:r w:rsidR="0051635F">
        <w:rPr>
          <w:noProof/>
        </w:rPr>
        <w:t>28</w:t>
      </w:r>
      <w:r>
        <w:rPr>
          <w:noProof/>
        </w:rPr>
        <w:fldChar w:fldCharType="end"/>
      </w:r>
    </w:p>
    <w:p w14:paraId="11DC1B0E" w14:textId="77777777" w:rsidR="00DD56AF" w:rsidRDefault="00DD56AF" w:rsidP="00832A1B">
      <w:pPr>
        <w:pStyle w:val="TOC4"/>
        <w:rPr>
          <w:rFonts w:asciiTheme="minorHAnsi" w:eastAsiaTheme="minorEastAsia" w:hAnsiTheme="minorHAnsi" w:cstheme="minorBidi"/>
          <w:noProof/>
          <w:szCs w:val="22"/>
          <w:lang w:eastAsia="en-AU"/>
        </w:rPr>
      </w:pPr>
      <w:r>
        <w:rPr>
          <w:noProof/>
        </w:rPr>
        <w:t>C.2 – Contact Details</w:t>
      </w:r>
      <w:r>
        <w:rPr>
          <w:noProof/>
        </w:rPr>
        <w:tab/>
      </w:r>
      <w:r>
        <w:rPr>
          <w:noProof/>
        </w:rPr>
        <w:fldChar w:fldCharType="begin"/>
      </w:r>
      <w:r>
        <w:rPr>
          <w:noProof/>
        </w:rPr>
        <w:instrText xml:space="preserve"> PAGEREF _Toc372705343 \h </w:instrText>
      </w:r>
      <w:r>
        <w:rPr>
          <w:noProof/>
        </w:rPr>
      </w:r>
      <w:r>
        <w:rPr>
          <w:noProof/>
        </w:rPr>
        <w:fldChar w:fldCharType="separate"/>
      </w:r>
      <w:r w:rsidR="0051635F">
        <w:rPr>
          <w:noProof/>
        </w:rPr>
        <w:t>28</w:t>
      </w:r>
      <w:r>
        <w:rPr>
          <w:noProof/>
        </w:rPr>
        <w:fldChar w:fldCharType="end"/>
      </w:r>
    </w:p>
    <w:p w14:paraId="4406A6A7" w14:textId="77777777" w:rsidR="00DD56AF" w:rsidRDefault="00DD56AF" w:rsidP="00832A1B">
      <w:pPr>
        <w:pStyle w:val="TOC4"/>
        <w:rPr>
          <w:rFonts w:asciiTheme="minorHAnsi" w:eastAsiaTheme="minorEastAsia" w:hAnsiTheme="minorHAnsi" w:cstheme="minorBidi"/>
          <w:noProof/>
          <w:szCs w:val="22"/>
          <w:lang w:eastAsia="en-AU"/>
        </w:rPr>
      </w:pPr>
      <w:r>
        <w:rPr>
          <w:noProof/>
        </w:rPr>
        <w:t>C.3 – Opportunities to supply goods and services</w:t>
      </w:r>
      <w:r>
        <w:rPr>
          <w:noProof/>
        </w:rPr>
        <w:tab/>
      </w:r>
      <w:r>
        <w:rPr>
          <w:noProof/>
        </w:rPr>
        <w:fldChar w:fldCharType="begin"/>
      </w:r>
      <w:r>
        <w:rPr>
          <w:noProof/>
        </w:rPr>
        <w:instrText xml:space="preserve"> PAGEREF _Toc372705344 \h </w:instrText>
      </w:r>
      <w:r>
        <w:rPr>
          <w:noProof/>
        </w:rPr>
      </w:r>
      <w:r>
        <w:rPr>
          <w:noProof/>
        </w:rPr>
        <w:fldChar w:fldCharType="separate"/>
      </w:r>
      <w:r w:rsidR="0051635F">
        <w:rPr>
          <w:noProof/>
        </w:rPr>
        <w:t>28</w:t>
      </w:r>
      <w:r>
        <w:rPr>
          <w:noProof/>
        </w:rPr>
        <w:fldChar w:fldCharType="end"/>
      </w:r>
    </w:p>
    <w:p w14:paraId="4E3421D8" w14:textId="6EB30182" w:rsidR="00DD56AF" w:rsidRDefault="00DD56AF" w:rsidP="00832A1B">
      <w:pPr>
        <w:pStyle w:val="TOC4"/>
        <w:rPr>
          <w:rFonts w:asciiTheme="minorHAnsi" w:eastAsiaTheme="minorEastAsia" w:hAnsiTheme="minorHAnsi" w:cstheme="minorBidi"/>
          <w:noProof/>
          <w:szCs w:val="22"/>
          <w:lang w:eastAsia="en-AU"/>
        </w:rPr>
      </w:pPr>
      <w:r>
        <w:rPr>
          <w:noProof/>
        </w:rPr>
        <w:t>C.4 – Publication of</w:t>
      </w:r>
      <w:r w:rsidR="00AF420F">
        <w:rPr>
          <w:noProof/>
        </w:rPr>
        <w:t xml:space="preserve"> Information</w:t>
      </w:r>
      <w:r>
        <w:rPr>
          <w:noProof/>
        </w:rPr>
        <w:tab/>
      </w:r>
      <w:r>
        <w:rPr>
          <w:noProof/>
        </w:rPr>
        <w:fldChar w:fldCharType="begin"/>
      </w:r>
      <w:r>
        <w:rPr>
          <w:noProof/>
        </w:rPr>
        <w:instrText xml:space="preserve"> PAGEREF _Toc372705345 \h </w:instrText>
      </w:r>
      <w:r>
        <w:rPr>
          <w:noProof/>
        </w:rPr>
      </w:r>
      <w:r>
        <w:rPr>
          <w:noProof/>
        </w:rPr>
        <w:fldChar w:fldCharType="separate"/>
      </w:r>
      <w:r w:rsidR="0051635F">
        <w:rPr>
          <w:noProof/>
        </w:rPr>
        <w:t>29</w:t>
      </w:r>
      <w:r>
        <w:rPr>
          <w:noProof/>
        </w:rPr>
        <w:fldChar w:fldCharType="end"/>
      </w:r>
    </w:p>
    <w:p w14:paraId="410338C1" w14:textId="77777777" w:rsidR="00DD56AF" w:rsidRDefault="00DD56AF" w:rsidP="00832A1B">
      <w:pPr>
        <w:pStyle w:val="TOC4"/>
        <w:rPr>
          <w:rFonts w:asciiTheme="minorHAnsi" w:eastAsiaTheme="minorEastAsia" w:hAnsiTheme="minorHAnsi" w:cstheme="minorBidi"/>
          <w:noProof/>
          <w:szCs w:val="22"/>
          <w:lang w:eastAsia="en-AU"/>
        </w:rPr>
      </w:pPr>
      <w:r>
        <w:rPr>
          <w:noProof/>
        </w:rPr>
        <w:t>C.5 – Communicating and Providing Opportunities</w:t>
      </w:r>
      <w:r>
        <w:rPr>
          <w:noProof/>
        </w:rPr>
        <w:tab/>
      </w:r>
      <w:r>
        <w:rPr>
          <w:noProof/>
        </w:rPr>
        <w:fldChar w:fldCharType="begin"/>
      </w:r>
      <w:r>
        <w:rPr>
          <w:noProof/>
        </w:rPr>
        <w:instrText xml:space="preserve"> PAGEREF _Toc372705346 \h </w:instrText>
      </w:r>
      <w:r>
        <w:rPr>
          <w:noProof/>
        </w:rPr>
      </w:r>
      <w:r>
        <w:rPr>
          <w:noProof/>
        </w:rPr>
        <w:fldChar w:fldCharType="separate"/>
      </w:r>
      <w:r w:rsidR="0051635F">
        <w:rPr>
          <w:noProof/>
        </w:rPr>
        <w:t>29</w:t>
      </w:r>
      <w:r>
        <w:rPr>
          <w:noProof/>
        </w:rPr>
        <w:fldChar w:fldCharType="end"/>
      </w:r>
    </w:p>
    <w:p w14:paraId="33A5236C" w14:textId="77777777" w:rsidR="00DD56AF" w:rsidRDefault="00DD56AF" w:rsidP="00832A1B">
      <w:pPr>
        <w:pStyle w:val="TOC4"/>
        <w:rPr>
          <w:rFonts w:asciiTheme="minorHAnsi" w:eastAsiaTheme="minorEastAsia" w:hAnsiTheme="minorHAnsi" w:cstheme="minorBidi"/>
          <w:noProof/>
          <w:szCs w:val="22"/>
          <w:lang w:eastAsia="en-AU"/>
        </w:rPr>
      </w:pPr>
      <w:r>
        <w:rPr>
          <w:noProof/>
        </w:rPr>
        <w:t>C.6 – Facilitating Future Opportunities</w:t>
      </w:r>
      <w:r>
        <w:rPr>
          <w:noProof/>
        </w:rPr>
        <w:tab/>
      </w:r>
      <w:r>
        <w:rPr>
          <w:noProof/>
        </w:rPr>
        <w:fldChar w:fldCharType="begin"/>
      </w:r>
      <w:r>
        <w:rPr>
          <w:noProof/>
        </w:rPr>
        <w:instrText xml:space="preserve"> PAGEREF _Toc372705347 \h </w:instrText>
      </w:r>
      <w:r>
        <w:rPr>
          <w:noProof/>
        </w:rPr>
      </w:r>
      <w:r>
        <w:rPr>
          <w:noProof/>
        </w:rPr>
        <w:fldChar w:fldCharType="separate"/>
      </w:r>
      <w:r w:rsidR="0051635F">
        <w:rPr>
          <w:noProof/>
        </w:rPr>
        <w:t>29</w:t>
      </w:r>
      <w:r>
        <w:rPr>
          <w:noProof/>
        </w:rPr>
        <w:fldChar w:fldCharType="end"/>
      </w:r>
    </w:p>
    <w:p w14:paraId="614CC1DF" w14:textId="77777777" w:rsidR="00DD56AF" w:rsidRDefault="00DD56AF" w:rsidP="00832A1B">
      <w:pPr>
        <w:pStyle w:val="TOC4"/>
        <w:rPr>
          <w:rFonts w:asciiTheme="minorHAnsi" w:eastAsiaTheme="minorEastAsia" w:hAnsiTheme="minorHAnsi" w:cstheme="minorBidi"/>
          <w:noProof/>
          <w:szCs w:val="22"/>
          <w:lang w:eastAsia="en-AU"/>
        </w:rPr>
      </w:pPr>
      <w:r>
        <w:rPr>
          <w:noProof/>
        </w:rPr>
        <w:t>C.7 – Implementation Resources</w:t>
      </w:r>
      <w:r>
        <w:rPr>
          <w:noProof/>
        </w:rPr>
        <w:tab/>
      </w:r>
      <w:r>
        <w:rPr>
          <w:noProof/>
        </w:rPr>
        <w:fldChar w:fldCharType="begin"/>
      </w:r>
      <w:r>
        <w:rPr>
          <w:noProof/>
        </w:rPr>
        <w:instrText xml:space="preserve"> PAGEREF _Toc372705348 \h </w:instrText>
      </w:r>
      <w:r>
        <w:rPr>
          <w:noProof/>
        </w:rPr>
      </w:r>
      <w:r>
        <w:rPr>
          <w:noProof/>
        </w:rPr>
        <w:fldChar w:fldCharType="separate"/>
      </w:r>
      <w:r w:rsidR="0051635F">
        <w:rPr>
          <w:noProof/>
        </w:rPr>
        <w:t>29</w:t>
      </w:r>
      <w:r>
        <w:rPr>
          <w:noProof/>
        </w:rPr>
        <w:fldChar w:fldCharType="end"/>
      </w:r>
    </w:p>
    <w:p w14:paraId="58B66778" w14:textId="77777777" w:rsidR="00DD56AF" w:rsidRDefault="00DD56AF" w:rsidP="00BF04AB">
      <w:pPr>
        <w:pStyle w:val="TOC2"/>
        <w:rPr>
          <w:rFonts w:asciiTheme="minorHAnsi" w:eastAsiaTheme="minorEastAsia" w:hAnsiTheme="minorHAnsi" w:cstheme="minorBidi"/>
          <w:noProof/>
          <w:szCs w:val="22"/>
          <w:lang w:eastAsia="en-AU"/>
        </w:rPr>
      </w:pPr>
      <w:r>
        <w:rPr>
          <w:noProof/>
        </w:rPr>
        <w:lastRenderedPageBreak/>
        <w:t>AIP plan Summary</w:t>
      </w:r>
      <w:r>
        <w:rPr>
          <w:noProof/>
        </w:rPr>
        <w:tab/>
      </w:r>
      <w:r>
        <w:rPr>
          <w:noProof/>
        </w:rPr>
        <w:fldChar w:fldCharType="begin"/>
      </w:r>
      <w:r>
        <w:rPr>
          <w:noProof/>
        </w:rPr>
        <w:instrText xml:space="preserve"> PAGEREF _Toc372705349 \h </w:instrText>
      </w:r>
      <w:r>
        <w:rPr>
          <w:noProof/>
        </w:rPr>
      </w:r>
      <w:r>
        <w:rPr>
          <w:noProof/>
        </w:rPr>
        <w:fldChar w:fldCharType="separate"/>
      </w:r>
      <w:r w:rsidR="0051635F">
        <w:rPr>
          <w:noProof/>
        </w:rPr>
        <w:t>31</w:t>
      </w:r>
      <w:r>
        <w:rPr>
          <w:noProof/>
        </w:rPr>
        <w:fldChar w:fldCharType="end"/>
      </w:r>
    </w:p>
    <w:p w14:paraId="68AC502A" w14:textId="77777777" w:rsidR="00DD56AF" w:rsidRDefault="00DD56AF" w:rsidP="00BF04AB">
      <w:pPr>
        <w:pStyle w:val="TOC3"/>
        <w:rPr>
          <w:rFonts w:asciiTheme="minorHAnsi" w:eastAsiaTheme="minorEastAsia" w:hAnsiTheme="minorHAnsi" w:cstheme="minorBidi"/>
          <w:noProof/>
          <w:szCs w:val="22"/>
          <w:lang w:eastAsia="en-AU"/>
        </w:rPr>
      </w:pPr>
      <w:r>
        <w:rPr>
          <w:noProof/>
        </w:rPr>
        <w:t>Project Phase</w:t>
      </w:r>
      <w:r>
        <w:rPr>
          <w:noProof/>
        </w:rPr>
        <w:tab/>
      </w:r>
      <w:r>
        <w:rPr>
          <w:noProof/>
        </w:rPr>
        <w:fldChar w:fldCharType="begin"/>
      </w:r>
      <w:r>
        <w:rPr>
          <w:noProof/>
        </w:rPr>
        <w:instrText xml:space="preserve"> PAGEREF _Toc372705350 \h </w:instrText>
      </w:r>
      <w:r>
        <w:rPr>
          <w:noProof/>
        </w:rPr>
      </w:r>
      <w:r>
        <w:rPr>
          <w:noProof/>
        </w:rPr>
        <w:fldChar w:fldCharType="separate"/>
      </w:r>
      <w:r w:rsidR="0051635F">
        <w:rPr>
          <w:noProof/>
        </w:rPr>
        <w:t>31</w:t>
      </w:r>
      <w:r>
        <w:rPr>
          <w:noProof/>
        </w:rPr>
        <w:fldChar w:fldCharType="end"/>
      </w:r>
    </w:p>
    <w:p w14:paraId="358C58D7" w14:textId="3B1D0691" w:rsidR="00DD56AF" w:rsidRDefault="00DD56AF" w:rsidP="00BF04AB">
      <w:pPr>
        <w:pStyle w:val="TOC3"/>
        <w:rPr>
          <w:rFonts w:asciiTheme="minorHAnsi" w:eastAsiaTheme="minorEastAsia" w:hAnsiTheme="minorHAnsi" w:cstheme="minorBidi"/>
          <w:noProof/>
          <w:szCs w:val="22"/>
          <w:lang w:eastAsia="en-AU"/>
        </w:rPr>
      </w:pPr>
      <w:r>
        <w:rPr>
          <w:noProof/>
        </w:rPr>
        <w:t>Operations Phase</w:t>
      </w:r>
      <w:r>
        <w:rPr>
          <w:noProof/>
        </w:rPr>
        <w:tab/>
      </w:r>
      <w:r>
        <w:rPr>
          <w:noProof/>
        </w:rPr>
        <w:fldChar w:fldCharType="begin"/>
      </w:r>
      <w:r>
        <w:rPr>
          <w:noProof/>
        </w:rPr>
        <w:instrText xml:space="preserve"> PAGEREF _Toc372705356 \h </w:instrText>
      </w:r>
      <w:r>
        <w:rPr>
          <w:noProof/>
        </w:rPr>
      </w:r>
      <w:r>
        <w:rPr>
          <w:noProof/>
        </w:rPr>
        <w:fldChar w:fldCharType="separate"/>
      </w:r>
      <w:r w:rsidR="0051635F">
        <w:rPr>
          <w:noProof/>
        </w:rPr>
        <w:t>33</w:t>
      </w:r>
      <w:r>
        <w:rPr>
          <w:noProof/>
        </w:rPr>
        <w:fldChar w:fldCharType="end"/>
      </w:r>
    </w:p>
    <w:p w14:paraId="6438F410" w14:textId="049E131E" w:rsidR="00DD56AF" w:rsidRDefault="00DD56AF" w:rsidP="00BF04AB">
      <w:pPr>
        <w:pStyle w:val="TOC2"/>
        <w:rPr>
          <w:rFonts w:asciiTheme="minorHAnsi" w:eastAsiaTheme="minorEastAsia" w:hAnsiTheme="minorHAnsi" w:cstheme="minorBidi"/>
          <w:noProof/>
          <w:szCs w:val="22"/>
          <w:lang w:eastAsia="en-AU"/>
        </w:rPr>
      </w:pPr>
      <w:r>
        <w:rPr>
          <w:noProof/>
        </w:rPr>
        <w:t>Compliance Report</w:t>
      </w:r>
      <w:r w:rsidR="00EE191B">
        <w:rPr>
          <w:noProof/>
        </w:rPr>
        <w:t>ing</w:t>
      </w:r>
      <w:r>
        <w:rPr>
          <w:noProof/>
        </w:rPr>
        <w:tab/>
      </w:r>
      <w:r>
        <w:rPr>
          <w:noProof/>
        </w:rPr>
        <w:fldChar w:fldCharType="begin"/>
      </w:r>
      <w:r>
        <w:rPr>
          <w:noProof/>
        </w:rPr>
        <w:instrText xml:space="preserve"> PAGEREF _Toc372705362 \h </w:instrText>
      </w:r>
      <w:r>
        <w:rPr>
          <w:noProof/>
        </w:rPr>
      </w:r>
      <w:r>
        <w:rPr>
          <w:noProof/>
        </w:rPr>
        <w:fldChar w:fldCharType="separate"/>
      </w:r>
      <w:r w:rsidR="0051635F">
        <w:rPr>
          <w:noProof/>
        </w:rPr>
        <w:t>35</w:t>
      </w:r>
      <w:r>
        <w:rPr>
          <w:noProof/>
        </w:rPr>
        <w:fldChar w:fldCharType="end"/>
      </w:r>
    </w:p>
    <w:p w14:paraId="77F80059" w14:textId="1624CBC9" w:rsidR="00DD56AF" w:rsidRDefault="00DD56AF" w:rsidP="00BF04AB">
      <w:pPr>
        <w:pStyle w:val="TOC2"/>
        <w:rPr>
          <w:rFonts w:asciiTheme="minorHAnsi" w:eastAsiaTheme="minorEastAsia" w:hAnsiTheme="minorHAnsi" w:cstheme="minorBidi"/>
          <w:noProof/>
          <w:szCs w:val="22"/>
          <w:lang w:eastAsia="en-AU"/>
        </w:rPr>
      </w:pPr>
      <w:r>
        <w:rPr>
          <w:noProof/>
        </w:rPr>
        <w:t>Attachment A</w:t>
      </w:r>
      <w:r>
        <w:rPr>
          <w:noProof/>
        </w:rPr>
        <w:tab/>
      </w:r>
      <w:r>
        <w:rPr>
          <w:noProof/>
        </w:rPr>
        <w:fldChar w:fldCharType="begin"/>
      </w:r>
      <w:r>
        <w:rPr>
          <w:noProof/>
        </w:rPr>
        <w:instrText xml:space="preserve"> PAGEREF _Toc372705363 \h </w:instrText>
      </w:r>
      <w:r>
        <w:rPr>
          <w:noProof/>
        </w:rPr>
      </w:r>
      <w:r>
        <w:rPr>
          <w:noProof/>
        </w:rPr>
        <w:fldChar w:fldCharType="separate"/>
      </w:r>
      <w:r w:rsidR="0051635F">
        <w:rPr>
          <w:noProof/>
        </w:rPr>
        <w:t>36</w:t>
      </w:r>
      <w:r>
        <w:rPr>
          <w:noProof/>
        </w:rPr>
        <w:fldChar w:fldCharType="end"/>
      </w:r>
    </w:p>
    <w:p w14:paraId="00323DD0" w14:textId="1CAAAB7F" w:rsidR="00DD56AF" w:rsidRDefault="00DD56AF" w:rsidP="00BF04AB">
      <w:pPr>
        <w:pStyle w:val="TOC3"/>
        <w:rPr>
          <w:rFonts w:asciiTheme="minorHAnsi" w:eastAsiaTheme="minorEastAsia" w:hAnsiTheme="minorHAnsi" w:cstheme="minorBidi"/>
          <w:noProof/>
          <w:szCs w:val="22"/>
          <w:lang w:eastAsia="en-AU"/>
        </w:rPr>
      </w:pPr>
      <w:r>
        <w:rPr>
          <w:noProof/>
        </w:rPr>
        <w:t>Abbreviations and Acronyms</w:t>
      </w:r>
      <w:r>
        <w:rPr>
          <w:noProof/>
        </w:rPr>
        <w:tab/>
      </w:r>
      <w:r>
        <w:rPr>
          <w:noProof/>
        </w:rPr>
        <w:fldChar w:fldCharType="begin"/>
      </w:r>
      <w:r>
        <w:rPr>
          <w:noProof/>
        </w:rPr>
        <w:instrText xml:space="preserve"> PAGEREF _Toc372705364 \h </w:instrText>
      </w:r>
      <w:r>
        <w:rPr>
          <w:noProof/>
        </w:rPr>
      </w:r>
      <w:r>
        <w:rPr>
          <w:noProof/>
        </w:rPr>
        <w:fldChar w:fldCharType="separate"/>
      </w:r>
      <w:r w:rsidR="0051635F">
        <w:rPr>
          <w:noProof/>
        </w:rPr>
        <w:t>36</w:t>
      </w:r>
      <w:r>
        <w:rPr>
          <w:noProof/>
        </w:rPr>
        <w:fldChar w:fldCharType="end"/>
      </w:r>
    </w:p>
    <w:p w14:paraId="227A0232" w14:textId="5A81F9EE" w:rsidR="00DD56AF" w:rsidRDefault="00DD56AF" w:rsidP="00BF04AB">
      <w:pPr>
        <w:pStyle w:val="TOC3"/>
        <w:rPr>
          <w:rFonts w:asciiTheme="minorHAnsi" w:eastAsiaTheme="minorEastAsia" w:hAnsiTheme="minorHAnsi" w:cstheme="minorBidi"/>
          <w:noProof/>
          <w:szCs w:val="22"/>
          <w:lang w:eastAsia="en-AU"/>
        </w:rPr>
      </w:pPr>
      <w:r>
        <w:rPr>
          <w:noProof/>
        </w:rPr>
        <w:t>Key Concepts and Definitions</w:t>
      </w:r>
      <w:r>
        <w:rPr>
          <w:noProof/>
        </w:rPr>
        <w:tab/>
      </w:r>
      <w:r>
        <w:rPr>
          <w:noProof/>
        </w:rPr>
        <w:fldChar w:fldCharType="begin"/>
      </w:r>
      <w:r>
        <w:rPr>
          <w:noProof/>
        </w:rPr>
        <w:instrText xml:space="preserve"> PAGEREF _Toc372705365 \h </w:instrText>
      </w:r>
      <w:r>
        <w:rPr>
          <w:noProof/>
        </w:rPr>
      </w:r>
      <w:r>
        <w:rPr>
          <w:noProof/>
        </w:rPr>
        <w:fldChar w:fldCharType="separate"/>
      </w:r>
      <w:r w:rsidR="0051635F">
        <w:rPr>
          <w:noProof/>
        </w:rPr>
        <w:t>36</w:t>
      </w:r>
      <w:r>
        <w:rPr>
          <w:noProof/>
        </w:rPr>
        <w:fldChar w:fldCharType="end"/>
      </w:r>
    </w:p>
    <w:p w14:paraId="3DB30365" w14:textId="475E14A6" w:rsidR="00DD56AF" w:rsidRDefault="00DD56AF" w:rsidP="00BF04AB">
      <w:pPr>
        <w:pStyle w:val="TOC2"/>
        <w:rPr>
          <w:rFonts w:asciiTheme="minorHAnsi" w:eastAsiaTheme="minorEastAsia" w:hAnsiTheme="minorHAnsi" w:cstheme="minorBidi"/>
          <w:noProof/>
          <w:szCs w:val="22"/>
          <w:lang w:eastAsia="en-AU"/>
        </w:rPr>
      </w:pPr>
      <w:r>
        <w:rPr>
          <w:noProof/>
        </w:rPr>
        <w:t>Attachment B</w:t>
      </w:r>
      <w:r>
        <w:rPr>
          <w:noProof/>
        </w:rPr>
        <w:tab/>
      </w:r>
      <w:r>
        <w:rPr>
          <w:noProof/>
        </w:rPr>
        <w:fldChar w:fldCharType="begin"/>
      </w:r>
      <w:r>
        <w:rPr>
          <w:noProof/>
        </w:rPr>
        <w:instrText xml:space="preserve"> PAGEREF _Toc372705366 \h </w:instrText>
      </w:r>
      <w:r>
        <w:rPr>
          <w:noProof/>
        </w:rPr>
      </w:r>
      <w:r>
        <w:rPr>
          <w:noProof/>
        </w:rPr>
        <w:fldChar w:fldCharType="separate"/>
      </w:r>
      <w:r w:rsidR="0051635F">
        <w:rPr>
          <w:noProof/>
        </w:rPr>
        <w:t>38</w:t>
      </w:r>
      <w:r>
        <w:rPr>
          <w:noProof/>
        </w:rPr>
        <w:fldChar w:fldCharType="end"/>
      </w:r>
    </w:p>
    <w:p w14:paraId="179609A5" w14:textId="7F4B0170" w:rsidR="00DD56AF" w:rsidRDefault="00DD56AF" w:rsidP="00BF04AB">
      <w:pPr>
        <w:pStyle w:val="TOC3"/>
        <w:rPr>
          <w:rFonts w:asciiTheme="minorHAnsi" w:eastAsiaTheme="minorEastAsia" w:hAnsiTheme="minorHAnsi" w:cstheme="minorBidi"/>
          <w:noProof/>
          <w:szCs w:val="22"/>
          <w:lang w:eastAsia="en-AU"/>
        </w:rPr>
      </w:pPr>
      <w:r>
        <w:rPr>
          <w:noProof/>
        </w:rPr>
        <w:t>Project proponent/s type</w:t>
      </w:r>
      <w:r>
        <w:rPr>
          <w:noProof/>
        </w:rPr>
        <w:tab/>
      </w:r>
      <w:r>
        <w:rPr>
          <w:noProof/>
        </w:rPr>
        <w:fldChar w:fldCharType="begin"/>
      </w:r>
      <w:r>
        <w:rPr>
          <w:noProof/>
        </w:rPr>
        <w:instrText xml:space="preserve"> PAGEREF _Toc372705367 \h </w:instrText>
      </w:r>
      <w:r>
        <w:rPr>
          <w:noProof/>
        </w:rPr>
      </w:r>
      <w:r>
        <w:rPr>
          <w:noProof/>
        </w:rPr>
        <w:fldChar w:fldCharType="separate"/>
      </w:r>
      <w:r w:rsidR="0051635F">
        <w:rPr>
          <w:noProof/>
        </w:rPr>
        <w:t>38</w:t>
      </w:r>
      <w:r>
        <w:rPr>
          <w:noProof/>
        </w:rPr>
        <w:fldChar w:fldCharType="end"/>
      </w:r>
    </w:p>
    <w:p w14:paraId="71FCAB25" w14:textId="77777777" w:rsidR="00924A08" w:rsidRPr="00355322" w:rsidRDefault="00DD56AF" w:rsidP="00355322">
      <w:pPr>
        <w:sectPr w:rsidR="00924A08" w:rsidRPr="00355322" w:rsidSect="006665F4">
          <w:headerReference w:type="even" r:id="rId15"/>
          <w:headerReference w:type="default" r:id="rId16"/>
          <w:footerReference w:type="default" r:id="rId17"/>
          <w:headerReference w:type="first" r:id="rId18"/>
          <w:pgSz w:w="11906" w:h="16838"/>
          <w:pgMar w:top="1620" w:right="1800" w:bottom="1440" w:left="1800" w:header="708" w:footer="708" w:gutter="0"/>
          <w:cols w:space="708"/>
          <w:docGrid w:linePitch="360"/>
        </w:sectPr>
      </w:pPr>
      <w:r>
        <w:fldChar w:fldCharType="end"/>
      </w:r>
    </w:p>
    <w:p w14:paraId="053EB117" w14:textId="77777777" w:rsidR="00355322" w:rsidRDefault="00355322">
      <w:pPr>
        <w:spacing w:before="0" w:after="0"/>
        <w:rPr>
          <w:rFonts w:cs="Arial"/>
          <w:b/>
          <w:bCs/>
          <w:iCs/>
          <w:sz w:val="36"/>
          <w:szCs w:val="28"/>
        </w:rPr>
      </w:pPr>
      <w:bookmarkStart w:id="18" w:name="_Toc372705316"/>
      <w:r>
        <w:br w:type="page"/>
      </w:r>
    </w:p>
    <w:bookmarkEnd w:id="18"/>
    <w:p w14:paraId="511C8291" w14:textId="32FFADDD" w:rsidR="005975A8" w:rsidRDefault="008E7405" w:rsidP="006665F4">
      <w:pPr>
        <w:pStyle w:val="Heading2"/>
      </w:pPr>
      <w:r>
        <w:lastRenderedPageBreak/>
        <w:t>Overview</w:t>
      </w:r>
    </w:p>
    <w:p w14:paraId="4DC9CBE4" w14:textId="7AF1E742" w:rsidR="00B320F7" w:rsidRDefault="005122B9" w:rsidP="00A338C5">
      <w:r>
        <w:t>The</w:t>
      </w:r>
      <w:r w:rsidR="00A338C5">
        <w:t xml:space="preserve"> </w:t>
      </w:r>
      <w:r w:rsidR="00A338C5" w:rsidRPr="00A338C5">
        <w:rPr>
          <w:rStyle w:val="Emphasis"/>
        </w:rPr>
        <w:t>Australian Jobs Act 2013</w:t>
      </w:r>
      <w:r w:rsidR="00A338C5">
        <w:t xml:space="preserve"> (the</w:t>
      </w:r>
      <w:r w:rsidR="00125FC5">
        <w:t xml:space="preserve"> Jobs</w:t>
      </w:r>
      <w:r w:rsidR="00A338C5">
        <w:t xml:space="preserve"> Act)</w:t>
      </w:r>
      <w:r w:rsidR="00B320F7">
        <w:t xml:space="preserve"> </w:t>
      </w:r>
      <w:r w:rsidR="00265A63">
        <w:t>has applied since</w:t>
      </w:r>
      <w:r w:rsidR="00B320F7">
        <w:t xml:space="preserve"> 2</w:t>
      </w:r>
      <w:r w:rsidR="009A6638">
        <w:t>7</w:t>
      </w:r>
      <w:r w:rsidR="00B320F7">
        <w:t xml:space="preserve"> December 2013</w:t>
      </w:r>
      <w:r>
        <w:t xml:space="preserve"> and requires proponents of </w:t>
      </w:r>
      <w:r w:rsidR="008E7405">
        <w:t xml:space="preserve">major </w:t>
      </w:r>
      <w:r>
        <w:t>projects with an estimated capital expenditure of $500 million or more to develop and implement an Australian Industry Participation (AIP) plan</w:t>
      </w:r>
      <w:r w:rsidR="00B320F7">
        <w:t>.</w:t>
      </w:r>
    </w:p>
    <w:p w14:paraId="519FD427" w14:textId="5850DDEB" w:rsidR="0017772E" w:rsidRDefault="0017772E" w:rsidP="00A338C5">
      <w:r>
        <w:t xml:space="preserve">An AIP plan </w:t>
      </w:r>
      <w:r w:rsidR="005122B9">
        <w:t>applies to</w:t>
      </w:r>
      <w:r>
        <w:t>:</w:t>
      </w:r>
    </w:p>
    <w:p w14:paraId="7B9AAC57" w14:textId="315E5EEF" w:rsidR="0017772E" w:rsidRDefault="0017772E" w:rsidP="0017772E">
      <w:pPr>
        <w:pStyle w:val="Bullets"/>
      </w:pPr>
      <w:r>
        <w:t xml:space="preserve">The </w:t>
      </w:r>
      <w:r w:rsidR="005E434A">
        <w:t xml:space="preserve">development and construction </w:t>
      </w:r>
      <w:r>
        <w:t>phase of a major project; and</w:t>
      </w:r>
    </w:p>
    <w:p w14:paraId="77D26D14" w14:textId="33D3981B" w:rsidR="0017772E" w:rsidRDefault="0017772E" w:rsidP="0017772E">
      <w:pPr>
        <w:pStyle w:val="Bullets"/>
      </w:pPr>
      <w:r>
        <w:t>If a major project involves establishing a new facility – the</w:t>
      </w:r>
      <w:r w:rsidR="005122B9">
        <w:t xml:space="preserve"> first two years of operations of the</w:t>
      </w:r>
      <w:r>
        <w:t xml:space="preserve"> new facility </w:t>
      </w:r>
      <w:r w:rsidR="008E7405">
        <w:t>(</w:t>
      </w:r>
      <w:r>
        <w:t>initial operational phase</w:t>
      </w:r>
      <w:r w:rsidR="008E7405">
        <w:t>)</w:t>
      </w:r>
      <w:r>
        <w:t>.</w:t>
      </w:r>
    </w:p>
    <w:p w14:paraId="4450B22B" w14:textId="0CA1DA1C" w:rsidR="005E434A" w:rsidRDefault="00E93AD0" w:rsidP="00831E84">
      <w:r>
        <w:t>The</w:t>
      </w:r>
      <w:r w:rsidR="00125FC5">
        <w:t xml:space="preserve"> Jobs</w:t>
      </w:r>
      <w:r>
        <w:t xml:space="preserve"> Act does not mandate the </w:t>
      </w:r>
      <w:r w:rsidR="008E7405">
        <w:t xml:space="preserve">award </w:t>
      </w:r>
      <w:r>
        <w:t>of</w:t>
      </w:r>
      <w:r w:rsidR="008E7405">
        <w:t xml:space="preserve"> contracts to</w:t>
      </w:r>
      <w:r>
        <w:t xml:space="preserve"> Australian </w:t>
      </w:r>
      <w:r w:rsidR="005E434A">
        <w:t>suppliers</w:t>
      </w:r>
      <w:r>
        <w:t xml:space="preserve">. </w:t>
      </w:r>
      <w:r w:rsidR="008E7405">
        <w:t xml:space="preserve">However </w:t>
      </w:r>
      <w:r w:rsidR="005E434A">
        <w:t>project proponents</w:t>
      </w:r>
      <w:r w:rsidR="008E7405">
        <w:t xml:space="preserve"> </w:t>
      </w:r>
      <w:r w:rsidR="00F835EA">
        <w:t xml:space="preserve">and operators </w:t>
      </w:r>
      <w:r w:rsidR="008E7405">
        <w:t>must</w:t>
      </w:r>
      <w:r w:rsidR="005E434A">
        <w:t xml:space="preserve"> provide</w:t>
      </w:r>
      <w:r w:rsidR="00B320F7">
        <w:t xml:space="preserve"> Australian entities </w:t>
      </w:r>
      <w:r w:rsidR="005E434A">
        <w:t>with</w:t>
      </w:r>
      <w:r w:rsidR="00B320F7">
        <w:t xml:space="preserve"> full, fair and reasonable opportunity to bid</w:t>
      </w:r>
      <w:r w:rsidR="00B64651">
        <w:t xml:space="preserve"> </w:t>
      </w:r>
      <w:r w:rsidR="00B320F7">
        <w:t>for</w:t>
      </w:r>
      <w:r w:rsidR="00F835EA">
        <w:t xml:space="preserve"> the supply of key goods or services for the project and facility. </w:t>
      </w:r>
      <w:r w:rsidR="003367CB">
        <w:t>Key goods or services are those with a contract value of $1 million or more. An Australian entity is any entity with an ABN or ACN.</w:t>
      </w:r>
    </w:p>
    <w:p w14:paraId="16A6F006" w14:textId="02D3FB64" w:rsidR="00BF04AB" w:rsidRDefault="00B320F7" w:rsidP="006665F4">
      <w:r>
        <w:t xml:space="preserve">Full, fair and reasonable opportunity is the key principle of the </w:t>
      </w:r>
      <w:r w:rsidRPr="00B320F7">
        <w:rPr>
          <w:rStyle w:val="Emphasis"/>
        </w:rPr>
        <w:t>Australian Industry Participation National Framework</w:t>
      </w:r>
      <w:r>
        <w:t xml:space="preserve"> (AIP National Framework). The AIP National Framework </w:t>
      </w:r>
      <w:r w:rsidR="002474FF">
        <w:t xml:space="preserve">encourages </w:t>
      </w:r>
      <w:r>
        <w:t xml:space="preserve">a nationally consistent approach to maximising Australian industry participation in investment projects and significant </w:t>
      </w:r>
      <w:r w:rsidR="00E93AD0">
        <w:t xml:space="preserve">public and private sector activity. </w:t>
      </w:r>
    </w:p>
    <w:p w14:paraId="14D35456" w14:textId="2CD90E9C" w:rsidR="008E7405" w:rsidRDefault="002D15C1" w:rsidP="006665F4">
      <w:r>
        <w:t>In</w:t>
      </w:r>
      <w:r w:rsidR="008E7405">
        <w:t xml:space="preserve"> completing the AIP plan template, project proponents</w:t>
      </w:r>
      <w:r w:rsidR="00F835EA">
        <w:t xml:space="preserve"> and operators</w:t>
      </w:r>
      <w:r w:rsidR="008E7405">
        <w:t xml:space="preserve"> will </w:t>
      </w:r>
      <w:r>
        <w:t xml:space="preserve">need to provide information about their intended activities and procedures that will ensure full, fair and reasonable opportunity is provided on the project </w:t>
      </w:r>
      <w:r w:rsidR="005E126F">
        <w:t xml:space="preserve">and facility </w:t>
      </w:r>
      <w:r>
        <w:t xml:space="preserve">to Australian entities. </w:t>
      </w:r>
    </w:p>
    <w:p w14:paraId="46209BC8" w14:textId="125394D6" w:rsidR="002D15C1" w:rsidRDefault="002D15C1" w:rsidP="006665F4">
      <w:r>
        <w:t>The AIP Authority will review the draft AIP plan and ensure the intended activities comply with the AIP plan rules of the Jobs Act.</w:t>
      </w:r>
    </w:p>
    <w:p w14:paraId="5C3FB019" w14:textId="71381709" w:rsidR="002D15C1" w:rsidRDefault="002D15C1" w:rsidP="006665F4">
      <w:r>
        <w:t xml:space="preserve">Once the AIP Authority approves the AIP plan, proponents </w:t>
      </w:r>
      <w:r w:rsidR="00F835EA">
        <w:t xml:space="preserve">and operators </w:t>
      </w:r>
      <w:r>
        <w:t xml:space="preserve">will need to report six monthly on their compliance with the plan. This continues until the project is completed and where a project establishes a new facility, for the first two years of the facility’s operations. </w:t>
      </w:r>
    </w:p>
    <w:p w14:paraId="47655FEB" w14:textId="10758A14" w:rsidR="003B4D82" w:rsidRDefault="003B4D82" w:rsidP="006665F4">
      <w:r>
        <w:t>A summary of the approved AIP plan will be published on the AIP Authority</w:t>
      </w:r>
      <w:r w:rsidR="005E126F">
        <w:t>’s</w:t>
      </w:r>
      <w:r>
        <w:t xml:space="preserve"> website.</w:t>
      </w:r>
    </w:p>
    <w:p w14:paraId="7873DDD0" w14:textId="16713546" w:rsidR="003B4D82" w:rsidRDefault="003B4D82" w:rsidP="006665F4">
      <w:r>
        <w:t xml:space="preserve">There are penalties the AIP Authority may impose on proponents for non-compliance with the Jobs Act. </w:t>
      </w:r>
    </w:p>
    <w:p w14:paraId="1D52C217" w14:textId="3E143E74" w:rsidR="006665F4" w:rsidRDefault="00BF04AB" w:rsidP="006665F4">
      <w:r>
        <w:t>Further information on the</w:t>
      </w:r>
      <w:r w:rsidR="00125FC5">
        <w:t xml:space="preserve"> Jobs</w:t>
      </w:r>
      <w:r>
        <w:t xml:space="preserve"> Act, AIP Authority</w:t>
      </w:r>
      <w:r w:rsidR="002D15C1">
        <w:t xml:space="preserve"> and</w:t>
      </w:r>
      <w:r>
        <w:t xml:space="preserve"> AIP National Framework can be found at </w:t>
      </w:r>
      <w:hyperlink r:id="rId19" w:tooltip="Link to AIP website" w:history="1">
        <w:r w:rsidRPr="00131FA3">
          <w:rPr>
            <w:rStyle w:val="Hyperlink"/>
          </w:rPr>
          <w:t>www.industry.gov.au/aip</w:t>
        </w:r>
      </w:hyperlink>
      <w:r>
        <w:t>.</w:t>
      </w:r>
      <w:r w:rsidR="006665F4">
        <w:br w:type="page"/>
      </w:r>
    </w:p>
    <w:p w14:paraId="0AECB0C5" w14:textId="77777777" w:rsidR="006665F4" w:rsidRDefault="006665F4" w:rsidP="006665F4">
      <w:pPr>
        <w:pStyle w:val="Heading2"/>
      </w:pPr>
      <w:bookmarkStart w:id="19" w:name="_Toc372705317"/>
      <w:r>
        <w:lastRenderedPageBreak/>
        <w:t>About this User Guide</w:t>
      </w:r>
      <w:bookmarkEnd w:id="19"/>
    </w:p>
    <w:p w14:paraId="354622D3" w14:textId="3B3397C9" w:rsidR="00802923" w:rsidRDefault="00B565B3" w:rsidP="006665F4">
      <w:r>
        <w:t xml:space="preserve">The </w:t>
      </w:r>
      <w:r w:rsidRPr="00B565B3">
        <w:rPr>
          <w:rStyle w:val="Emphasis"/>
        </w:rPr>
        <w:t>User Guide for Australian Industry Participation plan</w:t>
      </w:r>
      <w:r w:rsidR="003367CB">
        <w:rPr>
          <w:rStyle w:val="Emphasis"/>
        </w:rPr>
        <w:t>s</w:t>
      </w:r>
      <w:r>
        <w:t xml:space="preserve"> </w:t>
      </w:r>
      <w:r w:rsidR="005E126F">
        <w:t>describes</w:t>
      </w:r>
      <w:r>
        <w:t xml:space="preserve"> the steps to be taken by a project proponent </w:t>
      </w:r>
      <w:r w:rsidR="0017772E">
        <w:t>and/</w:t>
      </w:r>
      <w:r>
        <w:t>or operator to</w:t>
      </w:r>
      <w:r w:rsidR="006C5A76">
        <w:t xml:space="preserve"> develop and submit</w:t>
      </w:r>
      <w:r>
        <w:t xml:space="preserve"> an AIP plan to the AIP Authority under the</w:t>
      </w:r>
      <w:r w:rsidR="00125FC5">
        <w:t xml:space="preserve"> Jobs</w:t>
      </w:r>
      <w:r>
        <w:t xml:space="preserve"> Act. It </w:t>
      </w:r>
      <w:r w:rsidR="006C5A76">
        <w:t xml:space="preserve">provides </w:t>
      </w:r>
      <w:r w:rsidR="00E86958">
        <w:t>guidance</w:t>
      </w:r>
      <w:r>
        <w:t xml:space="preserve"> o</w:t>
      </w:r>
      <w:r w:rsidR="00225E52">
        <w:t>n</w:t>
      </w:r>
      <w:r>
        <w:t xml:space="preserve"> how to </w:t>
      </w:r>
      <w:r w:rsidR="005E434A">
        <w:t>c</w:t>
      </w:r>
      <w:r w:rsidR="005122B9">
        <w:t>omplet</w:t>
      </w:r>
      <w:r w:rsidR="005E434A">
        <w:t xml:space="preserve">e </w:t>
      </w:r>
      <w:r w:rsidR="005122B9">
        <w:t>the Jobs Act AIP Plan template.</w:t>
      </w:r>
    </w:p>
    <w:p w14:paraId="5EB2C767" w14:textId="4BB1A29F" w:rsidR="00976206" w:rsidRDefault="00976206" w:rsidP="006665F4">
      <w:r>
        <w:t xml:space="preserve">Project proponents are encouraged to contact the AIP Authority early in the </w:t>
      </w:r>
      <w:r w:rsidR="00265A63">
        <w:t xml:space="preserve">development of </w:t>
      </w:r>
      <w:r w:rsidR="005E434A">
        <w:t xml:space="preserve">their </w:t>
      </w:r>
      <w:r w:rsidR="003B4D82">
        <w:t xml:space="preserve">major </w:t>
      </w:r>
      <w:r w:rsidR="005E434A">
        <w:t xml:space="preserve">project. An AIP Notification form must be </w:t>
      </w:r>
      <w:r w:rsidR="006C5A76">
        <w:t>submitted</w:t>
      </w:r>
      <w:r w:rsidR="005E434A">
        <w:t xml:space="preserve"> providing details of the project and the </w:t>
      </w:r>
      <w:r w:rsidR="00C97964">
        <w:t>estimated trigger date</w:t>
      </w:r>
      <w:r w:rsidR="005E434A">
        <w:t xml:space="preserve"> for </w:t>
      </w:r>
      <w:r w:rsidR="006C5A76">
        <w:t>lodg</w:t>
      </w:r>
      <w:r w:rsidR="005E434A">
        <w:t xml:space="preserve">ing </w:t>
      </w:r>
      <w:r w:rsidR="00265A63">
        <w:t>an AIP plan</w:t>
      </w:r>
      <w:r w:rsidR="00BC59DD">
        <w:t>.</w:t>
      </w:r>
      <w:r w:rsidR="00265A63">
        <w:t xml:space="preserve"> </w:t>
      </w:r>
      <w:r w:rsidR="003B4D82">
        <w:t xml:space="preserve">The AIP Authority will confirm the agreed date for lodging the AIP plan. </w:t>
      </w:r>
      <w:r w:rsidR="00BC59DD">
        <w:t>W</w:t>
      </w:r>
      <w:r>
        <w:t xml:space="preserve">hen preparing </w:t>
      </w:r>
      <w:r w:rsidR="00265A63">
        <w:t>an</w:t>
      </w:r>
      <w:r>
        <w:t xml:space="preserve"> AIP plan</w:t>
      </w:r>
      <w:r w:rsidR="00265A63">
        <w:t xml:space="preserve"> project proponents and/or operators must use the approved AIP plan template</w:t>
      </w:r>
      <w:r w:rsidR="00944058">
        <w:t xml:space="preserve"> available from </w:t>
      </w:r>
      <w:hyperlink r:id="rId20" w:tooltip="Link to AIP website" w:history="1">
        <w:r w:rsidR="00944058" w:rsidRPr="00572820">
          <w:rPr>
            <w:rStyle w:val="Hyperlink"/>
          </w:rPr>
          <w:t>www.industry.gov.au/aip</w:t>
        </w:r>
      </w:hyperlink>
      <w:r w:rsidR="005E126F">
        <w:rPr>
          <w:rStyle w:val="Hyperlink"/>
        </w:rPr>
        <w:t>.</w:t>
      </w:r>
      <w:r w:rsidR="00641867">
        <w:t xml:space="preserve"> This will ensure the plan complies with the AIP plan rules set out in the Jobs Act.</w:t>
      </w:r>
    </w:p>
    <w:p w14:paraId="6CC656F4" w14:textId="5C2FEE3A" w:rsidR="0017772E" w:rsidRDefault="00976206" w:rsidP="006665F4">
      <w:r>
        <w:t>Th</w:t>
      </w:r>
      <w:r w:rsidR="003B4D82">
        <w:t>is</w:t>
      </w:r>
      <w:r w:rsidR="003367CB">
        <w:t xml:space="preserve"> User Guide </w:t>
      </w:r>
      <w:r>
        <w:t xml:space="preserve">should be read in conjunction </w:t>
      </w:r>
      <w:r w:rsidRPr="00F523D5">
        <w:t xml:space="preserve">with the </w:t>
      </w:r>
      <w:r w:rsidRPr="00F523D5">
        <w:rPr>
          <w:rStyle w:val="Emphasis"/>
        </w:rPr>
        <w:t xml:space="preserve">User Guide for </w:t>
      </w:r>
      <w:r w:rsidR="00225E52">
        <w:rPr>
          <w:rStyle w:val="Emphasis"/>
        </w:rPr>
        <w:t>Compliance</w:t>
      </w:r>
      <w:r w:rsidRPr="00F523D5">
        <w:rPr>
          <w:rStyle w:val="Emphasis"/>
        </w:rPr>
        <w:t xml:space="preserve"> Report</w:t>
      </w:r>
      <w:r w:rsidR="0054477E">
        <w:rPr>
          <w:rStyle w:val="Emphasis"/>
        </w:rPr>
        <w:t>s</w:t>
      </w:r>
      <w:r w:rsidRPr="00F523D5">
        <w:t xml:space="preserve">. </w:t>
      </w:r>
      <w:r w:rsidR="00C013DD">
        <w:t xml:space="preserve">Once an AIP plan is approved, proponents will need to report on their compliance with the AIP plan every six months to the AIP Authority. </w:t>
      </w:r>
      <w:r w:rsidRPr="00F523D5">
        <w:t>These</w:t>
      </w:r>
      <w:r>
        <w:t xml:space="preserve"> User Guides, and associated documents and information may be updated from time to time. To </w:t>
      </w:r>
      <w:r w:rsidRPr="00855F20">
        <w:t>ensure the most up to date version</w:t>
      </w:r>
      <w:r w:rsidR="00A16E9D" w:rsidRPr="00855F20">
        <w:t>s</w:t>
      </w:r>
      <w:r w:rsidRPr="00855F20">
        <w:t xml:space="preserve"> </w:t>
      </w:r>
      <w:r w:rsidR="00A16E9D" w:rsidRPr="00855F20">
        <w:t>of the User Guides are being used please</w:t>
      </w:r>
      <w:r w:rsidRPr="00855F20">
        <w:t xml:space="preserve"> visit </w:t>
      </w:r>
      <w:hyperlink r:id="rId21" w:tooltip="Link to AIP website" w:history="1">
        <w:r w:rsidR="00735422" w:rsidRPr="00572820">
          <w:rPr>
            <w:rStyle w:val="Hyperlink"/>
          </w:rPr>
          <w:t>www.industry.gov.au/aip</w:t>
        </w:r>
      </w:hyperlink>
      <w:r w:rsidRPr="00855F20">
        <w:t>.</w:t>
      </w:r>
    </w:p>
    <w:p w14:paraId="1002AD81" w14:textId="629E9389" w:rsidR="0017772E" w:rsidRDefault="00A16E9D" w:rsidP="006665F4">
      <w:r>
        <w:t>For further</w:t>
      </w:r>
      <w:r w:rsidR="0017772E">
        <w:t xml:space="preserve"> guidance on </w:t>
      </w:r>
      <w:r w:rsidR="00C013DD">
        <w:t xml:space="preserve">complying with the Jobs Act including preparing </w:t>
      </w:r>
      <w:r w:rsidR="0017772E">
        <w:t>AIP plans, please contact the AIP Authority by:</w:t>
      </w:r>
    </w:p>
    <w:p w14:paraId="51C6DFD7" w14:textId="77777777" w:rsidR="0017772E" w:rsidRPr="002474FF" w:rsidRDefault="0017772E" w:rsidP="00855F20">
      <w:r w:rsidRPr="002474FF">
        <w:t xml:space="preserve">Email: </w:t>
      </w:r>
      <w:hyperlink r:id="rId22" w:tooltip="Email AIP" w:history="1">
        <w:r w:rsidR="00BF04AB" w:rsidRPr="00131FA3">
          <w:rPr>
            <w:rStyle w:val="Hyperlink"/>
          </w:rPr>
          <w:t>aip@industry.gov.au</w:t>
        </w:r>
      </w:hyperlink>
      <w:r w:rsidR="00EF5F1C" w:rsidRPr="002474FF">
        <w:t xml:space="preserve"> </w:t>
      </w:r>
    </w:p>
    <w:p w14:paraId="55861ADD" w14:textId="77777777" w:rsidR="006665F4" w:rsidRPr="002474FF" w:rsidRDefault="0017772E" w:rsidP="00855F20">
      <w:r w:rsidRPr="002474FF">
        <w:t xml:space="preserve">Phone: </w:t>
      </w:r>
      <w:r w:rsidR="00BF04AB">
        <w:t>+61 2 6213 6404</w:t>
      </w:r>
      <w:r w:rsidR="006665F4" w:rsidRPr="002474FF">
        <w:br w:type="page"/>
      </w:r>
    </w:p>
    <w:p w14:paraId="14C16F5F" w14:textId="77777777" w:rsidR="006665F4" w:rsidRDefault="006665F4" w:rsidP="006665F4">
      <w:pPr>
        <w:pStyle w:val="Heading2"/>
      </w:pPr>
      <w:bookmarkStart w:id="20" w:name="_Toc372705318"/>
      <w:r>
        <w:lastRenderedPageBreak/>
        <w:t>What is an AIP plan?</w:t>
      </w:r>
      <w:bookmarkEnd w:id="20"/>
    </w:p>
    <w:p w14:paraId="5BDA563E" w14:textId="77777777" w:rsidR="00381FC3" w:rsidRDefault="001D44EA" w:rsidP="006665F4">
      <w:pPr>
        <w:rPr>
          <w:rStyle w:val="Strong"/>
        </w:rPr>
      </w:pPr>
      <w:r>
        <w:t xml:space="preserve">An AIP plan outlines a project proponent and/or operator’s actions to provide Australian entities with full, fair and reasonable opportunity to participate in a project and, in the case of </w:t>
      </w:r>
      <w:r w:rsidR="001945CF">
        <w:t>a</w:t>
      </w:r>
      <w:r>
        <w:t xml:space="preserve"> project</w:t>
      </w:r>
      <w:r w:rsidR="001945CF">
        <w:t xml:space="preserve"> to establish a new facility</w:t>
      </w:r>
      <w:r>
        <w:t xml:space="preserve">, the initial operations of </w:t>
      </w:r>
      <w:r w:rsidR="001945CF">
        <w:t>the</w:t>
      </w:r>
      <w:r>
        <w:t xml:space="preserve"> facility. AIP plans are specific to a project and the resulting facility. </w:t>
      </w:r>
      <w:r w:rsidRPr="003367CB">
        <w:rPr>
          <w:rStyle w:val="Strong"/>
          <w:b w:val="0"/>
        </w:rPr>
        <w:t>Project proponents and operators may apply a consistent approach across multiple projects</w:t>
      </w:r>
      <w:r w:rsidR="00381FC3" w:rsidRPr="003367CB">
        <w:rPr>
          <w:rStyle w:val="Strong"/>
          <w:b w:val="0"/>
        </w:rPr>
        <w:t xml:space="preserve"> and facilities</w:t>
      </w:r>
      <w:r w:rsidRPr="003367CB">
        <w:rPr>
          <w:rStyle w:val="Strong"/>
          <w:b w:val="0"/>
        </w:rPr>
        <w:t xml:space="preserve">, however, </w:t>
      </w:r>
      <w:r w:rsidR="00381FC3" w:rsidRPr="003367CB">
        <w:rPr>
          <w:rStyle w:val="Strong"/>
          <w:b w:val="0"/>
        </w:rPr>
        <w:t xml:space="preserve">a </w:t>
      </w:r>
      <w:r w:rsidR="002474FF" w:rsidRPr="003367CB">
        <w:rPr>
          <w:rStyle w:val="Strong"/>
          <w:b w:val="0"/>
        </w:rPr>
        <w:t>separate</w:t>
      </w:r>
      <w:r w:rsidR="00C47EB4" w:rsidRPr="003367CB">
        <w:rPr>
          <w:rStyle w:val="Strong"/>
          <w:b w:val="0"/>
        </w:rPr>
        <w:t xml:space="preserve"> </w:t>
      </w:r>
      <w:r w:rsidR="00381FC3" w:rsidRPr="003367CB">
        <w:rPr>
          <w:rStyle w:val="Strong"/>
          <w:b w:val="0"/>
        </w:rPr>
        <w:t>AIP plan must be submitted for each project and/or facility.</w:t>
      </w:r>
    </w:p>
    <w:p w14:paraId="622B7458" w14:textId="77777777" w:rsidR="003546FE" w:rsidRPr="003546FE" w:rsidRDefault="003546FE" w:rsidP="003546FE">
      <w:r w:rsidRPr="003546FE">
        <w:t>In addition, the AIP plan will detail actions that the project proponent and/or operator will undertake to ensure that its procurement entit</w:t>
      </w:r>
      <w:r>
        <w:t>ies</w:t>
      </w:r>
      <w:r w:rsidRPr="003546FE">
        <w:t xml:space="preserve"> also provide Australian entities wi</w:t>
      </w:r>
      <w:r>
        <w:t>th</w:t>
      </w:r>
      <w:r w:rsidRPr="003546FE">
        <w:t xml:space="preserve"> full, fair and reasonable opportunity to participate in the project. Where a project proponent and/or operator </w:t>
      </w:r>
      <w:r w:rsidR="00C47EB4">
        <w:t>is</w:t>
      </w:r>
      <w:r w:rsidR="00C47EB4" w:rsidRPr="003546FE">
        <w:t xml:space="preserve"> </w:t>
      </w:r>
      <w:r w:rsidRPr="003546FE">
        <w:t xml:space="preserve">also acting as a procurement entity, these actions will also apply to </w:t>
      </w:r>
      <w:r w:rsidR="00C47EB4">
        <w:t>it</w:t>
      </w:r>
      <w:r w:rsidRPr="003546FE">
        <w:t>.</w:t>
      </w:r>
    </w:p>
    <w:p w14:paraId="381B3C6B" w14:textId="3BF51004" w:rsidR="006665F4" w:rsidRDefault="00B64651" w:rsidP="006665F4">
      <w:r>
        <w:t>As detailed in the</w:t>
      </w:r>
      <w:r w:rsidR="00125FC5">
        <w:t xml:space="preserve"> Jobs</w:t>
      </w:r>
      <w:r>
        <w:t xml:space="preserve"> Act t</w:t>
      </w:r>
      <w:r w:rsidR="00381FC3">
        <w:t>he key objective of an AIP plan is that Australian entities should have full, fair and reasonable opportunity to bid for:</w:t>
      </w:r>
    </w:p>
    <w:p w14:paraId="07E9B6A8" w14:textId="77777777" w:rsidR="00381FC3" w:rsidRPr="00381FC3" w:rsidRDefault="00381FC3" w:rsidP="00381FC3">
      <w:pPr>
        <w:pStyle w:val="Bullets"/>
      </w:pPr>
      <w:r w:rsidRPr="00381FC3">
        <w:t>The supply of key goods or services for a project; and</w:t>
      </w:r>
    </w:p>
    <w:p w14:paraId="2C110015" w14:textId="77777777" w:rsidR="00381FC3" w:rsidRDefault="00381FC3" w:rsidP="00381FC3">
      <w:pPr>
        <w:pStyle w:val="Bullets"/>
      </w:pPr>
      <w:r w:rsidRPr="00381FC3">
        <w:t>If the project involves establishing a new facility – the supply of key goods or services for the new facility’s initial operational phase.</w:t>
      </w:r>
    </w:p>
    <w:p w14:paraId="233CF02F" w14:textId="77777777" w:rsidR="00052625" w:rsidRDefault="00052625" w:rsidP="00052625">
      <w:r>
        <w:t>The concept of providing full, fair and reasonable opportunity to Australian entities is the core principle of the AIP National Framework. The definitions are as follows:</w:t>
      </w:r>
    </w:p>
    <w:p w14:paraId="73D70AA5" w14:textId="77777777" w:rsidR="00052625" w:rsidRDefault="00052625" w:rsidP="00052625">
      <w:pPr>
        <w:ind w:left="357"/>
      </w:pPr>
      <w:r w:rsidRPr="00052625">
        <w:rPr>
          <w:rStyle w:val="Strong"/>
        </w:rPr>
        <w:t>Full –</w:t>
      </w:r>
      <w:r>
        <w:t xml:space="preserve"> Australian industry has the same opportunity afforded to other global supply chain partners to participate in all aspects of a project (e.g. design, engineering, project management, professional services and IT architecture).</w:t>
      </w:r>
    </w:p>
    <w:p w14:paraId="1BC05866" w14:textId="77777777" w:rsidR="00052625" w:rsidRDefault="00052625" w:rsidP="00052625">
      <w:pPr>
        <w:ind w:left="357"/>
      </w:pPr>
      <w:r w:rsidRPr="00052625">
        <w:rPr>
          <w:rStyle w:val="Strong"/>
        </w:rPr>
        <w:t>Fair –</w:t>
      </w:r>
      <w:r>
        <w:t xml:space="preserve"> Australian industry is provided the same opportunity as global suppliers to compete on projects on an equal and transparent basis, including given reasonable time in which to tender.</w:t>
      </w:r>
    </w:p>
    <w:p w14:paraId="3D0C0FA8" w14:textId="77777777" w:rsidR="00052625" w:rsidRDefault="00052625" w:rsidP="00052625">
      <w:pPr>
        <w:ind w:left="357"/>
      </w:pPr>
      <w:r w:rsidRPr="00052625">
        <w:rPr>
          <w:rStyle w:val="Strong"/>
        </w:rPr>
        <w:t>Reasonable –</w:t>
      </w:r>
      <w:r>
        <w:t xml:space="preserve"> tenders are free from non-market burdens that might rule out Australian industry and are structured in such a way as to provide Australian industries the opportunity to participate in projects.</w:t>
      </w:r>
    </w:p>
    <w:p w14:paraId="12C16844" w14:textId="5BC0600D" w:rsidR="00AA1464" w:rsidRDefault="00AA1464" w:rsidP="00AA1464">
      <w:r w:rsidRPr="00AA1464">
        <w:t xml:space="preserve">AIP plans </w:t>
      </w:r>
      <w:r>
        <w:t xml:space="preserve">must reflect planned events. This is best done by identifying </w:t>
      </w:r>
      <w:r w:rsidRPr="00AA1464">
        <w:rPr>
          <w:rStyle w:val="Emphasis"/>
        </w:rPr>
        <w:t>specific actions</w:t>
      </w:r>
      <w:r w:rsidR="003367CB">
        <w:rPr>
          <w:rStyle w:val="Emphasis"/>
        </w:rPr>
        <w:t xml:space="preserve"> </w:t>
      </w:r>
      <w:r w:rsidR="00641867">
        <w:rPr>
          <w:rStyle w:val="Emphasis"/>
        </w:rPr>
        <w:t xml:space="preserve">and </w:t>
      </w:r>
      <w:r w:rsidRPr="00AA1464">
        <w:rPr>
          <w:rStyle w:val="Emphasis"/>
        </w:rPr>
        <w:t>strategies</w:t>
      </w:r>
      <w:r>
        <w:t xml:space="preserve"> that will be undertaken to </w:t>
      </w:r>
      <w:r w:rsidR="00641867">
        <w:t xml:space="preserve">ensure </w:t>
      </w:r>
      <w:r>
        <w:t>Australian industry participation</w:t>
      </w:r>
      <w:r w:rsidR="00641867">
        <w:t xml:space="preserve"> in the project’s procurement processes</w:t>
      </w:r>
      <w:r>
        <w:t>.</w:t>
      </w:r>
    </w:p>
    <w:p w14:paraId="20C9B014" w14:textId="77777777" w:rsidR="00AA1464" w:rsidRDefault="00AA1464" w:rsidP="00AA1464">
      <w:r>
        <w:t xml:space="preserve">An AIP plan </w:t>
      </w:r>
      <w:r w:rsidR="005673C9">
        <w:t xml:space="preserve">must </w:t>
      </w:r>
      <w:r>
        <w:t>describe the actions and policies that will guide procurement processes. If approaches differ for different goods and services, this should be clearly stated in the AIP plan. The identified actions in an AIP plan can be part of existing strategies or new strategies specifically created for the AIP plan.</w:t>
      </w:r>
    </w:p>
    <w:p w14:paraId="7474ABA8" w14:textId="6DA68E4A" w:rsidR="00AA1464" w:rsidRDefault="00AA1464" w:rsidP="00AA1464">
      <w:r>
        <w:t xml:space="preserve">Consistent with Australia’s international obligations, the requirements for AIP plans do not mandate the </w:t>
      </w:r>
      <w:r w:rsidR="00AF36D7">
        <w:t xml:space="preserve">award of contracts to </w:t>
      </w:r>
      <w:r>
        <w:t xml:space="preserve">Australian entities, but rather aim to provide Australian entities with the opportunity to demonstrate their capabilities and tender if they are able to meet </w:t>
      </w:r>
      <w:r w:rsidR="00641867">
        <w:t xml:space="preserve">reasonable </w:t>
      </w:r>
      <w:r>
        <w:t>procurement specifications.</w:t>
      </w:r>
    </w:p>
    <w:p w14:paraId="3AEA354E" w14:textId="77777777" w:rsidR="00482C7D" w:rsidRDefault="00482C7D" w:rsidP="005230AB">
      <w:pPr>
        <w:pStyle w:val="Heading3"/>
      </w:pPr>
      <w:r w:rsidRPr="005230AB">
        <w:t>Multiple</w:t>
      </w:r>
      <w:r>
        <w:t xml:space="preserve"> project proponents and/or operators</w:t>
      </w:r>
    </w:p>
    <w:p w14:paraId="460BD31E" w14:textId="4966C7C4" w:rsidR="00482C7D" w:rsidRPr="00482C7D" w:rsidRDefault="00482C7D" w:rsidP="00482C7D">
      <w:r w:rsidRPr="00482C7D">
        <w:t xml:space="preserve">Where there are multiple project proponents </w:t>
      </w:r>
      <w:r>
        <w:t xml:space="preserve">and/or operators </w:t>
      </w:r>
      <w:r w:rsidRPr="00482C7D">
        <w:t xml:space="preserve">for a project </w:t>
      </w:r>
      <w:r>
        <w:t xml:space="preserve">and/or facility </w:t>
      </w:r>
      <w:r w:rsidRPr="00482C7D">
        <w:t xml:space="preserve">the responsibility for developing an AIP plan can be discharged to a </w:t>
      </w:r>
      <w:r w:rsidR="004F0EE2">
        <w:t>nominated</w:t>
      </w:r>
      <w:r w:rsidR="004F0EE2" w:rsidRPr="00482C7D">
        <w:t xml:space="preserve"> </w:t>
      </w:r>
      <w:r w:rsidRPr="00482C7D">
        <w:t xml:space="preserve">project </w:t>
      </w:r>
      <w:r w:rsidRPr="00482C7D">
        <w:lastRenderedPageBreak/>
        <w:t>proponent</w:t>
      </w:r>
      <w:r>
        <w:t xml:space="preserve"> and/or operator</w:t>
      </w:r>
      <w:r w:rsidRPr="00482C7D">
        <w:t xml:space="preserve">. The </w:t>
      </w:r>
      <w:r w:rsidR="004F0EE2">
        <w:t>nominated</w:t>
      </w:r>
      <w:r w:rsidR="004F0EE2" w:rsidRPr="00482C7D">
        <w:t xml:space="preserve"> </w:t>
      </w:r>
      <w:r w:rsidRPr="00482C7D">
        <w:t xml:space="preserve">project proponent </w:t>
      </w:r>
      <w:r>
        <w:t xml:space="preserve">and/or operator </w:t>
      </w:r>
      <w:r w:rsidRPr="00482C7D">
        <w:t xml:space="preserve">will be responsible for engaging with the AIP Authority </w:t>
      </w:r>
      <w:r w:rsidR="00AF36D7">
        <w:t>during</w:t>
      </w:r>
      <w:r w:rsidR="00AF36D7" w:rsidRPr="00482C7D">
        <w:t xml:space="preserve"> </w:t>
      </w:r>
      <w:r w:rsidRPr="00482C7D">
        <w:t>develop</w:t>
      </w:r>
      <w:r w:rsidR="00AF36D7">
        <w:t>ment of the draft</w:t>
      </w:r>
      <w:r w:rsidRPr="00482C7D">
        <w:t xml:space="preserve"> AIP plan. Once approved the AIP plan binds all project proponents </w:t>
      </w:r>
      <w:r>
        <w:t xml:space="preserve">and/or operators </w:t>
      </w:r>
      <w:r w:rsidRPr="00482C7D">
        <w:t>to comply with the obligations detailed in the AIP plan.</w:t>
      </w:r>
      <w:r w:rsidR="006B29C5">
        <w:t xml:space="preserve"> In the event of non</w:t>
      </w:r>
      <w:r w:rsidR="006B29C5">
        <w:noBreakHyphen/>
        <w:t>compliance with the AIP plan by any project proponent and/or operator the consequences shall be applied to all project proponents and/or operators.</w:t>
      </w:r>
      <w:r w:rsidRPr="00482C7D">
        <w:t xml:space="preserve"> </w:t>
      </w:r>
      <w:r w:rsidR="00AF36D7">
        <w:t xml:space="preserve">The </w:t>
      </w:r>
      <w:r w:rsidR="004F0EE2">
        <w:t>nominated</w:t>
      </w:r>
      <w:r w:rsidR="00AF36D7">
        <w:t xml:space="preserve"> project proponent or operator will be responsible for submitting compliance reports to the AIP Authority. </w:t>
      </w:r>
    </w:p>
    <w:p w14:paraId="4EAF014F" w14:textId="77777777" w:rsidR="001F6E7D" w:rsidRDefault="001F6E7D" w:rsidP="005230AB">
      <w:pPr>
        <w:pStyle w:val="Heading3"/>
      </w:pPr>
      <w:bookmarkStart w:id="21" w:name="_Toc372705319"/>
      <w:r>
        <w:t>How to prepare an AIP plan</w:t>
      </w:r>
      <w:bookmarkEnd w:id="21"/>
    </w:p>
    <w:p w14:paraId="2AD2249E" w14:textId="77777777" w:rsidR="001F6E7D" w:rsidRDefault="0068664A" w:rsidP="001F6E7D">
      <w:r>
        <w:t>An AIP plan outlines the actions a project proponent and/or operator will take to provide Australian entities with full, fair and reasonable opportunity to participate in a project</w:t>
      </w:r>
      <w:r w:rsidRPr="0068664A">
        <w:t xml:space="preserve"> </w:t>
      </w:r>
      <w:r>
        <w:t xml:space="preserve">and, in the case of </w:t>
      </w:r>
      <w:r w:rsidR="001945CF">
        <w:t xml:space="preserve">a </w:t>
      </w:r>
      <w:r>
        <w:t>project</w:t>
      </w:r>
      <w:r w:rsidR="001945CF">
        <w:t xml:space="preserve"> to establish a new facility</w:t>
      </w:r>
      <w:r>
        <w:t xml:space="preserve">, the initial operations of </w:t>
      </w:r>
      <w:r w:rsidR="001945CF">
        <w:t>the</w:t>
      </w:r>
      <w:r>
        <w:t xml:space="preserve"> facility. The AIP plan must </w:t>
      </w:r>
      <w:r w:rsidR="00C7784D">
        <w:t xml:space="preserve">be on the approved form and </w:t>
      </w:r>
      <w:r>
        <w:t>meet the criteria outlined below.</w:t>
      </w:r>
    </w:p>
    <w:p w14:paraId="5AD390F9" w14:textId="18DD8C5E" w:rsidR="0068664A" w:rsidRDefault="0068664A" w:rsidP="001F6E7D">
      <w:r>
        <w:t>If a project involves establishing a new facility the project proponent and/or operator must complete the following parts of the AIP plan</w:t>
      </w:r>
      <w:r w:rsidR="00535723">
        <w:t xml:space="preserve"> prior to submission</w:t>
      </w:r>
      <w:r>
        <w:t>:</w:t>
      </w:r>
    </w:p>
    <w:p w14:paraId="016D768E" w14:textId="77777777" w:rsidR="0068664A" w:rsidRDefault="0068664A" w:rsidP="0068664A">
      <w:pPr>
        <w:pStyle w:val="Numbered"/>
      </w:pPr>
      <w:r>
        <w:t>Part A – Title</w:t>
      </w:r>
    </w:p>
    <w:p w14:paraId="5F69CDBF" w14:textId="77777777" w:rsidR="0068664A" w:rsidRDefault="0068664A" w:rsidP="0068664A">
      <w:pPr>
        <w:pStyle w:val="Numbered"/>
      </w:pPr>
      <w:r>
        <w:t>Part B – Project Phase</w:t>
      </w:r>
    </w:p>
    <w:p w14:paraId="79070003" w14:textId="77777777" w:rsidR="0068664A" w:rsidRDefault="0068664A" w:rsidP="0068664A">
      <w:pPr>
        <w:pStyle w:val="Numbered"/>
      </w:pPr>
      <w:r>
        <w:t>Part C – Initial Facility Operational Phase.</w:t>
      </w:r>
    </w:p>
    <w:p w14:paraId="1C98606A" w14:textId="5C3BBBC4" w:rsidR="0068664A" w:rsidRDefault="0068664A" w:rsidP="0068664A">
      <w:r>
        <w:t>If a project involve</w:t>
      </w:r>
      <w:r w:rsidR="00AF36D7">
        <w:t>s expanding, improving or upgrading an existing facilit</w:t>
      </w:r>
      <w:r w:rsidR="00100D82">
        <w:t>y</w:t>
      </w:r>
      <w:r>
        <w:t xml:space="preserve"> the project proponent must complete the following parts of the AIP plan</w:t>
      </w:r>
      <w:r w:rsidR="00535723">
        <w:t xml:space="preserve"> prior to submission</w:t>
      </w:r>
      <w:r>
        <w:t>:</w:t>
      </w:r>
    </w:p>
    <w:p w14:paraId="1CB77696" w14:textId="77777777" w:rsidR="0068664A" w:rsidRDefault="0068664A" w:rsidP="0068664A">
      <w:pPr>
        <w:pStyle w:val="Numbered"/>
        <w:numPr>
          <w:ilvl w:val="0"/>
          <w:numId w:val="17"/>
        </w:numPr>
      </w:pPr>
      <w:r>
        <w:t>Part A – Title</w:t>
      </w:r>
    </w:p>
    <w:p w14:paraId="454D152F" w14:textId="77777777" w:rsidR="0068664A" w:rsidRDefault="0068664A" w:rsidP="0068664A">
      <w:pPr>
        <w:pStyle w:val="Numbered"/>
      </w:pPr>
      <w:r>
        <w:t>Part B – Project Phase</w:t>
      </w:r>
    </w:p>
    <w:p w14:paraId="751AC062" w14:textId="24E94269" w:rsidR="001F6E7D" w:rsidRDefault="00535723" w:rsidP="001F6E7D">
      <w:pPr>
        <w:pStyle w:val="Heading4"/>
      </w:pPr>
      <w:bookmarkStart w:id="22" w:name="_Toc372705320"/>
      <w:r>
        <w:t xml:space="preserve">Overview of </w:t>
      </w:r>
      <w:r w:rsidR="001F6E7D">
        <w:t>AIP Plan Criteria</w:t>
      </w:r>
      <w:bookmarkEnd w:id="22"/>
    </w:p>
    <w:p w14:paraId="1E53568E" w14:textId="77777777" w:rsidR="00F523D5" w:rsidRPr="00F523D5" w:rsidRDefault="00F523D5" w:rsidP="005230AB">
      <w:pPr>
        <w:pStyle w:val="Heading5"/>
      </w:pPr>
      <w:bookmarkStart w:id="23" w:name="_Toc371947180"/>
      <w:bookmarkStart w:id="24" w:name="_Toc372705145"/>
      <w:r w:rsidRPr="005230AB">
        <w:t>Part</w:t>
      </w:r>
      <w:r w:rsidRPr="00F523D5">
        <w:t xml:space="preserve"> </w:t>
      </w:r>
      <w:proofErr w:type="gramStart"/>
      <w:r w:rsidRPr="00F523D5">
        <w:t>A</w:t>
      </w:r>
      <w:proofErr w:type="gramEnd"/>
      <w:r w:rsidRPr="00F523D5">
        <w:t xml:space="preserve"> – Title</w:t>
      </w:r>
      <w:bookmarkEnd w:id="23"/>
      <w:bookmarkEnd w:id="24"/>
    </w:p>
    <w:p w14:paraId="7E2C4F3D" w14:textId="77777777" w:rsidR="00F523D5" w:rsidRPr="00F523D5" w:rsidRDefault="00F523D5" w:rsidP="00F523D5">
      <w:pPr>
        <w:rPr>
          <w:rStyle w:val="Strong"/>
        </w:rPr>
      </w:pPr>
      <w:r w:rsidRPr="00F523D5">
        <w:rPr>
          <w:rStyle w:val="Strong"/>
        </w:rPr>
        <w:t>A.1 – Project Proponent Details</w:t>
      </w:r>
    </w:p>
    <w:p w14:paraId="04E8C635" w14:textId="666F6CD5" w:rsidR="00F523D5" w:rsidRPr="00F86DC7" w:rsidRDefault="00F86DC7" w:rsidP="00F86DC7">
      <w:r>
        <w:t>P</w:t>
      </w:r>
      <w:r w:rsidRPr="00F86DC7">
        <w:t xml:space="preserve">rovide details of the </w:t>
      </w:r>
      <w:r w:rsidR="00B30427">
        <w:t>nominated</w:t>
      </w:r>
      <w:r w:rsidR="00B30427" w:rsidRPr="00F86DC7">
        <w:t xml:space="preserve"> </w:t>
      </w:r>
      <w:r w:rsidRPr="00F86DC7">
        <w:t>project proponent for the project</w:t>
      </w:r>
      <w:r w:rsidR="00535723">
        <w:t xml:space="preserve"> and any other proponents</w:t>
      </w:r>
      <w:r w:rsidRPr="00F86DC7">
        <w:t>.</w:t>
      </w:r>
    </w:p>
    <w:p w14:paraId="71089A38" w14:textId="77777777" w:rsidR="00F523D5" w:rsidRPr="00F523D5" w:rsidRDefault="00F523D5" w:rsidP="00F523D5">
      <w:pPr>
        <w:rPr>
          <w:rStyle w:val="Strong"/>
        </w:rPr>
      </w:pPr>
      <w:r w:rsidRPr="00F523D5">
        <w:rPr>
          <w:rStyle w:val="Strong"/>
        </w:rPr>
        <w:t>A.2 – Project Details</w:t>
      </w:r>
    </w:p>
    <w:p w14:paraId="721154AC" w14:textId="77777777" w:rsidR="00F523D5" w:rsidRDefault="00F86DC7" w:rsidP="00F523D5">
      <w:r>
        <w:t>Provide details on the project for which the AIP plan is being developed.</w:t>
      </w:r>
    </w:p>
    <w:p w14:paraId="1DEA2DEB" w14:textId="77777777" w:rsidR="00F523D5" w:rsidRPr="00F523D5" w:rsidRDefault="00F523D5" w:rsidP="00F523D5">
      <w:pPr>
        <w:rPr>
          <w:rStyle w:val="Strong"/>
        </w:rPr>
      </w:pPr>
      <w:r w:rsidRPr="00F523D5">
        <w:rPr>
          <w:rStyle w:val="Strong"/>
        </w:rPr>
        <w:t>A.3 – AIP plan authorised person declaration</w:t>
      </w:r>
    </w:p>
    <w:p w14:paraId="3BF04559" w14:textId="34B06AA7" w:rsidR="00F523D5" w:rsidRDefault="00F86DC7" w:rsidP="00F523D5">
      <w:r>
        <w:t>Declare that the information contained in the AIP plan</w:t>
      </w:r>
      <w:r w:rsidR="001F30E9">
        <w:t xml:space="preserve"> is </w:t>
      </w:r>
      <w:r w:rsidR="00BF04AB" w:rsidRPr="00432BE6">
        <w:t xml:space="preserve">true, accurate and complete to the best of </w:t>
      </w:r>
      <w:r w:rsidR="00BF04AB">
        <w:t>the project proponent’s</w:t>
      </w:r>
      <w:r w:rsidR="00BF04AB" w:rsidRPr="00432BE6">
        <w:t xml:space="preserve"> knowledge</w:t>
      </w:r>
      <w:r w:rsidR="00225E52">
        <w:t>.</w:t>
      </w:r>
    </w:p>
    <w:p w14:paraId="0BA12AEC" w14:textId="0A648829" w:rsidR="00A57C55" w:rsidRDefault="00A57C55" w:rsidP="00C52E9F">
      <w:bookmarkStart w:id="25" w:name="_Toc371947181"/>
      <w:bookmarkStart w:id="26" w:name="_Toc372705146"/>
    </w:p>
    <w:p w14:paraId="10B15AE6" w14:textId="77777777" w:rsidR="00F523D5" w:rsidRDefault="00F523D5" w:rsidP="005230AB">
      <w:pPr>
        <w:pStyle w:val="Heading5"/>
      </w:pPr>
      <w:r>
        <w:t>Part B – Project Phase</w:t>
      </w:r>
      <w:bookmarkEnd w:id="25"/>
      <w:bookmarkEnd w:id="26"/>
    </w:p>
    <w:p w14:paraId="7EF8D53C" w14:textId="77777777" w:rsidR="00F523D5" w:rsidRPr="00F523D5" w:rsidRDefault="00F523D5" w:rsidP="00F523D5">
      <w:pPr>
        <w:rPr>
          <w:rStyle w:val="Strong"/>
        </w:rPr>
      </w:pPr>
      <w:r w:rsidRPr="00F523D5">
        <w:rPr>
          <w:rStyle w:val="Strong"/>
        </w:rPr>
        <w:t>B.1 – Contact Details</w:t>
      </w:r>
    </w:p>
    <w:p w14:paraId="2B195B08" w14:textId="45DFF554" w:rsidR="00F523D5" w:rsidRDefault="001F30E9" w:rsidP="00F523D5">
      <w:r>
        <w:t xml:space="preserve">Provide </w:t>
      </w:r>
      <w:r w:rsidR="00F86DC7" w:rsidRPr="00F07286">
        <w:t xml:space="preserve">the contact details of staff </w:t>
      </w:r>
      <w:r w:rsidR="00134E02">
        <w:t xml:space="preserve">allocated </w:t>
      </w:r>
      <w:r w:rsidR="00F86DC7" w:rsidRPr="00F07286">
        <w:t>responsib</w:t>
      </w:r>
      <w:r w:rsidR="00134E02">
        <w:t>i</w:t>
      </w:r>
      <w:r w:rsidR="00F86DC7" w:rsidRPr="00F07286">
        <w:t>l</w:t>
      </w:r>
      <w:r w:rsidR="00134E02">
        <w:t>ity</w:t>
      </w:r>
      <w:r w:rsidR="00F86DC7" w:rsidRPr="00F07286">
        <w:t xml:space="preserve"> for </w:t>
      </w:r>
      <w:r w:rsidR="00134E02">
        <w:t>responding to enquiries from</w:t>
      </w:r>
      <w:r w:rsidR="00F86DC7" w:rsidRPr="00F07286">
        <w:t xml:space="preserve"> interested Australian entities </w:t>
      </w:r>
      <w:r w:rsidR="00535723">
        <w:t>and</w:t>
      </w:r>
      <w:r w:rsidR="00535723" w:rsidRPr="00F07286">
        <w:t xml:space="preserve"> </w:t>
      </w:r>
      <w:r w:rsidR="00F86DC7" w:rsidRPr="00F07286">
        <w:t>implementing the actions of the AIP plan.</w:t>
      </w:r>
    </w:p>
    <w:p w14:paraId="042FA6DD" w14:textId="77777777" w:rsidR="00AD6B98" w:rsidRDefault="00AD6B98" w:rsidP="00F523D5">
      <w:pPr>
        <w:rPr>
          <w:rStyle w:val="Strong"/>
        </w:rPr>
      </w:pPr>
    </w:p>
    <w:p w14:paraId="06C5FBAE" w14:textId="77777777" w:rsidR="00F523D5" w:rsidRPr="00F523D5" w:rsidRDefault="00F523D5" w:rsidP="00F523D5">
      <w:pPr>
        <w:rPr>
          <w:rStyle w:val="Strong"/>
        </w:rPr>
      </w:pPr>
      <w:r w:rsidRPr="00F523D5">
        <w:rPr>
          <w:rStyle w:val="Strong"/>
        </w:rPr>
        <w:lastRenderedPageBreak/>
        <w:t xml:space="preserve">B.2 – </w:t>
      </w:r>
      <w:r w:rsidR="009E232E">
        <w:rPr>
          <w:rStyle w:val="Strong"/>
        </w:rPr>
        <w:t>Opportunities to supply g</w:t>
      </w:r>
      <w:r w:rsidRPr="00F523D5">
        <w:rPr>
          <w:rStyle w:val="Strong"/>
        </w:rPr>
        <w:t xml:space="preserve">oods and </w:t>
      </w:r>
      <w:r w:rsidR="009E232E">
        <w:rPr>
          <w:rStyle w:val="Strong"/>
        </w:rPr>
        <w:t>s</w:t>
      </w:r>
      <w:r w:rsidRPr="00F523D5">
        <w:rPr>
          <w:rStyle w:val="Strong"/>
        </w:rPr>
        <w:t>ervices</w:t>
      </w:r>
    </w:p>
    <w:p w14:paraId="7454F768" w14:textId="2355F38D" w:rsidR="009E232E" w:rsidRPr="00F07286" w:rsidRDefault="009E232E" w:rsidP="009E232E">
      <w:r>
        <w:t>Provide details o</w:t>
      </w:r>
      <w:r w:rsidR="00535723">
        <w:t xml:space="preserve">f all the key goods and services to be acquired for the project and whether </w:t>
      </w:r>
      <w:r w:rsidR="00B30427">
        <w:t xml:space="preserve">supply </w:t>
      </w:r>
      <w:r w:rsidR="00535723">
        <w:t>opportunities are expected</w:t>
      </w:r>
      <w:r>
        <w:t xml:space="preserve"> for </w:t>
      </w:r>
      <w:r w:rsidRPr="00F07286">
        <w:t>Australian entities and/or non</w:t>
      </w:r>
      <w:r w:rsidRPr="00F07286">
        <w:noBreakHyphen/>
        <w:t>Australian entities.</w:t>
      </w:r>
      <w:r>
        <w:t xml:space="preserve"> Information should </w:t>
      </w:r>
      <w:r w:rsidR="00535723">
        <w:t xml:space="preserve">also </w:t>
      </w:r>
      <w:r>
        <w:t>be provided on how procurement entities will</w:t>
      </w:r>
      <w:r w:rsidR="003B3C6A">
        <w:t xml:space="preserve"> obtain and maintain current understanding of Australian industry capability and the standards to be used on the project.</w:t>
      </w:r>
      <w:r>
        <w:t xml:space="preserve"> </w:t>
      </w:r>
      <w:r w:rsidRPr="00F07286">
        <w:t xml:space="preserve"> </w:t>
      </w:r>
    </w:p>
    <w:p w14:paraId="7AA44FA2" w14:textId="0DA8EB63" w:rsidR="00F523D5" w:rsidRPr="00F523D5" w:rsidRDefault="00F523D5" w:rsidP="00F523D5">
      <w:pPr>
        <w:rPr>
          <w:rStyle w:val="Strong"/>
        </w:rPr>
      </w:pPr>
      <w:r w:rsidRPr="00F523D5">
        <w:rPr>
          <w:rStyle w:val="Strong"/>
        </w:rPr>
        <w:t xml:space="preserve">B.3 – Publication of </w:t>
      </w:r>
      <w:r w:rsidR="00CF43F6">
        <w:rPr>
          <w:rStyle w:val="Strong"/>
        </w:rPr>
        <w:t>Information</w:t>
      </w:r>
    </w:p>
    <w:p w14:paraId="0C8FE7A0" w14:textId="385524B5" w:rsidR="00F523D5" w:rsidRDefault="00AC32E9" w:rsidP="00F523D5">
      <w:r>
        <w:t>Provide</w:t>
      </w:r>
      <w:r w:rsidR="00F86DC7" w:rsidRPr="00F07286">
        <w:t xml:space="preserve"> detail</w:t>
      </w:r>
      <w:r>
        <w:t>s</w:t>
      </w:r>
      <w:r w:rsidR="00F86DC7" w:rsidRPr="00F07286">
        <w:t xml:space="preserve"> </w:t>
      </w:r>
      <w:r>
        <w:t xml:space="preserve">of </w:t>
      </w:r>
      <w:r w:rsidR="003B3C6A">
        <w:t xml:space="preserve">the websites </w:t>
      </w:r>
      <w:r w:rsidR="00F86DC7" w:rsidRPr="00F07286">
        <w:t xml:space="preserve">where information on the project </w:t>
      </w:r>
      <w:r w:rsidR="00A01885">
        <w:t xml:space="preserve">including supply opportunities </w:t>
      </w:r>
      <w:r w:rsidR="00F86DC7" w:rsidRPr="00F07286">
        <w:t xml:space="preserve">and contact details </w:t>
      </w:r>
      <w:r>
        <w:t>will be published.</w:t>
      </w:r>
    </w:p>
    <w:p w14:paraId="07B59CA7" w14:textId="77777777" w:rsidR="00F523D5" w:rsidRPr="00F523D5" w:rsidRDefault="00F523D5" w:rsidP="00F523D5">
      <w:pPr>
        <w:rPr>
          <w:rStyle w:val="Strong"/>
        </w:rPr>
      </w:pPr>
      <w:r w:rsidRPr="00F523D5">
        <w:rPr>
          <w:rStyle w:val="Strong"/>
        </w:rPr>
        <w:t>B.4 – Communicating and Providing Opportunities</w:t>
      </w:r>
    </w:p>
    <w:p w14:paraId="5D4756A2" w14:textId="63F86710" w:rsidR="00F86DC7" w:rsidRPr="00F07286" w:rsidRDefault="00AC32E9" w:rsidP="00F86DC7">
      <w:r>
        <w:t xml:space="preserve">Provide details on </w:t>
      </w:r>
      <w:r w:rsidR="005A0C48">
        <w:t xml:space="preserve">engagement and </w:t>
      </w:r>
      <w:r w:rsidR="00F86DC7" w:rsidRPr="00F07286">
        <w:t>communication strateg</w:t>
      </w:r>
      <w:r>
        <w:t>ies</w:t>
      </w:r>
      <w:r w:rsidR="00F86DC7" w:rsidRPr="00F07286">
        <w:t xml:space="preserve"> </w:t>
      </w:r>
      <w:r w:rsidR="005A0C48">
        <w:t xml:space="preserve">with Australian entities. </w:t>
      </w:r>
      <w:r w:rsidR="00F86DC7" w:rsidRPr="00F07286">
        <w:t xml:space="preserve">This must include detail on how </w:t>
      </w:r>
      <w:r w:rsidR="00846E56">
        <w:t>project proponents and procurement entities</w:t>
      </w:r>
      <w:r w:rsidR="00F86DC7" w:rsidRPr="00F07286">
        <w:t xml:space="preserve"> will actively seek information on Australian entities’ capability and communicate </w:t>
      </w:r>
      <w:r w:rsidR="005A0C48">
        <w:t xml:space="preserve">project </w:t>
      </w:r>
      <w:r w:rsidR="00F86DC7" w:rsidRPr="00F07286">
        <w:t>opportunities to Australian entities in all stages of the project (e.g. through design, procurement</w:t>
      </w:r>
      <w:r w:rsidR="00C7784D">
        <w:t xml:space="preserve"> and</w:t>
      </w:r>
      <w:r w:rsidR="00F86DC7" w:rsidRPr="00F07286">
        <w:t xml:space="preserve"> construction</w:t>
      </w:r>
      <w:r w:rsidR="00A3404A">
        <w:t>)</w:t>
      </w:r>
      <w:r w:rsidR="005A0C48">
        <w:t xml:space="preserve"> and through all tiers of supply (e.g. from procurement entities to lower tier suppliers)</w:t>
      </w:r>
      <w:r w:rsidR="00F86DC7" w:rsidRPr="00F07286">
        <w:t>.</w:t>
      </w:r>
    </w:p>
    <w:p w14:paraId="14D365E3" w14:textId="77777777" w:rsidR="00F523D5" w:rsidRPr="00F523D5" w:rsidRDefault="00F523D5" w:rsidP="00F523D5">
      <w:pPr>
        <w:rPr>
          <w:rStyle w:val="Strong"/>
        </w:rPr>
      </w:pPr>
      <w:r w:rsidRPr="00F523D5">
        <w:rPr>
          <w:rStyle w:val="Strong"/>
        </w:rPr>
        <w:t>B.5 – Facilitating Future Opportunities</w:t>
      </w:r>
    </w:p>
    <w:p w14:paraId="0CF87190" w14:textId="77777777" w:rsidR="00F523D5" w:rsidRDefault="008E2A5F" w:rsidP="00F523D5">
      <w:r>
        <w:t>P</w:t>
      </w:r>
      <w:r w:rsidR="00F86DC7" w:rsidRPr="00F07286">
        <w:t>rovide detail</w:t>
      </w:r>
      <w:r>
        <w:t>s</w:t>
      </w:r>
      <w:r w:rsidR="00F86DC7" w:rsidRPr="00F07286">
        <w:t xml:space="preserve"> on actions </w:t>
      </w:r>
      <w:r>
        <w:t xml:space="preserve">to </w:t>
      </w:r>
      <w:r w:rsidR="00F86DC7" w:rsidRPr="00F07286">
        <w:t xml:space="preserve">assist longer-term participation by Australian entities, including how </w:t>
      </w:r>
      <w:r w:rsidR="00846E56">
        <w:t>project proponents</w:t>
      </w:r>
      <w:r w:rsidR="00F86DC7" w:rsidRPr="00F07286">
        <w:t xml:space="preserve"> will work with Australian entities to encourage capability development and integration into global supply chains. Actions should detail how, by working with </w:t>
      </w:r>
      <w:r w:rsidR="00846E56">
        <w:t>project proponents and procurement entities</w:t>
      </w:r>
      <w:r w:rsidR="00F86DC7" w:rsidRPr="00F07286">
        <w:t xml:space="preserve"> on this project, Australian entities will be better placed to access opportunities to supply key goods or services in future</w:t>
      </w:r>
      <w:r w:rsidR="00BF04AB">
        <w:t xml:space="preserve"> similar</w:t>
      </w:r>
      <w:r w:rsidR="00F86DC7" w:rsidRPr="00F07286">
        <w:t xml:space="preserve"> projects.</w:t>
      </w:r>
    </w:p>
    <w:p w14:paraId="3229485A" w14:textId="77777777" w:rsidR="00F523D5" w:rsidRPr="00F523D5" w:rsidRDefault="00F523D5" w:rsidP="00F523D5">
      <w:pPr>
        <w:rPr>
          <w:rStyle w:val="Strong"/>
        </w:rPr>
      </w:pPr>
      <w:r w:rsidRPr="00F523D5">
        <w:rPr>
          <w:rStyle w:val="Strong"/>
        </w:rPr>
        <w:t>B.6 – Implementation Resources</w:t>
      </w:r>
    </w:p>
    <w:p w14:paraId="74C97085" w14:textId="6152F1C6" w:rsidR="00F523D5" w:rsidRDefault="008E2A5F" w:rsidP="00F523D5">
      <w:r>
        <w:t>Provide details on</w:t>
      </w:r>
      <w:r w:rsidR="00AD6B98">
        <w:t xml:space="preserve"> the resources and procedures</w:t>
      </w:r>
      <w:r w:rsidR="00F86DC7" w:rsidRPr="00F07286">
        <w:t xml:space="preserve"> within the project to effectively implement </w:t>
      </w:r>
      <w:r w:rsidR="00840D4D">
        <w:t xml:space="preserve">and monitor </w:t>
      </w:r>
      <w:r w:rsidR="00F86DC7" w:rsidRPr="00F07286">
        <w:t xml:space="preserve">the actions </w:t>
      </w:r>
      <w:r w:rsidR="00535723">
        <w:t xml:space="preserve">in </w:t>
      </w:r>
      <w:r w:rsidR="00BF04AB">
        <w:t xml:space="preserve">Part B of </w:t>
      </w:r>
      <w:r w:rsidR="00F86DC7" w:rsidRPr="00F07286">
        <w:t>the AIP plan.</w:t>
      </w:r>
    </w:p>
    <w:p w14:paraId="6EEE979F" w14:textId="4C665636" w:rsidR="00F523D5" w:rsidRDefault="00F523D5" w:rsidP="005230AB">
      <w:pPr>
        <w:pStyle w:val="Heading5"/>
      </w:pPr>
      <w:bookmarkStart w:id="27" w:name="_Toc371947182"/>
      <w:bookmarkStart w:id="28" w:name="_Toc372705147"/>
      <w:r>
        <w:t>Part C – Initial Facility Operation</w:t>
      </w:r>
      <w:r w:rsidR="003B2E76">
        <w:t>al</w:t>
      </w:r>
      <w:r>
        <w:t xml:space="preserve"> Phase</w:t>
      </w:r>
      <w:bookmarkEnd w:id="27"/>
      <w:bookmarkEnd w:id="28"/>
    </w:p>
    <w:p w14:paraId="523BB1F6" w14:textId="77777777" w:rsidR="00F523D5" w:rsidRPr="00F523D5" w:rsidRDefault="00F523D5" w:rsidP="00F523D5">
      <w:pPr>
        <w:rPr>
          <w:rStyle w:val="Strong"/>
        </w:rPr>
      </w:pPr>
      <w:r w:rsidRPr="00F523D5">
        <w:rPr>
          <w:rStyle w:val="Strong"/>
        </w:rPr>
        <w:t>C.1 – Operator Details</w:t>
      </w:r>
    </w:p>
    <w:p w14:paraId="5727064E" w14:textId="4612261A" w:rsidR="00F523D5" w:rsidRPr="00F86DC7" w:rsidRDefault="008E2A5F" w:rsidP="00F86DC7">
      <w:r>
        <w:t>P</w:t>
      </w:r>
      <w:r w:rsidR="00F86DC7" w:rsidRPr="00F86DC7">
        <w:t xml:space="preserve">rovide details of the </w:t>
      </w:r>
      <w:r w:rsidR="00A01885">
        <w:t>nominated</w:t>
      </w:r>
      <w:r w:rsidR="00A01885" w:rsidRPr="00F86DC7">
        <w:t xml:space="preserve"> </w:t>
      </w:r>
      <w:r w:rsidR="00F86DC7" w:rsidRPr="00F86DC7">
        <w:t>operator of the facility</w:t>
      </w:r>
      <w:r w:rsidR="00BC3E23">
        <w:t xml:space="preserve"> and any other operators</w:t>
      </w:r>
      <w:r w:rsidR="00F86DC7" w:rsidRPr="00F86DC7">
        <w:t>.</w:t>
      </w:r>
    </w:p>
    <w:p w14:paraId="0F29B34F" w14:textId="77777777" w:rsidR="00F523D5" w:rsidRPr="00F523D5" w:rsidRDefault="00F523D5" w:rsidP="00F523D5">
      <w:pPr>
        <w:rPr>
          <w:rStyle w:val="Strong"/>
        </w:rPr>
      </w:pPr>
      <w:r w:rsidRPr="00F523D5">
        <w:rPr>
          <w:rStyle w:val="Strong"/>
        </w:rPr>
        <w:t>C.2 – Contact Details</w:t>
      </w:r>
    </w:p>
    <w:p w14:paraId="4DD0906D" w14:textId="77777777" w:rsidR="008E2A5F" w:rsidRDefault="008E2A5F" w:rsidP="008E2A5F">
      <w:r>
        <w:t xml:space="preserve">Provide </w:t>
      </w:r>
      <w:r w:rsidRPr="00F07286">
        <w:t xml:space="preserve">the contact details of staff </w:t>
      </w:r>
      <w:r w:rsidR="009126F4">
        <w:t xml:space="preserve">allocated </w:t>
      </w:r>
      <w:r w:rsidRPr="00F07286">
        <w:t>responsib</w:t>
      </w:r>
      <w:r w:rsidR="009126F4">
        <w:t>i</w:t>
      </w:r>
      <w:r w:rsidRPr="00F07286">
        <w:t>l</w:t>
      </w:r>
      <w:r w:rsidR="009126F4">
        <w:t>ity</w:t>
      </w:r>
      <w:r w:rsidRPr="00F07286">
        <w:t xml:space="preserve"> for </w:t>
      </w:r>
      <w:r w:rsidR="009126F4">
        <w:t xml:space="preserve">responding to enquiries from </w:t>
      </w:r>
      <w:r w:rsidRPr="00F07286">
        <w:t xml:space="preserve">interested Australian entities </w:t>
      </w:r>
      <w:r w:rsidR="009126F4">
        <w:t>or</w:t>
      </w:r>
      <w:r w:rsidR="009126F4" w:rsidRPr="00F07286">
        <w:t xml:space="preserve"> </w:t>
      </w:r>
      <w:r w:rsidRPr="00F07286">
        <w:t>implementing the actions of the AIP plan.</w:t>
      </w:r>
    </w:p>
    <w:p w14:paraId="55417E50" w14:textId="77777777" w:rsidR="00F523D5" w:rsidRDefault="00F523D5" w:rsidP="00F523D5">
      <w:pPr>
        <w:rPr>
          <w:rStyle w:val="Strong"/>
        </w:rPr>
      </w:pPr>
      <w:r w:rsidRPr="00F523D5">
        <w:rPr>
          <w:rStyle w:val="Strong"/>
        </w:rPr>
        <w:t xml:space="preserve">C.3 – </w:t>
      </w:r>
      <w:r w:rsidR="004214A5">
        <w:rPr>
          <w:rStyle w:val="Strong"/>
        </w:rPr>
        <w:t>Opportunities to supply g</w:t>
      </w:r>
      <w:r w:rsidRPr="00F523D5">
        <w:rPr>
          <w:rStyle w:val="Strong"/>
        </w:rPr>
        <w:t xml:space="preserve">oods and </w:t>
      </w:r>
      <w:r w:rsidR="004214A5">
        <w:rPr>
          <w:rStyle w:val="Strong"/>
        </w:rPr>
        <w:t>s</w:t>
      </w:r>
      <w:r w:rsidRPr="00F523D5">
        <w:rPr>
          <w:rStyle w:val="Strong"/>
        </w:rPr>
        <w:t>ervices</w:t>
      </w:r>
    </w:p>
    <w:p w14:paraId="4C979F4C" w14:textId="3CE19987" w:rsidR="00F523D5" w:rsidRDefault="00BC1467" w:rsidP="00F523D5">
      <w:r>
        <w:t>P</w:t>
      </w:r>
      <w:r w:rsidR="008E2A5F">
        <w:t>rovide details o</w:t>
      </w:r>
      <w:r w:rsidR="00777AD8">
        <w:t>f</w:t>
      </w:r>
      <w:r w:rsidR="008E2A5F">
        <w:t xml:space="preserve"> </w:t>
      </w:r>
      <w:r w:rsidR="00777AD8">
        <w:t xml:space="preserve">all the key goods and services to be acquired for the facility and whether </w:t>
      </w:r>
      <w:r w:rsidR="00A01885">
        <w:t xml:space="preserve">supply </w:t>
      </w:r>
      <w:r w:rsidR="00777AD8">
        <w:t xml:space="preserve">opportunities are expected </w:t>
      </w:r>
      <w:r>
        <w:t xml:space="preserve">for </w:t>
      </w:r>
      <w:r w:rsidR="00F86DC7" w:rsidRPr="00F07286">
        <w:t>Australian entities and/or non</w:t>
      </w:r>
      <w:r w:rsidR="00F86DC7" w:rsidRPr="00F07286">
        <w:noBreakHyphen/>
        <w:t>Australian entities.</w:t>
      </w:r>
      <w:r>
        <w:t xml:space="preserve"> </w:t>
      </w:r>
      <w:r w:rsidR="00777AD8">
        <w:t>Information should also be provided on how procurement entities will obtain and maintain current understanding of Australian industry capability and the standards to be used in the facility</w:t>
      </w:r>
      <w:r w:rsidR="00A01885">
        <w:t>’s</w:t>
      </w:r>
      <w:r w:rsidR="00777AD8">
        <w:t xml:space="preserve"> operations.</w:t>
      </w:r>
    </w:p>
    <w:p w14:paraId="6FC71773" w14:textId="245AE6A5" w:rsidR="00F523D5" w:rsidRDefault="00F523D5" w:rsidP="00F523D5">
      <w:pPr>
        <w:rPr>
          <w:rStyle w:val="Strong"/>
        </w:rPr>
      </w:pPr>
      <w:r w:rsidRPr="00F523D5">
        <w:rPr>
          <w:rStyle w:val="Strong"/>
        </w:rPr>
        <w:t xml:space="preserve">C.4 – Publication of </w:t>
      </w:r>
      <w:r w:rsidR="00CF43F6">
        <w:rPr>
          <w:rStyle w:val="Strong"/>
        </w:rPr>
        <w:t>Information</w:t>
      </w:r>
    </w:p>
    <w:p w14:paraId="43DB85BF" w14:textId="29016742" w:rsidR="00F523D5" w:rsidRDefault="008E2A5F" w:rsidP="00F523D5">
      <w:r>
        <w:t xml:space="preserve">Provide </w:t>
      </w:r>
      <w:r w:rsidR="00F86DC7" w:rsidRPr="00F07286">
        <w:t>detail</w:t>
      </w:r>
      <w:r>
        <w:t>s</w:t>
      </w:r>
      <w:r w:rsidR="00F86DC7" w:rsidRPr="00F07286">
        <w:t xml:space="preserve"> </w:t>
      </w:r>
      <w:r>
        <w:t xml:space="preserve">of </w:t>
      </w:r>
      <w:r w:rsidR="00777AD8">
        <w:t xml:space="preserve">the websites </w:t>
      </w:r>
      <w:r w:rsidR="00F86DC7" w:rsidRPr="00F07286">
        <w:t xml:space="preserve">where information on the facility </w:t>
      </w:r>
      <w:r w:rsidR="00777AD8">
        <w:t xml:space="preserve">including </w:t>
      </w:r>
      <w:r w:rsidR="00A01885">
        <w:t xml:space="preserve">supply </w:t>
      </w:r>
      <w:r w:rsidR="00777AD8">
        <w:t xml:space="preserve">opportunities </w:t>
      </w:r>
      <w:r w:rsidR="00F86DC7" w:rsidRPr="00F07286">
        <w:t xml:space="preserve">and contact details </w:t>
      </w:r>
      <w:r>
        <w:t>will be published</w:t>
      </w:r>
      <w:r w:rsidR="00F86DC7" w:rsidRPr="00F07286">
        <w:t>.</w:t>
      </w:r>
    </w:p>
    <w:p w14:paraId="57A6CAAD" w14:textId="77777777" w:rsidR="00F523D5" w:rsidRDefault="00F523D5" w:rsidP="00F523D5">
      <w:pPr>
        <w:rPr>
          <w:rStyle w:val="Strong"/>
        </w:rPr>
      </w:pPr>
      <w:r w:rsidRPr="00F523D5">
        <w:rPr>
          <w:rStyle w:val="Strong"/>
        </w:rPr>
        <w:lastRenderedPageBreak/>
        <w:t>C.5 – Communicating and Providing Opportunities</w:t>
      </w:r>
    </w:p>
    <w:p w14:paraId="5D13BCE3" w14:textId="2843D84B" w:rsidR="00777AD8" w:rsidRPr="00F07286" w:rsidRDefault="00777AD8" w:rsidP="00777AD8">
      <w:r>
        <w:t xml:space="preserve">Provide details on engagement and </w:t>
      </w:r>
      <w:r w:rsidRPr="00F07286">
        <w:t>communication strateg</w:t>
      </w:r>
      <w:r>
        <w:t>ies</w:t>
      </w:r>
      <w:r w:rsidRPr="00F07286">
        <w:t xml:space="preserve"> </w:t>
      </w:r>
      <w:r>
        <w:t xml:space="preserve">with Australian entities. </w:t>
      </w:r>
      <w:r w:rsidRPr="00F07286">
        <w:t xml:space="preserve">This must include detail on how </w:t>
      </w:r>
      <w:r>
        <w:t>project proponents and procurement entities</w:t>
      </w:r>
      <w:r w:rsidRPr="00F07286">
        <w:t xml:space="preserve"> will actively seek information on Australian entities’ capability and communicate opportunities to Australian entities </w:t>
      </w:r>
      <w:r>
        <w:t>through all tiers of supply (e.g. from procurement entities to lower tier suppliers)</w:t>
      </w:r>
      <w:r w:rsidRPr="00F07286">
        <w:t>.</w:t>
      </w:r>
    </w:p>
    <w:p w14:paraId="6402A1C1" w14:textId="77777777" w:rsidR="00F523D5" w:rsidRDefault="00F523D5" w:rsidP="00F523D5">
      <w:pPr>
        <w:rPr>
          <w:rStyle w:val="Strong"/>
        </w:rPr>
      </w:pPr>
      <w:r w:rsidRPr="00F523D5">
        <w:rPr>
          <w:rStyle w:val="Strong"/>
        </w:rPr>
        <w:t>C.6 – Facilitating Future Opportunities</w:t>
      </w:r>
    </w:p>
    <w:p w14:paraId="54045FF3" w14:textId="77777777" w:rsidR="00F523D5" w:rsidRDefault="008E2A5F" w:rsidP="00F523D5">
      <w:r>
        <w:t xml:space="preserve">Provide </w:t>
      </w:r>
      <w:r w:rsidR="00F86DC7" w:rsidRPr="00F07286">
        <w:t>detail</w:t>
      </w:r>
      <w:r>
        <w:t>s</w:t>
      </w:r>
      <w:r w:rsidR="00F86DC7" w:rsidRPr="00F07286">
        <w:t xml:space="preserve"> on actions </w:t>
      </w:r>
      <w:r>
        <w:t>to</w:t>
      </w:r>
      <w:r w:rsidR="00F86DC7" w:rsidRPr="00F07286">
        <w:t xml:space="preserve"> assist longer-term participation by Australian entities, including how </w:t>
      </w:r>
      <w:r w:rsidR="00846E56">
        <w:t>operators</w:t>
      </w:r>
      <w:r w:rsidR="00F86DC7" w:rsidRPr="00F07286">
        <w:t xml:space="preserve"> will work with Australian entities to encourage capability development and integration into global supply chains. Actions should detail how, by working with </w:t>
      </w:r>
      <w:r w:rsidR="00846E56">
        <w:t>operators and procurement entities</w:t>
      </w:r>
      <w:r w:rsidR="00F86DC7" w:rsidRPr="00F07286">
        <w:t xml:space="preserve"> on the initial operations of the facility, Australian entities will be better placed to access opportunities to supply key goods or services </w:t>
      </w:r>
      <w:r w:rsidR="00846E56">
        <w:t>for</w:t>
      </w:r>
      <w:r w:rsidR="00F86DC7" w:rsidRPr="00F07286">
        <w:t xml:space="preserve"> the operations of </w:t>
      </w:r>
      <w:r w:rsidR="00323340">
        <w:t xml:space="preserve">future </w:t>
      </w:r>
      <w:r w:rsidR="00BF04AB">
        <w:t xml:space="preserve">similar </w:t>
      </w:r>
      <w:r w:rsidR="00F86DC7" w:rsidRPr="00F07286">
        <w:t>facilities.</w:t>
      </w:r>
    </w:p>
    <w:p w14:paraId="46E1CA43" w14:textId="77777777" w:rsidR="00F523D5" w:rsidRDefault="00F523D5" w:rsidP="00F523D5">
      <w:pPr>
        <w:rPr>
          <w:rStyle w:val="Strong"/>
        </w:rPr>
      </w:pPr>
      <w:r w:rsidRPr="00F523D5">
        <w:rPr>
          <w:rStyle w:val="Strong"/>
        </w:rPr>
        <w:t>C.7 – Implementation Resources</w:t>
      </w:r>
    </w:p>
    <w:p w14:paraId="0054A89D" w14:textId="6AB082B2" w:rsidR="00535723" w:rsidRDefault="008E2A5F" w:rsidP="001F6E7D">
      <w:r>
        <w:t>Provide details on the</w:t>
      </w:r>
      <w:r w:rsidR="00AD6B98">
        <w:t xml:space="preserve"> resources and procedures</w:t>
      </w:r>
      <w:r w:rsidR="00F86DC7" w:rsidRPr="00F07286">
        <w:t xml:space="preserve"> within the facility to effectively implement </w:t>
      </w:r>
      <w:r w:rsidR="00840D4D">
        <w:t xml:space="preserve">and monitor </w:t>
      </w:r>
      <w:r w:rsidR="00F86DC7" w:rsidRPr="00F07286">
        <w:t xml:space="preserve">the actions </w:t>
      </w:r>
      <w:r w:rsidR="00777AD8">
        <w:t>in</w:t>
      </w:r>
      <w:r w:rsidR="00F86DC7" w:rsidRPr="00F07286">
        <w:t xml:space="preserve"> </w:t>
      </w:r>
      <w:r w:rsidR="00BF04AB">
        <w:t xml:space="preserve">Part C of </w:t>
      </w:r>
      <w:r w:rsidR="00F86DC7" w:rsidRPr="00F07286">
        <w:t xml:space="preserve">the AIP </w:t>
      </w:r>
      <w:proofErr w:type="spellStart"/>
      <w:r w:rsidR="00F86DC7" w:rsidRPr="00F07286">
        <w:t>plan.</w:t>
      </w:r>
      <w:r w:rsidR="00535723">
        <w:t>For</w:t>
      </w:r>
      <w:proofErr w:type="spellEnd"/>
      <w:r w:rsidR="00535723">
        <w:t xml:space="preserve"> more detailed guidance on how to address the AIP plan criteria </w:t>
      </w:r>
      <w:r w:rsidR="00535723" w:rsidRPr="009C746B">
        <w:t>see ‘Detailed AIP plan Criteria</w:t>
      </w:r>
      <w:r w:rsidR="00535723">
        <w:t>’</w:t>
      </w:r>
      <w:r w:rsidR="00535723" w:rsidRPr="009C746B">
        <w:t xml:space="preserve"> </w:t>
      </w:r>
      <w:r w:rsidR="00535723" w:rsidRPr="00855F20">
        <w:t xml:space="preserve">on </w:t>
      </w:r>
      <w:r w:rsidR="00535723" w:rsidRPr="00AD6B98">
        <w:t>page 13</w:t>
      </w:r>
      <w:r w:rsidR="00535723" w:rsidRPr="0068664A">
        <w:rPr>
          <w:color w:val="FF0000"/>
        </w:rPr>
        <w:t xml:space="preserve"> </w:t>
      </w:r>
      <w:r w:rsidR="00535723">
        <w:t>of this User Guide.</w:t>
      </w:r>
    </w:p>
    <w:p w14:paraId="6A0A68D6" w14:textId="77777777" w:rsidR="001F6E7D" w:rsidRDefault="00F523D5" w:rsidP="005230AB">
      <w:pPr>
        <w:pStyle w:val="Heading3"/>
      </w:pPr>
      <w:bookmarkStart w:id="29" w:name="_Toc372705321"/>
      <w:r>
        <w:t xml:space="preserve">How to address </w:t>
      </w:r>
      <w:r w:rsidR="001F6E7D">
        <w:t>AIP plan</w:t>
      </w:r>
      <w:r>
        <w:t xml:space="preserve"> questions</w:t>
      </w:r>
      <w:bookmarkEnd w:id="29"/>
    </w:p>
    <w:p w14:paraId="2C64B7B4" w14:textId="598C0DA6" w:rsidR="00F523D5" w:rsidRDefault="001F677C" w:rsidP="001F6E7D">
      <w:r>
        <w:t xml:space="preserve">Each question in the AIP plan </w:t>
      </w:r>
      <w:r w:rsidR="009A7AE7">
        <w:t xml:space="preserve">requiring </w:t>
      </w:r>
      <w:r w:rsidR="00846E56">
        <w:t xml:space="preserve">project proponents </w:t>
      </w:r>
      <w:r w:rsidR="002D6594">
        <w:t xml:space="preserve">or </w:t>
      </w:r>
      <w:r w:rsidR="00846E56">
        <w:t>operators</w:t>
      </w:r>
      <w:r>
        <w:t xml:space="preserve"> to </w:t>
      </w:r>
      <w:r w:rsidR="002D6594">
        <w:t xml:space="preserve">provide or </w:t>
      </w:r>
      <w:r>
        <w:t>descri</w:t>
      </w:r>
      <w:r w:rsidR="00AD6B98">
        <w:t>be</w:t>
      </w:r>
      <w:r>
        <w:t xml:space="preserve"> activities should be addressed</w:t>
      </w:r>
      <w:r w:rsidR="002D6594">
        <w:t xml:space="preserve"> as follows</w:t>
      </w:r>
      <w:r>
        <w:t>:</w:t>
      </w:r>
    </w:p>
    <w:p w14:paraId="2EE845B0" w14:textId="664441BC" w:rsidR="001F677C" w:rsidRDefault="001F677C" w:rsidP="007B3D6D">
      <w:pPr>
        <w:pStyle w:val="Numbered"/>
        <w:numPr>
          <w:ilvl w:val="0"/>
          <w:numId w:val="26"/>
        </w:numPr>
      </w:pPr>
      <w:r w:rsidRPr="001F677C">
        <w:rPr>
          <w:rStyle w:val="Strong"/>
        </w:rPr>
        <w:t>What</w:t>
      </w:r>
      <w:r>
        <w:t xml:space="preserve"> action will </w:t>
      </w:r>
      <w:r w:rsidR="002D6594">
        <w:t xml:space="preserve">be </w:t>
      </w:r>
      <w:r>
        <w:t>undertake</w:t>
      </w:r>
      <w:r w:rsidR="002D6594">
        <w:t>n;</w:t>
      </w:r>
    </w:p>
    <w:p w14:paraId="03F3C314" w14:textId="2B402B2E" w:rsidR="002D6594" w:rsidRDefault="002D6594" w:rsidP="007B3D6D">
      <w:pPr>
        <w:pStyle w:val="Numbered"/>
        <w:numPr>
          <w:ilvl w:val="0"/>
          <w:numId w:val="26"/>
        </w:numPr>
      </w:pPr>
      <w:r>
        <w:rPr>
          <w:rStyle w:val="Strong"/>
        </w:rPr>
        <w:t xml:space="preserve">Who </w:t>
      </w:r>
      <w:r>
        <w:rPr>
          <w:rStyle w:val="Strong"/>
          <w:b w:val="0"/>
        </w:rPr>
        <w:t>will be responsible for carrying it out;</w:t>
      </w:r>
    </w:p>
    <w:p w14:paraId="1FC64DDA" w14:textId="60145EDE" w:rsidR="001F677C" w:rsidRDefault="002D6594" w:rsidP="001F677C">
      <w:pPr>
        <w:pStyle w:val="Numbered"/>
      </w:pPr>
      <w:r w:rsidRPr="00C52E9F">
        <w:rPr>
          <w:b/>
        </w:rPr>
        <w:t>W</w:t>
      </w:r>
      <w:r w:rsidR="001F677C" w:rsidRPr="00C52E9F">
        <w:rPr>
          <w:b/>
        </w:rPr>
        <w:t>hen</w:t>
      </w:r>
      <w:r w:rsidR="001F677C">
        <w:t xml:space="preserve"> the action will be implemented</w:t>
      </w:r>
      <w:r>
        <w:t>; and</w:t>
      </w:r>
    </w:p>
    <w:p w14:paraId="15A560AA" w14:textId="77777777" w:rsidR="001F677C" w:rsidRDefault="001F677C" w:rsidP="001F677C">
      <w:pPr>
        <w:pStyle w:val="Numbered"/>
      </w:pPr>
      <w:r w:rsidRPr="001F677C">
        <w:rPr>
          <w:rStyle w:val="Strong"/>
        </w:rPr>
        <w:t>How</w:t>
      </w:r>
      <w:r>
        <w:t xml:space="preserve"> the action will be carried out.</w:t>
      </w:r>
    </w:p>
    <w:p w14:paraId="1CA73A71" w14:textId="67353F57" w:rsidR="000F1E8C" w:rsidRDefault="000F1E8C" w:rsidP="001F677C">
      <w:r>
        <w:t>Actions should be achievable</w:t>
      </w:r>
      <w:r w:rsidR="00370BDE">
        <w:t xml:space="preserve"> </w:t>
      </w:r>
      <w:r>
        <w:t xml:space="preserve">and realistic. </w:t>
      </w:r>
      <w:r w:rsidR="00C45164">
        <w:t xml:space="preserve">They should not however simply reflect business-as-usual procurement activities. Their intent should be to expand the organisation’s approach to identifying and considering potential suppliers and communicating opportunities. </w:t>
      </w:r>
      <w:r w:rsidR="002F55B7">
        <w:t>Actions</w:t>
      </w:r>
      <w:r w:rsidR="00C45164">
        <w:t xml:space="preserve"> that favour</w:t>
      </w:r>
      <w:r w:rsidR="002F55B7">
        <w:t xml:space="preserve"> or preference</w:t>
      </w:r>
      <w:r w:rsidR="00C45164">
        <w:t xml:space="preserve"> existing supply chain partners over potential new suppliers </w:t>
      </w:r>
      <w:r w:rsidR="00E53F99">
        <w:t xml:space="preserve">are </w:t>
      </w:r>
      <w:r w:rsidR="00C45164">
        <w:t>not</w:t>
      </w:r>
      <w:r w:rsidR="00E53F99">
        <w:t xml:space="preserve"> </w:t>
      </w:r>
      <w:r w:rsidR="00C45164">
        <w:t xml:space="preserve">acceptable. </w:t>
      </w:r>
      <w:r w:rsidR="00EF55E6">
        <w:t>A</w:t>
      </w:r>
      <w:r w:rsidR="00C45164">
        <w:t xml:space="preserve">ctions </w:t>
      </w:r>
      <w:r w:rsidR="002F55B7">
        <w:t>should not</w:t>
      </w:r>
      <w:r w:rsidR="00C45164">
        <w:t xml:space="preserve"> preference suppliers in one location such as the project</w:t>
      </w:r>
      <w:r w:rsidR="00EF55E6">
        <w:t>’s</w:t>
      </w:r>
      <w:r w:rsidR="00C45164">
        <w:t xml:space="preserve"> region over suppliers outside that </w:t>
      </w:r>
      <w:r w:rsidR="00EF55E6">
        <w:t>r</w:t>
      </w:r>
      <w:r w:rsidR="002F55B7">
        <w:t>egion</w:t>
      </w:r>
      <w:r w:rsidR="00C45164">
        <w:t>.</w:t>
      </w:r>
    </w:p>
    <w:p w14:paraId="0C31E59E" w14:textId="0FA07199" w:rsidR="000F1E8C" w:rsidRDefault="00370BDE" w:rsidP="001F677C">
      <w:r>
        <w:t xml:space="preserve">Actions should be distinct. Repeating the same action in response to different criteria is not acceptable. </w:t>
      </w:r>
      <w:r w:rsidR="000F1E8C">
        <w:t xml:space="preserve">Actions should reflect intended future activity. Actions that have already been carried out should not be reported in the AIP plan. </w:t>
      </w:r>
      <w:r w:rsidR="00EF55E6">
        <w:t>They can be included in the first compliance report.</w:t>
      </w:r>
    </w:p>
    <w:p w14:paraId="4E578BF1" w14:textId="4DA3D2A9" w:rsidR="00370BDE" w:rsidRDefault="00370BDE" w:rsidP="001F677C">
      <w:r>
        <w:t xml:space="preserve">Actions should be clearly expressed and accurately describe the four points above. Actions should be measurable such that their achievement can be assessed and reported on.  </w:t>
      </w:r>
    </w:p>
    <w:p w14:paraId="047A23A4" w14:textId="778B0336" w:rsidR="001F677C" w:rsidRDefault="001F677C" w:rsidP="001F677C">
      <w:r>
        <w:t xml:space="preserve">All actions in the AIP plan should be phrased in an active manner and should not include </w:t>
      </w:r>
      <w:r w:rsidR="009A7AE7">
        <w:t xml:space="preserve">qualifying </w:t>
      </w:r>
      <w:r>
        <w:t xml:space="preserve">statements </w:t>
      </w:r>
      <w:r w:rsidR="00AD6B98">
        <w:t>like</w:t>
      </w:r>
      <w:r>
        <w:t xml:space="preserve"> </w:t>
      </w:r>
      <w:r w:rsidRPr="001F677C">
        <w:rPr>
          <w:rStyle w:val="Emphasis"/>
        </w:rPr>
        <w:t xml:space="preserve">as </w:t>
      </w:r>
      <w:r w:rsidR="002D6594">
        <w:rPr>
          <w:rStyle w:val="Emphasis"/>
        </w:rPr>
        <w:t>required</w:t>
      </w:r>
      <w:r>
        <w:t xml:space="preserve">, </w:t>
      </w:r>
      <w:r w:rsidRPr="001F677C">
        <w:rPr>
          <w:rStyle w:val="Emphasis"/>
        </w:rPr>
        <w:t>can</w:t>
      </w:r>
      <w:r>
        <w:t xml:space="preserve">, </w:t>
      </w:r>
      <w:r w:rsidRPr="001F677C">
        <w:rPr>
          <w:rStyle w:val="Emphasis"/>
        </w:rPr>
        <w:t>might</w:t>
      </w:r>
      <w:r>
        <w:t xml:space="preserve"> or </w:t>
      </w:r>
      <w:r w:rsidRPr="001F677C">
        <w:rPr>
          <w:rStyle w:val="Emphasis"/>
        </w:rPr>
        <w:t>may</w:t>
      </w:r>
      <w:r w:rsidR="009A7AE7" w:rsidRPr="009A7AE7">
        <w:t xml:space="preserve"> (e.g. “Project proponent </w:t>
      </w:r>
      <w:r w:rsidR="009A7AE7" w:rsidRPr="00D461EF">
        <w:rPr>
          <w:rStyle w:val="Emphasis"/>
        </w:rPr>
        <w:t>will</w:t>
      </w:r>
      <w:r w:rsidR="009A7AE7" w:rsidRPr="009A7AE7">
        <w:t xml:space="preserve"> engage the services of </w:t>
      </w:r>
      <w:r w:rsidR="007B35C0">
        <w:t>industry associations to communicate opportunities</w:t>
      </w:r>
      <w:r w:rsidR="009A7AE7" w:rsidRPr="009A7AE7">
        <w:t xml:space="preserve">” rather than “Project proponent </w:t>
      </w:r>
      <w:r w:rsidR="009A7AE7" w:rsidRPr="00D461EF">
        <w:rPr>
          <w:rStyle w:val="Emphasis"/>
        </w:rPr>
        <w:t>may</w:t>
      </w:r>
      <w:r w:rsidR="009A7AE7" w:rsidRPr="009A7AE7">
        <w:t xml:space="preserve"> engage the services of </w:t>
      </w:r>
      <w:r w:rsidR="007B35C0">
        <w:t>industry associations to communicate opportunities”</w:t>
      </w:r>
      <w:r w:rsidR="009A7AE7" w:rsidRPr="009A7AE7">
        <w:t>)</w:t>
      </w:r>
      <w:r w:rsidRPr="009A7AE7">
        <w:t>.</w:t>
      </w:r>
    </w:p>
    <w:p w14:paraId="5CB601CD" w14:textId="77777777" w:rsidR="001F677C" w:rsidRDefault="001F677C" w:rsidP="001F677C">
      <w:r>
        <w:lastRenderedPageBreak/>
        <w:t>When drafting actions for an AIP plan the key consideration should be whether the action will provide full, fair and reasonable opportunity to Australian entities through assisting Australian entities to gain knowledge of, or access to, an opportunity.</w:t>
      </w:r>
    </w:p>
    <w:p w14:paraId="4D6FEA4A" w14:textId="77777777" w:rsidR="001F6E7D" w:rsidRDefault="001F6E7D" w:rsidP="005230AB">
      <w:pPr>
        <w:pStyle w:val="Heading3"/>
      </w:pPr>
      <w:bookmarkStart w:id="30" w:name="_Toc372705322"/>
      <w:r>
        <w:t>Submitting an AIP plan</w:t>
      </w:r>
      <w:bookmarkEnd w:id="30"/>
    </w:p>
    <w:p w14:paraId="597C0A66" w14:textId="77777777" w:rsidR="00B64651" w:rsidRDefault="00B64651" w:rsidP="001F6E7D">
      <w:r>
        <w:t>Project proponents must provide the AIP Authority with a draft AIP plan at least 90 days before the trigger date for the project or if the AIP Authority</w:t>
      </w:r>
      <w:r w:rsidR="009A7AE7">
        <w:t xml:space="preserve"> specifies a later time –</w:t>
      </w:r>
      <w:r>
        <w:t xml:space="preserve"> by written notice – before that later time. Further information on trigger dates can be </w:t>
      </w:r>
      <w:r w:rsidR="004C28FC">
        <w:t xml:space="preserve">obtained </w:t>
      </w:r>
      <w:r w:rsidR="00BF04AB">
        <w:t>from</w:t>
      </w:r>
      <w:r w:rsidRPr="00855F20">
        <w:t xml:space="preserve"> </w:t>
      </w:r>
      <w:hyperlink r:id="rId23" w:tooltip="Link to AIP website" w:history="1">
        <w:r w:rsidR="00735422" w:rsidRPr="00572820">
          <w:rPr>
            <w:rStyle w:val="Hyperlink"/>
          </w:rPr>
          <w:t>www.industry.gov.au/aip</w:t>
        </w:r>
      </w:hyperlink>
      <w:r w:rsidR="00BF04AB">
        <w:t xml:space="preserve"> or by contacting the AIP Authority.</w:t>
      </w:r>
      <w:r w:rsidR="00B93BB3">
        <w:t xml:space="preserve"> </w:t>
      </w:r>
    </w:p>
    <w:p w14:paraId="06A7CC04" w14:textId="39AB360E" w:rsidR="001F677C" w:rsidRDefault="001F677C" w:rsidP="001F6E7D">
      <w:r>
        <w:t xml:space="preserve">AIP plans </w:t>
      </w:r>
      <w:r w:rsidR="00E53F99">
        <w:t xml:space="preserve">must </w:t>
      </w:r>
      <w:r>
        <w:t xml:space="preserve">be developed </w:t>
      </w:r>
      <w:r w:rsidR="00E53F99">
        <w:t>using</w:t>
      </w:r>
      <w:r>
        <w:t xml:space="preserve"> the </w:t>
      </w:r>
      <w:r w:rsidR="00C7784D">
        <w:t xml:space="preserve">approved </w:t>
      </w:r>
      <w:r w:rsidR="002F5307">
        <w:t xml:space="preserve">Jobs Act AIP plan </w:t>
      </w:r>
      <w:r w:rsidR="00E53F99">
        <w:t>template on the AIP Authority website. It is important to us</w:t>
      </w:r>
      <w:r w:rsidR="00E5124B">
        <w:t>e</w:t>
      </w:r>
      <w:r w:rsidR="00E53F99">
        <w:t xml:space="preserve"> the most up-to-date version of the template from</w:t>
      </w:r>
      <w:r w:rsidR="00E5124B">
        <w:t xml:space="preserve"> the website. Proponents</w:t>
      </w:r>
      <w:r w:rsidR="00E53F99">
        <w:t xml:space="preserve"> should not alter the template in any way. All questions must be answered. If a pa</w:t>
      </w:r>
      <w:r w:rsidR="002F5307">
        <w:t xml:space="preserve">rticular action is dependent on an outstanding event or approval </w:t>
      </w:r>
      <w:r w:rsidR="00E5124B">
        <w:t>proponents</w:t>
      </w:r>
      <w:r w:rsidR="002F5307">
        <w:t xml:space="preserve"> should note this in a covering email rather than in the plan itself.</w:t>
      </w:r>
      <w:r>
        <w:t xml:space="preserve"> </w:t>
      </w:r>
      <w:r w:rsidR="002F5307">
        <w:t xml:space="preserve">Draft </w:t>
      </w:r>
      <w:r>
        <w:t xml:space="preserve">AIP </w:t>
      </w:r>
      <w:proofErr w:type="gramStart"/>
      <w:r>
        <w:t xml:space="preserve">plans  </w:t>
      </w:r>
      <w:r w:rsidR="002F5307">
        <w:t>should</w:t>
      </w:r>
      <w:proofErr w:type="gramEnd"/>
      <w:r w:rsidR="002F5307">
        <w:t xml:space="preserve"> </w:t>
      </w:r>
      <w:r>
        <w:t xml:space="preserve">be submitted to the AIP Authority </w:t>
      </w:r>
      <w:r w:rsidR="002E051E">
        <w:t>through:</w:t>
      </w:r>
    </w:p>
    <w:p w14:paraId="6E4A6A93" w14:textId="77777777" w:rsidR="002E051E" w:rsidRPr="002474FF" w:rsidRDefault="002E051E" w:rsidP="00855F20">
      <w:r w:rsidRPr="002474FF">
        <w:t>Email:</w:t>
      </w:r>
      <w:r w:rsidRPr="002474FF">
        <w:tab/>
      </w:r>
      <w:r w:rsidRPr="002474FF">
        <w:tab/>
      </w:r>
      <w:hyperlink r:id="rId24" w:tooltip="Email AIP" w:history="1">
        <w:r w:rsidR="00BF04AB" w:rsidRPr="00131FA3">
          <w:rPr>
            <w:rStyle w:val="Hyperlink"/>
          </w:rPr>
          <w:t>aip@industry.gov.au</w:t>
        </w:r>
      </w:hyperlink>
    </w:p>
    <w:p w14:paraId="4757BF56" w14:textId="77777777" w:rsidR="00BF04AB" w:rsidRDefault="002E051E" w:rsidP="002474FF">
      <w:pPr>
        <w:pStyle w:val="Nospace"/>
      </w:pPr>
      <w:r w:rsidRPr="002474FF">
        <w:t>Mail:</w:t>
      </w:r>
      <w:r w:rsidRPr="002474FF">
        <w:tab/>
      </w:r>
      <w:r w:rsidRPr="002474FF">
        <w:tab/>
      </w:r>
      <w:r w:rsidR="00B20E7F" w:rsidRPr="002474FF">
        <w:t>AIP Authority</w:t>
      </w:r>
    </w:p>
    <w:p w14:paraId="0C541CB7" w14:textId="78458070" w:rsidR="002E051E" w:rsidRPr="002474FF" w:rsidRDefault="00D152EC" w:rsidP="00BF04AB">
      <w:pPr>
        <w:pStyle w:val="Nospace"/>
        <w:ind w:left="720" w:firstLine="720"/>
      </w:pPr>
      <w:r>
        <w:t>GPO Box</w:t>
      </w:r>
      <w:r w:rsidR="00B20E7F">
        <w:t xml:space="preserve"> </w:t>
      </w:r>
      <w:r w:rsidR="002F5307">
        <w:t>2013</w:t>
      </w:r>
    </w:p>
    <w:p w14:paraId="11DE3D20" w14:textId="77777777" w:rsidR="002E051E" w:rsidRPr="002474FF" w:rsidRDefault="002E051E" w:rsidP="002474FF">
      <w:pPr>
        <w:pStyle w:val="Nospace"/>
      </w:pPr>
      <w:r w:rsidRPr="002474FF">
        <w:tab/>
      </w:r>
      <w:r w:rsidRPr="002474FF">
        <w:tab/>
      </w:r>
      <w:proofErr w:type="gramStart"/>
      <w:r w:rsidR="00B20E7F">
        <w:t xml:space="preserve">CANBERRA </w:t>
      </w:r>
      <w:r w:rsidR="00D152EC">
        <w:t xml:space="preserve"> </w:t>
      </w:r>
      <w:r w:rsidR="00B20E7F">
        <w:t>ACT</w:t>
      </w:r>
      <w:proofErr w:type="gramEnd"/>
      <w:r w:rsidR="00D152EC">
        <w:t xml:space="preserve"> </w:t>
      </w:r>
      <w:r w:rsidR="00B20E7F">
        <w:t xml:space="preserve"> 2601</w:t>
      </w:r>
    </w:p>
    <w:p w14:paraId="15DBA149" w14:textId="77777777" w:rsidR="001F6E7D" w:rsidRDefault="001F6E7D" w:rsidP="005230AB">
      <w:pPr>
        <w:pStyle w:val="Heading3"/>
      </w:pPr>
      <w:bookmarkStart w:id="31" w:name="_Toc372705323"/>
      <w:r>
        <w:t>AIP plan assessment and approval</w:t>
      </w:r>
      <w:bookmarkEnd w:id="31"/>
    </w:p>
    <w:p w14:paraId="25C72AE3" w14:textId="48FE4D67" w:rsidR="001F6E7D" w:rsidRDefault="00711864" w:rsidP="001F6E7D">
      <w:r>
        <w:t xml:space="preserve">Project proponents must submit their draft AIP plan to the AIP Authority to gain approval. Upon receipt of a draft AIP plan the AIP Authority has </w:t>
      </w:r>
      <w:r w:rsidR="00E5124B">
        <w:t xml:space="preserve">up to </w:t>
      </w:r>
      <w:r>
        <w:t>30 days to approve or refuse to approve the AIP plan.</w:t>
      </w:r>
      <w:r w:rsidR="007B3D6D">
        <w:t xml:space="preserve"> During this period the AIP Authority may contact project proponents to </w:t>
      </w:r>
      <w:r w:rsidR="00E5124B">
        <w:t xml:space="preserve">seek further clarification </w:t>
      </w:r>
      <w:r w:rsidR="006D2F73">
        <w:t xml:space="preserve">or adjustment </w:t>
      </w:r>
      <w:r w:rsidR="00E5124B">
        <w:t xml:space="preserve">of any aspects of the AIP plan. </w:t>
      </w:r>
    </w:p>
    <w:p w14:paraId="64C5173C" w14:textId="3B03812C" w:rsidR="00711864" w:rsidRDefault="00711864" w:rsidP="001F6E7D">
      <w:r>
        <w:t>A draft AIP plan will not be approved if the AIP plan does not comply with the AIP plan rules specified in the</w:t>
      </w:r>
      <w:r w:rsidR="00125FC5">
        <w:t xml:space="preserve"> Jobs</w:t>
      </w:r>
      <w:r>
        <w:t xml:space="preserve"> Act. Adequately addressing all mandatory obligations requested in the AIP plan template will assist </w:t>
      </w:r>
      <w:r w:rsidR="00846E56">
        <w:t>project proponents and/or operators</w:t>
      </w:r>
      <w:r>
        <w:t xml:space="preserve"> with complying with the AIP plan rules.</w:t>
      </w:r>
    </w:p>
    <w:p w14:paraId="781951A7" w14:textId="77777777" w:rsidR="00A8524F" w:rsidRDefault="00A8524F" w:rsidP="001F6E7D">
      <w:r>
        <w:t xml:space="preserve">If a draft AIP plan is approved by the AIP Authority </w:t>
      </w:r>
      <w:r w:rsidR="00846E56">
        <w:t>project proponents and/or operators</w:t>
      </w:r>
      <w:r>
        <w:t xml:space="preserve"> will receive a written notice setting out the decision.</w:t>
      </w:r>
    </w:p>
    <w:p w14:paraId="7E5E7358" w14:textId="77777777" w:rsidR="00A8524F" w:rsidRDefault="00A8524F" w:rsidP="001F6E7D">
      <w:r>
        <w:t>If the draft AIP plan is not approved by the AIP Authority</w:t>
      </w:r>
      <w:r w:rsidR="00846E56">
        <w:t>,</w:t>
      </w:r>
      <w:r>
        <w:t xml:space="preserve"> </w:t>
      </w:r>
      <w:r w:rsidR="00846E56">
        <w:t>project proponents and/or operators</w:t>
      </w:r>
      <w:r>
        <w:t xml:space="preserve"> will be required to develop a revised draft AIP plan which complies with the AIP plan rules</w:t>
      </w:r>
      <w:r w:rsidR="007B3D6D">
        <w:t>. The revised AIP plan will be required to be</w:t>
      </w:r>
      <w:r>
        <w:t xml:space="preserve"> provide</w:t>
      </w:r>
      <w:r w:rsidR="007B3D6D">
        <w:t>d</w:t>
      </w:r>
      <w:r>
        <w:t xml:space="preserve"> to the AIP Authority within 30 days of receiving notification.</w:t>
      </w:r>
      <w:r w:rsidRPr="00A8524F">
        <w:t xml:space="preserve"> </w:t>
      </w:r>
      <w:r>
        <w:t>Upon receipt of a revised draft AIP plan the AIP Authority has 30 days to approve the AIP plan.</w:t>
      </w:r>
    </w:p>
    <w:p w14:paraId="087BE498" w14:textId="77777777" w:rsidR="001F6E7D" w:rsidRDefault="001F6E7D" w:rsidP="005230AB">
      <w:pPr>
        <w:pStyle w:val="Heading3"/>
      </w:pPr>
      <w:bookmarkStart w:id="32" w:name="_Toc372705324"/>
      <w:r>
        <w:t>Publication of AIP plan</w:t>
      </w:r>
      <w:r w:rsidR="00AE46A7">
        <w:t xml:space="preserve"> Summarie</w:t>
      </w:r>
      <w:r>
        <w:t>s</w:t>
      </w:r>
      <w:bookmarkEnd w:id="32"/>
    </w:p>
    <w:p w14:paraId="13FD44CF" w14:textId="77777777" w:rsidR="001F6E7D" w:rsidRDefault="00AE46A7" w:rsidP="001F6E7D">
      <w:r>
        <w:t xml:space="preserve">Along with an AIP plan project proponents </w:t>
      </w:r>
      <w:r w:rsidR="00846E56">
        <w:t xml:space="preserve">and/or operators </w:t>
      </w:r>
      <w:r>
        <w:t xml:space="preserve">are also required to develop an AIP plan Summary. </w:t>
      </w:r>
      <w:r w:rsidR="00C7784D">
        <w:t>The AIP plan Summary must be submitted at the same time as the draft AIP plan and</w:t>
      </w:r>
      <w:r>
        <w:t xml:space="preserve"> is required to be published </w:t>
      </w:r>
      <w:r w:rsidR="00A63E0C">
        <w:t>on the AIP Authority’s website.</w:t>
      </w:r>
    </w:p>
    <w:p w14:paraId="76456567" w14:textId="61B83514" w:rsidR="00C7784D" w:rsidRDefault="00C7784D" w:rsidP="001F6E7D">
      <w:r>
        <w:t>The AIP plan Summary must be submitted on the approved template</w:t>
      </w:r>
      <w:r w:rsidR="00612AEB">
        <w:t>s</w:t>
      </w:r>
      <w:r>
        <w:t xml:space="preserve"> available </w:t>
      </w:r>
      <w:r w:rsidRPr="00855F20">
        <w:t xml:space="preserve">at </w:t>
      </w:r>
      <w:hyperlink r:id="rId25" w:tooltip="Link to AIP website" w:history="1">
        <w:r w:rsidR="00944058" w:rsidRPr="00572820">
          <w:rPr>
            <w:rStyle w:val="Hyperlink"/>
          </w:rPr>
          <w:t>www.industry.gov.au/aip</w:t>
        </w:r>
      </w:hyperlink>
      <w:r w:rsidRPr="00855F20">
        <w:t>.</w:t>
      </w:r>
    </w:p>
    <w:p w14:paraId="5F502710" w14:textId="77777777" w:rsidR="00A63E0C" w:rsidRDefault="00A63E0C" w:rsidP="001F6E7D">
      <w:r>
        <w:lastRenderedPageBreak/>
        <w:t xml:space="preserve">The AIP plan Summary </w:t>
      </w:r>
      <w:r w:rsidR="005673C9">
        <w:t xml:space="preserve">must </w:t>
      </w:r>
      <w:r>
        <w:t>include details of actions under each of the AIP plan criteria, specifically incorporating:</w:t>
      </w:r>
    </w:p>
    <w:p w14:paraId="20F77A64" w14:textId="72D924AB" w:rsidR="006C033D" w:rsidRDefault="006D2F73" w:rsidP="006C033D">
      <w:pPr>
        <w:pStyle w:val="Bullets"/>
      </w:pPr>
      <w:r>
        <w:t>the</w:t>
      </w:r>
      <w:r w:rsidRPr="006C033D">
        <w:t xml:space="preserve"> </w:t>
      </w:r>
      <w:r w:rsidR="006C033D" w:rsidRPr="006C033D">
        <w:t>description of the project</w:t>
      </w:r>
      <w:r w:rsidR="00280D8D">
        <w:t xml:space="preserve"> and/or facility</w:t>
      </w:r>
    </w:p>
    <w:p w14:paraId="511EFF2E" w14:textId="4A1BE297" w:rsidR="006C033D" w:rsidRDefault="006D2F73" w:rsidP="006C033D">
      <w:pPr>
        <w:pStyle w:val="Bullets"/>
      </w:pPr>
      <w:r>
        <w:t xml:space="preserve">the </w:t>
      </w:r>
      <w:r w:rsidR="00BC59DD">
        <w:t xml:space="preserve">indicative list </w:t>
      </w:r>
      <w:r w:rsidR="006C033D">
        <w:t xml:space="preserve">of </w:t>
      </w:r>
      <w:r w:rsidR="009C1529">
        <w:t>opportunities likely to arise</w:t>
      </w:r>
      <w:r w:rsidR="006C033D">
        <w:t xml:space="preserve"> </w:t>
      </w:r>
      <w:r w:rsidR="00BC59DD">
        <w:t>in</w:t>
      </w:r>
      <w:r w:rsidR="006C033D">
        <w:t xml:space="preserve"> the project</w:t>
      </w:r>
      <w:r w:rsidR="00152F23">
        <w:t xml:space="preserve"> and/or the initial operations of the facility</w:t>
      </w:r>
    </w:p>
    <w:p w14:paraId="2D307209" w14:textId="77777777" w:rsidR="006C033D" w:rsidRPr="006C033D" w:rsidRDefault="006C033D" w:rsidP="006C033D">
      <w:pPr>
        <w:pStyle w:val="Bullets"/>
      </w:pPr>
      <w:r>
        <w:t xml:space="preserve">Details of websites where project </w:t>
      </w:r>
      <w:r w:rsidR="00280D8D">
        <w:t xml:space="preserve">and/or facility </w:t>
      </w:r>
      <w:r>
        <w:t>information can be found</w:t>
      </w:r>
    </w:p>
    <w:p w14:paraId="36939372" w14:textId="77777777" w:rsidR="00A63E0C" w:rsidRPr="00280D8D" w:rsidRDefault="00280D8D" w:rsidP="00280D8D">
      <w:pPr>
        <w:pStyle w:val="Bullets"/>
      </w:pPr>
      <w:r w:rsidRPr="00280D8D">
        <w:t>Standards to be used</w:t>
      </w:r>
      <w:r w:rsidR="00846E56">
        <w:t xml:space="preserve"> in the project and/or initial operations of the facility</w:t>
      </w:r>
    </w:p>
    <w:p w14:paraId="568C3D87" w14:textId="77777777" w:rsidR="00A63E0C" w:rsidRPr="00280D8D" w:rsidRDefault="00280D8D" w:rsidP="00280D8D">
      <w:pPr>
        <w:pStyle w:val="Bullets"/>
      </w:pPr>
      <w:r w:rsidRPr="00280D8D">
        <w:t>Summary of activities to be undertaken by the project proponent and/or operator</w:t>
      </w:r>
    </w:p>
    <w:p w14:paraId="5D2137F6" w14:textId="77777777" w:rsidR="00A63E0C" w:rsidRPr="00280D8D" w:rsidRDefault="00280D8D" w:rsidP="00280D8D">
      <w:pPr>
        <w:pStyle w:val="Bullets"/>
      </w:pPr>
      <w:r w:rsidRPr="00280D8D">
        <w:t>Summary of activities to be undertaken by the procurement entities</w:t>
      </w:r>
      <w:r w:rsidR="00846E56">
        <w:t xml:space="preserve"> in the project and/or initial operations of the facility</w:t>
      </w:r>
    </w:p>
    <w:p w14:paraId="5E6CC2FD" w14:textId="77777777" w:rsidR="008B4E98" w:rsidRPr="0095147E" w:rsidRDefault="008B4E98" w:rsidP="0095147E">
      <w:r>
        <w:t xml:space="preserve">AIP </w:t>
      </w:r>
      <w:r w:rsidRPr="0095147E">
        <w:t>plan Summaries will not be required to include any commercially sensitive information.</w:t>
      </w:r>
    </w:p>
    <w:p w14:paraId="0D814FF6" w14:textId="77777777" w:rsidR="00A63E0C" w:rsidRDefault="00A63E0C" w:rsidP="0095147E">
      <w:r w:rsidRPr="0095147E">
        <w:t xml:space="preserve">Further information on developing an AIP plan Summary can be found in </w:t>
      </w:r>
      <w:r w:rsidR="009C746B" w:rsidRPr="0095147E">
        <w:t>‘</w:t>
      </w:r>
      <w:r w:rsidRPr="0095147E">
        <w:t>AIP plan Summary</w:t>
      </w:r>
      <w:r w:rsidR="009C746B" w:rsidRPr="0095147E">
        <w:t>’</w:t>
      </w:r>
      <w:r w:rsidRPr="0095147E">
        <w:t xml:space="preserve"> on page </w:t>
      </w:r>
      <w:r w:rsidR="00355322" w:rsidRPr="0095147E">
        <w:t>3</w:t>
      </w:r>
      <w:r w:rsidR="001C08F5" w:rsidRPr="0095147E">
        <w:t>1</w:t>
      </w:r>
      <w:r w:rsidRPr="0095147E">
        <w:t xml:space="preserve"> of this </w:t>
      </w:r>
      <w:r w:rsidR="0031309A" w:rsidRPr="0095147E">
        <w:t>U</w:t>
      </w:r>
      <w:r w:rsidRPr="0095147E">
        <w:t xml:space="preserve">ser </w:t>
      </w:r>
      <w:r w:rsidR="0031309A" w:rsidRPr="0095147E">
        <w:t>G</w:t>
      </w:r>
      <w:r w:rsidRPr="0095147E">
        <w:t>uide</w:t>
      </w:r>
      <w:r>
        <w:t>.</w:t>
      </w:r>
    </w:p>
    <w:p w14:paraId="34E540FF" w14:textId="77777777" w:rsidR="004C28FC" w:rsidRDefault="004C28FC" w:rsidP="005230AB">
      <w:pPr>
        <w:pStyle w:val="Heading3"/>
      </w:pPr>
      <w:bookmarkStart w:id="33" w:name="_Toc372705325"/>
      <w:r>
        <w:t>Duration of approved AIP plans</w:t>
      </w:r>
      <w:bookmarkEnd w:id="33"/>
    </w:p>
    <w:p w14:paraId="59FB4C0E" w14:textId="77777777" w:rsidR="004C28FC" w:rsidRDefault="004C28FC" w:rsidP="00A63E0C">
      <w:r>
        <w:t xml:space="preserve">If a project involves establishing a new facility, an approved AIP plan for the project comes into force when the AIP Authority approves the AIP plan and </w:t>
      </w:r>
      <w:r w:rsidR="008C5324">
        <w:t>continues until the end of the two</w:t>
      </w:r>
      <w:r>
        <w:t> year period beginning when the project is completed.</w:t>
      </w:r>
    </w:p>
    <w:p w14:paraId="18A191A0" w14:textId="77777777" w:rsidR="004C28FC" w:rsidRDefault="004C28FC" w:rsidP="00A63E0C">
      <w:r>
        <w:t>If a project does not involve establishing a new facility, an approved AIP plan for the project comes into force when the AIP Authority approves the AIP plan and continues until the project is completed.</w:t>
      </w:r>
    </w:p>
    <w:p w14:paraId="095C671E" w14:textId="77777777" w:rsidR="001F6E7D" w:rsidRDefault="00DA2ABB" w:rsidP="005230AB">
      <w:pPr>
        <w:pStyle w:val="Heading3"/>
      </w:pPr>
      <w:bookmarkStart w:id="34" w:name="_Toc372705326"/>
      <w:r>
        <w:t>Record Keeping</w:t>
      </w:r>
      <w:bookmarkEnd w:id="34"/>
    </w:p>
    <w:p w14:paraId="38ECA205" w14:textId="77777777" w:rsidR="00DA2ABB" w:rsidRPr="00855F20" w:rsidRDefault="001428EB" w:rsidP="001F6E7D">
      <w:r>
        <w:t xml:space="preserve">To assist project proponents and/or operators to report on the implementation of their AIP plans, it is important that project proponents and/or operators keep records demonstrating that the actions in the AIP plan have been implemented. Project proponents and/or operators </w:t>
      </w:r>
      <w:r w:rsidRPr="00855F20">
        <w:t>are strongly encouraged to have systems in place to collect this information and evidence (e.g. databases recording the number</w:t>
      </w:r>
      <w:r w:rsidR="00846E56" w:rsidRPr="00855F20">
        <w:t>,</w:t>
      </w:r>
      <w:r w:rsidRPr="00855F20">
        <w:t xml:space="preserve"> and description</w:t>
      </w:r>
      <w:r w:rsidR="00846E56" w:rsidRPr="00855F20">
        <w:t>,</w:t>
      </w:r>
      <w:r w:rsidRPr="00855F20">
        <w:t xml:space="preserve"> of companies attending supplier information sessions). For further information see </w:t>
      </w:r>
      <w:r w:rsidR="00355322" w:rsidRPr="00855F20">
        <w:t xml:space="preserve">‘B.6 – </w:t>
      </w:r>
      <w:r w:rsidRPr="00855F20">
        <w:t>Implementation Resources</w:t>
      </w:r>
      <w:r w:rsidR="00355322" w:rsidRPr="00855F20">
        <w:t>’</w:t>
      </w:r>
      <w:r w:rsidRPr="00855F20">
        <w:t xml:space="preserve"> on page </w:t>
      </w:r>
      <w:r w:rsidR="00355322" w:rsidRPr="00855F20">
        <w:t>2</w:t>
      </w:r>
      <w:r w:rsidR="001C08F5" w:rsidRPr="00855F20">
        <w:t>6</w:t>
      </w:r>
      <w:r w:rsidRPr="00855F20">
        <w:t xml:space="preserve"> for the project phase or </w:t>
      </w:r>
      <w:r w:rsidR="00355322" w:rsidRPr="00855F20">
        <w:t xml:space="preserve">‘C.7 – Implementation Resources’ on </w:t>
      </w:r>
      <w:r w:rsidRPr="00855F20">
        <w:t xml:space="preserve">page </w:t>
      </w:r>
      <w:r w:rsidR="00355322" w:rsidRPr="00855F20">
        <w:t>2</w:t>
      </w:r>
      <w:r w:rsidR="001C08F5" w:rsidRPr="00855F20">
        <w:t>9</w:t>
      </w:r>
      <w:r w:rsidRPr="00855F20">
        <w:t xml:space="preserve"> for the operations phase.</w:t>
      </w:r>
    </w:p>
    <w:p w14:paraId="69107587" w14:textId="77777777" w:rsidR="001E309E" w:rsidRDefault="001E309E" w:rsidP="001F6E7D">
      <w:r>
        <w:t xml:space="preserve">The project proponent and/or operator must keep such records as are reasonably necessary to enable the AIP Authority to ascertain </w:t>
      </w:r>
      <w:r w:rsidR="004930C4">
        <w:t xml:space="preserve">compliance with </w:t>
      </w:r>
      <w:r>
        <w:t>Part B and/or Part C of the AIP plan</w:t>
      </w:r>
      <w:r w:rsidR="004930C4">
        <w:t>,</w:t>
      </w:r>
      <w:r>
        <w:t xml:space="preserve"> and retain those records for five years.</w:t>
      </w:r>
    </w:p>
    <w:p w14:paraId="3779A279" w14:textId="153D490E" w:rsidR="00D57420" w:rsidRDefault="009A32BC" w:rsidP="005230AB">
      <w:pPr>
        <w:pStyle w:val="Heading3"/>
      </w:pPr>
      <w:bookmarkStart w:id="35" w:name="_Toc372705327"/>
      <w:r>
        <w:t>Changing or r</w:t>
      </w:r>
      <w:r w:rsidR="00D57420">
        <w:t>eplacing an AIP plan</w:t>
      </w:r>
      <w:bookmarkEnd w:id="35"/>
    </w:p>
    <w:p w14:paraId="177F2E00" w14:textId="2298B7F9" w:rsidR="009A32BC" w:rsidRDefault="009A32BC" w:rsidP="009467BD">
      <w:r>
        <w:t xml:space="preserve">There may be changes to the information </w:t>
      </w:r>
      <w:r w:rsidR="00510F9C">
        <w:t xml:space="preserve">provided in an AIP plan after it is approved. This could include changes to the project proponent details, project details, project contact officer details or project website addresses. Proponents and operators should contact the AIP Authority whenever changes occur and seek advice on how to manage them. Minor administrative changes will generally not require the AIP plan to be </w:t>
      </w:r>
      <w:r w:rsidR="00D73A92">
        <w:t>replaced</w:t>
      </w:r>
      <w:r w:rsidR="00510F9C">
        <w:t xml:space="preserve">. They may be reported in subsequent compliance reports and the AIP plan summaries may be updated. </w:t>
      </w:r>
    </w:p>
    <w:p w14:paraId="505ABB0C" w14:textId="6DF01BBD" w:rsidR="00682ADC" w:rsidRDefault="00682ADC" w:rsidP="009467BD">
      <w:r>
        <w:lastRenderedPageBreak/>
        <w:t>Where a project has not yet been completed the p</w:t>
      </w:r>
      <w:r w:rsidR="004C28FC">
        <w:t xml:space="preserve">roject proponent may </w:t>
      </w:r>
      <w:r>
        <w:t xml:space="preserve">submit a draft AIP plan with the intention of </w:t>
      </w:r>
      <w:r w:rsidR="004C28FC">
        <w:t>replac</w:t>
      </w:r>
      <w:r>
        <w:t>ing</w:t>
      </w:r>
      <w:r w:rsidR="004C28FC">
        <w:t xml:space="preserve"> the approved AIP plan</w:t>
      </w:r>
      <w:r>
        <w:t>. This may occur in circumstances</w:t>
      </w:r>
      <w:r w:rsidR="00604A74">
        <w:t xml:space="preserve"> where the project has materially changed so that the approved AIP plan is no longer suitable or meets the new project requirements</w:t>
      </w:r>
      <w:r w:rsidR="00DD58F4">
        <w:t xml:space="preserve"> or where there are changes to the AIP activities. </w:t>
      </w:r>
    </w:p>
    <w:p w14:paraId="43C692F3" w14:textId="77777777" w:rsidR="00682ADC" w:rsidRDefault="00682ADC" w:rsidP="009467BD">
      <w:r>
        <w:t>On completion of the construction phase of a project, the o</w:t>
      </w:r>
      <w:r w:rsidR="00604A74">
        <w:t>perator</w:t>
      </w:r>
      <w:r>
        <w:t xml:space="preserve"> of the new facility</w:t>
      </w:r>
      <w:r w:rsidR="00604A74">
        <w:t xml:space="preserve"> may </w:t>
      </w:r>
      <w:r>
        <w:t xml:space="preserve">submit a new draft </w:t>
      </w:r>
      <w:r w:rsidR="00604A74">
        <w:t xml:space="preserve">AIP plan </w:t>
      </w:r>
      <w:r>
        <w:t xml:space="preserve">in replacement of the AIP plan approved by the </w:t>
      </w:r>
      <w:r w:rsidR="00457A8B">
        <w:t xml:space="preserve">AIP </w:t>
      </w:r>
      <w:r>
        <w:t>Authority</w:t>
      </w:r>
      <w:r w:rsidR="00604A74">
        <w:t>.</w:t>
      </w:r>
      <w:r>
        <w:t xml:space="preserve"> Replacement of an approved AIP plan may be required if the operator has different procurement practices and is unable to fulfil the steps from the project proponent that developed the original AIP plan.</w:t>
      </w:r>
    </w:p>
    <w:p w14:paraId="34005B14" w14:textId="2F6526BC" w:rsidR="009467BD" w:rsidRDefault="004C28FC" w:rsidP="009467BD">
      <w:r>
        <w:t>A replacement AIP plan will undergo the same review and approval process as a draft AIP plan. Further information on replacing an approved AIP plan can be obtained by contacting the AIP Authority</w:t>
      </w:r>
      <w:r w:rsidRPr="00855F20">
        <w:t>.</w:t>
      </w:r>
    </w:p>
    <w:p w14:paraId="7BDCD4FA" w14:textId="392BA636" w:rsidR="00D73A92" w:rsidRDefault="00D73A92" w:rsidP="009A32BC">
      <w:bookmarkStart w:id="36" w:name="_Toc372705328"/>
      <w:r>
        <w:t xml:space="preserve">If a project with an </w:t>
      </w:r>
      <w:r w:rsidR="00C058F6">
        <w:t xml:space="preserve">approved </w:t>
      </w:r>
      <w:r>
        <w:t xml:space="preserve">AIP plan is abandoned or cancelled, the nominated project proponent must advise the AIP Authority of the cancellation within 60 days. The AIP Authority may ask for evidence of the cancellation such as media or ASX releases. Once cancellation is confirmed, the AIP plan ceases to be in force and the AIP plan summaries will be removed from the AIP Authority website. </w:t>
      </w:r>
    </w:p>
    <w:p w14:paraId="55F5FAA0" w14:textId="6251D9F6" w:rsidR="009A32BC" w:rsidRDefault="00593655" w:rsidP="009A32BC">
      <w:r>
        <w:t xml:space="preserve">If a project with an approved AIP plan is placed on hold or delayed the AIP plan will remain in force. </w:t>
      </w:r>
    </w:p>
    <w:p w14:paraId="103A59A7" w14:textId="77777777" w:rsidR="00486D62" w:rsidRDefault="00486D62">
      <w:pPr>
        <w:spacing w:before="0" w:after="0"/>
        <w:rPr>
          <w:rFonts w:cs="Arial"/>
          <w:b/>
          <w:bCs/>
          <w:iCs/>
          <w:sz w:val="36"/>
          <w:szCs w:val="28"/>
        </w:rPr>
      </w:pPr>
      <w:bookmarkStart w:id="37" w:name="_Toc372705329"/>
      <w:bookmarkEnd w:id="36"/>
      <w:r>
        <w:br w:type="page"/>
      </w:r>
    </w:p>
    <w:p w14:paraId="1C826544" w14:textId="23DDD4D3" w:rsidR="001F6E7D" w:rsidRDefault="0068664A" w:rsidP="001F6E7D">
      <w:pPr>
        <w:pStyle w:val="Heading2"/>
      </w:pPr>
      <w:r>
        <w:lastRenderedPageBreak/>
        <w:t>Detailed AIP p</w:t>
      </w:r>
      <w:r w:rsidR="001F6E7D">
        <w:t>lan Criteria</w:t>
      </w:r>
      <w:bookmarkEnd w:id="37"/>
    </w:p>
    <w:p w14:paraId="5173B207" w14:textId="77777777" w:rsidR="008741D2" w:rsidRDefault="008741D2" w:rsidP="005230AB">
      <w:pPr>
        <w:pStyle w:val="Heading3"/>
      </w:pPr>
      <w:bookmarkStart w:id="38" w:name="_Toc372705330"/>
      <w:r>
        <w:t xml:space="preserve">Part </w:t>
      </w:r>
      <w:proofErr w:type="gramStart"/>
      <w:r>
        <w:t>A</w:t>
      </w:r>
      <w:proofErr w:type="gramEnd"/>
      <w:r>
        <w:t xml:space="preserve"> – Title</w:t>
      </w:r>
      <w:bookmarkEnd w:id="38"/>
    </w:p>
    <w:p w14:paraId="5E818597" w14:textId="592AFCB3" w:rsidR="00E03F9C" w:rsidRPr="00E03F9C" w:rsidRDefault="00E03F9C" w:rsidP="00E03F9C">
      <w:r>
        <w:t>Part A of the AIP plan is required to be completed for all projects developing an AIP plan in accordance with the</w:t>
      </w:r>
      <w:r w:rsidR="00125FC5">
        <w:t xml:space="preserve"> Jobs</w:t>
      </w:r>
      <w:r>
        <w:t xml:space="preserve"> Act.</w:t>
      </w:r>
    </w:p>
    <w:p w14:paraId="29EEE3E6" w14:textId="77777777" w:rsidR="008741D2" w:rsidRDefault="00087D38" w:rsidP="008741D2">
      <w:pPr>
        <w:pStyle w:val="Heading4"/>
      </w:pPr>
      <w:bookmarkStart w:id="39" w:name="_Toc372705331"/>
      <w:r>
        <w:t xml:space="preserve">A.1 – </w:t>
      </w:r>
      <w:r w:rsidR="008741D2">
        <w:t>Project Proponent Details</w:t>
      </w:r>
      <w:bookmarkEnd w:id="39"/>
    </w:p>
    <w:p w14:paraId="4CA9B390" w14:textId="4C20DBC1" w:rsidR="00747D1E" w:rsidRDefault="008E68ED" w:rsidP="008741D2">
      <w:r>
        <w:t xml:space="preserve">Provide details of the </w:t>
      </w:r>
      <w:r w:rsidR="00CC2360">
        <w:t>nominated</w:t>
      </w:r>
      <w:r>
        <w:t xml:space="preserve"> project proponent responsible for developing the AIP plan for the project and the contact details of the relevant contact officer.</w:t>
      </w:r>
      <w:r w:rsidR="0017772E">
        <w:t xml:space="preserve"> The details of this contact officer will not be published and are for the AIP Authority’s use only.</w:t>
      </w:r>
      <w:r w:rsidR="00C7784D">
        <w:t xml:space="preserve"> The project contact person must be an employee of the project proponent and not an external person or agent.</w:t>
      </w:r>
    </w:p>
    <w:p w14:paraId="255A8051" w14:textId="064E9DA0" w:rsidR="00A96672" w:rsidRDefault="00A96672" w:rsidP="008741D2">
      <w:r>
        <w:t xml:space="preserve">In the case of a project with multiple project proponents the </w:t>
      </w:r>
      <w:r w:rsidR="00CC2360">
        <w:t>nominated</w:t>
      </w:r>
      <w:r>
        <w:t xml:space="preserve"> project proponent is the project proponent with overall responsibility for developing the AIP plan for the project on-behalf-of all project proponents.</w:t>
      </w:r>
    </w:p>
    <w:p w14:paraId="1BF97793" w14:textId="1FE66EFA" w:rsidR="008E68ED" w:rsidRDefault="008E68ED" w:rsidP="008741D2">
      <w:r>
        <w:t xml:space="preserve">Where applicable, details </w:t>
      </w:r>
      <w:r w:rsidR="005673C9">
        <w:t xml:space="preserve">must </w:t>
      </w:r>
      <w:r>
        <w:t>also be provided for all other project proponents involved in the project which have discharged their AIP plan development responsibilities to the designated project proponent.</w:t>
      </w:r>
    </w:p>
    <w:p w14:paraId="4C6CF534" w14:textId="77777777" w:rsidR="00E56DBD" w:rsidRDefault="00E56DBD" w:rsidP="008741D2">
      <w:r>
        <w:t xml:space="preserve">In addressing the question regarding </w:t>
      </w:r>
      <w:r w:rsidRPr="00E56DBD">
        <w:rPr>
          <w:rStyle w:val="Strong"/>
        </w:rPr>
        <w:t>project proponent/s type</w:t>
      </w:r>
      <w:r>
        <w:t xml:space="preserve"> project proponents should consider the nature of the relationship between the project proponents for the project, i.e. single company, partnership, incorporated joint venture, unincorporated joint venture or public private partnership.</w:t>
      </w:r>
      <w:r w:rsidR="005E15D5">
        <w:t xml:space="preserve"> Guidance to assist in determining the project proponent/s type can be found at </w:t>
      </w:r>
      <w:r w:rsidR="005E15D5" w:rsidRPr="005E15D5">
        <w:rPr>
          <w:rStyle w:val="Strong"/>
        </w:rPr>
        <w:t>Attachment B</w:t>
      </w:r>
      <w:r w:rsidR="005E15D5">
        <w:t>.</w:t>
      </w:r>
    </w:p>
    <w:p w14:paraId="404DFE85" w14:textId="77777777" w:rsidR="008741D2" w:rsidRDefault="00087D38" w:rsidP="008741D2">
      <w:pPr>
        <w:pStyle w:val="Heading4"/>
      </w:pPr>
      <w:bookmarkStart w:id="40" w:name="_Toc372705332"/>
      <w:r>
        <w:t xml:space="preserve">A.2 – </w:t>
      </w:r>
      <w:r w:rsidR="008741D2">
        <w:t>Project Details</w:t>
      </w:r>
      <w:bookmarkEnd w:id="40"/>
    </w:p>
    <w:p w14:paraId="0B29FF2C" w14:textId="77777777" w:rsidR="00747D1E" w:rsidRPr="00747D1E" w:rsidRDefault="00747D1E" w:rsidP="008741D2">
      <w:pPr>
        <w:rPr>
          <w:rStyle w:val="Strong"/>
        </w:rPr>
      </w:pPr>
      <w:r w:rsidRPr="00747D1E">
        <w:rPr>
          <w:rStyle w:val="Strong"/>
        </w:rPr>
        <w:t>Project name</w:t>
      </w:r>
    </w:p>
    <w:p w14:paraId="652F0011" w14:textId="77777777" w:rsidR="00747D1E" w:rsidRDefault="00747D1E" w:rsidP="008741D2">
      <w:r>
        <w:t>Provide the name of the project.</w:t>
      </w:r>
    </w:p>
    <w:p w14:paraId="57227825" w14:textId="77777777" w:rsidR="00747D1E" w:rsidRPr="00747D1E" w:rsidRDefault="00747D1E" w:rsidP="008741D2">
      <w:pPr>
        <w:rPr>
          <w:rStyle w:val="Strong"/>
        </w:rPr>
      </w:pPr>
      <w:r w:rsidRPr="00747D1E">
        <w:rPr>
          <w:rStyle w:val="Strong"/>
        </w:rPr>
        <w:t>Project location</w:t>
      </w:r>
    </w:p>
    <w:p w14:paraId="606819D4" w14:textId="77777777" w:rsidR="00747D1E" w:rsidRDefault="00747D1E" w:rsidP="008741D2">
      <w:r>
        <w:t xml:space="preserve">Provide the </w:t>
      </w:r>
      <w:r w:rsidR="00DF47B5">
        <w:t xml:space="preserve">physical </w:t>
      </w:r>
      <w:r>
        <w:t>location of the project.</w:t>
      </w:r>
    </w:p>
    <w:p w14:paraId="14B3B38F" w14:textId="77777777" w:rsidR="00747D1E" w:rsidRPr="00747D1E" w:rsidRDefault="00747D1E" w:rsidP="008741D2">
      <w:pPr>
        <w:rPr>
          <w:rStyle w:val="Strong"/>
        </w:rPr>
      </w:pPr>
      <w:r w:rsidRPr="00747D1E">
        <w:rPr>
          <w:rStyle w:val="Strong"/>
        </w:rPr>
        <w:t>Total estimated project value</w:t>
      </w:r>
    </w:p>
    <w:p w14:paraId="4CFC2ABF" w14:textId="77777777" w:rsidR="00747D1E" w:rsidRDefault="00747D1E" w:rsidP="008741D2">
      <w:r>
        <w:t xml:space="preserve">Provide an estimate of the </w:t>
      </w:r>
      <w:r w:rsidR="00DF47B5">
        <w:t>total expenditure of a capital nature for</w:t>
      </w:r>
      <w:r>
        <w:t xml:space="preserve"> the project</w:t>
      </w:r>
      <w:r w:rsidR="00DF47B5">
        <w:t xml:space="preserve"> in Australian dollars (AUD)</w:t>
      </w:r>
      <w:r>
        <w:t>.</w:t>
      </w:r>
    </w:p>
    <w:p w14:paraId="0100CB44" w14:textId="77777777" w:rsidR="00747D1E" w:rsidRPr="00747D1E" w:rsidRDefault="00747D1E" w:rsidP="008741D2">
      <w:pPr>
        <w:rPr>
          <w:rStyle w:val="Strong"/>
        </w:rPr>
      </w:pPr>
      <w:r w:rsidRPr="00747D1E">
        <w:rPr>
          <w:rStyle w:val="Strong"/>
        </w:rPr>
        <w:t>Project type</w:t>
      </w:r>
    </w:p>
    <w:p w14:paraId="16829612" w14:textId="7DCCF852" w:rsidR="00747D1E" w:rsidRDefault="00747D1E" w:rsidP="008741D2">
      <w:r>
        <w:t>Indicate the</w:t>
      </w:r>
      <w:r w:rsidR="00F26686">
        <w:t xml:space="preserve"> principal</w:t>
      </w:r>
      <w:r>
        <w:t xml:space="preserve"> type of facility which is being </w:t>
      </w:r>
      <w:r w:rsidR="008E68ED">
        <w:t>established</w:t>
      </w:r>
      <w:r>
        <w:t xml:space="preserve">/upgraded as part of the project. </w:t>
      </w:r>
    </w:p>
    <w:p w14:paraId="3DAEC42A" w14:textId="77777777" w:rsidR="00747D1E" w:rsidRPr="00747D1E" w:rsidRDefault="00747D1E" w:rsidP="008741D2">
      <w:pPr>
        <w:rPr>
          <w:rStyle w:val="Strong"/>
        </w:rPr>
      </w:pPr>
      <w:r w:rsidRPr="00747D1E">
        <w:rPr>
          <w:rStyle w:val="Strong"/>
        </w:rPr>
        <w:t xml:space="preserve">Project </w:t>
      </w:r>
      <w:r w:rsidR="00A96672">
        <w:rPr>
          <w:rStyle w:val="Strong"/>
        </w:rPr>
        <w:t>description</w:t>
      </w:r>
    </w:p>
    <w:p w14:paraId="74A84DEE" w14:textId="15735AD0" w:rsidR="00747D1E" w:rsidRDefault="00747D1E" w:rsidP="008741D2">
      <w:r>
        <w:t xml:space="preserve">Provide a </w:t>
      </w:r>
      <w:r w:rsidR="00F26686">
        <w:t xml:space="preserve">full </w:t>
      </w:r>
      <w:r w:rsidR="00846E56">
        <w:t>description</w:t>
      </w:r>
      <w:r>
        <w:t xml:space="preserve"> of the project</w:t>
      </w:r>
      <w:r w:rsidR="00506F86">
        <w:t xml:space="preserve"> including principal activities and components, timelines and procurement strategy</w:t>
      </w:r>
      <w:r w:rsidR="008E68ED">
        <w:t xml:space="preserve">. This </w:t>
      </w:r>
      <w:r w:rsidR="00846E56">
        <w:t>description</w:t>
      </w:r>
      <w:r w:rsidR="008E68ED">
        <w:t xml:space="preserve"> should provide enough information for Australian entities to determine if they are suitable to provide goods and services to the project.</w:t>
      </w:r>
    </w:p>
    <w:p w14:paraId="77C29905" w14:textId="77777777" w:rsidR="00747D1E" w:rsidRPr="00747D1E" w:rsidRDefault="00747D1E" w:rsidP="008741D2">
      <w:pPr>
        <w:rPr>
          <w:rStyle w:val="Strong"/>
        </w:rPr>
      </w:pPr>
      <w:r w:rsidRPr="00747D1E">
        <w:rPr>
          <w:rStyle w:val="Strong"/>
        </w:rPr>
        <w:t>New/Upgrade project</w:t>
      </w:r>
    </w:p>
    <w:p w14:paraId="7F7554DE" w14:textId="77777777" w:rsidR="008E68ED" w:rsidRDefault="008E68ED" w:rsidP="008741D2">
      <w:r>
        <w:lastRenderedPageBreak/>
        <w:t>Indicate whether the project involves the establishment of a new facility or is an upgrade of an existing facility.</w:t>
      </w:r>
    </w:p>
    <w:p w14:paraId="5345B2D2" w14:textId="77777777" w:rsidR="00747D1E" w:rsidRDefault="008E68ED" w:rsidP="008741D2">
      <w:r>
        <w:t xml:space="preserve">If the project involves the establishment of a new facility </w:t>
      </w:r>
      <w:r w:rsidR="00A16E9D">
        <w:t>project proponents and/</w:t>
      </w:r>
      <w:r w:rsidR="00936409">
        <w:t xml:space="preserve">or </w:t>
      </w:r>
      <w:r w:rsidR="00A16E9D">
        <w:t xml:space="preserve">operators </w:t>
      </w:r>
      <w:r>
        <w:t xml:space="preserve">will be required to complete Parts A, B and C of the AIP plan. If the project involves the upgrade of an existing facility </w:t>
      </w:r>
      <w:r w:rsidR="00A16E9D">
        <w:t>project proponents</w:t>
      </w:r>
      <w:r>
        <w:t xml:space="preserve"> will be required to complete Parts A and B only.</w:t>
      </w:r>
    </w:p>
    <w:p w14:paraId="33EA0AF7" w14:textId="77777777" w:rsidR="00506F86" w:rsidRPr="00747D1E" w:rsidRDefault="00506F86" w:rsidP="00506F86">
      <w:pPr>
        <w:rPr>
          <w:rStyle w:val="Strong"/>
        </w:rPr>
      </w:pPr>
      <w:r>
        <w:rPr>
          <w:rStyle w:val="Strong"/>
        </w:rPr>
        <w:t>Date of completion</w:t>
      </w:r>
    </w:p>
    <w:p w14:paraId="34B3760E" w14:textId="29BB6469" w:rsidR="00506F86" w:rsidRDefault="00F26686" w:rsidP="00506F86">
      <w:r>
        <w:t>P</w:t>
      </w:r>
      <w:r w:rsidR="00506F86">
        <w:t xml:space="preserve">rovide the estimated date for completion of the project. </w:t>
      </w:r>
    </w:p>
    <w:p w14:paraId="0EF1F865" w14:textId="77777777" w:rsidR="008741D2" w:rsidRDefault="00087D38" w:rsidP="008741D2">
      <w:pPr>
        <w:pStyle w:val="Heading4"/>
      </w:pPr>
      <w:bookmarkStart w:id="41" w:name="_Toc372705333"/>
      <w:r>
        <w:t xml:space="preserve">A.3 – </w:t>
      </w:r>
      <w:r w:rsidR="008741D2">
        <w:t>AIP plan authorised person declaration</w:t>
      </w:r>
      <w:bookmarkEnd w:id="41"/>
    </w:p>
    <w:p w14:paraId="73D2FFB3" w14:textId="4A4E6090" w:rsidR="008741D2" w:rsidRDefault="0079403D" w:rsidP="008741D2">
      <w:r>
        <w:t>T</w:t>
      </w:r>
      <w:r w:rsidR="008E68ED">
        <w:t xml:space="preserve">he AIP plan authorised person declaration will need to be </w:t>
      </w:r>
      <w:r>
        <w:t xml:space="preserve">signed </w:t>
      </w:r>
      <w:r w:rsidR="008E68ED">
        <w:t xml:space="preserve">by an authorised person within the </w:t>
      </w:r>
      <w:r w:rsidR="00156C7A">
        <w:t xml:space="preserve">nominated </w:t>
      </w:r>
      <w:r w:rsidR="008E68ED">
        <w:t xml:space="preserve">project proponent </w:t>
      </w:r>
      <w:r w:rsidR="00C7784D">
        <w:t xml:space="preserve">and/or operator </w:t>
      </w:r>
      <w:r w:rsidR="008E68ED">
        <w:t>prior to submission of the AIP plan to the AIP Authority.</w:t>
      </w:r>
      <w:r>
        <w:t xml:space="preserve"> Signing of the AIP plan authorised person declaration </w:t>
      </w:r>
      <w:r w:rsidR="004729E4">
        <w:t xml:space="preserve">binds the </w:t>
      </w:r>
      <w:r>
        <w:t xml:space="preserve">project proponent </w:t>
      </w:r>
      <w:r w:rsidR="00C7784D">
        <w:t xml:space="preserve">and/or operator </w:t>
      </w:r>
      <w:r w:rsidR="004729E4">
        <w:t xml:space="preserve">to the requirement to implement the actions of the AIP plan. </w:t>
      </w:r>
    </w:p>
    <w:p w14:paraId="00A85B09" w14:textId="77777777" w:rsidR="001D2208" w:rsidRDefault="001D2208" w:rsidP="008741D2">
      <w:r>
        <w:t xml:space="preserve">If </w:t>
      </w:r>
      <w:r w:rsidR="00BF04AB">
        <w:t>the</w:t>
      </w:r>
      <w:r>
        <w:t xml:space="preserve"> project and/or facility involves multiple project proponents and/or operators the ‘Other project proponents and/or operators declaration’ will need to be completed and signed by an authorised representative of each project proponent and/or operator prior to submission of the AIP plan to the AIP Authority.</w:t>
      </w:r>
    </w:p>
    <w:p w14:paraId="55B9160D" w14:textId="77777777" w:rsidR="008741D2" w:rsidRDefault="008741D2" w:rsidP="008741D2">
      <w:r>
        <w:br w:type="page"/>
      </w:r>
    </w:p>
    <w:p w14:paraId="388FC9E4" w14:textId="77777777" w:rsidR="008741D2" w:rsidRDefault="008741D2" w:rsidP="005230AB">
      <w:pPr>
        <w:pStyle w:val="Heading3"/>
      </w:pPr>
      <w:bookmarkStart w:id="42" w:name="_Toc372705334"/>
      <w:r>
        <w:lastRenderedPageBreak/>
        <w:t>Part B – Project Phase</w:t>
      </w:r>
      <w:bookmarkEnd w:id="42"/>
    </w:p>
    <w:p w14:paraId="7F40F49C" w14:textId="030E3A63" w:rsidR="00E03F9C" w:rsidRDefault="00E03F9C" w:rsidP="00E03F9C">
      <w:r>
        <w:t>Part B of the AIP plan is required to be completed for all projects developing an AIP plan in accordance with the</w:t>
      </w:r>
      <w:r w:rsidR="00125FC5">
        <w:t xml:space="preserve"> Jobs</w:t>
      </w:r>
      <w:r>
        <w:t xml:space="preserve"> Act.</w:t>
      </w:r>
    </w:p>
    <w:p w14:paraId="79F4FB21" w14:textId="77777777" w:rsidR="004729E4" w:rsidRDefault="004729E4" w:rsidP="00E03F9C">
      <w:r>
        <w:t>The key objective of Part B of the AIP plan is that Australian entities should have full, fair and reasonable opportunity to bid for the supply of key goods or services for the project.</w:t>
      </w:r>
    </w:p>
    <w:p w14:paraId="66E1E2AE" w14:textId="5CA09C2A" w:rsidR="00460EFE" w:rsidRPr="00E03F9C" w:rsidRDefault="00460EFE" w:rsidP="00E03F9C">
      <w:r>
        <w:t>All references to “you” in Part B refer to the nominated project proponent in Part A.1.</w:t>
      </w:r>
    </w:p>
    <w:p w14:paraId="465327EF" w14:textId="77777777" w:rsidR="008741D2" w:rsidRDefault="00087D38" w:rsidP="008741D2">
      <w:pPr>
        <w:pStyle w:val="Heading4"/>
      </w:pPr>
      <w:bookmarkStart w:id="43" w:name="_Toc372705335"/>
      <w:r>
        <w:t xml:space="preserve">B.1 – </w:t>
      </w:r>
      <w:r w:rsidR="008741D2">
        <w:t>Contact Details</w:t>
      </w:r>
      <w:bookmarkEnd w:id="43"/>
    </w:p>
    <w:p w14:paraId="7F2FDAE8" w14:textId="5B986B68" w:rsidR="008741D2" w:rsidRDefault="00F719BF" w:rsidP="008741D2">
      <w:r>
        <w:t xml:space="preserve">This criterion should provide the contact details of staff </w:t>
      </w:r>
      <w:r w:rsidR="004729E4">
        <w:t xml:space="preserve">within the project proponent </w:t>
      </w:r>
      <w:r>
        <w:t xml:space="preserve">responsible for </w:t>
      </w:r>
      <w:r w:rsidR="004729E4">
        <w:t xml:space="preserve">receiving enquiries from </w:t>
      </w:r>
      <w:r>
        <w:t xml:space="preserve">interested Australian entities </w:t>
      </w:r>
      <w:r w:rsidR="005673C9">
        <w:t xml:space="preserve">or </w:t>
      </w:r>
      <w:r>
        <w:t>implementing the actions of the AIP plan. Strategies for requiring procurement entit</w:t>
      </w:r>
      <w:r w:rsidR="00497339">
        <w:t>ies to appoint a contact officer</w:t>
      </w:r>
      <w:r>
        <w:t xml:space="preserve"> </w:t>
      </w:r>
      <w:r w:rsidR="005673C9">
        <w:t xml:space="preserve">must </w:t>
      </w:r>
      <w:r>
        <w:t>also be provided.</w:t>
      </w:r>
    </w:p>
    <w:p w14:paraId="69EDE360" w14:textId="1893D7FE" w:rsidR="00F719BF" w:rsidRPr="00F719BF" w:rsidRDefault="00460EFE" w:rsidP="008741D2">
      <w:pPr>
        <w:rPr>
          <w:rStyle w:val="Strong"/>
        </w:rPr>
      </w:pPr>
      <w:r>
        <w:rPr>
          <w:rStyle w:val="Strong"/>
        </w:rPr>
        <w:t xml:space="preserve">1. </w:t>
      </w:r>
      <w:r w:rsidR="00F719BF" w:rsidRPr="00F719BF">
        <w:rPr>
          <w:rStyle w:val="Strong"/>
        </w:rPr>
        <w:t>Details of the project proponent’s contact officer</w:t>
      </w:r>
      <w:r>
        <w:rPr>
          <w:rStyle w:val="Strong"/>
        </w:rPr>
        <w:t xml:space="preserve"> for supplier enquiries</w:t>
      </w:r>
    </w:p>
    <w:p w14:paraId="6638C5B2" w14:textId="325C2333" w:rsidR="00F719BF" w:rsidRDefault="00F719BF" w:rsidP="008741D2">
      <w:r>
        <w:t xml:space="preserve">Project proponents </w:t>
      </w:r>
      <w:r w:rsidR="005673C9">
        <w:t xml:space="preserve">must </w:t>
      </w:r>
      <w:r>
        <w:t xml:space="preserve">provide contact details for </w:t>
      </w:r>
      <w:r w:rsidR="00460EFE">
        <w:t xml:space="preserve">their </w:t>
      </w:r>
      <w:r>
        <w:t xml:space="preserve">contact officer </w:t>
      </w:r>
      <w:r w:rsidR="00497339">
        <w:t>for</w:t>
      </w:r>
      <w:r>
        <w:t xml:space="preserve"> Australian </w:t>
      </w:r>
      <w:proofErr w:type="gramStart"/>
      <w:r>
        <w:t xml:space="preserve">entities </w:t>
      </w:r>
      <w:r w:rsidR="00497339">
        <w:t xml:space="preserve"> to</w:t>
      </w:r>
      <w:proofErr w:type="gramEnd"/>
      <w:r w:rsidR="00497339">
        <w:t xml:space="preserve"> contact with </w:t>
      </w:r>
      <w:r w:rsidR="00460EFE">
        <w:t xml:space="preserve">supplier </w:t>
      </w:r>
      <w:r w:rsidR="00497339">
        <w:t>enquiries</w:t>
      </w:r>
      <w:r>
        <w:t>. Th</w:t>
      </w:r>
      <w:r w:rsidR="004729E4">
        <w:t>is</w:t>
      </w:r>
      <w:r>
        <w:t xml:space="preserve"> officer’s contact details will be published</w:t>
      </w:r>
      <w:r w:rsidR="00E86958">
        <w:t xml:space="preserve"> on the website detailed in question 1 of ‘B.3 – Publication of </w:t>
      </w:r>
      <w:r w:rsidR="00CF43F6">
        <w:t xml:space="preserve">Information’ </w:t>
      </w:r>
      <w:r w:rsidR="00E86958">
        <w:t>and on the AIP Authority’s website as part of the AIP plan Summary</w:t>
      </w:r>
      <w:r>
        <w:t>.</w:t>
      </w:r>
    </w:p>
    <w:p w14:paraId="7F940850" w14:textId="400DA78F" w:rsidR="00F719BF" w:rsidRPr="00F719BF" w:rsidRDefault="00460EFE" w:rsidP="008741D2">
      <w:pPr>
        <w:rPr>
          <w:rStyle w:val="Strong"/>
        </w:rPr>
      </w:pPr>
      <w:r>
        <w:rPr>
          <w:rStyle w:val="Strong"/>
        </w:rPr>
        <w:t xml:space="preserve">2. </w:t>
      </w:r>
      <w:r w:rsidR="00F719BF" w:rsidRPr="00F719BF">
        <w:rPr>
          <w:rStyle w:val="Strong"/>
        </w:rPr>
        <w:t>Details of the person responsible for implementing the AIP plan</w:t>
      </w:r>
    </w:p>
    <w:p w14:paraId="6D0FE6D6" w14:textId="727783D4" w:rsidR="00F719BF" w:rsidRDefault="00F719BF" w:rsidP="008741D2">
      <w:r>
        <w:t xml:space="preserve">Project proponents </w:t>
      </w:r>
      <w:r w:rsidR="005673C9">
        <w:t xml:space="preserve">must </w:t>
      </w:r>
      <w:r>
        <w:t xml:space="preserve">provide contact details for </w:t>
      </w:r>
      <w:r w:rsidR="002B35B3">
        <w:t>the</w:t>
      </w:r>
      <w:r w:rsidR="00497339">
        <w:t>ir employee</w:t>
      </w:r>
      <w:r>
        <w:t xml:space="preserve"> with responsibility for implementing </w:t>
      </w:r>
      <w:r w:rsidR="00463B3D">
        <w:t xml:space="preserve">the actions of </w:t>
      </w:r>
      <w:r>
        <w:t xml:space="preserve">Part B of the AIP plan. </w:t>
      </w:r>
      <w:r w:rsidR="00463B3D">
        <w:t xml:space="preserve">It is important that this </w:t>
      </w:r>
      <w:r w:rsidR="00497339">
        <w:t xml:space="preserve">person </w:t>
      </w:r>
      <w:r w:rsidR="00463B3D">
        <w:t xml:space="preserve">is involved in the procurement decision making process (e.g. supply chain or procurement managers). </w:t>
      </w:r>
      <w:r>
        <w:t>Th</w:t>
      </w:r>
      <w:r w:rsidR="004729E4">
        <w:t xml:space="preserve">is </w:t>
      </w:r>
      <w:r>
        <w:t>officer’s contact details will not be published and are for the AIP Authority’s use only.</w:t>
      </w:r>
      <w:r w:rsidR="00C7784D">
        <w:t xml:space="preserve"> This may be the same person detailed in ‘A.1 – Project Proponent Details’.</w:t>
      </w:r>
    </w:p>
    <w:p w14:paraId="161790A9" w14:textId="693E9587" w:rsidR="00F719BF" w:rsidRPr="00F719BF" w:rsidRDefault="00460EFE" w:rsidP="008741D2">
      <w:pPr>
        <w:rPr>
          <w:rStyle w:val="Strong"/>
        </w:rPr>
      </w:pPr>
      <w:r>
        <w:rPr>
          <w:rStyle w:val="Strong"/>
        </w:rPr>
        <w:t xml:space="preserve">3. </w:t>
      </w:r>
      <w:r w:rsidR="00F719BF" w:rsidRPr="00F719BF">
        <w:rPr>
          <w:rStyle w:val="Strong"/>
        </w:rPr>
        <w:t>Details of procurement entity contact officers</w:t>
      </w:r>
    </w:p>
    <w:p w14:paraId="2115730C" w14:textId="0D6C6E2C" w:rsidR="00F719BF" w:rsidRDefault="00F719BF" w:rsidP="008741D2">
      <w:r>
        <w:t xml:space="preserve">Project proponents </w:t>
      </w:r>
      <w:r w:rsidR="005673C9">
        <w:t xml:space="preserve">must </w:t>
      </w:r>
      <w:r>
        <w:t xml:space="preserve">detail how they will require procurement entities to appoint </w:t>
      </w:r>
      <w:r w:rsidR="00000F52">
        <w:t xml:space="preserve">a </w:t>
      </w:r>
      <w:r>
        <w:t>nominated contact officer for project opportunities and promote their contact details.</w:t>
      </w:r>
    </w:p>
    <w:p w14:paraId="3384EBDB" w14:textId="77777777" w:rsidR="008741D2" w:rsidRDefault="00087D38" w:rsidP="008741D2">
      <w:pPr>
        <w:pStyle w:val="Heading4"/>
      </w:pPr>
      <w:bookmarkStart w:id="44" w:name="_Toc372705336"/>
      <w:r>
        <w:t xml:space="preserve">B.2 – </w:t>
      </w:r>
      <w:r w:rsidR="009E232E">
        <w:t>Opportunities to supply g</w:t>
      </w:r>
      <w:r w:rsidR="008741D2">
        <w:t xml:space="preserve">oods and </w:t>
      </w:r>
      <w:r w:rsidR="009E232E">
        <w:t>s</w:t>
      </w:r>
      <w:r w:rsidR="008741D2">
        <w:t>ervices</w:t>
      </w:r>
      <w:bookmarkEnd w:id="44"/>
    </w:p>
    <w:p w14:paraId="0D58F233" w14:textId="519556AA" w:rsidR="009E232E" w:rsidRPr="00F07286" w:rsidRDefault="009E232E" w:rsidP="009E232E">
      <w:r w:rsidRPr="00F07286">
        <w:t xml:space="preserve">This criterion examines the </w:t>
      </w:r>
      <w:r>
        <w:t xml:space="preserve">opportunities which are likely to arise for </w:t>
      </w:r>
      <w:r w:rsidRPr="00F07286">
        <w:t>Australian entities and/or non</w:t>
      </w:r>
      <w:r w:rsidRPr="00F07286">
        <w:noBreakHyphen/>
        <w:t>Australian entities</w:t>
      </w:r>
      <w:r>
        <w:t xml:space="preserve"> to supply </w:t>
      </w:r>
      <w:r w:rsidR="00846E56">
        <w:t xml:space="preserve">to </w:t>
      </w:r>
      <w:r>
        <w:t>the project</w:t>
      </w:r>
      <w:r w:rsidRPr="00F07286">
        <w:t>.</w:t>
      </w:r>
      <w:r>
        <w:t xml:space="preserve"> Information </w:t>
      </w:r>
      <w:r w:rsidR="00F553EC">
        <w:t xml:space="preserve">must </w:t>
      </w:r>
      <w:r>
        <w:t>be provided on</w:t>
      </w:r>
      <w:r w:rsidR="00DE3FEC">
        <w:t xml:space="preserve"> the key goods and services for the project and</w:t>
      </w:r>
      <w:r>
        <w:t xml:space="preserve"> the</w:t>
      </w:r>
      <w:r w:rsidR="00DE3FEC">
        <w:t>ir</w:t>
      </w:r>
      <w:r>
        <w:t xml:space="preserve"> likely supply opportunities as well as how procurement entities will </w:t>
      </w:r>
      <w:r w:rsidR="00DE3FEC">
        <w:t xml:space="preserve">keep up to date on Australian industry supply capability.  Information on the standards that will apply on the project must also be provided. </w:t>
      </w:r>
    </w:p>
    <w:p w14:paraId="28504680" w14:textId="607FCA58" w:rsidR="00001790" w:rsidRPr="00001790" w:rsidRDefault="00B55B63" w:rsidP="00001790">
      <w:pPr>
        <w:rPr>
          <w:rStyle w:val="Strong"/>
        </w:rPr>
      </w:pPr>
      <w:r>
        <w:rPr>
          <w:rStyle w:val="Strong"/>
        </w:rPr>
        <w:t xml:space="preserve">1. </w:t>
      </w:r>
      <w:r w:rsidR="009E232E">
        <w:rPr>
          <w:rStyle w:val="Strong"/>
        </w:rPr>
        <w:t xml:space="preserve">Indicative list of </w:t>
      </w:r>
      <w:r w:rsidR="004D51D4">
        <w:rPr>
          <w:rStyle w:val="Strong"/>
        </w:rPr>
        <w:t>key goods and services</w:t>
      </w:r>
    </w:p>
    <w:p w14:paraId="2AAD6A47" w14:textId="4E403D33" w:rsidR="009E232E" w:rsidRDefault="00001790" w:rsidP="009E232E">
      <w:r>
        <w:t xml:space="preserve">Project proponents </w:t>
      </w:r>
      <w:r w:rsidR="005673C9">
        <w:t xml:space="preserve">must </w:t>
      </w:r>
      <w:r>
        <w:t>provide a</w:t>
      </w:r>
      <w:r w:rsidR="009E232E">
        <w:t>n</w:t>
      </w:r>
      <w:r>
        <w:t xml:space="preserve"> </w:t>
      </w:r>
      <w:r w:rsidR="009E232E">
        <w:t xml:space="preserve">indicative list of </w:t>
      </w:r>
      <w:r w:rsidR="004D51D4">
        <w:t xml:space="preserve">all key goods or services (valued at $1 million or more) </w:t>
      </w:r>
      <w:r w:rsidR="009E232E">
        <w:t xml:space="preserve">likely to </w:t>
      </w:r>
      <w:r w:rsidR="004D51D4">
        <w:t>be acquired for</w:t>
      </w:r>
      <w:r w:rsidR="009E232E">
        <w:t xml:space="preserve"> the project.</w:t>
      </w:r>
      <w:r>
        <w:t xml:space="preserve"> </w:t>
      </w:r>
      <w:r w:rsidR="00D115AE">
        <w:t xml:space="preserve">For </w:t>
      </w:r>
      <w:r w:rsidR="00497339">
        <w:t>e</w:t>
      </w:r>
      <w:r>
        <w:t xml:space="preserve">ach </w:t>
      </w:r>
      <w:r w:rsidR="004D51D4">
        <w:t>item in the list</w:t>
      </w:r>
      <w:r>
        <w:t xml:space="preserve"> </w:t>
      </w:r>
      <w:r w:rsidR="00497339">
        <w:t xml:space="preserve">proponents should indicate if opportunities to supply the </w:t>
      </w:r>
      <w:r w:rsidR="00A74EAE">
        <w:t>item</w:t>
      </w:r>
      <w:r w:rsidR="002E6BF2">
        <w:t xml:space="preserve"> or its components</w:t>
      </w:r>
      <w:r w:rsidR="00497339">
        <w:t xml:space="preserve"> are expected for Australian and non-Australian entities. </w:t>
      </w:r>
      <w:r w:rsidR="002E6BF2">
        <w:t>To supply an item includes manufacturing or supplying the goods</w:t>
      </w:r>
      <w:r w:rsidR="00D115AE">
        <w:t xml:space="preserve"> or their components</w:t>
      </w:r>
      <w:r w:rsidR="002E6BF2">
        <w:t xml:space="preserve">, providing the service or </w:t>
      </w:r>
      <w:r w:rsidR="00D115AE">
        <w:t>accepting</w:t>
      </w:r>
      <w:r w:rsidR="002E6BF2">
        <w:t xml:space="preserve"> a contract to supply the goods or provide the service. </w:t>
      </w:r>
      <w:r w:rsidR="00D115AE">
        <w:t>An Australian entity is defined as any entity with an ABN or ACN.</w:t>
      </w:r>
      <w:r w:rsidR="005B0439">
        <w:t xml:space="preserve"> </w:t>
      </w:r>
      <w:r w:rsidR="008359E1">
        <w:t xml:space="preserve">An example of the level of information </w:t>
      </w:r>
      <w:r w:rsidR="00047AB0">
        <w:t>is</w:t>
      </w:r>
      <w:r w:rsidR="008359E1">
        <w:t xml:space="preserve"> provide</w:t>
      </w:r>
      <w:r w:rsidR="00047AB0">
        <w:t>d</w:t>
      </w:r>
      <w:r w:rsidR="008359E1">
        <w:t xml:space="preserve"> below:</w:t>
      </w:r>
    </w:p>
    <w:p w14:paraId="258A661D" w14:textId="77777777" w:rsidR="00D844B5" w:rsidRDefault="00D844B5" w:rsidP="008C5324">
      <w:pPr>
        <w:pStyle w:val="Caption"/>
      </w:pPr>
    </w:p>
    <w:p w14:paraId="59D2EE19" w14:textId="497C3236" w:rsidR="008C5324" w:rsidRDefault="008C5324" w:rsidP="008C5324">
      <w:pPr>
        <w:pStyle w:val="Caption"/>
      </w:pPr>
      <w:r>
        <w:lastRenderedPageBreak/>
        <w:t xml:space="preserve">Table 1: Example of a list of </w:t>
      </w:r>
      <w:r w:rsidR="004D51D4">
        <w:t xml:space="preserve">key goods and services and their </w:t>
      </w:r>
      <w:r>
        <w:t xml:space="preserve">expected </w:t>
      </w:r>
      <w:r w:rsidR="004D51D4">
        <w:t xml:space="preserve">supply </w:t>
      </w:r>
      <w:r>
        <w:t>opportunities.</w:t>
      </w:r>
    </w:p>
    <w:tbl>
      <w:tblPr>
        <w:tblStyle w:val="TableGrid"/>
        <w:tblW w:w="0" w:type="auto"/>
        <w:tblLook w:val="04A0" w:firstRow="1" w:lastRow="0" w:firstColumn="1" w:lastColumn="0" w:noHBand="0" w:noVBand="1"/>
        <w:tblDescription w:val="Indicative list of opportunities likely to arise."/>
      </w:tblPr>
      <w:tblGrid>
        <w:gridCol w:w="4684"/>
        <w:gridCol w:w="1798"/>
        <w:gridCol w:w="1814"/>
      </w:tblGrid>
      <w:tr w:rsidR="009E232E" w14:paraId="40AC539C" w14:textId="77777777" w:rsidTr="008359E1">
        <w:trPr>
          <w:tblHeader/>
        </w:trPr>
        <w:tc>
          <w:tcPr>
            <w:tcW w:w="4879" w:type="dxa"/>
            <w:tcBorders>
              <w:bottom w:val="single" w:sz="4" w:space="0" w:color="auto"/>
            </w:tcBorders>
            <w:vAlign w:val="center"/>
          </w:tcPr>
          <w:p w14:paraId="0C0519CA" w14:textId="5BFBC86D" w:rsidR="009E232E" w:rsidRDefault="004D51D4" w:rsidP="00846E56">
            <w:r>
              <w:rPr>
                <w:rStyle w:val="Strong"/>
              </w:rPr>
              <w:t>Key goods and services</w:t>
            </w:r>
          </w:p>
        </w:tc>
        <w:tc>
          <w:tcPr>
            <w:tcW w:w="1815" w:type="dxa"/>
            <w:tcBorders>
              <w:bottom w:val="single" w:sz="4" w:space="0" w:color="auto"/>
            </w:tcBorders>
            <w:vAlign w:val="center"/>
          </w:tcPr>
          <w:p w14:paraId="3ABB12A8" w14:textId="77777777" w:rsidR="009E232E" w:rsidRDefault="009E232E" w:rsidP="009E232E">
            <w:r w:rsidRPr="00D0596A">
              <w:rPr>
                <w:rStyle w:val="Strong"/>
              </w:rPr>
              <w:t>Opportunities for Australian entities</w:t>
            </w:r>
          </w:p>
        </w:tc>
        <w:tc>
          <w:tcPr>
            <w:tcW w:w="1828" w:type="dxa"/>
            <w:tcBorders>
              <w:bottom w:val="single" w:sz="4" w:space="0" w:color="auto"/>
            </w:tcBorders>
            <w:vAlign w:val="center"/>
          </w:tcPr>
          <w:p w14:paraId="35C77A51" w14:textId="77777777" w:rsidR="009E232E" w:rsidRDefault="009E232E" w:rsidP="00BF04AB">
            <w:r w:rsidRPr="00D0596A">
              <w:rPr>
                <w:rStyle w:val="Strong"/>
              </w:rPr>
              <w:t>Opportunities for non</w:t>
            </w:r>
            <w:r w:rsidRPr="00D0596A">
              <w:rPr>
                <w:rStyle w:val="Strong"/>
              </w:rPr>
              <w:noBreakHyphen/>
              <w:t>Australian entities</w:t>
            </w:r>
          </w:p>
        </w:tc>
      </w:tr>
      <w:tr w:rsidR="009E232E" w14:paraId="2BD62C9E" w14:textId="77777777" w:rsidTr="008359E1">
        <w:trPr>
          <w:tblHeader/>
        </w:trPr>
        <w:tc>
          <w:tcPr>
            <w:tcW w:w="4879" w:type="dxa"/>
            <w:tcBorders>
              <w:right w:val="nil"/>
            </w:tcBorders>
          </w:tcPr>
          <w:p w14:paraId="2E106DE0" w14:textId="77777777" w:rsidR="009E232E" w:rsidRPr="009E20B4" w:rsidRDefault="009E232E" w:rsidP="009E232E">
            <w:pPr>
              <w:rPr>
                <w:rStyle w:val="Strong"/>
              </w:rPr>
            </w:pPr>
            <w:r w:rsidRPr="009E20B4">
              <w:rPr>
                <w:rStyle w:val="Strong"/>
              </w:rPr>
              <w:t>Goods</w:t>
            </w:r>
          </w:p>
        </w:tc>
        <w:tc>
          <w:tcPr>
            <w:tcW w:w="1815" w:type="dxa"/>
            <w:tcBorders>
              <w:left w:val="nil"/>
              <w:right w:val="nil"/>
            </w:tcBorders>
          </w:tcPr>
          <w:p w14:paraId="4753FAEC" w14:textId="77777777" w:rsidR="009E232E" w:rsidRDefault="009E232E" w:rsidP="009E232E"/>
        </w:tc>
        <w:tc>
          <w:tcPr>
            <w:tcW w:w="1828" w:type="dxa"/>
            <w:tcBorders>
              <w:left w:val="nil"/>
            </w:tcBorders>
          </w:tcPr>
          <w:p w14:paraId="7BCE13AF" w14:textId="77777777" w:rsidR="009E232E" w:rsidRDefault="009E232E" w:rsidP="009E232E"/>
        </w:tc>
      </w:tr>
      <w:tr w:rsidR="009E232E" w14:paraId="50465EAB" w14:textId="77777777" w:rsidTr="008359E1">
        <w:trPr>
          <w:tblHeader/>
        </w:trPr>
        <w:tc>
          <w:tcPr>
            <w:tcW w:w="4879" w:type="dxa"/>
          </w:tcPr>
          <w:p w14:paraId="527A6F9B" w14:textId="77777777" w:rsidR="009E232E" w:rsidRDefault="00E10921" w:rsidP="00E10921">
            <w:r>
              <w:t>Supply of s</w:t>
            </w:r>
            <w:r w:rsidR="00047AB0">
              <w:t>tainless s</w:t>
            </w:r>
            <w:r w:rsidR="00846E56">
              <w:t>teel</w:t>
            </w:r>
          </w:p>
        </w:tc>
        <w:tc>
          <w:tcPr>
            <w:tcW w:w="1815" w:type="dxa"/>
          </w:tcPr>
          <w:p w14:paraId="3E186EB7" w14:textId="77777777" w:rsidR="009E232E" w:rsidRDefault="00047AB0" w:rsidP="009E232E">
            <w:r>
              <w:t>No</w:t>
            </w:r>
          </w:p>
        </w:tc>
        <w:tc>
          <w:tcPr>
            <w:tcW w:w="1828" w:type="dxa"/>
          </w:tcPr>
          <w:p w14:paraId="4A5C416A" w14:textId="77777777" w:rsidR="009E232E" w:rsidRDefault="00846E56" w:rsidP="009E232E">
            <w:r>
              <w:t>Yes</w:t>
            </w:r>
          </w:p>
        </w:tc>
      </w:tr>
      <w:tr w:rsidR="009E232E" w14:paraId="7DF1CA8E" w14:textId="77777777" w:rsidTr="008359E1">
        <w:trPr>
          <w:tblHeader/>
        </w:trPr>
        <w:tc>
          <w:tcPr>
            <w:tcW w:w="4879" w:type="dxa"/>
          </w:tcPr>
          <w:p w14:paraId="36AA93D3" w14:textId="77777777" w:rsidR="009E232E" w:rsidRDefault="00846E56" w:rsidP="009E232E">
            <w:r>
              <w:t>Dump trucks</w:t>
            </w:r>
          </w:p>
        </w:tc>
        <w:tc>
          <w:tcPr>
            <w:tcW w:w="1815" w:type="dxa"/>
          </w:tcPr>
          <w:p w14:paraId="48F5C6FD" w14:textId="77777777" w:rsidR="009E232E" w:rsidRDefault="00846E56" w:rsidP="009E232E">
            <w:r>
              <w:t>Yes</w:t>
            </w:r>
          </w:p>
        </w:tc>
        <w:tc>
          <w:tcPr>
            <w:tcW w:w="1828" w:type="dxa"/>
          </w:tcPr>
          <w:p w14:paraId="17DFC0BD" w14:textId="77777777" w:rsidR="009E232E" w:rsidRDefault="00846E56" w:rsidP="009E232E">
            <w:r>
              <w:t>Yes</w:t>
            </w:r>
          </w:p>
        </w:tc>
      </w:tr>
      <w:tr w:rsidR="009E232E" w14:paraId="4CA732EF" w14:textId="77777777" w:rsidTr="008359E1">
        <w:trPr>
          <w:tblHeader/>
        </w:trPr>
        <w:tc>
          <w:tcPr>
            <w:tcW w:w="4879" w:type="dxa"/>
          </w:tcPr>
          <w:p w14:paraId="3FF496C2" w14:textId="77777777" w:rsidR="009E232E" w:rsidRDefault="00846E56" w:rsidP="009E232E">
            <w:r>
              <w:t>Conveyors</w:t>
            </w:r>
          </w:p>
        </w:tc>
        <w:tc>
          <w:tcPr>
            <w:tcW w:w="1815" w:type="dxa"/>
          </w:tcPr>
          <w:p w14:paraId="25485CFB" w14:textId="77777777" w:rsidR="009E232E" w:rsidRDefault="00846E56" w:rsidP="009E232E">
            <w:r>
              <w:t>Yes</w:t>
            </w:r>
          </w:p>
        </w:tc>
        <w:tc>
          <w:tcPr>
            <w:tcW w:w="1828" w:type="dxa"/>
          </w:tcPr>
          <w:p w14:paraId="6423CE1E" w14:textId="77777777" w:rsidR="009E232E" w:rsidRDefault="00846E56" w:rsidP="009E232E">
            <w:r>
              <w:t>Yes</w:t>
            </w:r>
          </w:p>
        </w:tc>
      </w:tr>
      <w:tr w:rsidR="009E232E" w14:paraId="59EE9EA9" w14:textId="77777777" w:rsidTr="008359E1">
        <w:trPr>
          <w:tblHeader/>
        </w:trPr>
        <w:tc>
          <w:tcPr>
            <w:tcW w:w="4879" w:type="dxa"/>
          </w:tcPr>
          <w:p w14:paraId="4559D317" w14:textId="77777777" w:rsidR="009E232E" w:rsidRDefault="008359E1" w:rsidP="009E232E">
            <w:r>
              <w:t>Earth moving equipment</w:t>
            </w:r>
          </w:p>
        </w:tc>
        <w:tc>
          <w:tcPr>
            <w:tcW w:w="1815" w:type="dxa"/>
          </w:tcPr>
          <w:p w14:paraId="2203F226" w14:textId="77777777" w:rsidR="009E232E" w:rsidRDefault="008359E1" w:rsidP="009E232E">
            <w:r>
              <w:t>Yes</w:t>
            </w:r>
          </w:p>
        </w:tc>
        <w:tc>
          <w:tcPr>
            <w:tcW w:w="1828" w:type="dxa"/>
          </w:tcPr>
          <w:p w14:paraId="0C6D58A6" w14:textId="77777777" w:rsidR="009E232E" w:rsidRDefault="008359E1" w:rsidP="009E232E">
            <w:r>
              <w:t>Yes</w:t>
            </w:r>
          </w:p>
        </w:tc>
      </w:tr>
      <w:tr w:rsidR="009E232E" w14:paraId="29A5E5F8" w14:textId="77777777" w:rsidTr="008359E1">
        <w:trPr>
          <w:tblHeader/>
        </w:trPr>
        <w:tc>
          <w:tcPr>
            <w:tcW w:w="4879" w:type="dxa"/>
            <w:tcBorders>
              <w:right w:val="nil"/>
            </w:tcBorders>
          </w:tcPr>
          <w:p w14:paraId="3249A8BD" w14:textId="77777777" w:rsidR="009E232E" w:rsidRPr="009E20B4" w:rsidRDefault="009E232E" w:rsidP="009E232E">
            <w:pPr>
              <w:rPr>
                <w:rStyle w:val="Strong"/>
              </w:rPr>
            </w:pPr>
            <w:r w:rsidRPr="009E20B4">
              <w:rPr>
                <w:rStyle w:val="Strong"/>
              </w:rPr>
              <w:t>Services</w:t>
            </w:r>
          </w:p>
        </w:tc>
        <w:tc>
          <w:tcPr>
            <w:tcW w:w="1815" w:type="dxa"/>
            <w:tcBorders>
              <w:left w:val="nil"/>
              <w:right w:val="nil"/>
            </w:tcBorders>
          </w:tcPr>
          <w:p w14:paraId="4EDB315A" w14:textId="77777777" w:rsidR="009E232E" w:rsidRDefault="009E232E" w:rsidP="009E232E"/>
        </w:tc>
        <w:tc>
          <w:tcPr>
            <w:tcW w:w="1828" w:type="dxa"/>
            <w:tcBorders>
              <w:left w:val="nil"/>
            </w:tcBorders>
          </w:tcPr>
          <w:p w14:paraId="4A01299A" w14:textId="77777777" w:rsidR="009E232E" w:rsidRDefault="009E232E" w:rsidP="009E232E"/>
        </w:tc>
      </w:tr>
      <w:tr w:rsidR="009E232E" w14:paraId="0EFBA243" w14:textId="77777777" w:rsidTr="008359E1">
        <w:trPr>
          <w:tblHeader/>
        </w:trPr>
        <w:tc>
          <w:tcPr>
            <w:tcW w:w="4879" w:type="dxa"/>
          </w:tcPr>
          <w:p w14:paraId="5C741995" w14:textId="77777777" w:rsidR="009E232E" w:rsidRDefault="008359E1" w:rsidP="009E232E">
            <w:r>
              <w:t>Earthworks</w:t>
            </w:r>
          </w:p>
        </w:tc>
        <w:tc>
          <w:tcPr>
            <w:tcW w:w="1815" w:type="dxa"/>
          </w:tcPr>
          <w:p w14:paraId="6D0655B3" w14:textId="77777777" w:rsidR="009E232E" w:rsidRDefault="008359E1" w:rsidP="009E232E">
            <w:r>
              <w:t>Yes</w:t>
            </w:r>
          </w:p>
        </w:tc>
        <w:tc>
          <w:tcPr>
            <w:tcW w:w="1828" w:type="dxa"/>
          </w:tcPr>
          <w:p w14:paraId="27129570" w14:textId="77777777" w:rsidR="009E232E" w:rsidRDefault="008359E1" w:rsidP="009E232E">
            <w:r>
              <w:t>No</w:t>
            </w:r>
          </w:p>
        </w:tc>
      </w:tr>
      <w:tr w:rsidR="009E232E" w14:paraId="04F4B915" w14:textId="77777777" w:rsidTr="008359E1">
        <w:trPr>
          <w:tblHeader/>
        </w:trPr>
        <w:tc>
          <w:tcPr>
            <w:tcW w:w="4879" w:type="dxa"/>
          </w:tcPr>
          <w:p w14:paraId="668C9D22" w14:textId="77777777" w:rsidR="009E232E" w:rsidRDefault="008359E1" w:rsidP="009E232E">
            <w:r>
              <w:t>Design</w:t>
            </w:r>
          </w:p>
        </w:tc>
        <w:tc>
          <w:tcPr>
            <w:tcW w:w="1815" w:type="dxa"/>
          </w:tcPr>
          <w:p w14:paraId="3B75156B" w14:textId="77777777" w:rsidR="009E232E" w:rsidRDefault="008359E1" w:rsidP="009E232E">
            <w:r>
              <w:t>Yes</w:t>
            </w:r>
          </w:p>
        </w:tc>
        <w:tc>
          <w:tcPr>
            <w:tcW w:w="1828" w:type="dxa"/>
          </w:tcPr>
          <w:p w14:paraId="15C36B36" w14:textId="77777777" w:rsidR="009E232E" w:rsidRDefault="008359E1" w:rsidP="009E232E">
            <w:r>
              <w:t>Yes</w:t>
            </w:r>
          </w:p>
        </w:tc>
      </w:tr>
      <w:tr w:rsidR="009E232E" w14:paraId="592B1617" w14:textId="77777777" w:rsidTr="008359E1">
        <w:trPr>
          <w:tblHeader/>
        </w:trPr>
        <w:tc>
          <w:tcPr>
            <w:tcW w:w="4879" w:type="dxa"/>
          </w:tcPr>
          <w:p w14:paraId="3B6D1287" w14:textId="77777777" w:rsidR="009E232E" w:rsidRDefault="008359E1" w:rsidP="009E232E">
            <w:r>
              <w:t>Electrical</w:t>
            </w:r>
          </w:p>
        </w:tc>
        <w:tc>
          <w:tcPr>
            <w:tcW w:w="1815" w:type="dxa"/>
          </w:tcPr>
          <w:p w14:paraId="626C8BD9" w14:textId="77777777" w:rsidR="009E232E" w:rsidRDefault="008359E1" w:rsidP="009E232E">
            <w:r>
              <w:t>Yes</w:t>
            </w:r>
          </w:p>
        </w:tc>
        <w:tc>
          <w:tcPr>
            <w:tcW w:w="1828" w:type="dxa"/>
          </w:tcPr>
          <w:p w14:paraId="793DF69E" w14:textId="77777777" w:rsidR="009E232E" w:rsidRDefault="008359E1" w:rsidP="009E232E">
            <w:r>
              <w:t>No</w:t>
            </w:r>
          </w:p>
        </w:tc>
      </w:tr>
      <w:tr w:rsidR="009E232E" w14:paraId="11A5D54A" w14:textId="77777777" w:rsidTr="008359E1">
        <w:trPr>
          <w:tblHeader/>
        </w:trPr>
        <w:tc>
          <w:tcPr>
            <w:tcW w:w="4879" w:type="dxa"/>
          </w:tcPr>
          <w:p w14:paraId="64FB5296" w14:textId="77777777" w:rsidR="009E232E" w:rsidRDefault="008359E1" w:rsidP="009E232E">
            <w:r>
              <w:t>Engineering</w:t>
            </w:r>
          </w:p>
        </w:tc>
        <w:tc>
          <w:tcPr>
            <w:tcW w:w="1815" w:type="dxa"/>
          </w:tcPr>
          <w:p w14:paraId="189C235B" w14:textId="77777777" w:rsidR="009E232E" w:rsidRDefault="008359E1" w:rsidP="009E232E">
            <w:r>
              <w:t>Yes</w:t>
            </w:r>
          </w:p>
        </w:tc>
        <w:tc>
          <w:tcPr>
            <w:tcW w:w="1828" w:type="dxa"/>
          </w:tcPr>
          <w:p w14:paraId="39050BE3" w14:textId="77777777" w:rsidR="009E232E" w:rsidRDefault="008359E1" w:rsidP="009E232E">
            <w:r>
              <w:t>Yes</w:t>
            </w:r>
          </w:p>
        </w:tc>
      </w:tr>
    </w:tbl>
    <w:p w14:paraId="21F438D9" w14:textId="53357F00" w:rsidR="00642B27" w:rsidRPr="00642B27" w:rsidRDefault="00B55B63" w:rsidP="00001790">
      <w:pPr>
        <w:rPr>
          <w:rStyle w:val="Strong"/>
        </w:rPr>
      </w:pPr>
      <w:r>
        <w:rPr>
          <w:rStyle w:val="Strong"/>
        </w:rPr>
        <w:t xml:space="preserve">2. </w:t>
      </w:r>
      <w:r w:rsidR="005107F8">
        <w:rPr>
          <w:rStyle w:val="Strong"/>
        </w:rPr>
        <w:t>Opportunities</w:t>
      </w:r>
      <w:r w:rsidR="00642B27" w:rsidRPr="00642B27">
        <w:rPr>
          <w:rStyle w:val="Strong"/>
        </w:rPr>
        <w:t xml:space="preserve"> not expected </w:t>
      </w:r>
      <w:r w:rsidR="00A74EAE">
        <w:rPr>
          <w:rStyle w:val="Strong"/>
        </w:rPr>
        <w:t>for</w:t>
      </w:r>
      <w:r w:rsidR="00642B27" w:rsidRPr="00642B27">
        <w:rPr>
          <w:rStyle w:val="Strong"/>
        </w:rPr>
        <w:t xml:space="preserve"> Australian entities.</w:t>
      </w:r>
    </w:p>
    <w:p w14:paraId="3135A2D1" w14:textId="4510BB6B" w:rsidR="00642B27" w:rsidRDefault="00642B27" w:rsidP="00642B27">
      <w:r>
        <w:t xml:space="preserve">Where a project proponent indicates that </w:t>
      </w:r>
      <w:r w:rsidR="00B55B63">
        <w:t xml:space="preserve">there are no </w:t>
      </w:r>
      <w:r w:rsidR="005107F8">
        <w:t xml:space="preserve">opportunities </w:t>
      </w:r>
      <w:r>
        <w:t>f</w:t>
      </w:r>
      <w:r w:rsidR="005107F8">
        <w:t>or</w:t>
      </w:r>
      <w:r>
        <w:t xml:space="preserve"> Australian entities</w:t>
      </w:r>
      <w:r w:rsidR="00B55B63">
        <w:t xml:space="preserve"> to supply any item in the list</w:t>
      </w:r>
      <w:r w:rsidR="00047AB0">
        <w:t>,</w:t>
      </w:r>
      <w:r>
        <w:t xml:space="preserve"> a short explanation of why the project proponent has made this assessment </w:t>
      </w:r>
      <w:r w:rsidR="005568AE">
        <w:t xml:space="preserve">must </w:t>
      </w:r>
      <w:r>
        <w:t>be included</w:t>
      </w:r>
      <w:r w:rsidR="00B55B63">
        <w:t xml:space="preserve"> for each such item</w:t>
      </w:r>
      <w:r>
        <w:t>.</w:t>
      </w:r>
      <w:r w:rsidR="0040772D">
        <w:t xml:space="preserve"> This explanation could include that the item </w:t>
      </w:r>
      <w:r w:rsidR="00A74EAE">
        <w:t>is</w:t>
      </w:r>
      <w:r w:rsidR="0040772D">
        <w:t xml:space="preserve"> not available from Australian entities or that goods from non-Australian entities are technologically superior to goods available from Australian entities. </w:t>
      </w:r>
      <w:r w:rsidR="00B55B63">
        <w:t xml:space="preserve">Reasons should be based on the results of recent investigations into potential Australian suppliers. </w:t>
      </w:r>
      <w:r w:rsidR="0040772D">
        <w:t xml:space="preserve">Evidence of how this conclusion was reached may be requested. </w:t>
      </w:r>
      <w:r w:rsidR="00A74EAE">
        <w:t>Excluding items solely on the basis of existing</w:t>
      </w:r>
      <w:r w:rsidR="008D1B06">
        <w:t xml:space="preserve"> or</w:t>
      </w:r>
      <w:r w:rsidR="00A74EAE">
        <w:t xml:space="preserve"> pre-determined supply arrangements is not acceptable. </w:t>
      </w:r>
      <w:r w:rsidR="00FD1FB9">
        <w:t xml:space="preserve">The explanations will be published with the list of key goods and services in the AIP plan summary. </w:t>
      </w:r>
    </w:p>
    <w:p w14:paraId="78B52739" w14:textId="522BCB51" w:rsidR="008F743E" w:rsidRPr="008F743E" w:rsidRDefault="00FD1FB9" w:rsidP="00642B27">
      <w:pPr>
        <w:rPr>
          <w:rStyle w:val="Strong"/>
        </w:rPr>
      </w:pPr>
      <w:r>
        <w:rPr>
          <w:rStyle w:val="Strong"/>
        </w:rPr>
        <w:t xml:space="preserve">3. </w:t>
      </w:r>
      <w:r w:rsidR="008F743E" w:rsidRPr="008F743E">
        <w:rPr>
          <w:rStyle w:val="Strong"/>
        </w:rPr>
        <w:t>Ensuring procurement entities obtain and maintain a current understanding of the capabilities of Australian entities</w:t>
      </w:r>
    </w:p>
    <w:p w14:paraId="58AEB456" w14:textId="464FF9A6" w:rsidR="008F743E" w:rsidRPr="00952E4D" w:rsidRDefault="00000F52" w:rsidP="00952E4D">
      <w:r>
        <w:t>Describe h</w:t>
      </w:r>
      <w:r w:rsidR="005B0439">
        <w:t xml:space="preserve">ow </w:t>
      </w:r>
      <w:r>
        <w:t xml:space="preserve">project </w:t>
      </w:r>
      <w:r w:rsidR="005B0439">
        <w:t xml:space="preserve">proponents will make sure procurement entities stay up-to-date with the capability and capacity of Australian entities to supply the goods and services required for the project. This </w:t>
      </w:r>
      <w:r w:rsidR="008F743E" w:rsidRPr="00952E4D">
        <w:t xml:space="preserve">may involve </w:t>
      </w:r>
      <w:r w:rsidR="00952E4D" w:rsidRPr="00952E4D">
        <w:t xml:space="preserve">procurement entities being contractually obligated to </w:t>
      </w:r>
      <w:r w:rsidR="005B0439">
        <w:t>engage with</w:t>
      </w:r>
      <w:r w:rsidR="005B0439" w:rsidRPr="00952E4D">
        <w:t xml:space="preserve"> </w:t>
      </w:r>
      <w:r w:rsidR="008F743E" w:rsidRPr="00952E4D">
        <w:t xml:space="preserve">relevant industry networks and </w:t>
      </w:r>
      <w:r w:rsidR="005B0439">
        <w:t>vendor identification agencies</w:t>
      </w:r>
      <w:r w:rsidR="008F743E" w:rsidRPr="00952E4D">
        <w:t xml:space="preserve"> </w:t>
      </w:r>
      <w:r w:rsidR="006334E8">
        <w:t xml:space="preserve">and </w:t>
      </w:r>
      <w:r w:rsidR="003D7A09">
        <w:t xml:space="preserve">consult with </w:t>
      </w:r>
      <w:r w:rsidR="006334E8">
        <w:t xml:space="preserve">Australian entities </w:t>
      </w:r>
      <w:r w:rsidR="008F743E" w:rsidRPr="00952E4D">
        <w:t xml:space="preserve">to gather information about the capability and capacity of Australian entities to compete for work. Procurement entities </w:t>
      </w:r>
      <w:r w:rsidR="005568AE">
        <w:t>must</w:t>
      </w:r>
      <w:r w:rsidR="005568AE" w:rsidRPr="00952E4D">
        <w:t xml:space="preserve"> </w:t>
      </w:r>
      <w:r w:rsidR="008F743E" w:rsidRPr="00952E4D">
        <w:t>not solely rely on in</w:t>
      </w:r>
      <w:r w:rsidR="008F743E" w:rsidRPr="00952E4D">
        <w:noBreakHyphen/>
        <w:t xml:space="preserve">house knowledge but should </w:t>
      </w:r>
      <w:r w:rsidR="00F65679">
        <w:t xml:space="preserve">undertake market soundings and research to </w:t>
      </w:r>
      <w:r w:rsidR="008F743E" w:rsidRPr="00952E4D">
        <w:t xml:space="preserve">keep themselves regularly informed of industry capability and capacity in relation to the </w:t>
      </w:r>
      <w:r w:rsidR="005B0439">
        <w:t xml:space="preserve">key goods and services for the </w:t>
      </w:r>
      <w:r w:rsidR="008F743E" w:rsidRPr="00952E4D">
        <w:t>project.</w:t>
      </w:r>
      <w:r w:rsidR="00F65679">
        <w:t xml:space="preserve"> Where a procurement entity intends using its own supplier database, information should be provided on how that database is updated and the process for registering new suppliers. </w:t>
      </w:r>
    </w:p>
    <w:p w14:paraId="4149202F" w14:textId="4DF50AA1" w:rsidR="008F743E" w:rsidRPr="00944FD8" w:rsidRDefault="00FD1FB9" w:rsidP="00944FD8">
      <w:pPr>
        <w:rPr>
          <w:rStyle w:val="Strong"/>
        </w:rPr>
      </w:pPr>
      <w:r>
        <w:rPr>
          <w:rStyle w:val="Strong"/>
        </w:rPr>
        <w:lastRenderedPageBreak/>
        <w:t xml:space="preserve">4. </w:t>
      </w:r>
      <w:r w:rsidR="00511694">
        <w:rPr>
          <w:rStyle w:val="Strong"/>
        </w:rPr>
        <w:t>S</w:t>
      </w:r>
      <w:r w:rsidR="00944FD8" w:rsidRPr="00944FD8">
        <w:rPr>
          <w:rStyle w:val="Strong"/>
        </w:rPr>
        <w:t>tandards for key goods and services</w:t>
      </w:r>
    </w:p>
    <w:p w14:paraId="2D6475DB" w14:textId="77777777" w:rsidR="00944FD8" w:rsidRDefault="00944FD8" w:rsidP="00944FD8">
      <w:r>
        <w:t>This question is to be addressed in two parts:</w:t>
      </w:r>
    </w:p>
    <w:p w14:paraId="020A10AE" w14:textId="4CA5B08F" w:rsidR="00944FD8" w:rsidRDefault="00944FD8" w:rsidP="00944FD8">
      <w:pPr>
        <w:pStyle w:val="Numbered"/>
        <w:numPr>
          <w:ilvl w:val="0"/>
          <w:numId w:val="20"/>
        </w:numPr>
      </w:pPr>
      <w:r>
        <w:t>The form of standards to be used on the project.</w:t>
      </w:r>
    </w:p>
    <w:p w14:paraId="572E8693" w14:textId="7E680798" w:rsidR="00944FD8" w:rsidRPr="00952E4D" w:rsidRDefault="008D1B06" w:rsidP="00952E4D">
      <w:pPr>
        <w:pStyle w:val="Bullets"/>
        <w:ind w:left="709"/>
      </w:pPr>
      <w:r>
        <w:t xml:space="preserve">Select the form </w:t>
      </w:r>
      <w:proofErr w:type="gramStart"/>
      <w:r>
        <w:t>of</w:t>
      </w:r>
      <w:r w:rsidR="00952E4D" w:rsidRPr="00952E4D">
        <w:t xml:space="preserve">  standards</w:t>
      </w:r>
      <w:proofErr w:type="gramEnd"/>
      <w:r w:rsidR="00952E4D" w:rsidRPr="00952E4D">
        <w:t xml:space="preserve"> </w:t>
      </w:r>
      <w:r w:rsidR="00820546">
        <w:t xml:space="preserve">which </w:t>
      </w:r>
      <w:r w:rsidR="00952E4D" w:rsidRPr="00952E4D">
        <w:t xml:space="preserve">will be applied in undertaking the project. </w:t>
      </w:r>
      <w:r>
        <w:t xml:space="preserve">If selecting </w:t>
      </w:r>
      <w:proofErr w:type="gramStart"/>
      <w:r>
        <w:t>Other</w:t>
      </w:r>
      <w:proofErr w:type="gramEnd"/>
      <w:r>
        <w:t xml:space="preserve"> provide a description of these standards. </w:t>
      </w:r>
      <w:r w:rsidR="00952E4D" w:rsidRPr="00952E4D">
        <w:t xml:space="preserve">Project proponents should ensure design specifications take Australian entities’ capabilities and Australian standards into account and that Australian entities are not “designed out” of the project (i.e. tender documents cite Australian or international standards that Australian entities can meet). </w:t>
      </w:r>
      <w:r w:rsidR="00944FD8" w:rsidRPr="00952E4D">
        <w:t xml:space="preserve">International standards </w:t>
      </w:r>
      <w:r w:rsidR="00952E4D">
        <w:t>m</w:t>
      </w:r>
      <w:r w:rsidR="00944FD8" w:rsidRPr="00952E4D">
        <w:t>e</w:t>
      </w:r>
      <w:r w:rsidR="00AA24B5" w:rsidRPr="00952E4D">
        <w:t>an International Organisation for Standardisation (ISO)</w:t>
      </w:r>
      <w:r w:rsidR="00506F86">
        <w:t xml:space="preserve"> standards or other recognised international standards in a particular industry sector</w:t>
      </w:r>
      <w:r w:rsidR="00AA24B5" w:rsidRPr="00952E4D">
        <w:t>.</w:t>
      </w:r>
    </w:p>
    <w:p w14:paraId="2EEDAB6B" w14:textId="161E4D2B" w:rsidR="00944FD8" w:rsidRPr="00944FD8" w:rsidRDefault="00944FD8" w:rsidP="00944FD8">
      <w:pPr>
        <w:pStyle w:val="Numbered"/>
        <w:numPr>
          <w:ilvl w:val="0"/>
          <w:numId w:val="20"/>
        </w:numPr>
      </w:pPr>
      <w:r>
        <w:t xml:space="preserve">If Australian or </w:t>
      </w:r>
      <w:r w:rsidR="006D3190">
        <w:t xml:space="preserve">recognised </w:t>
      </w:r>
      <w:r>
        <w:t xml:space="preserve">international standards will not be used, what impact will this have on </w:t>
      </w:r>
      <w:r w:rsidR="006D3190">
        <w:t xml:space="preserve">the ability of </w:t>
      </w:r>
      <w:r>
        <w:t>Australian entities</w:t>
      </w:r>
      <w:r w:rsidR="006D3190">
        <w:t xml:space="preserve"> to participate</w:t>
      </w:r>
      <w:r>
        <w:t>?</w:t>
      </w:r>
    </w:p>
    <w:p w14:paraId="6ED5F592" w14:textId="2A1001D7" w:rsidR="00642B27" w:rsidRDefault="00952E4D" w:rsidP="00952E4D">
      <w:pPr>
        <w:pStyle w:val="Bullets"/>
        <w:ind w:left="709"/>
      </w:pPr>
      <w:r w:rsidRPr="00952E4D">
        <w:t xml:space="preserve">If the project proponent is not using Australian or international standards </w:t>
      </w:r>
      <w:r w:rsidR="00047AB0">
        <w:t xml:space="preserve">for some goods </w:t>
      </w:r>
      <w:r w:rsidR="008D1B06">
        <w:t xml:space="preserve">or services </w:t>
      </w:r>
      <w:r w:rsidRPr="00952E4D">
        <w:t xml:space="preserve">it </w:t>
      </w:r>
      <w:r w:rsidR="005568AE">
        <w:t>must</w:t>
      </w:r>
      <w:r w:rsidR="005568AE" w:rsidRPr="00952E4D">
        <w:t xml:space="preserve"> </w:t>
      </w:r>
      <w:r w:rsidRPr="00952E4D">
        <w:t xml:space="preserve">indicate whether these standards can be met by Australian </w:t>
      </w:r>
      <w:r w:rsidR="00383E0A">
        <w:t>entities</w:t>
      </w:r>
      <w:r w:rsidRPr="00952E4D">
        <w:t xml:space="preserve"> and what impact not using Australian or international standards may have on the ability of Australian entities to participate. In some </w:t>
      </w:r>
      <w:r w:rsidR="00383E0A">
        <w:t>sectors</w:t>
      </w:r>
      <w:r w:rsidRPr="00952E4D">
        <w:t xml:space="preserve"> </w:t>
      </w:r>
      <w:r w:rsidR="00AA24B5" w:rsidRPr="00952E4D">
        <w:t xml:space="preserve">there are other broadly adopted international standards </w:t>
      </w:r>
      <w:r w:rsidRPr="00952E4D">
        <w:t xml:space="preserve">used in the design and engineering of new projects globally (e.g. the American Petroleum Institute standards </w:t>
      </w:r>
      <w:r w:rsidR="00AA24B5" w:rsidRPr="00952E4D">
        <w:t>in the oil and gas industry</w:t>
      </w:r>
      <w:r w:rsidRPr="00952E4D">
        <w:t>)</w:t>
      </w:r>
      <w:r w:rsidR="00AA24B5" w:rsidRPr="00952E4D">
        <w:t>.</w:t>
      </w:r>
      <w:r>
        <w:t xml:space="preserve"> To discuss potential other standards which could be specified please contact the AIP Authority</w:t>
      </w:r>
      <w:r w:rsidRPr="00855F20">
        <w:t>.</w:t>
      </w:r>
    </w:p>
    <w:p w14:paraId="3A2E07F0" w14:textId="0A007830" w:rsidR="00FD1FB9" w:rsidRPr="00952E4D" w:rsidRDefault="00FD1FB9" w:rsidP="00952E4D">
      <w:pPr>
        <w:pStyle w:val="Bullets"/>
        <w:ind w:left="709"/>
      </w:pPr>
      <w:r>
        <w:t>If the project proponent is only using Australian or international standards insert “N/a”.</w:t>
      </w:r>
    </w:p>
    <w:p w14:paraId="213AC9BE" w14:textId="77777777" w:rsidR="00F02345" w:rsidRDefault="00F02345" w:rsidP="008741D2"/>
    <w:p w14:paraId="675A407C" w14:textId="77777777" w:rsidR="00F02345" w:rsidRDefault="00F02345" w:rsidP="008741D2"/>
    <w:p w14:paraId="0C68B34F" w14:textId="77777777" w:rsidR="008741D2" w:rsidRDefault="008741D2" w:rsidP="008741D2">
      <w:r>
        <w:br w:type="page"/>
      </w:r>
    </w:p>
    <w:p w14:paraId="27B3A482" w14:textId="0684C072" w:rsidR="008741D2" w:rsidRDefault="00087D38" w:rsidP="008741D2">
      <w:pPr>
        <w:pStyle w:val="Heading4"/>
      </w:pPr>
      <w:bookmarkStart w:id="45" w:name="_Toc372705337"/>
      <w:r>
        <w:lastRenderedPageBreak/>
        <w:t xml:space="preserve">B.3 – </w:t>
      </w:r>
      <w:r w:rsidR="008741D2">
        <w:t xml:space="preserve">Publication of </w:t>
      </w:r>
      <w:bookmarkEnd w:id="45"/>
      <w:r w:rsidR="00A83FA5">
        <w:t>Information</w:t>
      </w:r>
    </w:p>
    <w:p w14:paraId="31BADBA8" w14:textId="166BA43E" w:rsidR="008741D2" w:rsidRDefault="000B01C6" w:rsidP="008741D2">
      <w:r>
        <w:t xml:space="preserve">This criterion </w:t>
      </w:r>
      <w:r w:rsidR="00F553EC">
        <w:t xml:space="preserve">must </w:t>
      </w:r>
      <w:r w:rsidR="007E65A1">
        <w:t>provide the addresses</w:t>
      </w:r>
      <w:r w:rsidR="00F553EC">
        <w:t xml:space="preserve"> </w:t>
      </w:r>
      <w:r>
        <w:t xml:space="preserve">of the various websites which will be used to communicate information about the project and </w:t>
      </w:r>
      <w:r w:rsidR="0075432C">
        <w:t xml:space="preserve">its </w:t>
      </w:r>
      <w:r>
        <w:t>supply opportunities</w:t>
      </w:r>
      <w:r w:rsidR="0075432C">
        <w:t>.</w:t>
      </w:r>
      <w:r>
        <w:t xml:space="preserve"> </w:t>
      </w:r>
      <w:r w:rsidR="00837BD7">
        <w:t xml:space="preserve">Strategies </w:t>
      </w:r>
      <w:r w:rsidR="00F553EC">
        <w:t xml:space="preserve">must </w:t>
      </w:r>
      <w:r w:rsidR="00837BD7">
        <w:t xml:space="preserve">also be outlined detailing how procurement entities will be required to </w:t>
      </w:r>
      <w:r w:rsidR="00B401CF">
        <w:t xml:space="preserve">have </w:t>
      </w:r>
      <w:r w:rsidR="00837BD7">
        <w:t>a website to communicate information to assist potential suppliers.</w:t>
      </w:r>
    </w:p>
    <w:p w14:paraId="688979FF" w14:textId="2880CE47" w:rsidR="00001790" w:rsidRDefault="00511694" w:rsidP="008741D2">
      <w:pPr>
        <w:rPr>
          <w:rStyle w:val="Strong"/>
        </w:rPr>
      </w:pPr>
      <w:r>
        <w:rPr>
          <w:rStyle w:val="Strong"/>
        </w:rPr>
        <w:t xml:space="preserve">1. </w:t>
      </w:r>
      <w:r w:rsidR="00916567" w:rsidRPr="00916567">
        <w:rPr>
          <w:rStyle w:val="Strong"/>
        </w:rPr>
        <w:t xml:space="preserve">Project proponent </w:t>
      </w:r>
      <w:r w:rsidR="000B01C6">
        <w:rPr>
          <w:rStyle w:val="Strong"/>
        </w:rPr>
        <w:t xml:space="preserve">and/or project </w:t>
      </w:r>
      <w:r w:rsidR="00916567" w:rsidRPr="00916567">
        <w:rPr>
          <w:rStyle w:val="Strong"/>
        </w:rPr>
        <w:t>web</w:t>
      </w:r>
      <w:r>
        <w:rPr>
          <w:rStyle w:val="Strong"/>
        </w:rPr>
        <w:t>site</w:t>
      </w:r>
      <w:r w:rsidR="00916567" w:rsidRPr="00916567">
        <w:rPr>
          <w:rStyle w:val="Strong"/>
        </w:rPr>
        <w:t xml:space="preserve"> address</w:t>
      </w:r>
    </w:p>
    <w:p w14:paraId="7D1A0DCA" w14:textId="2AE413A3" w:rsidR="000B01C6" w:rsidRDefault="00511694" w:rsidP="000B01C6">
      <w:r>
        <w:t>P</w:t>
      </w:r>
      <w:r w:rsidR="000B01C6">
        <w:t xml:space="preserve">rovide the address of </w:t>
      </w:r>
      <w:r>
        <w:t xml:space="preserve">your </w:t>
      </w:r>
      <w:r w:rsidR="000B01C6">
        <w:t>publicly a</w:t>
      </w:r>
      <w:r w:rsidR="00252684">
        <w:t xml:space="preserve">ccessible </w:t>
      </w:r>
      <w:r w:rsidR="000B01C6">
        <w:t xml:space="preserve">website </w:t>
      </w:r>
      <w:r>
        <w:t xml:space="preserve">containing </w:t>
      </w:r>
      <w:r w:rsidR="000B01C6">
        <w:t xml:space="preserve">general information for suppliers </w:t>
      </w:r>
      <w:r>
        <w:t xml:space="preserve">on the project </w:t>
      </w:r>
      <w:r w:rsidR="000B01C6">
        <w:t>and a link to project opportunities.</w:t>
      </w:r>
    </w:p>
    <w:p w14:paraId="6B8FFCA2" w14:textId="0A408B5F" w:rsidR="00837BD7" w:rsidRPr="00837BD7" w:rsidRDefault="00511694" w:rsidP="000B01C6">
      <w:pPr>
        <w:rPr>
          <w:rStyle w:val="Strong"/>
        </w:rPr>
      </w:pPr>
      <w:r>
        <w:rPr>
          <w:rStyle w:val="Strong"/>
        </w:rPr>
        <w:t xml:space="preserve">2. </w:t>
      </w:r>
      <w:r w:rsidR="00837BD7" w:rsidRPr="00837BD7">
        <w:rPr>
          <w:rStyle w:val="Strong"/>
        </w:rPr>
        <w:t>Project opportunities web</w:t>
      </w:r>
      <w:r>
        <w:rPr>
          <w:rStyle w:val="Strong"/>
        </w:rPr>
        <w:t>site</w:t>
      </w:r>
      <w:r w:rsidR="00837BD7" w:rsidRPr="00837BD7">
        <w:rPr>
          <w:rStyle w:val="Strong"/>
        </w:rPr>
        <w:t xml:space="preserve"> address</w:t>
      </w:r>
    </w:p>
    <w:p w14:paraId="0DDBD59B" w14:textId="78F15DFC" w:rsidR="005107F8" w:rsidRPr="00266F16" w:rsidRDefault="00511694" w:rsidP="00266F16">
      <w:r>
        <w:t>P</w:t>
      </w:r>
      <w:r w:rsidR="00837BD7">
        <w:t>rovide the address of a publicly a</w:t>
      </w:r>
      <w:r w:rsidR="00252684">
        <w:t>ccessible</w:t>
      </w:r>
      <w:r w:rsidR="00837BD7">
        <w:t xml:space="preserve"> website where </w:t>
      </w:r>
      <w:r w:rsidR="00F0030E">
        <w:t xml:space="preserve">the </w:t>
      </w:r>
      <w:r w:rsidR="00837BD7">
        <w:t>details of opportunities expected to arise as part of the project will be published</w:t>
      </w:r>
      <w:r w:rsidR="006E1DFF">
        <w:t xml:space="preserve"> and suppliers can register interest in those opportunities</w:t>
      </w:r>
      <w:r w:rsidR="00837BD7">
        <w:t>.</w:t>
      </w:r>
      <w:r w:rsidR="006F1DA9">
        <w:t xml:space="preserve"> </w:t>
      </w:r>
      <w:r>
        <w:t xml:space="preserve">This may be a third party’s website. </w:t>
      </w:r>
      <w:r w:rsidR="006F1DA9">
        <w:t xml:space="preserve">Details published on this website </w:t>
      </w:r>
      <w:r w:rsidR="005568AE">
        <w:t xml:space="preserve">must </w:t>
      </w:r>
      <w:r w:rsidR="005107F8">
        <w:t xml:space="preserve">include a detailed breakdown of the key goods and services valued above $1 million to be procured for the project. Each key good and service should be accompanied by the expected source of supply (Australian or non-Australian entities) and the procurement entity </w:t>
      </w:r>
      <w:r w:rsidR="005107F8" w:rsidRPr="00266F16">
        <w:t>expected to purchase the key goods or services (where known).</w:t>
      </w:r>
    </w:p>
    <w:p w14:paraId="459E4D70" w14:textId="77777777" w:rsidR="005107F8" w:rsidRPr="00266F16" w:rsidRDefault="005107F8" w:rsidP="00266F16">
      <w:r w:rsidRPr="00266F16">
        <w:t xml:space="preserve">The table below provides an example of the information which </w:t>
      </w:r>
      <w:r w:rsidR="005568AE">
        <w:t>must</w:t>
      </w:r>
      <w:r w:rsidR="005568AE" w:rsidRPr="00266F16">
        <w:t xml:space="preserve"> </w:t>
      </w:r>
      <w:r w:rsidRPr="00266F16">
        <w:t xml:space="preserve">be published on the website. </w:t>
      </w:r>
      <w:r w:rsidR="00CA23CD" w:rsidRPr="00266F16">
        <w:t xml:space="preserve">The </w:t>
      </w:r>
      <w:r w:rsidR="008C5324" w:rsidRPr="008C5324">
        <w:rPr>
          <w:rStyle w:val="Emphasis"/>
        </w:rPr>
        <w:t>Australian Jobs (Australian Industry Participation) Rule 2014</w:t>
      </w:r>
      <w:r w:rsidR="00CA23CD" w:rsidRPr="00266F16">
        <w:t xml:space="preserve"> specifies that t</w:t>
      </w:r>
      <w:r w:rsidR="005E5730" w:rsidRPr="00266F16">
        <w:t>he k</w:t>
      </w:r>
      <w:r w:rsidRPr="00266F16">
        <w:t>ey goods and services</w:t>
      </w:r>
      <w:r w:rsidR="00CA23CD" w:rsidRPr="00266F16">
        <w:t xml:space="preserve"> for the project</w:t>
      </w:r>
      <w:r w:rsidRPr="00266F16">
        <w:t xml:space="preserve"> </w:t>
      </w:r>
      <w:r w:rsidR="005568AE">
        <w:t>must</w:t>
      </w:r>
      <w:r w:rsidR="005568AE" w:rsidRPr="00266F16">
        <w:t xml:space="preserve"> </w:t>
      </w:r>
      <w:r w:rsidR="00CA23CD" w:rsidRPr="00266F16">
        <w:t xml:space="preserve">be broken down into </w:t>
      </w:r>
      <w:r w:rsidR="003D7A09">
        <w:t xml:space="preserve">categories that are the most </w:t>
      </w:r>
      <w:r w:rsidR="00CA23CD" w:rsidRPr="00266F16">
        <w:t xml:space="preserve">reasonable </w:t>
      </w:r>
      <w:r w:rsidR="003D7A09">
        <w:t xml:space="preserve">and appropriate in the context of how </w:t>
      </w:r>
      <w:r w:rsidR="00CA23CD" w:rsidRPr="00266F16">
        <w:t>the project proponent</w:t>
      </w:r>
      <w:r w:rsidR="003D7A09">
        <w:t xml:space="preserve"> expects the goods and services to be acquired or supplied</w:t>
      </w:r>
      <w:r w:rsidR="00CA23CD" w:rsidRPr="00266F16">
        <w:t xml:space="preserve">. These reasonable work packages </w:t>
      </w:r>
      <w:r w:rsidR="005568AE">
        <w:t>must</w:t>
      </w:r>
      <w:r w:rsidR="005568AE" w:rsidRPr="00266F16">
        <w:t xml:space="preserve"> </w:t>
      </w:r>
      <w:r w:rsidR="00CA23CD" w:rsidRPr="00266F16">
        <w:t>be published on the website.</w:t>
      </w:r>
    </w:p>
    <w:p w14:paraId="28D179A3" w14:textId="77777777" w:rsidR="00486D62" w:rsidRDefault="00486D62">
      <w:pPr>
        <w:spacing w:before="0" w:after="0"/>
        <w:rPr>
          <w:rFonts w:eastAsia="MS Mincho"/>
          <w:b/>
          <w:sz w:val="18"/>
          <w:lang w:val="en-US"/>
        </w:rPr>
      </w:pPr>
      <w:r>
        <w:br w:type="page"/>
      </w:r>
    </w:p>
    <w:p w14:paraId="534E5BA8" w14:textId="0B4673B4" w:rsidR="00E2260B" w:rsidRDefault="00E2260B" w:rsidP="00E2260B">
      <w:pPr>
        <w:pStyle w:val="Caption"/>
      </w:pPr>
      <w:r>
        <w:lastRenderedPageBreak/>
        <w:t xml:space="preserve">Table 2: Example of a list of key goods and services and their </w:t>
      </w:r>
      <w:r w:rsidR="006E1DFF">
        <w:t xml:space="preserve">expected </w:t>
      </w:r>
      <w:r>
        <w:t>supply</w:t>
      </w:r>
      <w:r w:rsidR="006E1DFF">
        <w:t xml:space="preserve"> opportunities</w:t>
      </w:r>
      <w:r>
        <w:t>.</w:t>
      </w:r>
    </w:p>
    <w:tbl>
      <w:tblPr>
        <w:tblStyle w:val="TableGrid"/>
        <w:tblW w:w="0" w:type="auto"/>
        <w:tblLook w:val="04A0" w:firstRow="1" w:lastRow="0" w:firstColumn="1" w:lastColumn="0" w:noHBand="0" w:noVBand="1"/>
        <w:tblDescription w:val="List of key goods and services likely to be acquired for the project"/>
      </w:tblPr>
      <w:tblGrid>
        <w:gridCol w:w="3585"/>
        <w:gridCol w:w="1570"/>
        <w:gridCol w:w="1592"/>
        <w:gridCol w:w="1549"/>
      </w:tblGrid>
      <w:tr w:rsidR="009E232E" w:rsidRPr="00F07286" w14:paraId="3ACA6973" w14:textId="77777777" w:rsidTr="009E232E">
        <w:trPr>
          <w:tblHeader/>
        </w:trPr>
        <w:tc>
          <w:tcPr>
            <w:tcW w:w="3791" w:type="dxa"/>
            <w:vAlign w:val="center"/>
          </w:tcPr>
          <w:p w14:paraId="001F29E1" w14:textId="77777777" w:rsidR="009E232E" w:rsidRPr="00D0596A" w:rsidRDefault="009E232E" w:rsidP="008359E1">
            <w:pPr>
              <w:rPr>
                <w:rStyle w:val="Strong"/>
              </w:rPr>
            </w:pPr>
            <w:r w:rsidRPr="00D0596A">
              <w:rPr>
                <w:rStyle w:val="Strong"/>
              </w:rPr>
              <w:t>List of key goods and services to be acquired for the project</w:t>
            </w:r>
          </w:p>
        </w:tc>
        <w:tc>
          <w:tcPr>
            <w:tcW w:w="1577" w:type="dxa"/>
            <w:tcBorders>
              <w:bottom w:val="single" w:sz="4" w:space="0" w:color="auto"/>
            </w:tcBorders>
            <w:vAlign w:val="center"/>
          </w:tcPr>
          <w:p w14:paraId="46965B27" w14:textId="77777777" w:rsidR="009E232E" w:rsidRPr="00D0596A" w:rsidRDefault="009E232E" w:rsidP="009E232E">
            <w:pPr>
              <w:rPr>
                <w:rStyle w:val="Strong"/>
              </w:rPr>
            </w:pPr>
            <w:r w:rsidRPr="00D0596A">
              <w:rPr>
                <w:rStyle w:val="Strong"/>
              </w:rPr>
              <w:t>Opportunities for Australian entities</w:t>
            </w:r>
          </w:p>
        </w:tc>
        <w:tc>
          <w:tcPr>
            <w:tcW w:w="1593" w:type="dxa"/>
            <w:tcBorders>
              <w:bottom w:val="single" w:sz="4" w:space="0" w:color="auto"/>
            </w:tcBorders>
            <w:vAlign w:val="center"/>
          </w:tcPr>
          <w:p w14:paraId="1133CCC6" w14:textId="77777777" w:rsidR="009E232E" w:rsidRPr="00D0596A" w:rsidRDefault="009E232E" w:rsidP="00BF04AB">
            <w:pPr>
              <w:rPr>
                <w:rStyle w:val="Strong"/>
              </w:rPr>
            </w:pPr>
            <w:r w:rsidRPr="00D0596A">
              <w:rPr>
                <w:rStyle w:val="Strong"/>
              </w:rPr>
              <w:t>Opportunities for non</w:t>
            </w:r>
            <w:r w:rsidRPr="00D0596A">
              <w:rPr>
                <w:rStyle w:val="Strong"/>
              </w:rPr>
              <w:noBreakHyphen/>
              <w:t>Australian entities</w:t>
            </w:r>
          </w:p>
        </w:tc>
        <w:tc>
          <w:tcPr>
            <w:tcW w:w="1561" w:type="dxa"/>
            <w:tcBorders>
              <w:bottom w:val="single" w:sz="4" w:space="0" w:color="auto"/>
            </w:tcBorders>
            <w:vAlign w:val="center"/>
          </w:tcPr>
          <w:p w14:paraId="0B43957C" w14:textId="77777777" w:rsidR="009E232E" w:rsidRPr="00D0596A" w:rsidRDefault="009E232E" w:rsidP="009E232E">
            <w:pPr>
              <w:rPr>
                <w:rStyle w:val="Strong"/>
              </w:rPr>
            </w:pPr>
            <w:r w:rsidRPr="00D0596A">
              <w:rPr>
                <w:rStyle w:val="Strong"/>
              </w:rPr>
              <w:t xml:space="preserve">Procurement entity </w:t>
            </w:r>
            <w:r w:rsidRPr="00D0596A">
              <w:t>(where known)</w:t>
            </w:r>
          </w:p>
        </w:tc>
      </w:tr>
      <w:tr w:rsidR="009E232E" w:rsidRPr="00F07286" w14:paraId="6A5E4373" w14:textId="77777777" w:rsidTr="009E232E">
        <w:trPr>
          <w:tblHeader/>
        </w:trPr>
        <w:tc>
          <w:tcPr>
            <w:tcW w:w="3791" w:type="dxa"/>
            <w:tcBorders>
              <w:right w:val="nil"/>
            </w:tcBorders>
            <w:vAlign w:val="center"/>
          </w:tcPr>
          <w:p w14:paraId="023C2B7C" w14:textId="77777777" w:rsidR="009E232E" w:rsidRPr="00D0596A" w:rsidRDefault="009E232E" w:rsidP="009E232E">
            <w:pPr>
              <w:rPr>
                <w:rStyle w:val="Strong"/>
              </w:rPr>
            </w:pPr>
            <w:r w:rsidRPr="00D0596A">
              <w:rPr>
                <w:rStyle w:val="Strong"/>
              </w:rPr>
              <w:t>Goods</w:t>
            </w:r>
          </w:p>
        </w:tc>
        <w:tc>
          <w:tcPr>
            <w:tcW w:w="1577" w:type="dxa"/>
            <w:tcBorders>
              <w:left w:val="nil"/>
              <w:right w:val="nil"/>
            </w:tcBorders>
            <w:vAlign w:val="center"/>
          </w:tcPr>
          <w:p w14:paraId="595CEB31" w14:textId="77777777" w:rsidR="009E232E" w:rsidRPr="00F07286" w:rsidRDefault="009E232E" w:rsidP="009E232E"/>
        </w:tc>
        <w:tc>
          <w:tcPr>
            <w:tcW w:w="1593" w:type="dxa"/>
            <w:tcBorders>
              <w:left w:val="nil"/>
              <w:right w:val="nil"/>
            </w:tcBorders>
            <w:vAlign w:val="center"/>
          </w:tcPr>
          <w:p w14:paraId="5CB7AB04" w14:textId="77777777" w:rsidR="009E232E" w:rsidRPr="00F07286" w:rsidRDefault="009E232E" w:rsidP="009E232E"/>
        </w:tc>
        <w:tc>
          <w:tcPr>
            <w:tcW w:w="1561" w:type="dxa"/>
            <w:tcBorders>
              <w:left w:val="nil"/>
            </w:tcBorders>
            <w:vAlign w:val="center"/>
          </w:tcPr>
          <w:p w14:paraId="0D289EBC" w14:textId="77777777" w:rsidR="009E232E" w:rsidRPr="00F07286" w:rsidRDefault="009E232E" w:rsidP="009E232E"/>
        </w:tc>
      </w:tr>
      <w:tr w:rsidR="009E232E" w:rsidRPr="00F07286" w14:paraId="0011DB37" w14:textId="77777777" w:rsidTr="009E232E">
        <w:trPr>
          <w:tblHeader/>
        </w:trPr>
        <w:tc>
          <w:tcPr>
            <w:tcW w:w="3791" w:type="dxa"/>
          </w:tcPr>
          <w:p w14:paraId="3D4E729C" w14:textId="77777777" w:rsidR="009E232E" w:rsidRPr="008064A6" w:rsidRDefault="00E10921" w:rsidP="00E10921">
            <w:r>
              <w:t>Supply of s</w:t>
            </w:r>
            <w:r w:rsidR="008064A6" w:rsidRPr="008064A6">
              <w:t>tainless steel</w:t>
            </w:r>
          </w:p>
        </w:tc>
        <w:tc>
          <w:tcPr>
            <w:tcW w:w="1577" w:type="dxa"/>
          </w:tcPr>
          <w:p w14:paraId="058FB0BA" w14:textId="77777777" w:rsidR="009E232E" w:rsidRPr="008064A6" w:rsidRDefault="008064A6" w:rsidP="008064A6">
            <w:r w:rsidRPr="008064A6">
              <w:t>No</w:t>
            </w:r>
          </w:p>
        </w:tc>
        <w:tc>
          <w:tcPr>
            <w:tcW w:w="1593" w:type="dxa"/>
          </w:tcPr>
          <w:p w14:paraId="747B922E" w14:textId="77777777" w:rsidR="009E232E" w:rsidRPr="008064A6" w:rsidRDefault="008064A6" w:rsidP="008064A6">
            <w:r w:rsidRPr="008064A6">
              <w:t>Yes</w:t>
            </w:r>
          </w:p>
        </w:tc>
        <w:tc>
          <w:tcPr>
            <w:tcW w:w="1561" w:type="dxa"/>
          </w:tcPr>
          <w:p w14:paraId="43A3DAE8" w14:textId="77777777" w:rsidR="009E232E" w:rsidRPr="008064A6" w:rsidRDefault="008064A6" w:rsidP="008064A6">
            <w:r w:rsidRPr="008064A6">
              <w:t>XYZ Ltd</w:t>
            </w:r>
          </w:p>
        </w:tc>
      </w:tr>
      <w:tr w:rsidR="009E232E" w:rsidRPr="00F07286" w14:paraId="17F05BF6" w14:textId="77777777" w:rsidTr="009E232E">
        <w:trPr>
          <w:tblHeader/>
        </w:trPr>
        <w:tc>
          <w:tcPr>
            <w:tcW w:w="3791" w:type="dxa"/>
          </w:tcPr>
          <w:p w14:paraId="481373CB" w14:textId="77777777" w:rsidR="009E232E" w:rsidRPr="00F07286" w:rsidRDefault="009237F7" w:rsidP="009E232E">
            <w:r>
              <w:t>Structural steel (supply and erection)</w:t>
            </w:r>
          </w:p>
        </w:tc>
        <w:tc>
          <w:tcPr>
            <w:tcW w:w="1577" w:type="dxa"/>
          </w:tcPr>
          <w:p w14:paraId="2D4E1009" w14:textId="77777777" w:rsidR="009E232E" w:rsidRPr="00F07286" w:rsidRDefault="009237F7" w:rsidP="009E232E">
            <w:r>
              <w:t>Yes</w:t>
            </w:r>
          </w:p>
        </w:tc>
        <w:tc>
          <w:tcPr>
            <w:tcW w:w="1593" w:type="dxa"/>
          </w:tcPr>
          <w:p w14:paraId="26C9EFDB" w14:textId="77777777" w:rsidR="009E232E" w:rsidRPr="00F07286" w:rsidRDefault="009237F7" w:rsidP="009E232E">
            <w:r>
              <w:t>Yes</w:t>
            </w:r>
          </w:p>
        </w:tc>
        <w:tc>
          <w:tcPr>
            <w:tcW w:w="1561" w:type="dxa"/>
          </w:tcPr>
          <w:p w14:paraId="2C035C15" w14:textId="77777777" w:rsidR="009E232E" w:rsidRPr="00F07286" w:rsidRDefault="009237F7" w:rsidP="009E232E">
            <w:r>
              <w:t>TBD</w:t>
            </w:r>
          </w:p>
        </w:tc>
      </w:tr>
      <w:tr w:rsidR="00383B11" w:rsidRPr="00F07286" w14:paraId="6B4B2D1D" w14:textId="77777777" w:rsidTr="00383B11">
        <w:trPr>
          <w:tblHeader/>
        </w:trPr>
        <w:tc>
          <w:tcPr>
            <w:tcW w:w="3791" w:type="dxa"/>
          </w:tcPr>
          <w:p w14:paraId="7B04A708" w14:textId="77777777" w:rsidR="00383B11" w:rsidRPr="00F07286" w:rsidRDefault="00383B11" w:rsidP="00383B11">
            <w:r>
              <w:t>Modular buildings</w:t>
            </w:r>
          </w:p>
        </w:tc>
        <w:tc>
          <w:tcPr>
            <w:tcW w:w="1577" w:type="dxa"/>
          </w:tcPr>
          <w:p w14:paraId="7C88E6B9" w14:textId="77777777" w:rsidR="00383B11" w:rsidRPr="00F07286" w:rsidRDefault="00383B11" w:rsidP="00383B11">
            <w:r>
              <w:t>Yes</w:t>
            </w:r>
          </w:p>
        </w:tc>
        <w:tc>
          <w:tcPr>
            <w:tcW w:w="1593" w:type="dxa"/>
          </w:tcPr>
          <w:p w14:paraId="2B083B1F" w14:textId="77777777" w:rsidR="00383B11" w:rsidRPr="00F07286" w:rsidRDefault="00383B11" w:rsidP="00383B11">
            <w:r>
              <w:t>Yes</w:t>
            </w:r>
          </w:p>
        </w:tc>
        <w:tc>
          <w:tcPr>
            <w:tcW w:w="1561" w:type="dxa"/>
          </w:tcPr>
          <w:p w14:paraId="75D0EE19" w14:textId="77777777" w:rsidR="00383B11" w:rsidRPr="00F07286" w:rsidRDefault="00383B11" w:rsidP="00383B11">
            <w:r>
              <w:t>TBD</w:t>
            </w:r>
          </w:p>
        </w:tc>
      </w:tr>
      <w:tr w:rsidR="009E232E" w:rsidRPr="00F07286" w14:paraId="6ABF67CC" w14:textId="77777777" w:rsidTr="009E232E">
        <w:trPr>
          <w:tblHeader/>
        </w:trPr>
        <w:tc>
          <w:tcPr>
            <w:tcW w:w="3791" w:type="dxa"/>
          </w:tcPr>
          <w:p w14:paraId="3E0EB170" w14:textId="77777777" w:rsidR="009E232E" w:rsidRPr="00F07286" w:rsidRDefault="009237F7" w:rsidP="009E232E">
            <w:r>
              <w:t>Conveyor monitoring system</w:t>
            </w:r>
          </w:p>
        </w:tc>
        <w:tc>
          <w:tcPr>
            <w:tcW w:w="1577" w:type="dxa"/>
          </w:tcPr>
          <w:p w14:paraId="54B9F1EC" w14:textId="77777777" w:rsidR="009E232E" w:rsidRPr="00F07286" w:rsidRDefault="009237F7" w:rsidP="009E232E">
            <w:r>
              <w:t>Yes</w:t>
            </w:r>
          </w:p>
        </w:tc>
        <w:tc>
          <w:tcPr>
            <w:tcW w:w="1593" w:type="dxa"/>
          </w:tcPr>
          <w:p w14:paraId="7C82DB93" w14:textId="77777777" w:rsidR="009E232E" w:rsidRPr="00F07286" w:rsidRDefault="009237F7" w:rsidP="009E232E">
            <w:r>
              <w:t>Yes</w:t>
            </w:r>
          </w:p>
        </w:tc>
        <w:tc>
          <w:tcPr>
            <w:tcW w:w="1561" w:type="dxa"/>
          </w:tcPr>
          <w:p w14:paraId="432E855F" w14:textId="77777777" w:rsidR="009E232E" w:rsidRPr="00F07286" w:rsidRDefault="009237F7" w:rsidP="009E232E">
            <w:r>
              <w:t>ABC Pty Ltd</w:t>
            </w:r>
          </w:p>
        </w:tc>
      </w:tr>
      <w:tr w:rsidR="009E232E" w:rsidRPr="00F07286" w14:paraId="0C064CD8" w14:textId="77777777" w:rsidTr="009E232E">
        <w:trPr>
          <w:tblHeader/>
        </w:trPr>
        <w:tc>
          <w:tcPr>
            <w:tcW w:w="3791" w:type="dxa"/>
          </w:tcPr>
          <w:p w14:paraId="4BFDF897" w14:textId="77777777" w:rsidR="009E232E" w:rsidRPr="00F07286" w:rsidRDefault="009237F7" w:rsidP="009E232E">
            <w:r>
              <w:t>Conveyor module</w:t>
            </w:r>
          </w:p>
        </w:tc>
        <w:tc>
          <w:tcPr>
            <w:tcW w:w="1577" w:type="dxa"/>
          </w:tcPr>
          <w:p w14:paraId="69369FE1" w14:textId="77777777" w:rsidR="009E232E" w:rsidRPr="00F07286" w:rsidRDefault="009237F7" w:rsidP="009E232E">
            <w:r>
              <w:t>No</w:t>
            </w:r>
          </w:p>
        </w:tc>
        <w:tc>
          <w:tcPr>
            <w:tcW w:w="1593" w:type="dxa"/>
          </w:tcPr>
          <w:p w14:paraId="6FA07192" w14:textId="77777777" w:rsidR="009E232E" w:rsidRPr="00F07286" w:rsidRDefault="009237F7" w:rsidP="009E232E">
            <w:r>
              <w:t>Yes</w:t>
            </w:r>
          </w:p>
        </w:tc>
        <w:tc>
          <w:tcPr>
            <w:tcW w:w="1561" w:type="dxa"/>
          </w:tcPr>
          <w:p w14:paraId="7931F163" w14:textId="77777777" w:rsidR="009E232E" w:rsidRPr="00F07286" w:rsidRDefault="009237F7" w:rsidP="009E232E">
            <w:r>
              <w:t>TBD</w:t>
            </w:r>
          </w:p>
        </w:tc>
      </w:tr>
      <w:tr w:rsidR="009E232E" w:rsidRPr="00F07286" w14:paraId="41ED2CEF" w14:textId="77777777" w:rsidTr="009E232E">
        <w:trPr>
          <w:tblHeader/>
        </w:trPr>
        <w:tc>
          <w:tcPr>
            <w:tcW w:w="3791" w:type="dxa"/>
            <w:tcBorders>
              <w:right w:val="nil"/>
            </w:tcBorders>
            <w:vAlign w:val="center"/>
          </w:tcPr>
          <w:p w14:paraId="68BEA0E8" w14:textId="77777777" w:rsidR="009E232E" w:rsidRPr="00D0596A" w:rsidRDefault="009E232E" w:rsidP="009E232E">
            <w:pPr>
              <w:rPr>
                <w:rStyle w:val="Strong"/>
              </w:rPr>
            </w:pPr>
            <w:r w:rsidRPr="00D0596A">
              <w:rPr>
                <w:rStyle w:val="Strong"/>
              </w:rPr>
              <w:t>Services</w:t>
            </w:r>
          </w:p>
        </w:tc>
        <w:tc>
          <w:tcPr>
            <w:tcW w:w="1577" w:type="dxa"/>
            <w:tcBorders>
              <w:left w:val="nil"/>
              <w:right w:val="nil"/>
            </w:tcBorders>
            <w:vAlign w:val="center"/>
          </w:tcPr>
          <w:p w14:paraId="742FC516" w14:textId="77777777" w:rsidR="009E232E" w:rsidRPr="00F07286" w:rsidRDefault="009E232E" w:rsidP="009E232E"/>
        </w:tc>
        <w:tc>
          <w:tcPr>
            <w:tcW w:w="1593" w:type="dxa"/>
            <w:tcBorders>
              <w:left w:val="nil"/>
              <w:right w:val="nil"/>
            </w:tcBorders>
            <w:vAlign w:val="center"/>
          </w:tcPr>
          <w:p w14:paraId="67A8D0E7" w14:textId="77777777" w:rsidR="009E232E" w:rsidRPr="00F07286" w:rsidRDefault="009E232E" w:rsidP="009E232E"/>
        </w:tc>
        <w:tc>
          <w:tcPr>
            <w:tcW w:w="1561" w:type="dxa"/>
            <w:tcBorders>
              <w:left w:val="nil"/>
            </w:tcBorders>
            <w:vAlign w:val="center"/>
          </w:tcPr>
          <w:p w14:paraId="52632E1F" w14:textId="77777777" w:rsidR="009E232E" w:rsidRPr="00F07286" w:rsidRDefault="009E232E" w:rsidP="009E232E"/>
        </w:tc>
      </w:tr>
      <w:tr w:rsidR="009E232E" w:rsidRPr="00F07286" w14:paraId="7716B945" w14:textId="77777777" w:rsidTr="009E232E">
        <w:trPr>
          <w:tblHeader/>
        </w:trPr>
        <w:tc>
          <w:tcPr>
            <w:tcW w:w="3791" w:type="dxa"/>
          </w:tcPr>
          <w:p w14:paraId="42E1A637" w14:textId="77777777" w:rsidR="009E232E" w:rsidRPr="00F07286" w:rsidRDefault="009237F7" w:rsidP="009E232E">
            <w:r>
              <w:t>Earthworks, drainage and road works</w:t>
            </w:r>
          </w:p>
        </w:tc>
        <w:tc>
          <w:tcPr>
            <w:tcW w:w="1577" w:type="dxa"/>
          </w:tcPr>
          <w:p w14:paraId="65B25A34" w14:textId="77777777" w:rsidR="009E232E" w:rsidRPr="00F07286" w:rsidRDefault="009237F7" w:rsidP="009E232E">
            <w:r>
              <w:t>Yes</w:t>
            </w:r>
          </w:p>
        </w:tc>
        <w:tc>
          <w:tcPr>
            <w:tcW w:w="1593" w:type="dxa"/>
          </w:tcPr>
          <w:p w14:paraId="063B6F03" w14:textId="77777777" w:rsidR="009E232E" w:rsidRPr="00F07286" w:rsidRDefault="009237F7" w:rsidP="009E232E">
            <w:r>
              <w:t>No</w:t>
            </w:r>
          </w:p>
        </w:tc>
        <w:tc>
          <w:tcPr>
            <w:tcW w:w="1561" w:type="dxa"/>
          </w:tcPr>
          <w:p w14:paraId="311E6BB5" w14:textId="77777777" w:rsidR="009E232E" w:rsidRPr="00F07286" w:rsidRDefault="009237F7" w:rsidP="009E232E">
            <w:r>
              <w:t>LMN Inc.</w:t>
            </w:r>
          </w:p>
        </w:tc>
      </w:tr>
      <w:tr w:rsidR="009E232E" w:rsidRPr="00F07286" w14:paraId="7CE8DAD4" w14:textId="77777777" w:rsidTr="009E232E">
        <w:trPr>
          <w:tblHeader/>
        </w:trPr>
        <w:tc>
          <w:tcPr>
            <w:tcW w:w="3791" w:type="dxa"/>
          </w:tcPr>
          <w:p w14:paraId="3DCE86F3" w14:textId="77777777" w:rsidR="009E232E" w:rsidRPr="00F07286" w:rsidRDefault="009237F7" w:rsidP="009E232E">
            <w:r>
              <w:t>Electrical services</w:t>
            </w:r>
          </w:p>
        </w:tc>
        <w:tc>
          <w:tcPr>
            <w:tcW w:w="1577" w:type="dxa"/>
          </w:tcPr>
          <w:p w14:paraId="371BEDEC" w14:textId="77777777" w:rsidR="009E232E" w:rsidRPr="00F07286" w:rsidRDefault="009237F7" w:rsidP="009E232E">
            <w:r>
              <w:t>Yes</w:t>
            </w:r>
          </w:p>
        </w:tc>
        <w:tc>
          <w:tcPr>
            <w:tcW w:w="1593" w:type="dxa"/>
          </w:tcPr>
          <w:p w14:paraId="458341D0" w14:textId="77777777" w:rsidR="009E232E" w:rsidRPr="00F07286" w:rsidRDefault="009237F7" w:rsidP="009E232E">
            <w:r>
              <w:t>No</w:t>
            </w:r>
          </w:p>
        </w:tc>
        <w:tc>
          <w:tcPr>
            <w:tcW w:w="1561" w:type="dxa"/>
          </w:tcPr>
          <w:p w14:paraId="5780A28D" w14:textId="77777777" w:rsidR="009E232E" w:rsidRPr="00F07286" w:rsidRDefault="009237F7" w:rsidP="009E232E">
            <w:r>
              <w:t>TBD</w:t>
            </w:r>
          </w:p>
        </w:tc>
      </w:tr>
      <w:tr w:rsidR="009E232E" w:rsidRPr="00F07286" w14:paraId="284F64D1" w14:textId="77777777" w:rsidTr="009E232E">
        <w:trPr>
          <w:tblHeader/>
        </w:trPr>
        <w:tc>
          <w:tcPr>
            <w:tcW w:w="3791" w:type="dxa"/>
          </w:tcPr>
          <w:p w14:paraId="0C1FEE88" w14:textId="77777777" w:rsidR="009E232E" w:rsidRPr="00F07286" w:rsidRDefault="00383B11" w:rsidP="009E232E">
            <w:r>
              <w:t>Landscaping</w:t>
            </w:r>
          </w:p>
        </w:tc>
        <w:tc>
          <w:tcPr>
            <w:tcW w:w="1577" w:type="dxa"/>
          </w:tcPr>
          <w:p w14:paraId="400E8018" w14:textId="77777777" w:rsidR="009E232E" w:rsidRPr="00F07286" w:rsidRDefault="00383B11" w:rsidP="009E232E">
            <w:r>
              <w:t>Yes</w:t>
            </w:r>
          </w:p>
        </w:tc>
        <w:tc>
          <w:tcPr>
            <w:tcW w:w="1593" w:type="dxa"/>
          </w:tcPr>
          <w:p w14:paraId="0754E466" w14:textId="77777777" w:rsidR="009E232E" w:rsidRPr="00F07286" w:rsidRDefault="00383B11" w:rsidP="009E232E">
            <w:r>
              <w:t>No</w:t>
            </w:r>
          </w:p>
        </w:tc>
        <w:tc>
          <w:tcPr>
            <w:tcW w:w="1561" w:type="dxa"/>
          </w:tcPr>
          <w:p w14:paraId="5ECAE210" w14:textId="77777777" w:rsidR="009E232E" w:rsidRPr="00F07286" w:rsidRDefault="00383B11" w:rsidP="009E232E">
            <w:r>
              <w:t>TBD</w:t>
            </w:r>
          </w:p>
        </w:tc>
      </w:tr>
      <w:tr w:rsidR="00383B11" w:rsidRPr="00F07286" w14:paraId="6EAF89AB" w14:textId="77777777" w:rsidTr="009E232E">
        <w:trPr>
          <w:tblHeader/>
        </w:trPr>
        <w:tc>
          <w:tcPr>
            <w:tcW w:w="3791" w:type="dxa"/>
          </w:tcPr>
          <w:p w14:paraId="08DB7A13" w14:textId="77777777" w:rsidR="00383B11" w:rsidRDefault="00383B11" w:rsidP="009E232E">
            <w:r>
              <w:t>Fitout works</w:t>
            </w:r>
          </w:p>
        </w:tc>
        <w:tc>
          <w:tcPr>
            <w:tcW w:w="1577" w:type="dxa"/>
          </w:tcPr>
          <w:p w14:paraId="66E6DDB4" w14:textId="77777777" w:rsidR="00383B11" w:rsidRDefault="00383B11" w:rsidP="009E232E">
            <w:r>
              <w:t>Yes</w:t>
            </w:r>
          </w:p>
        </w:tc>
        <w:tc>
          <w:tcPr>
            <w:tcW w:w="1593" w:type="dxa"/>
          </w:tcPr>
          <w:p w14:paraId="41D42213" w14:textId="77777777" w:rsidR="00383B11" w:rsidRDefault="00383B11" w:rsidP="009E232E">
            <w:r>
              <w:t>No</w:t>
            </w:r>
          </w:p>
        </w:tc>
        <w:tc>
          <w:tcPr>
            <w:tcW w:w="1561" w:type="dxa"/>
          </w:tcPr>
          <w:p w14:paraId="022C0B06" w14:textId="77777777" w:rsidR="00383B11" w:rsidRDefault="00383B11" w:rsidP="009E232E">
            <w:r>
              <w:t>RST Ltd</w:t>
            </w:r>
          </w:p>
        </w:tc>
      </w:tr>
    </w:tbl>
    <w:p w14:paraId="5F415092" w14:textId="5ECC95FD" w:rsidR="006F1DA9" w:rsidRPr="006F1DA9" w:rsidRDefault="00D14476" w:rsidP="000B01C6">
      <w:pPr>
        <w:rPr>
          <w:rStyle w:val="Strong"/>
        </w:rPr>
      </w:pPr>
      <w:r>
        <w:rPr>
          <w:rStyle w:val="Strong"/>
        </w:rPr>
        <w:t xml:space="preserve">3. </w:t>
      </w:r>
      <w:r w:rsidR="006F1DA9" w:rsidRPr="006F1DA9">
        <w:rPr>
          <w:rStyle w:val="Strong"/>
        </w:rPr>
        <w:t>Procurement entity website</w:t>
      </w:r>
    </w:p>
    <w:p w14:paraId="3C379B33" w14:textId="11947C09" w:rsidR="0075432C" w:rsidRDefault="00000F52" w:rsidP="000B01C6">
      <w:r>
        <w:t>Describe</w:t>
      </w:r>
      <w:r w:rsidR="006E1DFF">
        <w:t xml:space="preserve"> how </w:t>
      </w:r>
      <w:r w:rsidR="00E60B1C">
        <w:t xml:space="preserve">project </w:t>
      </w:r>
      <w:r w:rsidR="006E1DFF">
        <w:t>proponents will ensure p</w:t>
      </w:r>
      <w:r w:rsidR="00383E0A" w:rsidRPr="00383E0A">
        <w:t xml:space="preserve">rocurement entities </w:t>
      </w:r>
      <w:r w:rsidR="00E60B1C">
        <w:t>have</w:t>
      </w:r>
      <w:r w:rsidR="00E60B1C" w:rsidRPr="00383E0A">
        <w:t xml:space="preserve"> </w:t>
      </w:r>
      <w:r w:rsidR="00383E0A" w:rsidRPr="00383E0A">
        <w:t>a publicly accessible website which communicates the</w:t>
      </w:r>
      <w:r w:rsidR="00E60B1C">
        <w:t>:</w:t>
      </w:r>
      <w:r w:rsidR="00975339">
        <w:t xml:space="preserve"> </w:t>
      </w:r>
    </w:p>
    <w:p w14:paraId="12A6E259" w14:textId="77777777" w:rsidR="0075432C" w:rsidRDefault="00975339" w:rsidP="00C52E9F">
      <w:pPr>
        <w:pStyle w:val="ListParagraph"/>
        <w:numPr>
          <w:ilvl w:val="0"/>
          <w:numId w:val="32"/>
        </w:numPr>
      </w:pPr>
      <w:r>
        <w:t>pre-qualification requirements potential bidders must meet</w:t>
      </w:r>
      <w:r w:rsidR="0075432C">
        <w:t>;</w:t>
      </w:r>
      <w:r>
        <w:t xml:space="preserve"> </w:t>
      </w:r>
    </w:p>
    <w:p w14:paraId="4A29BD5C" w14:textId="77777777" w:rsidR="0075432C" w:rsidRDefault="00975339" w:rsidP="00C52E9F">
      <w:pPr>
        <w:pStyle w:val="ListParagraph"/>
        <w:numPr>
          <w:ilvl w:val="0"/>
          <w:numId w:val="32"/>
        </w:numPr>
      </w:pPr>
      <w:r>
        <w:t>the standards for key goods and services</w:t>
      </w:r>
      <w:r w:rsidR="0075432C">
        <w:t>;</w:t>
      </w:r>
      <w:r>
        <w:t xml:space="preserve"> and </w:t>
      </w:r>
    </w:p>
    <w:p w14:paraId="780AA393" w14:textId="4650DFB4" w:rsidR="0075432C" w:rsidRDefault="00975339" w:rsidP="00C52E9F">
      <w:pPr>
        <w:pStyle w:val="ListParagraph"/>
        <w:numPr>
          <w:ilvl w:val="0"/>
          <w:numId w:val="32"/>
        </w:numPr>
      </w:pPr>
      <w:proofErr w:type="gramStart"/>
      <w:r>
        <w:t>the</w:t>
      </w:r>
      <w:proofErr w:type="gramEnd"/>
      <w:r>
        <w:t xml:space="preserve"> procurement </w:t>
      </w:r>
      <w:r w:rsidR="0075432C">
        <w:t xml:space="preserve">entity </w:t>
      </w:r>
      <w:r>
        <w:t xml:space="preserve">contact officer’s details. </w:t>
      </w:r>
    </w:p>
    <w:p w14:paraId="1C23E1B4" w14:textId="34302178" w:rsidR="00F0030E" w:rsidRDefault="00975339" w:rsidP="00C52E9F">
      <w:r>
        <w:t xml:space="preserve">This information must be published on the website at a reasonable time before the procurement entities make requests for bids from suppliers. </w:t>
      </w:r>
      <w:r w:rsidR="00383E0A" w:rsidRPr="00383E0A">
        <w:t xml:space="preserve"> </w:t>
      </w:r>
    </w:p>
    <w:p w14:paraId="27966F6A" w14:textId="60D4D9B3" w:rsidR="00F0030E" w:rsidRPr="00F0030E" w:rsidRDefault="00F0030E" w:rsidP="00F0030E">
      <w:r>
        <w:t>Where a procurement entity is already identified the web</w:t>
      </w:r>
      <w:r w:rsidR="0075432C">
        <w:t>site</w:t>
      </w:r>
      <w:r>
        <w:t xml:space="preserve"> address which will communicate these details should also be provided here.</w:t>
      </w:r>
    </w:p>
    <w:p w14:paraId="513CF1C0" w14:textId="77777777" w:rsidR="00F0030E" w:rsidRPr="00F0030E" w:rsidRDefault="00F0030E" w:rsidP="00F0030E"/>
    <w:p w14:paraId="2A132E17" w14:textId="77777777" w:rsidR="008741D2" w:rsidRDefault="008741D2" w:rsidP="008741D2">
      <w:r>
        <w:br w:type="page"/>
      </w:r>
    </w:p>
    <w:p w14:paraId="3CDBEBF1" w14:textId="77777777" w:rsidR="008741D2" w:rsidRDefault="00087D38" w:rsidP="008741D2">
      <w:pPr>
        <w:pStyle w:val="Heading4"/>
      </w:pPr>
      <w:bookmarkStart w:id="46" w:name="_Toc372705338"/>
      <w:r>
        <w:lastRenderedPageBreak/>
        <w:t xml:space="preserve">B.4 – </w:t>
      </w:r>
      <w:r w:rsidR="008741D2">
        <w:t>Communicating and Providing Opportunities</w:t>
      </w:r>
      <w:bookmarkEnd w:id="46"/>
    </w:p>
    <w:p w14:paraId="5BF7503F" w14:textId="54C2C24D" w:rsidR="008741D2" w:rsidRDefault="00F5412A" w:rsidP="008741D2">
      <w:r>
        <w:t xml:space="preserve">This criterion </w:t>
      </w:r>
      <w:r w:rsidR="00F553EC">
        <w:t xml:space="preserve">must </w:t>
      </w:r>
      <w:r>
        <w:t xml:space="preserve">detail actions </w:t>
      </w:r>
      <w:r w:rsidR="000E2575">
        <w:t xml:space="preserve">project proponents will take in </w:t>
      </w:r>
      <w:r w:rsidR="00BC3BA2">
        <w:t xml:space="preserve">engaging with and </w:t>
      </w:r>
      <w:r>
        <w:t>communicating supply opportunities to Australian entities. Actions detailed in this criterion should include strategies for ensuring the effective transfer of information on opportunities for Australian entities through all tiers of supply (e.g. from procurement entities to lower tier suppliers) and in all stages of the project (e.g. through design, procurement</w:t>
      </w:r>
      <w:r w:rsidR="008359E1">
        <w:t xml:space="preserve"> and</w:t>
      </w:r>
      <w:r>
        <w:t xml:space="preserve"> construction).</w:t>
      </w:r>
    </w:p>
    <w:p w14:paraId="39CE569B" w14:textId="4EA4D498" w:rsidR="00001790" w:rsidRPr="00F5412A" w:rsidRDefault="005E6F97" w:rsidP="008741D2">
      <w:pPr>
        <w:rPr>
          <w:rStyle w:val="Strong"/>
        </w:rPr>
      </w:pPr>
      <w:r>
        <w:rPr>
          <w:rStyle w:val="Strong"/>
        </w:rPr>
        <w:t xml:space="preserve">1. </w:t>
      </w:r>
      <w:r w:rsidR="00F5412A" w:rsidRPr="00F5412A">
        <w:rPr>
          <w:rStyle w:val="Strong"/>
        </w:rPr>
        <w:t xml:space="preserve">Activities to </w:t>
      </w:r>
      <w:r w:rsidR="002E3A0E">
        <w:rPr>
          <w:rStyle w:val="Strong"/>
        </w:rPr>
        <w:t xml:space="preserve">engage </w:t>
      </w:r>
      <w:proofErr w:type="gramStart"/>
      <w:r w:rsidR="002E3A0E">
        <w:rPr>
          <w:rStyle w:val="Strong"/>
        </w:rPr>
        <w:t xml:space="preserve">with </w:t>
      </w:r>
      <w:r w:rsidR="00F5412A" w:rsidRPr="00F5412A">
        <w:rPr>
          <w:rStyle w:val="Strong"/>
        </w:rPr>
        <w:t xml:space="preserve"> Australian</w:t>
      </w:r>
      <w:proofErr w:type="gramEnd"/>
      <w:r w:rsidR="00F5412A" w:rsidRPr="00F5412A">
        <w:rPr>
          <w:rStyle w:val="Strong"/>
        </w:rPr>
        <w:t xml:space="preserve"> entities</w:t>
      </w:r>
      <w:r w:rsidR="002E3A0E">
        <w:rPr>
          <w:rStyle w:val="Strong"/>
        </w:rPr>
        <w:t xml:space="preserve"> and raise awareness of project opportunities</w:t>
      </w:r>
    </w:p>
    <w:p w14:paraId="3BDD4A5B" w14:textId="315392ED" w:rsidR="00F47357" w:rsidRPr="00F47357" w:rsidRDefault="005E6F97" w:rsidP="00F47357">
      <w:r>
        <w:t xml:space="preserve">Project </w:t>
      </w:r>
      <w:r w:rsidR="00F47357">
        <w:t xml:space="preserve">proponents </w:t>
      </w:r>
      <w:r>
        <w:t xml:space="preserve">must </w:t>
      </w:r>
      <w:r w:rsidR="00BC3BA2">
        <w:t xml:space="preserve">select </w:t>
      </w:r>
      <w:r w:rsidR="0097783C">
        <w:t xml:space="preserve">at least </w:t>
      </w:r>
      <w:r w:rsidR="00F47357">
        <w:t>four actions for conducting awareness programmes.</w:t>
      </w:r>
      <w:r w:rsidR="00383E0A">
        <w:t xml:space="preserve"> Project proponents should </w:t>
      </w:r>
      <w:r w:rsidR="00BC3BA2">
        <w:t>describe in more detail each action selected and i</w:t>
      </w:r>
      <w:r w:rsidR="0097783C">
        <w:t xml:space="preserve">nclude the timeframes for undertaking these activities. </w:t>
      </w:r>
    </w:p>
    <w:p w14:paraId="337A5AED" w14:textId="72F1C1DD" w:rsidR="00F5412A" w:rsidRDefault="00BC3BA2" w:rsidP="00383E0A">
      <w:r>
        <w:t>The</w:t>
      </w:r>
      <w:r w:rsidR="00383E0A">
        <w:t xml:space="preserve"> actions include:</w:t>
      </w:r>
    </w:p>
    <w:p w14:paraId="77FF1614" w14:textId="0E31B5B2" w:rsidR="00383E0A" w:rsidRDefault="005E6F97" w:rsidP="00383E0A">
      <w:pPr>
        <w:pStyle w:val="Bullets"/>
      </w:pPr>
      <w:r>
        <w:t>Promote project opportunities through industry associations</w:t>
      </w:r>
    </w:p>
    <w:p w14:paraId="0FFEF142" w14:textId="32202112" w:rsidR="00533FE9" w:rsidRDefault="00533FE9" w:rsidP="00533FE9">
      <w:pPr>
        <w:pStyle w:val="Bullets"/>
        <w:numPr>
          <w:ilvl w:val="1"/>
          <w:numId w:val="16"/>
        </w:numPr>
        <w:ind w:left="709"/>
      </w:pPr>
      <w:r>
        <w:t xml:space="preserve">Consult with the relevant industry associations and local industry to help identify capable and competitive Australian entities suitable to supply goods or services to the project. These industry bodies can also distribute information to capable Australian entities. </w:t>
      </w:r>
    </w:p>
    <w:p w14:paraId="427A2B59" w14:textId="15A18B67" w:rsidR="00533FE9" w:rsidRDefault="007B35C0" w:rsidP="00533FE9">
      <w:pPr>
        <w:pStyle w:val="Bullets"/>
      </w:pPr>
      <w:r>
        <w:t xml:space="preserve">Engage </w:t>
      </w:r>
      <w:r w:rsidR="00533FE9">
        <w:t xml:space="preserve">with </w:t>
      </w:r>
      <w:r w:rsidR="00831EFC">
        <w:t>vendor identification agencies</w:t>
      </w:r>
      <w:r w:rsidR="005E6F97">
        <w:t xml:space="preserve"> on project opportunities</w:t>
      </w:r>
    </w:p>
    <w:p w14:paraId="63DDBBEA" w14:textId="77777777" w:rsidR="00533FE9" w:rsidRDefault="00533FE9" w:rsidP="00533FE9">
      <w:pPr>
        <w:pStyle w:val="Bullets"/>
        <w:numPr>
          <w:ilvl w:val="1"/>
          <w:numId w:val="16"/>
        </w:numPr>
        <w:ind w:left="709"/>
      </w:pPr>
      <w:r>
        <w:t xml:space="preserve">Consult with </w:t>
      </w:r>
      <w:r w:rsidR="00831EFC">
        <w:t xml:space="preserve">vendor identification agencies </w:t>
      </w:r>
      <w:r>
        <w:t xml:space="preserve">to help identify capable and competitive Australian entities suitable to supply goods or services to the project. Project proponents should contact </w:t>
      </w:r>
      <w:r w:rsidR="00831EFC">
        <w:t>any vendor identification agencies</w:t>
      </w:r>
      <w:r>
        <w:t xml:space="preserve"> before submitting the AIP plan to confirm that the</w:t>
      </w:r>
      <w:r w:rsidR="00831EFC">
        <w:t>y are</w:t>
      </w:r>
      <w:r>
        <w:t xml:space="preserve"> able to assist.</w:t>
      </w:r>
      <w:r w:rsidR="009775E9">
        <w:t xml:space="preserve"> </w:t>
      </w:r>
    </w:p>
    <w:p w14:paraId="4C7EDDE4" w14:textId="15A827F9" w:rsidR="00533FE9" w:rsidRDefault="005E6F97" w:rsidP="00533FE9">
      <w:pPr>
        <w:pStyle w:val="Bullets"/>
      </w:pPr>
      <w:r>
        <w:t>Conduct supplier information briefings on project opportunities</w:t>
      </w:r>
    </w:p>
    <w:p w14:paraId="3A136485" w14:textId="77777777" w:rsidR="00533FE9" w:rsidRDefault="00533FE9" w:rsidP="00533FE9">
      <w:pPr>
        <w:pStyle w:val="Bullets"/>
        <w:numPr>
          <w:ilvl w:val="1"/>
          <w:numId w:val="16"/>
        </w:numPr>
        <w:ind w:left="709"/>
      </w:pPr>
      <w:r>
        <w:t>Hold public/industry briefings, conference</w:t>
      </w:r>
      <w:r w:rsidR="008359E1">
        <w:t>s</w:t>
      </w:r>
      <w:r>
        <w:t xml:space="preserve"> and/or workshops to communicate the types </w:t>
      </w:r>
      <w:r w:rsidR="009775E9">
        <w:t>o</w:t>
      </w:r>
      <w:r>
        <w:t>f opportunities available to Australian entities and information on how Australian entities can respond to opportunities.</w:t>
      </w:r>
      <w:r w:rsidR="00AB5197">
        <w:t xml:space="preserve"> Actions to conduct public briefings should detail how the briefings will be advertised and promoted for Australian entities to attend.</w:t>
      </w:r>
    </w:p>
    <w:p w14:paraId="0C809475" w14:textId="7B8214CA" w:rsidR="001A48B5" w:rsidRDefault="001A48B5" w:rsidP="001A48B5">
      <w:pPr>
        <w:pStyle w:val="Bullets"/>
      </w:pPr>
      <w:r>
        <w:t>Issue media releases and/or ASX announcements on project developments and opportunities</w:t>
      </w:r>
    </w:p>
    <w:p w14:paraId="5ACCEFC9" w14:textId="190F155A" w:rsidR="00533FE9" w:rsidRDefault="001A48B5" w:rsidP="007E65A1">
      <w:pPr>
        <w:pStyle w:val="Bullets"/>
        <w:numPr>
          <w:ilvl w:val="1"/>
          <w:numId w:val="16"/>
        </w:numPr>
        <w:ind w:left="709"/>
      </w:pPr>
      <w:r>
        <w:t xml:space="preserve"> </w:t>
      </w:r>
      <w:r w:rsidR="00533FE9">
        <w:t xml:space="preserve">Publish media releases/statements through mainstream media (e.g. newspapers, industry magazines and/or business journals) </w:t>
      </w:r>
      <w:r w:rsidR="00E56425">
        <w:t xml:space="preserve">or via ASX </w:t>
      </w:r>
      <w:r>
        <w:t>announcements</w:t>
      </w:r>
      <w:r w:rsidR="00E56425">
        <w:t xml:space="preserve"> </w:t>
      </w:r>
      <w:r w:rsidR="00533FE9">
        <w:t>detailing supply opportunities and how Australian entities can respond to these opportunities.</w:t>
      </w:r>
    </w:p>
    <w:p w14:paraId="136580BC" w14:textId="02362693" w:rsidR="00714955" w:rsidRDefault="00714955" w:rsidP="00533FE9">
      <w:pPr>
        <w:pStyle w:val="Bullets"/>
      </w:pPr>
      <w:r>
        <w:t>Develop and distribute a supplier information guide for the project</w:t>
      </w:r>
    </w:p>
    <w:p w14:paraId="0317E5CA" w14:textId="77777777" w:rsidR="00533FE9" w:rsidRDefault="00533FE9" w:rsidP="00533FE9">
      <w:pPr>
        <w:pStyle w:val="Bullets"/>
        <w:numPr>
          <w:ilvl w:val="1"/>
          <w:numId w:val="16"/>
        </w:numPr>
        <w:ind w:left="709"/>
      </w:pPr>
      <w:r>
        <w:t>Develop and distribute a Supplier Information Guide that details the project proponent’s expectations of Australian entities interested in supplying key goods and services for the project.</w:t>
      </w:r>
    </w:p>
    <w:p w14:paraId="727285BA" w14:textId="4960BD83" w:rsidR="00714955" w:rsidRDefault="00714955" w:rsidP="00714955">
      <w:pPr>
        <w:pStyle w:val="Bullets"/>
      </w:pPr>
      <w:r>
        <w:t>Direct contact suppliers with information on project opportunities</w:t>
      </w:r>
    </w:p>
    <w:p w14:paraId="46D71BD9" w14:textId="77777777" w:rsidR="00533FE9" w:rsidRDefault="00533FE9" w:rsidP="00533FE9">
      <w:pPr>
        <w:pStyle w:val="Bullets"/>
        <w:numPr>
          <w:ilvl w:val="1"/>
          <w:numId w:val="16"/>
        </w:numPr>
        <w:ind w:left="709"/>
      </w:pPr>
      <w:r>
        <w:lastRenderedPageBreak/>
        <w:t>Direct contact with Australian</w:t>
      </w:r>
      <w:r w:rsidR="00D43D59">
        <w:t xml:space="preserve"> entities (e.g. letter or email</w:t>
      </w:r>
      <w:r>
        <w:t>) inviting tender responses or informing about opportunities and how to respond to these opportunities.</w:t>
      </w:r>
    </w:p>
    <w:p w14:paraId="06304B04" w14:textId="413D891A" w:rsidR="00F47357" w:rsidDel="008666E3" w:rsidRDefault="00000F52" w:rsidP="00F47357">
      <w:pPr>
        <w:rPr>
          <w:rStyle w:val="Strong"/>
        </w:rPr>
      </w:pPr>
      <w:r>
        <w:rPr>
          <w:rStyle w:val="Strong"/>
        </w:rPr>
        <w:t xml:space="preserve">2. </w:t>
      </w:r>
      <w:r w:rsidR="00F47357" w:rsidRPr="00F47357" w:rsidDel="008666E3">
        <w:rPr>
          <w:rStyle w:val="Strong"/>
        </w:rPr>
        <w:t>Training for procurement entities on AIP plan obligations</w:t>
      </w:r>
    </w:p>
    <w:p w14:paraId="05BA7E98" w14:textId="146EE132" w:rsidR="00F47357" w:rsidDel="008666E3" w:rsidRDefault="00000F52" w:rsidP="00F47357">
      <w:r>
        <w:t>P</w:t>
      </w:r>
      <w:r w:rsidR="000A58FC" w:rsidDel="008666E3">
        <w:t xml:space="preserve">rovide detail on how </w:t>
      </w:r>
      <w:r>
        <w:t xml:space="preserve">project proponents </w:t>
      </w:r>
      <w:r w:rsidR="000A58FC" w:rsidDel="008666E3">
        <w:t>will inform procur</w:t>
      </w:r>
      <w:r w:rsidR="005568AE" w:rsidDel="008666E3">
        <w:t>ement</w:t>
      </w:r>
      <w:r w:rsidR="000A58FC" w:rsidDel="008666E3">
        <w:t xml:space="preserve"> entities of the AIP plan obligations for the project and provide training </w:t>
      </w:r>
      <w:r w:rsidR="00C7784D" w:rsidDel="008666E3">
        <w:t xml:space="preserve">to employees of procurement entities </w:t>
      </w:r>
      <w:r w:rsidR="000A58FC" w:rsidDel="008666E3">
        <w:t xml:space="preserve">to assist them in implementing </w:t>
      </w:r>
      <w:r w:rsidR="00BF04AB" w:rsidDel="008666E3">
        <w:t>the</w:t>
      </w:r>
      <w:r w:rsidR="000A58FC" w:rsidDel="008666E3">
        <w:t xml:space="preserve"> </w:t>
      </w:r>
      <w:r w:rsidR="000F193F" w:rsidDel="008666E3">
        <w:t xml:space="preserve">AIP plan </w:t>
      </w:r>
      <w:r w:rsidR="000A58FC" w:rsidDel="008666E3">
        <w:t>obligations.</w:t>
      </w:r>
    </w:p>
    <w:p w14:paraId="5E975227" w14:textId="3171ABF7" w:rsidR="000A58FC" w:rsidDel="008666E3" w:rsidRDefault="000A58FC" w:rsidP="00F47357">
      <w:r w:rsidDel="008666E3">
        <w:t>While some actions of the AIP plan must be undertaken by procurement entities the project proponent remains the responsible party for ensuring that these activities are undertaken satisfactorily.</w:t>
      </w:r>
      <w:r w:rsidR="00CF7CD1" w:rsidDel="008666E3">
        <w:t xml:space="preserve"> Examples of potential actions include:</w:t>
      </w:r>
    </w:p>
    <w:p w14:paraId="6E378033" w14:textId="70DEF9CB" w:rsidR="00E86958" w:rsidDel="008666E3" w:rsidRDefault="00E86958" w:rsidP="00CF7CD1">
      <w:pPr>
        <w:pStyle w:val="Bullets"/>
      </w:pPr>
      <w:r w:rsidDel="008666E3">
        <w:t>Hold workshops with procurement entities to outline the AIP plan obligations.</w:t>
      </w:r>
    </w:p>
    <w:p w14:paraId="623E2328" w14:textId="064E4F24" w:rsidR="00CF7CD1" w:rsidDel="008666E3" w:rsidRDefault="00E86958" w:rsidP="00CF7CD1">
      <w:pPr>
        <w:pStyle w:val="Bullets"/>
      </w:pPr>
      <w:r w:rsidDel="008666E3">
        <w:t>C</w:t>
      </w:r>
      <w:r w:rsidR="00CF7CD1" w:rsidDel="008666E3">
        <w:t>reate, publish and distribute (within the project proponent and to any procurement entities) a policy detailing the project proponent’s commitment to maximisin</w:t>
      </w:r>
      <w:r w:rsidR="00872A33" w:rsidDel="008666E3">
        <w:t>g</w:t>
      </w:r>
      <w:r w:rsidR="00CF7CD1" w:rsidDel="008666E3">
        <w:t xml:space="preserve"> opportunities for Australian entities</w:t>
      </w:r>
      <w:r w:rsidR="00872A33" w:rsidDel="008666E3">
        <w:t xml:space="preserve"> to participate in the project.</w:t>
      </w:r>
    </w:p>
    <w:p w14:paraId="04D78E7A" w14:textId="710C565C" w:rsidR="00872A33" w:rsidDel="008666E3" w:rsidRDefault="00872A33" w:rsidP="00CF7CD1">
      <w:pPr>
        <w:pStyle w:val="Bullets"/>
      </w:pPr>
      <w:r w:rsidDel="008666E3">
        <w:t>Develop and distribute a</w:t>
      </w:r>
      <w:r w:rsidR="007B35C0" w:rsidDel="008666E3">
        <w:t>n</w:t>
      </w:r>
      <w:r w:rsidDel="008666E3">
        <w:t xml:space="preserve"> </w:t>
      </w:r>
      <w:r w:rsidR="000F193F" w:rsidDel="008666E3">
        <w:t>i</w:t>
      </w:r>
      <w:r w:rsidDel="008666E3">
        <w:t xml:space="preserve">nformation </w:t>
      </w:r>
      <w:r w:rsidR="000F193F" w:rsidDel="008666E3">
        <w:t>g</w:t>
      </w:r>
      <w:r w:rsidDel="008666E3">
        <w:t>uide that details the project proponent’s expectations of procurement entities for the project.</w:t>
      </w:r>
    </w:p>
    <w:p w14:paraId="5C8182BC" w14:textId="09ECAACD" w:rsidR="00CF7CD1" w:rsidRDefault="00CF7CD1" w:rsidP="00CF7CD1">
      <w:pPr>
        <w:pStyle w:val="Bullets"/>
      </w:pPr>
      <w:r>
        <w:t>Standard contractual arrangements with procurement entities to outline their AIP obligations.</w:t>
      </w:r>
    </w:p>
    <w:p w14:paraId="6F814AC6" w14:textId="2A6DCF14" w:rsidR="00CF7CD1" w:rsidDel="008666E3" w:rsidRDefault="00CF7CD1" w:rsidP="00CF7CD1">
      <w:pPr>
        <w:pStyle w:val="Bullets"/>
      </w:pPr>
      <w:r w:rsidDel="008666E3">
        <w:t>Includ</w:t>
      </w:r>
      <w:r w:rsidR="00E86958" w:rsidDel="008666E3">
        <w:t>e</w:t>
      </w:r>
      <w:r w:rsidDel="008666E3">
        <w:t xml:space="preserve"> a requirement in tender documents </w:t>
      </w:r>
      <w:r w:rsidR="000F193F" w:rsidDel="008666E3">
        <w:t xml:space="preserve">and contracts </w:t>
      </w:r>
      <w:r w:rsidDel="008666E3">
        <w:t>that procurement entities implement the project proponent’s AIP poli</w:t>
      </w:r>
      <w:r w:rsidR="008359E1" w:rsidDel="008666E3">
        <w:t>ci</w:t>
      </w:r>
      <w:r w:rsidDel="008666E3">
        <w:t>es and/or adopt specified AIP strategies.</w:t>
      </w:r>
    </w:p>
    <w:p w14:paraId="4E1E7E06" w14:textId="51AE02AA" w:rsidR="00CF7CD1" w:rsidDel="008666E3" w:rsidRDefault="00CF7CD1" w:rsidP="00CF7CD1">
      <w:pPr>
        <w:pStyle w:val="Bullets"/>
      </w:pPr>
      <w:r w:rsidDel="008666E3">
        <w:t>Require procurement entities to engage with and involve Australian entities.</w:t>
      </w:r>
    </w:p>
    <w:p w14:paraId="52FC5113" w14:textId="15EC1F23" w:rsidR="00A57C55" w:rsidRPr="007E65A1" w:rsidRDefault="00CF7CD1" w:rsidP="00F47357">
      <w:pPr>
        <w:pStyle w:val="Bullets"/>
        <w:rPr>
          <w:rStyle w:val="Strong"/>
          <w:b w:val="0"/>
        </w:rPr>
      </w:pPr>
      <w:r w:rsidDel="008666E3">
        <w:t>Provide endorsement and communication of the AIP plan and principles throughout the project (e.g. at information seminars, on project websites or through public announcements).</w:t>
      </w:r>
    </w:p>
    <w:p w14:paraId="34BF36AC" w14:textId="04D13676" w:rsidR="000A58FC" w:rsidRPr="000A58FC" w:rsidRDefault="002E3A0E" w:rsidP="00F47357">
      <w:pPr>
        <w:rPr>
          <w:rStyle w:val="Strong"/>
        </w:rPr>
      </w:pPr>
      <w:r>
        <w:rPr>
          <w:rStyle w:val="Strong"/>
        </w:rPr>
        <w:t xml:space="preserve">3. </w:t>
      </w:r>
      <w:r w:rsidR="000A58FC" w:rsidRPr="000A58FC">
        <w:rPr>
          <w:rStyle w:val="Strong"/>
        </w:rPr>
        <w:t>Publication of pre</w:t>
      </w:r>
      <w:r w:rsidR="00872A33">
        <w:rPr>
          <w:rStyle w:val="Strong"/>
        </w:rPr>
        <w:noBreakHyphen/>
      </w:r>
      <w:r w:rsidR="000A58FC" w:rsidRPr="000A58FC">
        <w:rPr>
          <w:rStyle w:val="Strong"/>
        </w:rPr>
        <w:t>qualification requirements by procurement entities</w:t>
      </w:r>
    </w:p>
    <w:p w14:paraId="26A13D20" w14:textId="6C38191F" w:rsidR="000A58FC" w:rsidRPr="008359E1" w:rsidRDefault="000F193F" w:rsidP="008359E1">
      <w:r>
        <w:t>P</w:t>
      </w:r>
      <w:r w:rsidR="00503F89" w:rsidRPr="008359E1">
        <w:t xml:space="preserve">roject proponents </w:t>
      </w:r>
      <w:r>
        <w:t xml:space="preserve">must detail actions </w:t>
      </w:r>
      <w:r w:rsidR="00503F89" w:rsidRPr="008359E1">
        <w:t xml:space="preserve">to </w:t>
      </w:r>
      <w:r w:rsidR="00872A33" w:rsidRPr="008359E1">
        <w:t xml:space="preserve">require procurement entities </w:t>
      </w:r>
      <w:r>
        <w:t>to</w:t>
      </w:r>
      <w:r w:rsidR="00503F89" w:rsidRPr="008359E1">
        <w:t xml:space="preserve"> provide information </w:t>
      </w:r>
      <w:r>
        <w:t>on pre</w:t>
      </w:r>
      <w:r>
        <w:noBreakHyphen/>
        <w:t>qualification</w:t>
      </w:r>
      <w:r w:rsidR="00820546">
        <w:t xml:space="preserve"> requirements</w:t>
      </w:r>
      <w:r>
        <w:t xml:space="preserve"> </w:t>
      </w:r>
      <w:r w:rsidR="00503F89" w:rsidRPr="008359E1">
        <w:t>for Australian entities at a reasonable time. Pre</w:t>
      </w:r>
      <w:r w:rsidR="00872A33" w:rsidRPr="008359E1">
        <w:noBreakHyphen/>
      </w:r>
      <w:r w:rsidR="00503F89" w:rsidRPr="008359E1">
        <w:t>qualification can form a separate process from the tendering of key goods and services. By detailing how pre</w:t>
      </w:r>
      <w:r w:rsidR="00872A33" w:rsidRPr="008359E1">
        <w:noBreakHyphen/>
      </w:r>
      <w:r w:rsidR="00503F89" w:rsidRPr="008359E1">
        <w:t xml:space="preserve">qualification can be achieved at a reasonable time this </w:t>
      </w:r>
      <w:r>
        <w:t>could</w:t>
      </w:r>
      <w:r w:rsidR="00503F89" w:rsidRPr="008359E1">
        <w:t xml:space="preserve"> encourage Australian entities potential</w:t>
      </w:r>
      <w:r w:rsidR="00872A33" w:rsidRPr="008359E1">
        <w:t>ly</w:t>
      </w:r>
      <w:r w:rsidR="00503F89" w:rsidRPr="008359E1">
        <w:t xml:space="preserve"> interested in supplying key goods and services to commence the process early in anticipation of future opportunities. </w:t>
      </w:r>
    </w:p>
    <w:p w14:paraId="12B2C9E6" w14:textId="7C7BEFE6" w:rsidR="00872A33" w:rsidRDefault="00E464C3" w:rsidP="00F47357">
      <w:r>
        <w:t>Examples of actions procurement entities could be required to implement include:</w:t>
      </w:r>
    </w:p>
    <w:p w14:paraId="6FF824CA" w14:textId="6C899DB2" w:rsidR="00E86958" w:rsidRDefault="00E86958" w:rsidP="00E464C3">
      <w:pPr>
        <w:pStyle w:val="Bullets"/>
      </w:pPr>
      <w:r>
        <w:t xml:space="preserve">Publish detailed information on the procurement entities’ </w:t>
      </w:r>
      <w:r w:rsidR="00820546">
        <w:t xml:space="preserve">requirements for participation in the supply chain on their </w:t>
      </w:r>
      <w:r>
        <w:t xml:space="preserve">website (question 3 of ‘B.3 – Publication of </w:t>
      </w:r>
      <w:r w:rsidR="00CF43F6">
        <w:t>Information’</w:t>
      </w:r>
      <w:r>
        <w:t>).</w:t>
      </w:r>
    </w:p>
    <w:p w14:paraId="1DA847FB" w14:textId="7AE16DA5" w:rsidR="00E464C3" w:rsidRDefault="00E86958" w:rsidP="00E464C3">
      <w:pPr>
        <w:pStyle w:val="Bullets"/>
      </w:pPr>
      <w:r>
        <w:t>U</w:t>
      </w:r>
      <w:r w:rsidR="00E464C3">
        <w:t>ndertak</w:t>
      </w:r>
      <w:r>
        <w:t>e</w:t>
      </w:r>
      <w:r w:rsidR="00E464C3">
        <w:t xml:space="preserve"> a rigorous supplier audit and improvement initiative to benchmark and publicise best practice.</w:t>
      </w:r>
    </w:p>
    <w:p w14:paraId="5BDE1F8E" w14:textId="4A6DA01F" w:rsidR="00E464C3" w:rsidRDefault="00E464C3" w:rsidP="00E464C3">
      <w:pPr>
        <w:pStyle w:val="Bullets"/>
      </w:pPr>
      <w:r>
        <w:t>Conduct workshops that provide sector-specific information on how to prepare bids against tenders, including, if relevant, becoming e</w:t>
      </w:r>
      <w:r>
        <w:noBreakHyphen/>
        <w:t>procurement ready.</w:t>
      </w:r>
    </w:p>
    <w:p w14:paraId="2F66EAC0" w14:textId="77777777" w:rsidR="007E65A1" w:rsidRDefault="007E65A1" w:rsidP="00F47357">
      <w:pPr>
        <w:rPr>
          <w:rStyle w:val="Strong"/>
        </w:rPr>
      </w:pPr>
    </w:p>
    <w:p w14:paraId="6E85F9DF" w14:textId="77777777" w:rsidR="007E65A1" w:rsidRDefault="007E65A1" w:rsidP="00F47357">
      <w:pPr>
        <w:rPr>
          <w:rStyle w:val="Strong"/>
        </w:rPr>
      </w:pPr>
    </w:p>
    <w:p w14:paraId="736D6D57" w14:textId="1A489B99" w:rsidR="00503F89" w:rsidRDefault="002E3A0E" w:rsidP="00F47357">
      <w:pPr>
        <w:rPr>
          <w:rStyle w:val="Strong"/>
        </w:rPr>
      </w:pPr>
      <w:r>
        <w:rPr>
          <w:rStyle w:val="Strong"/>
        </w:rPr>
        <w:lastRenderedPageBreak/>
        <w:t xml:space="preserve">4. </w:t>
      </w:r>
      <w:r w:rsidR="00C8769F">
        <w:rPr>
          <w:rStyle w:val="Strong"/>
        </w:rPr>
        <w:t>No discrimination against Australian entities through p</w:t>
      </w:r>
      <w:r w:rsidR="00503F89" w:rsidRPr="00503F89">
        <w:rPr>
          <w:rStyle w:val="Strong"/>
        </w:rPr>
        <w:t>rovision of equal timeframes for opportunities by procurement entities</w:t>
      </w:r>
    </w:p>
    <w:p w14:paraId="48088BE1" w14:textId="54CA1C07" w:rsidR="00E56E4C" w:rsidRDefault="00E56E4C" w:rsidP="00E56E4C">
      <w:r>
        <w:t xml:space="preserve">Project proponents </w:t>
      </w:r>
      <w:r w:rsidR="00C8769F">
        <w:t xml:space="preserve">must describe how they will </w:t>
      </w:r>
      <w:proofErr w:type="gramStart"/>
      <w:r w:rsidR="00C8769F">
        <w:t xml:space="preserve">ensure </w:t>
      </w:r>
      <w:r>
        <w:t xml:space="preserve"> procurement</w:t>
      </w:r>
      <w:proofErr w:type="gramEnd"/>
      <w:r>
        <w:t xml:space="preserve"> entities </w:t>
      </w:r>
      <w:r w:rsidR="00C8769F">
        <w:t xml:space="preserve">provide </w:t>
      </w:r>
      <w:r w:rsidR="00701C0C">
        <w:t xml:space="preserve">Australian entities </w:t>
      </w:r>
      <w:r w:rsidR="00C8769F">
        <w:t>with</w:t>
      </w:r>
      <w:r w:rsidR="00701C0C">
        <w:t xml:space="preserve"> the same timeframes as existing supply chain partners</w:t>
      </w:r>
      <w:r w:rsidR="008666E3">
        <w:t xml:space="preserve"> to respond to requests for bids to supply key goods or services</w:t>
      </w:r>
      <w:r w:rsidR="00701C0C">
        <w:t>.</w:t>
      </w:r>
    </w:p>
    <w:p w14:paraId="0AEB1886" w14:textId="6078180E" w:rsidR="00872A33" w:rsidRDefault="00872A33" w:rsidP="00E56E4C">
      <w:r>
        <w:t>Examples of potential actions procurement entities could be required to implement include:</w:t>
      </w:r>
    </w:p>
    <w:p w14:paraId="781881BA" w14:textId="0337F32D" w:rsidR="00872A33" w:rsidRDefault="00872A33" w:rsidP="00872A33">
      <w:pPr>
        <w:pStyle w:val="Bullets"/>
      </w:pPr>
      <w:r>
        <w:t xml:space="preserve">Make </w:t>
      </w:r>
      <w:r w:rsidR="00A21D1E">
        <w:t xml:space="preserve">project opportunities and registrations of interest </w:t>
      </w:r>
      <w:r>
        <w:t>available to all possible suppliers at the same time.</w:t>
      </w:r>
    </w:p>
    <w:p w14:paraId="5F35AD7C" w14:textId="2D2E9CD1" w:rsidR="00872A33" w:rsidRDefault="00872A33" w:rsidP="00872A33">
      <w:pPr>
        <w:pStyle w:val="Bullets"/>
      </w:pPr>
      <w:r>
        <w:t>Allow equal and reasonable timeframes for Australian and non</w:t>
      </w:r>
      <w:r>
        <w:noBreakHyphen/>
        <w:t xml:space="preserve">Australian entities to respond to </w:t>
      </w:r>
      <w:r w:rsidR="000E2575">
        <w:t xml:space="preserve">requests for registrations of interest and </w:t>
      </w:r>
      <w:r>
        <w:t>tenders.</w:t>
      </w:r>
    </w:p>
    <w:p w14:paraId="294D6410" w14:textId="77777777" w:rsidR="008741D2" w:rsidRDefault="00872A33" w:rsidP="00D461EF">
      <w:pPr>
        <w:pStyle w:val="Bullets"/>
      </w:pPr>
      <w:r>
        <w:t>Structure tenders for Australian and non</w:t>
      </w:r>
      <w:r>
        <w:noBreakHyphen/>
        <w:t>Australian entities on the same basis (i.e. do not include different standards</w:t>
      </w:r>
      <w:r w:rsidR="00DE21A7">
        <w:t xml:space="preserve"> between the Australian and non</w:t>
      </w:r>
      <w:r w:rsidR="00DE21A7">
        <w:noBreakHyphen/>
        <w:t>Australian entities).</w:t>
      </w:r>
      <w:r w:rsidR="007B35C0" w:rsidRPr="00E56E4C" w:rsidDel="007B35C0">
        <w:t xml:space="preserve"> </w:t>
      </w:r>
      <w:r w:rsidR="008741D2">
        <w:br w:type="page"/>
      </w:r>
    </w:p>
    <w:p w14:paraId="19047083" w14:textId="77777777" w:rsidR="008741D2" w:rsidRDefault="00087D38" w:rsidP="008741D2">
      <w:pPr>
        <w:pStyle w:val="Heading4"/>
      </w:pPr>
      <w:bookmarkStart w:id="47" w:name="_Toc372705339"/>
      <w:r>
        <w:lastRenderedPageBreak/>
        <w:t xml:space="preserve">B.5 – </w:t>
      </w:r>
      <w:r w:rsidR="008741D2">
        <w:t>Facilitating Future Opportunities</w:t>
      </w:r>
      <w:bookmarkEnd w:id="47"/>
    </w:p>
    <w:p w14:paraId="5A5D1BFE" w14:textId="603A00B8" w:rsidR="008741D2" w:rsidRDefault="004D0350" w:rsidP="008741D2">
      <w:r>
        <w:t xml:space="preserve">This criterion </w:t>
      </w:r>
      <w:r w:rsidR="00F553EC">
        <w:t xml:space="preserve">must </w:t>
      </w:r>
      <w:r>
        <w:t>detail actions and strategies project proponents and procurement entities will undertake to provide access to longer</w:t>
      </w:r>
      <w:r>
        <w:noBreakHyphen/>
        <w:t>term opportunities for Australian entities. The concept of ‘longer</w:t>
      </w:r>
      <w:r>
        <w:noBreakHyphen/>
        <w:t>term opportunities’ refers to how, through working on this project, Australian entities will develop new skills and capabilities</w:t>
      </w:r>
      <w:r w:rsidR="007E65A1">
        <w:t xml:space="preserve"> </w:t>
      </w:r>
      <w:r w:rsidR="000E2575">
        <w:t>and</w:t>
      </w:r>
      <w:r>
        <w:t xml:space="preserve"> increase their competitiveness </w:t>
      </w:r>
      <w:r w:rsidR="000E2575">
        <w:t xml:space="preserve">to </w:t>
      </w:r>
      <w:r>
        <w:t xml:space="preserve">access opportunities in future </w:t>
      </w:r>
      <w:r w:rsidR="00D43D59">
        <w:t xml:space="preserve">similar </w:t>
      </w:r>
      <w:r>
        <w:t>projects. Longer</w:t>
      </w:r>
      <w:r>
        <w:noBreakHyphen/>
        <w:t>term opportunities should not be focussed solely on how Australian entities will be engaged on this project long</w:t>
      </w:r>
      <w:r>
        <w:noBreakHyphen/>
        <w:t>term.</w:t>
      </w:r>
    </w:p>
    <w:p w14:paraId="4107C746" w14:textId="2C3A78AC" w:rsidR="004D0350" w:rsidRDefault="004D0350" w:rsidP="008741D2">
      <w:r>
        <w:t xml:space="preserve">Actions </w:t>
      </w:r>
      <w:r w:rsidR="00F553EC">
        <w:t xml:space="preserve">must </w:t>
      </w:r>
      <w:r>
        <w:t xml:space="preserve">include how project proponents and procurement entities will work with Australian entities to encourage </w:t>
      </w:r>
      <w:r w:rsidR="00ED0B3D">
        <w:t xml:space="preserve">and facilitate </w:t>
      </w:r>
      <w:r>
        <w:t xml:space="preserve">capability development and integration into global supply chains. Project proponents can undertake the proposed activities at any stage of the project, for example, prior to approaching the market, once suitable </w:t>
      </w:r>
      <w:r w:rsidR="009A3EE1">
        <w:t>Australian entities</w:t>
      </w:r>
      <w:r>
        <w:t xml:space="preserve"> are identified, or if Australian </w:t>
      </w:r>
      <w:r w:rsidR="009A3EE1">
        <w:t>entities</w:t>
      </w:r>
      <w:r>
        <w:t xml:space="preserve"> are unsuccessful.</w:t>
      </w:r>
      <w:r w:rsidR="007E65A1">
        <w:t xml:space="preserve"> </w:t>
      </w:r>
      <w:r w:rsidR="000E2575">
        <w:t xml:space="preserve">Processes for providing feedback for unsuccessful Australian bidders must also be described. </w:t>
      </w:r>
    </w:p>
    <w:p w14:paraId="6274A6C3" w14:textId="53EBF4D6" w:rsidR="00001790" w:rsidRPr="004D0350" w:rsidRDefault="000E2575" w:rsidP="008741D2">
      <w:pPr>
        <w:rPr>
          <w:rStyle w:val="Strong"/>
        </w:rPr>
      </w:pPr>
      <w:r>
        <w:rPr>
          <w:rStyle w:val="Strong"/>
        </w:rPr>
        <w:t xml:space="preserve">1. </w:t>
      </w:r>
      <w:r w:rsidR="004D0350" w:rsidRPr="004D0350">
        <w:rPr>
          <w:rStyle w:val="Strong"/>
        </w:rPr>
        <w:t xml:space="preserve">Encouragement </w:t>
      </w:r>
      <w:r w:rsidR="00ED0B3D">
        <w:rPr>
          <w:rStyle w:val="Strong"/>
        </w:rPr>
        <w:t xml:space="preserve">and facilitation </w:t>
      </w:r>
      <w:r w:rsidR="004D0350" w:rsidRPr="004D0350">
        <w:rPr>
          <w:rStyle w:val="Strong"/>
        </w:rPr>
        <w:t>of capability development</w:t>
      </w:r>
      <w:r>
        <w:rPr>
          <w:rStyle w:val="Strong"/>
        </w:rPr>
        <w:t xml:space="preserve"> for Australian entities</w:t>
      </w:r>
    </w:p>
    <w:p w14:paraId="302E7AFB" w14:textId="70D87EE1" w:rsidR="004D0350" w:rsidRDefault="008666E3" w:rsidP="008741D2">
      <w:r>
        <w:t>Select and describe</w:t>
      </w:r>
      <w:r w:rsidR="004D0350">
        <w:t xml:space="preserve"> activities the project proponent will undertake to </w:t>
      </w:r>
      <w:r w:rsidR="00944A7E">
        <w:t xml:space="preserve">facilitate capability </w:t>
      </w:r>
      <w:r w:rsidR="00ED0B3D">
        <w:t xml:space="preserve">and </w:t>
      </w:r>
      <w:r w:rsidR="000E2575">
        <w:t xml:space="preserve">capacity </w:t>
      </w:r>
      <w:r w:rsidR="00944A7E">
        <w:t>development within Australian entities</w:t>
      </w:r>
      <w:r w:rsidR="00ED0B3D">
        <w:t xml:space="preserve"> engaged on the project. </w:t>
      </w:r>
      <w:r w:rsidR="002D7B11">
        <w:t xml:space="preserve"> The</w:t>
      </w:r>
      <w:r w:rsidR="00DE21A7">
        <w:t xml:space="preserve"> </w:t>
      </w:r>
      <w:r w:rsidR="00ED0B3D">
        <w:t>activities include:</w:t>
      </w:r>
    </w:p>
    <w:p w14:paraId="0230B77E" w14:textId="577784C9" w:rsidR="00DE21A7" w:rsidRDefault="00DE21A7" w:rsidP="00DE21A7">
      <w:pPr>
        <w:pStyle w:val="Bullets"/>
      </w:pPr>
      <w:r>
        <w:t xml:space="preserve">Recommend </w:t>
      </w:r>
      <w:r w:rsidR="00833D23">
        <w:t>suppliers undertake training and/or accreditation to improve their capability</w:t>
      </w:r>
      <w:r w:rsidR="00B07076">
        <w:t>, such as:</w:t>
      </w:r>
    </w:p>
    <w:p w14:paraId="21FC1B1E" w14:textId="4420E2DE" w:rsidR="00B07076" w:rsidRPr="00196162" w:rsidRDefault="00B07076" w:rsidP="00B07076">
      <w:pPr>
        <w:pStyle w:val="Bullets"/>
        <w:numPr>
          <w:ilvl w:val="1"/>
          <w:numId w:val="16"/>
        </w:numPr>
        <w:ind w:left="709"/>
      </w:pPr>
      <w:r w:rsidRPr="00196162">
        <w:t xml:space="preserve">Providing advice and assistance to Australian </w:t>
      </w:r>
      <w:r>
        <w:t>entities</w:t>
      </w:r>
      <w:r w:rsidRPr="00196162">
        <w:t xml:space="preserve"> in meeting pre</w:t>
      </w:r>
      <w:r>
        <w:noBreakHyphen/>
      </w:r>
      <w:r w:rsidRPr="00196162">
        <w:t>qualification</w:t>
      </w:r>
      <w:r w:rsidR="00840671">
        <w:t>, accreditation</w:t>
      </w:r>
      <w:r w:rsidRPr="00196162">
        <w:t xml:space="preserve"> and technical requirements</w:t>
      </w:r>
      <w:r>
        <w:t>.</w:t>
      </w:r>
    </w:p>
    <w:p w14:paraId="5FA9062C" w14:textId="77777777" w:rsidR="00B07076" w:rsidRDefault="00B07076" w:rsidP="00B07076">
      <w:pPr>
        <w:pStyle w:val="Bullets"/>
        <w:numPr>
          <w:ilvl w:val="1"/>
          <w:numId w:val="16"/>
        </w:numPr>
        <w:ind w:left="709"/>
      </w:pPr>
      <w:r>
        <w:t>Providing training and certification that enhances the ability of Australian entities to obtain additional business domestically and overseas.</w:t>
      </w:r>
    </w:p>
    <w:p w14:paraId="725EA045" w14:textId="77777777" w:rsidR="00B07076" w:rsidRDefault="00B07076" w:rsidP="00B07076">
      <w:pPr>
        <w:pStyle w:val="Bullets"/>
        <w:numPr>
          <w:ilvl w:val="1"/>
          <w:numId w:val="16"/>
        </w:numPr>
        <w:ind w:left="709"/>
      </w:pPr>
      <w:r>
        <w:t>Offering Australian entities access to internal training programs or provide training on improvements in technology or process management.</w:t>
      </w:r>
    </w:p>
    <w:p w14:paraId="3337728D" w14:textId="1F8443C9" w:rsidR="00DE21A7" w:rsidRDefault="00440A25" w:rsidP="00DE21A7">
      <w:pPr>
        <w:pStyle w:val="Bullets"/>
      </w:pPr>
      <w:r>
        <w:t>Provid</w:t>
      </w:r>
      <w:r w:rsidR="00377734">
        <w:t>e</w:t>
      </w:r>
      <w:r>
        <w:t xml:space="preserve"> market intelligence to </w:t>
      </w:r>
      <w:r w:rsidR="00833D23">
        <w:t>suppliers</w:t>
      </w:r>
      <w:r>
        <w:t>, including knowledge of international market and price trends, international and domestic market potential and sources of raw materials.</w:t>
      </w:r>
    </w:p>
    <w:p w14:paraId="71324BE2" w14:textId="451EE80C" w:rsidR="00D56549" w:rsidRDefault="00D56549" w:rsidP="00D56549">
      <w:pPr>
        <w:pStyle w:val="Bullets"/>
      </w:pPr>
      <w:r>
        <w:t xml:space="preserve">Transfer </w:t>
      </w:r>
      <w:r w:rsidR="00833D23">
        <w:t xml:space="preserve">new </w:t>
      </w:r>
      <w:r>
        <w:t>product and process technology</w:t>
      </w:r>
      <w:r w:rsidR="00833D23">
        <w:t xml:space="preserve"> to suppliers</w:t>
      </w:r>
      <w:r>
        <w:t xml:space="preserve">, </w:t>
      </w:r>
      <w:r w:rsidR="00B07076">
        <w:t xml:space="preserve">to help </w:t>
      </w:r>
      <w:proofErr w:type="gramStart"/>
      <w:r w:rsidR="00B07076">
        <w:t>them</w:t>
      </w:r>
      <w:proofErr w:type="gramEnd"/>
      <w:r w:rsidR="00B07076">
        <w:t xml:space="preserve"> master new technologies</w:t>
      </w:r>
      <w:r>
        <w:t>.</w:t>
      </w:r>
    </w:p>
    <w:p w14:paraId="6587BB52" w14:textId="72C13AEA" w:rsidR="00982A23" w:rsidRDefault="00840671" w:rsidP="00982A23">
      <w:pPr>
        <w:pStyle w:val="Bullets"/>
      </w:pPr>
      <w:r>
        <w:t>Encourage</w:t>
      </w:r>
      <w:r w:rsidRPr="00982A23">
        <w:t xml:space="preserve"> </w:t>
      </w:r>
      <w:r w:rsidR="00982A23" w:rsidRPr="00982A23">
        <w:t xml:space="preserve">joint ventures </w:t>
      </w:r>
      <w:r>
        <w:t xml:space="preserve">and alliances between </w:t>
      </w:r>
      <w:r w:rsidR="00833D23">
        <w:t xml:space="preserve">suppliers, such as </w:t>
      </w:r>
      <w:proofErr w:type="gramStart"/>
      <w:r w:rsidR="00833D23">
        <w:t xml:space="preserve">between </w:t>
      </w:r>
      <w:r w:rsidR="00982A23" w:rsidRPr="00982A23">
        <w:t xml:space="preserve"> </w:t>
      </w:r>
      <w:r w:rsidR="00982A23">
        <w:t>Australian</w:t>
      </w:r>
      <w:proofErr w:type="gramEnd"/>
      <w:r w:rsidR="00833D23">
        <w:t xml:space="preserve"> and non-Australian</w:t>
      </w:r>
      <w:r w:rsidR="00982A23">
        <w:t xml:space="preserve"> entities</w:t>
      </w:r>
      <w:r w:rsidR="00982A23" w:rsidRPr="00982A23">
        <w:t xml:space="preserve"> to enable them to access new technology or larger markets.</w:t>
      </w:r>
    </w:p>
    <w:p w14:paraId="51E837A2" w14:textId="7F2E816B" w:rsidR="00840671" w:rsidRDefault="00840671" w:rsidP="00982A23">
      <w:pPr>
        <w:pStyle w:val="Bullets"/>
      </w:pPr>
      <w:r>
        <w:t>Support supplier development initiatives of industry associations or governments.</w:t>
      </w:r>
    </w:p>
    <w:p w14:paraId="4AF07F8B" w14:textId="04ED9ABB" w:rsidR="00840671" w:rsidRDefault="00840671" w:rsidP="00982A23">
      <w:pPr>
        <w:pStyle w:val="Bullets"/>
      </w:pPr>
      <w:r>
        <w:t>Other activities such as:</w:t>
      </w:r>
    </w:p>
    <w:p w14:paraId="050DC2BD" w14:textId="056EEB01" w:rsidR="00BA5A4A" w:rsidRDefault="00BA5A4A" w:rsidP="00BA5A4A">
      <w:pPr>
        <w:pStyle w:val="Bullets"/>
        <w:numPr>
          <w:ilvl w:val="1"/>
          <w:numId w:val="16"/>
        </w:numPr>
        <w:ind w:left="709"/>
      </w:pPr>
      <w:r>
        <w:t xml:space="preserve">Encourage Australian entities to undertake research and </w:t>
      </w:r>
      <w:proofErr w:type="gramStart"/>
      <w:r>
        <w:t>development  and</w:t>
      </w:r>
      <w:proofErr w:type="gramEnd"/>
      <w:r>
        <w:t xml:space="preserve"> innovative activities.</w:t>
      </w:r>
    </w:p>
    <w:p w14:paraId="765A68AF" w14:textId="164894F6" w:rsidR="00BA5A4A" w:rsidRDefault="00BA5A4A" w:rsidP="00BA5A4A">
      <w:pPr>
        <w:pStyle w:val="Bullets"/>
        <w:numPr>
          <w:ilvl w:val="1"/>
          <w:numId w:val="16"/>
        </w:numPr>
        <w:ind w:left="709"/>
      </w:pPr>
      <w:r>
        <w:t>Undertake a rigorous supplier audit and improvement initiative to benchmark and disseminate best practice.</w:t>
      </w:r>
    </w:p>
    <w:p w14:paraId="37557797" w14:textId="77777777" w:rsidR="00003827" w:rsidRDefault="00BA5A4A" w:rsidP="008741D2">
      <w:r>
        <w:t xml:space="preserve">Encourage overseas suppliers to provide information to Australian entities on their procurement requirements, the types of goods and services registered in their supplier databases and the entry criteria for inclusion in these databases. </w:t>
      </w:r>
    </w:p>
    <w:p w14:paraId="6F3161A5" w14:textId="64D9ABBA" w:rsidR="00944A7E" w:rsidRPr="00944A7E" w:rsidRDefault="00087254" w:rsidP="008741D2">
      <w:pPr>
        <w:rPr>
          <w:rStyle w:val="Strong"/>
        </w:rPr>
      </w:pPr>
      <w:r>
        <w:rPr>
          <w:rStyle w:val="Strong"/>
        </w:rPr>
        <w:lastRenderedPageBreak/>
        <w:t xml:space="preserve">2. </w:t>
      </w:r>
      <w:r w:rsidR="00944A7E" w:rsidRPr="00944A7E">
        <w:rPr>
          <w:rStyle w:val="Strong"/>
        </w:rPr>
        <w:t>Integration of Australian entities into global supply chains</w:t>
      </w:r>
    </w:p>
    <w:p w14:paraId="547BF771" w14:textId="4DE8BC07" w:rsidR="00944A7E" w:rsidRDefault="00944A7E" w:rsidP="00944A7E">
      <w:r>
        <w:t xml:space="preserve">If a project proponent </w:t>
      </w:r>
      <w:r w:rsidR="00B7674F">
        <w:t xml:space="preserve">or procurement entity </w:t>
      </w:r>
      <w:r>
        <w:t>for the project has a global supply chain</w:t>
      </w:r>
      <w:r w:rsidR="007E65A1">
        <w:t>,</w:t>
      </w:r>
      <w:r>
        <w:t xml:space="preserve"> </w:t>
      </w:r>
      <w:r w:rsidR="00430753">
        <w:t xml:space="preserve">select and describe </w:t>
      </w:r>
      <w:r>
        <w:t xml:space="preserve">activities the project proponent </w:t>
      </w:r>
      <w:r w:rsidR="00B7674F">
        <w:t xml:space="preserve">or procurement entity </w:t>
      </w:r>
      <w:r>
        <w:t xml:space="preserve">will undertake to facilitate </w:t>
      </w:r>
      <w:r w:rsidR="00646D93">
        <w:t xml:space="preserve">the integration of </w:t>
      </w:r>
      <w:r>
        <w:t xml:space="preserve">Australian entities </w:t>
      </w:r>
      <w:r w:rsidR="00646D93">
        <w:t>in</w:t>
      </w:r>
      <w:r>
        <w:t xml:space="preserve">to </w:t>
      </w:r>
      <w:r w:rsidR="00646D93">
        <w:t>global supply chain</w:t>
      </w:r>
      <w:r>
        <w:t xml:space="preserve">s. </w:t>
      </w:r>
      <w:r w:rsidR="00430753">
        <w:t xml:space="preserve"> The</w:t>
      </w:r>
      <w:r w:rsidR="00440A25">
        <w:t xml:space="preserve"> </w:t>
      </w:r>
      <w:r w:rsidR="00991CA1">
        <w:t xml:space="preserve">activities </w:t>
      </w:r>
      <w:r w:rsidR="00440A25">
        <w:t>include:</w:t>
      </w:r>
    </w:p>
    <w:p w14:paraId="32D097AC" w14:textId="3411143D" w:rsidR="00B07076" w:rsidRDefault="00087254" w:rsidP="00196162">
      <w:pPr>
        <w:pStyle w:val="Bullets"/>
      </w:pPr>
      <w:r>
        <w:t>Introduce suppliers</w:t>
      </w:r>
      <w:r w:rsidR="00196162" w:rsidRPr="00196162">
        <w:t xml:space="preserve"> to</w:t>
      </w:r>
      <w:r w:rsidR="00E0107E">
        <w:t xml:space="preserve"> global supply chain partners including</w:t>
      </w:r>
      <w:r w:rsidR="00B07076">
        <w:t>:</w:t>
      </w:r>
    </w:p>
    <w:p w14:paraId="0757715D" w14:textId="0E424201" w:rsidR="00196162" w:rsidRDefault="00406B9F" w:rsidP="00377734">
      <w:pPr>
        <w:pStyle w:val="Bullets"/>
        <w:numPr>
          <w:ilvl w:val="1"/>
          <w:numId w:val="16"/>
        </w:numPr>
        <w:ind w:left="709"/>
      </w:pPr>
      <w:r>
        <w:t>t</w:t>
      </w:r>
      <w:r w:rsidR="00196162" w:rsidRPr="00196162">
        <w:t>he appropriate technical and purchasing decision makers</w:t>
      </w:r>
    </w:p>
    <w:p w14:paraId="06E8A496" w14:textId="1EEACBAD" w:rsidR="00B07076" w:rsidRDefault="00B07076" w:rsidP="00377734">
      <w:pPr>
        <w:pStyle w:val="Bullets"/>
        <w:numPr>
          <w:ilvl w:val="1"/>
          <w:numId w:val="16"/>
        </w:numPr>
        <w:ind w:left="709"/>
      </w:pPr>
      <w:r>
        <w:t>visit</w:t>
      </w:r>
      <w:r w:rsidR="00611C3C">
        <w:t xml:space="preserve"> </w:t>
      </w:r>
      <w:r>
        <w:t xml:space="preserve">project proponents’ </w:t>
      </w:r>
      <w:r w:rsidR="001A7FFB">
        <w:t xml:space="preserve">and/or procurement entities’ </w:t>
      </w:r>
      <w:r>
        <w:t>overseas facilities</w:t>
      </w:r>
    </w:p>
    <w:p w14:paraId="25FED141" w14:textId="30945EE0" w:rsidR="00B07076" w:rsidRDefault="00406B9F" w:rsidP="00377734">
      <w:pPr>
        <w:pStyle w:val="Bullets"/>
        <w:numPr>
          <w:ilvl w:val="1"/>
          <w:numId w:val="16"/>
        </w:numPr>
        <w:ind w:left="709"/>
      </w:pPr>
      <w:r>
        <w:t>o</w:t>
      </w:r>
      <w:r w:rsidR="00B07076">
        <w:t xml:space="preserve">ther global companies, including the </w:t>
      </w:r>
      <w:r w:rsidR="001A7FFB">
        <w:t xml:space="preserve">project </w:t>
      </w:r>
      <w:r w:rsidR="00B07076">
        <w:t>proponent’s customers and suppliers</w:t>
      </w:r>
    </w:p>
    <w:p w14:paraId="3BAE7E62" w14:textId="141FC706" w:rsidR="00B07076" w:rsidRPr="00196162" w:rsidRDefault="00377734" w:rsidP="00377734">
      <w:pPr>
        <w:pStyle w:val="Bullets"/>
        <w:numPr>
          <w:ilvl w:val="1"/>
          <w:numId w:val="16"/>
        </w:numPr>
        <w:ind w:left="709"/>
      </w:pPr>
      <w:proofErr w:type="gramStart"/>
      <w:r>
        <w:t>international</w:t>
      </w:r>
      <w:proofErr w:type="gramEnd"/>
      <w:r>
        <w:t xml:space="preserve"> procurement office staff to increase their awareness of Australian industry.</w:t>
      </w:r>
    </w:p>
    <w:p w14:paraId="0B242FBE" w14:textId="2D90ACFE" w:rsidR="00E0107E" w:rsidRDefault="00E0107E" w:rsidP="00196162">
      <w:pPr>
        <w:pStyle w:val="Bullets"/>
      </w:pPr>
      <w:r>
        <w:t>Support suppliers to register with the global supplier databases of the proponent, its procurement entities or global supply chain partners.</w:t>
      </w:r>
    </w:p>
    <w:p w14:paraId="68871171" w14:textId="6BC0A61C" w:rsidR="00D1522B" w:rsidRDefault="00D1522B" w:rsidP="00D1522B">
      <w:pPr>
        <w:pStyle w:val="Bullets"/>
      </w:pPr>
      <w:r>
        <w:t>Facilitate strategic partnering</w:t>
      </w:r>
      <w:r w:rsidR="007E65A1">
        <w:t xml:space="preserve"> </w:t>
      </w:r>
      <w:r w:rsidR="00087254">
        <w:t>and</w:t>
      </w:r>
      <w:r>
        <w:t xml:space="preserve"> joint ventures between Australian and international </w:t>
      </w:r>
      <w:proofErr w:type="gramStart"/>
      <w:r w:rsidR="00087254">
        <w:t>suppliers</w:t>
      </w:r>
      <w:proofErr w:type="gramEnd"/>
      <w:r>
        <w:t>. This could be achieved by:</w:t>
      </w:r>
    </w:p>
    <w:p w14:paraId="20B4F884" w14:textId="2222EC27" w:rsidR="00D1522B" w:rsidRDefault="00B72294" w:rsidP="00D1522B">
      <w:pPr>
        <w:pStyle w:val="Bullets"/>
        <w:numPr>
          <w:ilvl w:val="1"/>
          <w:numId w:val="16"/>
        </w:numPr>
        <w:ind w:left="709"/>
      </w:pPr>
      <w:proofErr w:type="gramStart"/>
      <w:r>
        <w:t>m</w:t>
      </w:r>
      <w:r w:rsidR="00D1522B">
        <w:t>aking</w:t>
      </w:r>
      <w:proofErr w:type="gramEnd"/>
      <w:r w:rsidR="00D1522B">
        <w:t xml:space="preserve"> introductions between possible partners.</w:t>
      </w:r>
    </w:p>
    <w:p w14:paraId="59AE98F9" w14:textId="30CA45C6" w:rsidR="00D1522B" w:rsidRDefault="00B72294" w:rsidP="00D1522B">
      <w:pPr>
        <w:pStyle w:val="Bullets"/>
        <w:numPr>
          <w:ilvl w:val="1"/>
          <w:numId w:val="16"/>
        </w:numPr>
        <w:ind w:left="709"/>
      </w:pPr>
      <w:proofErr w:type="gramStart"/>
      <w:r>
        <w:t>a</w:t>
      </w:r>
      <w:r w:rsidR="00D1522B">
        <w:t>rranging</w:t>
      </w:r>
      <w:proofErr w:type="gramEnd"/>
      <w:r w:rsidR="00D1522B">
        <w:t xml:space="preserve"> seminars to raise awareness of the benefits to Australian entities of entering into strategic alliances and how to enter into and manage such arrangements.</w:t>
      </w:r>
    </w:p>
    <w:p w14:paraId="1A2F6B11" w14:textId="5AE379D8" w:rsidR="00D1522B" w:rsidRDefault="00B72294" w:rsidP="00D1522B">
      <w:pPr>
        <w:pStyle w:val="Bullets"/>
        <w:numPr>
          <w:ilvl w:val="1"/>
          <w:numId w:val="16"/>
        </w:numPr>
        <w:ind w:left="709"/>
      </w:pPr>
      <w:proofErr w:type="gramStart"/>
      <w:r>
        <w:t>m</w:t>
      </w:r>
      <w:r w:rsidR="00D1522B">
        <w:t>aking</w:t>
      </w:r>
      <w:proofErr w:type="gramEnd"/>
      <w:r w:rsidR="00D1522B">
        <w:t xml:space="preserve"> referrals to </w:t>
      </w:r>
      <w:r w:rsidR="00831EFC">
        <w:t>vendor identification agencies</w:t>
      </w:r>
      <w:r w:rsidR="00D1522B">
        <w:t>.</w:t>
      </w:r>
    </w:p>
    <w:p w14:paraId="0A230691" w14:textId="3B627D5F" w:rsidR="00E0107E" w:rsidRDefault="00E0107E" w:rsidP="00E0107E">
      <w:pPr>
        <w:pStyle w:val="Bullets"/>
      </w:pPr>
      <w:r>
        <w:t>Recommend suppliers undertake export readiness training or international accreditation</w:t>
      </w:r>
      <w:r w:rsidR="00087254">
        <w:t>,</w:t>
      </w:r>
      <w:r>
        <w:t xml:space="preserve"> to increase their capability to bid for work internationally. </w:t>
      </w:r>
    </w:p>
    <w:p w14:paraId="0E590DF8" w14:textId="01780F39" w:rsidR="00E0107E" w:rsidRDefault="00E0107E" w:rsidP="00E0107E">
      <w:pPr>
        <w:pStyle w:val="Bullets"/>
      </w:pPr>
      <w:r>
        <w:t xml:space="preserve">Support supplier export </w:t>
      </w:r>
      <w:r w:rsidR="00087254">
        <w:t>and</w:t>
      </w:r>
      <w:r>
        <w:t xml:space="preserve"> global integration </w:t>
      </w:r>
      <w:r w:rsidR="006A0B8F">
        <w:t>initiatives</w:t>
      </w:r>
      <w:r>
        <w:t xml:space="preserve"> of industry associations or governments</w:t>
      </w:r>
      <w:r w:rsidR="00087254">
        <w:t>,</w:t>
      </w:r>
      <w:r w:rsidR="006A0B8F">
        <w:t xml:space="preserve"> through provision of resources or nomination of suitable suppliers</w:t>
      </w:r>
      <w:r>
        <w:t xml:space="preserve">. </w:t>
      </w:r>
    </w:p>
    <w:p w14:paraId="1BC60664" w14:textId="170076D9" w:rsidR="006A0B8F" w:rsidRDefault="006A0B8F" w:rsidP="006A0B8F">
      <w:pPr>
        <w:pStyle w:val="Bullets"/>
      </w:pPr>
      <w:r>
        <w:t>Provide references for high performing suppliers.</w:t>
      </w:r>
    </w:p>
    <w:p w14:paraId="07DC255F" w14:textId="23926C61" w:rsidR="006A0B8F" w:rsidRDefault="006A0B8F" w:rsidP="006A0B8F">
      <w:pPr>
        <w:pStyle w:val="Bullets"/>
      </w:pPr>
      <w:r>
        <w:t>Other activities including:</w:t>
      </w:r>
    </w:p>
    <w:p w14:paraId="727FCA8A" w14:textId="4FBAEFD3" w:rsidR="00087254" w:rsidRDefault="00087254" w:rsidP="00087254">
      <w:pPr>
        <w:pStyle w:val="Bullets"/>
        <w:numPr>
          <w:ilvl w:val="1"/>
          <w:numId w:val="16"/>
        </w:numPr>
        <w:ind w:left="709"/>
      </w:pPr>
      <w:r>
        <w:t>Accredit Australian entities to work in other regions, thus opening new markets</w:t>
      </w:r>
    </w:p>
    <w:p w14:paraId="6E2C80F3" w14:textId="0BDB6BB7" w:rsidR="00087254" w:rsidRDefault="00087254" w:rsidP="00D06FAD">
      <w:pPr>
        <w:pStyle w:val="Bullets"/>
        <w:numPr>
          <w:ilvl w:val="1"/>
          <w:numId w:val="16"/>
        </w:numPr>
        <w:ind w:left="709"/>
      </w:pPr>
      <w:r>
        <w:t>Assist participation by Australian entities in local, regional or national trade fairs and missions.</w:t>
      </w:r>
    </w:p>
    <w:p w14:paraId="746A2ECE" w14:textId="37F60689" w:rsidR="00944A7E" w:rsidRDefault="00F664C5" w:rsidP="008741D2">
      <w:pPr>
        <w:rPr>
          <w:rStyle w:val="Strong"/>
        </w:rPr>
      </w:pPr>
      <w:r>
        <w:rPr>
          <w:rStyle w:val="Strong"/>
        </w:rPr>
        <w:t xml:space="preserve">3. </w:t>
      </w:r>
      <w:r w:rsidR="00646D93" w:rsidRPr="00646D93">
        <w:rPr>
          <w:rStyle w:val="Strong"/>
        </w:rPr>
        <w:t>Feedback</w:t>
      </w:r>
      <w:r w:rsidR="000E02B8">
        <w:rPr>
          <w:rStyle w:val="Strong"/>
        </w:rPr>
        <w:t xml:space="preserve">, including </w:t>
      </w:r>
      <w:r w:rsidR="009217D1">
        <w:rPr>
          <w:rStyle w:val="Strong"/>
        </w:rPr>
        <w:t xml:space="preserve">on relevant </w:t>
      </w:r>
      <w:r w:rsidR="000E02B8">
        <w:rPr>
          <w:rStyle w:val="Strong"/>
        </w:rPr>
        <w:t>training</w:t>
      </w:r>
      <w:r w:rsidR="009217D1">
        <w:rPr>
          <w:rStyle w:val="Strong"/>
        </w:rPr>
        <w:t>, skills, capability, and capacity development</w:t>
      </w:r>
      <w:r w:rsidR="000E02B8">
        <w:rPr>
          <w:rStyle w:val="Strong"/>
        </w:rPr>
        <w:t>,</w:t>
      </w:r>
      <w:r w:rsidR="00646D93" w:rsidRPr="00646D93">
        <w:rPr>
          <w:rStyle w:val="Strong"/>
        </w:rPr>
        <w:t xml:space="preserve"> </w:t>
      </w:r>
      <w:r w:rsidR="00646D93">
        <w:rPr>
          <w:rStyle w:val="Strong"/>
        </w:rPr>
        <w:t xml:space="preserve">from procurement entities </w:t>
      </w:r>
      <w:r w:rsidR="00646D93" w:rsidRPr="00646D93">
        <w:rPr>
          <w:rStyle w:val="Strong"/>
        </w:rPr>
        <w:t>for unsuccessful Australian entities</w:t>
      </w:r>
    </w:p>
    <w:p w14:paraId="289290EB" w14:textId="69B3BA81" w:rsidR="00646D93" w:rsidRDefault="00646D93" w:rsidP="00E464C3">
      <w:r w:rsidRPr="00E464C3">
        <w:t xml:space="preserve">Project proponents </w:t>
      </w:r>
      <w:r w:rsidR="005568AE">
        <w:t>must</w:t>
      </w:r>
      <w:r w:rsidR="005568AE" w:rsidRPr="00E464C3">
        <w:t xml:space="preserve"> </w:t>
      </w:r>
      <w:r w:rsidRPr="00E464C3">
        <w:t xml:space="preserve">detail how they will ensure that procurement entities </w:t>
      </w:r>
      <w:r w:rsidR="00F664C5">
        <w:t xml:space="preserve">offer and </w:t>
      </w:r>
      <w:r w:rsidRPr="00E464C3">
        <w:t>provide feedback to Australian entities which were unsuccessful in their bids to supply to the project.</w:t>
      </w:r>
      <w:r w:rsidR="000E02B8" w:rsidRPr="000E02B8">
        <w:t xml:space="preserve"> </w:t>
      </w:r>
      <w:r w:rsidR="000E02B8" w:rsidRPr="00E464C3">
        <w:t xml:space="preserve">Feedback </w:t>
      </w:r>
      <w:r w:rsidR="000E02B8">
        <w:t>must</w:t>
      </w:r>
      <w:r w:rsidR="000E02B8" w:rsidRPr="00E464C3">
        <w:t xml:space="preserve"> include recommendations of training and skills development activities to increase their capabilities and capacity to access future projects.</w:t>
      </w:r>
      <w:r w:rsidR="00440A25" w:rsidRPr="00E464C3">
        <w:t xml:space="preserve"> </w:t>
      </w:r>
      <w:r w:rsidRPr="00E464C3">
        <w:t xml:space="preserve">Feedback may be written or </w:t>
      </w:r>
      <w:r w:rsidR="00F664C5">
        <w:t>verbal</w:t>
      </w:r>
      <w:r w:rsidR="00F664C5" w:rsidRPr="00E464C3">
        <w:t xml:space="preserve"> </w:t>
      </w:r>
      <w:r w:rsidRPr="00E464C3">
        <w:t xml:space="preserve">and outline the reasons why the bid was not successful. </w:t>
      </w:r>
      <w:r w:rsidR="00F664C5">
        <w:t>Written feedback is preferable but if verbal</w:t>
      </w:r>
      <w:r w:rsidR="00F664C5" w:rsidRPr="00E464C3">
        <w:t xml:space="preserve"> </w:t>
      </w:r>
      <w:r w:rsidRPr="00E464C3">
        <w:t xml:space="preserve">feedback </w:t>
      </w:r>
      <w:r w:rsidR="00F664C5">
        <w:t xml:space="preserve">is </w:t>
      </w:r>
      <w:r w:rsidRPr="00E464C3">
        <w:t>provided the procurement entity</w:t>
      </w:r>
      <w:r w:rsidR="00F664C5">
        <w:t xml:space="preserve"> should document the discussion</w:t>
      </w:r>
      <w:r w:rsidR="00296CE7">
        <w:t xml:space="preserve">, </w:t>
      </w:r>
      <w:r w:rsidR="00F664C5">
        <w:t>which</w:t>
      </w:r>
      <w:r w:rsidR="00296CE7">
        <w:t xml:space="preserve"> will assist in meeting reporting requirements</w:t>
      </w:r>
      <w:r w:rsidRPr="00E464C3">
        <w:t>.</w:t>
      </w:r>
    </w:p>
    <w:p w14:paraId="19CE596C" w14:textId="797C5392" w:rsidR="00646D93" w:rsidRPr="00E464C3" w:rsidRDefault="00440A25" w:rsidP="00E464C3">
      <w:r w:rsidRPr="00E464C3">
        <w:t>Examples of potential actions procurement entities could be required to implement include:</w:t>
      </w:r>
    </w:p>
    <w:p w14:paraId="1C4933BE" w14:textId="319EF5BC" w:rsidR="00B07076" w:rsidRPr="00C27BED" w:rsidRDefault="00E464C3" w:rsidP="008741D2">
      <w:pPr>
        <w:pStyle w:val="Bullets"/>
      </w:pPr>
      <w:r>
        <w:lastRenderedPageBreak/>
        <w:t xml:space="preserve">Provide feedback </w:t>
      </w:r>
      <w:r w:rsidR="0007223A">
        <w:t xml:space="preserve">to unsuccessful Australian entities </w:t>
      </w:r>
      <w:r>
        <w:t xml:space="preserve">on the strengths and weaknesses of bids and how to improve competitiveness in future </w:t>
      </w:r>
      <w:r w:rsidR="0007223A">
        <w:t>procurements</w:t>
      </w:r>
      <w:r>
        <w:t>.</w:t>
      </w:r>
      <w:r w:rsidR="0007223A">
        <w:t xml:space="preserve"> </w:t>
      </w:r>
      <w:r w:rsidR="0030682E">
        <w:t xml:space="preserve">This could include referring eligible Australian entities to the Department of Industry, Innovation and Science’s Entrepreneurs’ Programme or similar training. </w:t>
      </w:r>
    </w:p>
    <w:p w14:paraId="3F52B9A5" w14:textId="77777777" w:rsidR="00E464C3" w:rsidRPr="00E464C3" w:rsidRDefault="00B07076" w:rsidP="000E02B8">
      <w:pPr>
        <w:pStyle w:val="Bullets"/>
      </w:pPr>
      <w:r>
        <w:t>Develop supplier scorecards to evaluate supplier performance and provide feedback to Australian entities in respect of performance against critical dimensions.</w:t>
      </w:r>
    </w:p>
    <w:p w14:paraId="2FF86DBA" w14:textId="7B50FCDB" w:rsidR="00377734" w:rsidRDefault="00377734" w:rsidP="00377734">
      <w:pPr>
        <w:pStyle w:val="Bullets"/>
      </w:pPr>
      <w:r>
        <w:t xml:space="preserve">Provide </w:t>
      </w:r>
      <w:r w:rsidR="0007223A">
        <w:t xml:space="preserve">or facilitate </w:t>
      </w:r>
      <w:r>
        <w:t>training and certification that enhances the</w:t>
      </w:r>
      <w:r w:rsidR="001747F9">
        <w:t xml:space="preserve"> skills and</w:t>
      </w:r>
      <w:r>
        <w:t xml:space="preserve"> ability of Australian entities to obtain additional business domestically and overseas.</w:t>
      </w:r>
    </w:p>
    <w:p w14:paraId="6A7F90D5" w14:textId="4B991EE2" w:rsidR="00E464C3" w:rsidRDefault="00E464C3" w:rsidP="00E464C3">
      <w:pPr>
        <w:pStyle w:val="Bullets"/>
      </w:pPr>
      <w:r>
        <w:t>Encourage adoption of ISO requirements or occupation</w:t>
      </w:r>
      <w:r w:rsidR="008359E1">
        <w:t>al</w:t>
      </w:r>
      <w:r>
        <w:t xml:space="preserve"> health and safety (OH&amp;S) qualifications.</w:t>
      </w:r>
      <w:r w:rsidR="0033585E">
        <w:t xml:space="preserve"> </w:t>
      </w:r>
    </w:p>
    <w:p w14:paraId="3AE41C69" w14:textId="4C4290C1" w:rsidR="008741D2" w:rsidRDefault="00E464C3" w:rsidP="00D461EF">
      <w:pPr>
        <w:pStyle w:val="Bullets"/>
      </w:pPr>
      <w:r>
        <w:t>Introduce a development program for capable Australian entities that actively seeks out new local suppliers and provides training and technology transfer.</w:t>
      </w:r>
      <w:r w:rsidR="007B35C0" w:rsidRPr="00E464C3" w:rsidDel="007B35C0">
        <w:t xml:space="preserve"> </w:t>
      </w:r>
      <w:r w:rsidR="008741D2">
        <w:br w:type="page"/>
      </w:r>
    </w:p>
    <w:p w14:paraId="5C22CA99" w14:textId="77777777" w:rsidR="008741D2" w:rsidRDefault="00087D38" w:rsidP="008741D2">
      <w:pPr>
        <w:pStyle w:val="Heading4"/>
      </w:pPr>
      <w:bookmarkStart w:id="48" w:name="_Toc372705340"/>
      <w:r>
        <w:lastRenderedPageBreak/>
        <w:t xml:space="preserve">B.6 – </w:t>
      </w:r>
      <w:r w:rsidR="008741D2">
        <w:t>Implementation Resources</w:t>
      </w:r>
      <w:bookmarkEnd w:id="48"/>
    </w:p>
    <w:p w14:paraId="3DC34359" w14:textId="20E35E74" w:rsidR="00CE788B" w:rsidRDefault="00ED4F8A" w:rsidP="008741D2">
      <w:r>
        <w:t xml:space="preserve">The intent of this criterion is to ensure that project proponents have the appropriate resources and procedures in place within the project to effectively implement </w:t>
      </w:r>
      <w:r w:rsidR="001F3492">
        <w:t xml:space="preserve">and monitor </w:t>
      </w:r>
      <w:r>
        <w:t xml:space="preserve">the </w:t>
      </w:r>
      <w:proofErr w:type="gramStart"/>
      <w:r>
        <w:t xml:space="preserve">actions </w:t>
      </w:r>
      <w:r w:rsidR="004D3D53">
        <w:t xml:space="preserve"> in</w:t>
      </w:r>
      <w:proofErr w:type="gramEnd"/>
      <w:r>
        <w:t xml:space="preserve"> the AIP plan. This </w:t>
      </w:r>
      <w:r w:rsidR="00F553EC">
        <w:t xml:space="preserve">must </w:t>
      </w:r>
      <w:r>
        <w:t xml:space="preserve">also include, where applicable, monitoring the obligations of procurement entities. </w:t>
      </w:r>
    </w:p>
    <w:p w14:paraId="06FB792A" w14:textId="77777777" w:rsidR="00ED4F8A" w:rsidRDefault="00ED4F8A" w:rsidP="008741D2">
      <w:r>
        <w:t>The AIP plan and any associated policies should be committed to</w:t>
      </w:r>
      <w:r w:rsidR="00A11120">
        <w:t xml:space="preserve"> at a corporate/executive level to increase the likelihood of achieving substantial outcomes. It is important that they are recognised and incorporated in all aspects of the project. This is more likely to be achieved if adequate resources and procedures </w:t>
      </w:r>
      <w:r w:rsidR="008359E1">
        <w:t xml:space="preserve">are </w:t>
      </w:r>
      <w:r w:rsidR="00A11120">
        <w:t>in place. Furthermore, this should also support the collection of evidence for the project’s subsequent Compliance Report.</w:t>
      </w:r>
    </w:p>
    <w:p w14:paraId="7863ECD6" w14:textId="77777777" w:rsidR="002B35B3" w:rsidRPr="002B35B3" w:rsidRDefault="002B35B3" w:rsidP="002B35B3">
      <w:r>
        <w:t>The person detailed in response to question 2 of ‘B.1 – Contact Details’ will be the person responsible for ensuring the actions in response to the questions detailed below are undertaken.</w:t>
      </w:r>
    </w:p>
    <w:p w14:paraId="2C81D0DE" w14:textId="3AE223A4" w:rsidR="00001790" w:rsidRPr="00A11120" w:rsidRDefault="00C71EEE" w:rsidP="008741D2">
      <w:pPr>
        <w:rPr>
          <w:rStyle w:val="Strong"/>
        </w:rPr>
      </w:pPr>
      <w:r>
        <w:rPr>
          <w:rStyle w:val="Strong"/>
        </w:rPr>
        <w:t xml:space="preserve">1. </w:t>
      </w:r>
      <w:r w:rsidR="00A11120" w:rsidRPr="00A11120">
        <w:rPr>
          <w:rStyle w:val="Strong"/>
        </w:rPr>
        <w:t>Records and evidence of AIP plan compliance</w:t>
      </w:r>
    </w:p>
    <w:p w14:paraId="0B36A9B2" w14:textId="771DF813" w:rsidR="002B35B3" w:rsidRDefault="00A11120" w:rsidP="002B35B3">
      <w:r>
        <w:t xml:space="preserve">Project proponents should </w:t>
      </w:r>
      <w:r w:rsidR="00C71EEE">
        <w:t xml:space="preserve">select </w:t>
      </w:r>
      <w:r>
        <w:t>examples of the type</w:t>
      </w:r>
      <w:r w:rsidR="008359E1">
        <w:t>s</w:t>
      </w:r>
      <w:r>
        <w:t xml:space="preserve"> of evidence they </w:t>
      </w:r>
      <w:r w:rsidR="00C71EEE">
        <w:t>will</w:t>
      </w:r>
      <w:r>
        <w:t xml:space="preserve"> collect throughout the project </w:t>
      </w:r>
      <w:r w:rsidR="00C71EEE">
        <w:t>to</w:t>
      </w:r>
      <w:r>
        <w:t xml:space="preserve"> demonstrat</w:t>
      </w:r>
      <w:r w:rsidR="00C71EEE">
        <w:t>e</w:t>
      </w:r>
      <w:r>
        <w:t xml:space="preserve"> compliance with the AIP plan. </w:t>
      </w:r>
      <w:r w:rsidR="002B35B3">
        <w:t>All evidence collected to demonstrate compliance with the AIP plan must be kept for five years.</w:t>
      </w:r>
    </w:p>
    <w:p w14:paraId="05BB0B52" w14:textId="53C2EF88" w:rsidR="006D5F5C" w:rsidRDefault="002B35B3" w:rsidP="008741D2">
      <w:r>
        <w:t xml:space="preserve">Evidence </w:t>
      </w:r>
      <w:r w:rsidR="007F6CBC">
        <w:t>types</w:t>
      </w:r>
      <w:r>
        <w:t xml:space="preserve"> include</w:t>
      </w:r>
      <w:r w:rsidR="006D5F5C">
        <w:t>:</w:t>
      </w:r>
    </w:p>
    <w:p w14:paraId="68E29A66" w14:textId="0DE66752" w:rsidR="007F6CBC" w:rsidRDefault="007F6CBC" w:rsidP="00912846">
      <w:pPr>
        <w:pStyle w:val="ListParagraph"/>
        <w:numPr>
          <w:ilvl w:val="0"/>
          <w:numId w:val="31"/>
        </w:numPr>
      </w:pPr>
      <w:r>
        <w:t>vendor identification agency contract</w:t>
      </w:r>
    </w:p>
    <w:p w14:paraId="6AA71B1D" w14:textId="77777777" w:rsidR="007F6CBC" w:rsidRDefault="007F6CBC" w:rsidP="00912846">
      <w:pPr>
        <w:pStyle w:val="ListParagraph"/>
        <w:numPr>
          <w:ilvl w:val="0"/>
          <w:numId w:val="31"/>
        </w:numPr>
      </w:pPr>
      <w:r>
        <w:t xml:space="preserve">AIP clauses in procurement entity contracts </w:t>
      </w:r>
    </w:p>
    <w:p w14:paraId="2C1FF94B" w14:textId="159BB471" w:rsidR="006D5F5C" w:rsidRDefault="002B35B3" w:rsidP="00912846">
      <w:pPr>
        <w:pStyle w:val="ListParagraph"/>
        <w:numPr>
          <w:ilvl w:val="0"/>
          <w:numId w:val="31"/>
        </w:numPr>
      </w:pPr>
      <w:r>
        <w:t xml:space="preserve">screenshots of </w:t>
      </w:r>
      <w:r w:rsidR="0002108B">
        <w:t xml:space="preserve">project and procurement </w:t>
      </w:r>
      <w:r>
        <w:t>websites</w:t>
      </w:r>
      <w:r w:rsidR="006D5F5C">
        <w:t xml:space="preserve"> showing project information and supply opportunities</w:t>
      </w:r>
      <w:r>
        <w:t xml:space="preserve"> </w:t>
      </w:r>
    </w:p>
    <w:p w14:paraId="3F680BDB" w14:textId="1BA7994B" w:rsidR="007F6CBC" w:rsidRDefault="007F6CBC" w:rsidP="00912846">
      <w:pPr>
        <w:pStyle w:val="ListParagraph"/>
        <w:numPr>
          <w:ilvl w:val="0"/>
          <w:numId w:val="31"/>
        </w:numPr>
      </w:pPr>
      <w:r>
        <w:t>expression of interest (EOI) and tender documentation for procurement packages</w:t>
      </w:r>
    </w:p>
    <w:p w14:paraId="355F14A4" w14:textId="3FDA79D5" w:rsidR="007F6CBC" w:rsidRDefault="007F6CBC" w:rsidP="00912846">
      <w:pPr>
        <w:pStyle w:val="ListParagraph"/>
        <w:numPr>
          <w:ilvl w:val="0"/>
          <w:numId w:val="31"/>
        </w:numPr>
      </w:pPr>
      <w:r>
        <w:t>vendor identification agency referrals</w:t>
      </w:r>
    </w:p>
    <w:p w14:paraId="00D09038" w14:textId="0364111D" w:rsidR="00C71EEE" w:rsidRDefault="00C71EEE" w:rsidP="00912846">
      <w:pPr>
        <w:pStyle w:val="ListParagraph"/>
        <w:numPr>
          <w:ilvl w:val="0"/>
          <w:numId w:val="31"/>
        </w:numPr>
      </w:pPr>
      <w:r>
        <w:t>project standards within procurement packages</w:t>
      </w:r>
    </w:p>
    <w:p w14:paraId="0CEABC83" w14:textId="30A45D96" w:rsidR="006D5F5C" w:rsidRDefault="006D5F5C" w:rsidP="00912846">
      <w:pPr>
        <w:pStyle w:val="ListParagraph"/>
        <w:numPr>
          <w:ilvl w:val="0"/>
          <w:numId w:val="31"/>
        </w:numPr>
      </w:pPr>
      <w:r>
        <w:t xml:space="preserve">supplier briefing presentations and attendance lists </w:t>
      </w:r>
    </w:p>
    <w:p w14:paraId="743DD76E" w14:textId="3AEA3BC4" w:rsidR="00C71EEE" w:rsidRDefault="00C71EEE" w:rsidP="00912846">
      <w:pPr>
        <w:pStyle w:val="ListParagraph"/>
        <w:numPr>
          <w:ilvl w:val="0"/>
          <w:numId w:val="31"/>
        </w:numPr>
      </w:pPr>
      <w:r>
        <w:t>supplier capability development activities</w:t>
      </w:r>
    </w:p>
    <w:p w14:paraId="6A9EF708" w14:textId="3EA2CEC0" w:rsidR="007F6CBC" w:rsidRDefault="007F6CBC" w:rsidP="00912846">
      <w:pPr>
        <w:pStyle w:val="ListParagraph"/>
        <w:numPr>
          <w:ilvl w:val="0"/>
          <w:numId w:val="31"/>
        </w:numPr>
      </w:pPr>
      <w:r>
        <w:t>project media and ASX releases</w:t>
      </w:r>
    </w:p>
    <w:p w14:paraId="67DF3C67" w14:textId="7A39597B" w:rsidR="00C71EEE" w:rsidRDefault="00C71EEE" w:rsidP="00912846">
      <w:pPr>
        <w:pStyle w:val="ListParagraph"/>
        <w:numPr>
          <w:ilvl w:val="0"/>
          <w:numId w:val="31"/>
        </w:numPr>
      </w:pPr>
      <w:r>
        <w:t>global supply chain integration activities</w:t>
      </w:r>
    </w:p>
    <w:p w14:paraId="64878FD4" w14:textId="6F77D84D" w:rsidR="006D5F5C" w:rsidRDefault="006D5F5C" w:rsidP="00912846">
      <w:pPr>
        <w:pStyle w:val="ListParagraph"/>
        <w:numPr>
          <w:ilvl w:val="0"/>
          <w:numId w:val="31"/>
        </w:numPr>
      </w:pPr>
      <w:r>
        <w:t xml:space="preserve">procurement staff </w:t>
      </w:r>
      <w:r w:rsidR="00FF47A1">
        <w:t xml:space="preserve">AIP plan </w:t>
      </w:r>
      <w:r>
        <w:t>training presentations and attendance lists</w:t>
      </w:r>
    </w:p>
    <w:p w14:paraId="0E66383D" w14:textId="77777777" w:rsidR="007F6CBC" w:rsidRDefault="007F6CBC" w:rsidP="00912846">
      <w:pPr>
        <w:pStyle w:val="ListParagraph"/>
        <w:numPr>
          <w:ilvl w:val="0"/>
          <w:numId w:val="31"/>
        </w:numPr>
      </w:pPr>
      <w:r>
        <w:t>feedback to unsuccessful bidders</w:t>
      </w:r>
    </w:p>
    <w:p w14:paraId="3928C137" w14:textId="794A5259" w:rsidR="007F6CBC" w:rsidRDefault="00737724" w:rsidP="00912846">
      <w:pPr>
        <w:pStyle w:val="ListParagraph"/>
        <w:numPr>
          <w:ilvl w:val="0"/>
          <w:numId w:val="31"/>
        </w:numPr>
      </w:pPr>
      <w:r>
        <w:t>o</w:t>
      </w:r>
      <w:r w:rsidR="007F6CBC">
        <w:t xml:space="preserve">ther evidence including: </w:t>
      </w:r>
    </w:p>
    <w:p w14:paraId="61CFC8EF" w14:textId="4AA846B6" w:rsidR="00737724" w:rsidRDefault="00CC4C53" w:rsidP="00737724">
      <w:pPr>
        <w:pStyle w:val="Bullets"/>
        <w:numPr>
          <w:ilvl w:val="1"/>
          <w:numId w:val="31"/>
        </w:numPr>
      </w:pPr>
      <w:r>
        <w:t>p</w:t>
      </w:r>
      <w:r w:rsidR="00737724">
        <w:t>roponent and procurement entity AIP policies and procedures</w:t>
      </w:r>
    </w:p>
    <w:p w14:paraId="520BAAB7" w14:textId="6DEFE084" w:rsidR="00737724" w:rsidRDefault="00CC4C53" w:rsidP="00737724">
      <w:pPr>
        <w:pStyle w:val="Bullets"/>
        <w:numPr>
          <w:ilvl w:val="1"/>
          <w:numId w:val="31"/>
        </w:numPr>
      </w:pPr>
      <w:r>
        <w:t>s</w:t>
      </w:r>
      <w:r w:rsidR="00737724">
        <w:t>upplier database extracts and reports</w:t>
      </w:r>
    </w:p>
    <w:p w14:paraId="12584AC0" w14:textId="174A917E" w:rsidR="00737724" w:rsidRDefault="00CC4C53" w:rsidP="007E65A1">
      <w:pPr>
        <w:pStyle w:val="Bullets"/>
        <w:numPr>
          <w:ilvl w:val="1"/>
          <w:numId w:val="31"/>
        </w:numPr>
      </w:pPr>
      <w:proofErr w:type="gramStart"/>
      <w:r>
        <w:t>t</w:t>
      </w:r>
      <w:r w:rsidR="00737724">
        <w:t>ender</w:t>
      </w:r>
      <w:proofErr w:type="gramEnd"/>
      <w:r w:rsidR="00737724">
        <w:t xml:space="preserve"> advertisements.</w:t>
      </w:r>
    </w:p>
    <w:p w14:paraId="113E5D05" w14:textId="2A77DFB0" w:rsidR="00A11120" w:rsidRPr="00A11120" w:rsidRDefault="00CC4C53" w:rsidP="00CE788B">
      <w:pPr>
        <w:rPr>
          <w:rStyle w:val="Strong"/>
        </w:rPr>
      </w:pPr>
      <w:r>
        <w:rPr>
          <w:rStyle w:val="Strong"/>
        </w:rPr>
        <w:t xml:space="preserve">2. </w:t>
      </w:r>
      <w:r w:rsidR="00A11120" w:rsidRPr="00A11120">
        <w:rPr>
          <w:rStyle w:val="Strong"/>
        </w:rPr>
        <w:t>Procedures and resources for ensuring AIP plan compliance</w:t>
      </w:r>
    </w:p>
    <w:p w14:paraId="20833F11" w14:textId="53CD2745" w:rsidR="007E2010" w:rsidRDefault="007E2010" w:rsidP="00CE788B">
      <w:r>
        <w:t xml:space="preserve">Project proponents should detail the procedures </w:t>
      </w:r>
      <w:r w:rsidR="00CC4C53">
        <w:t xml:space="preserve">and resources </w:t>
      </w:r>
      <w:r>
        <w:t>they will put in place to collect the records and evidence detailed in the question above. Details of records management systems which will be used for tracking evidence can be provided as well as details of personnel involved in the implementation and tracking of the AIP plan. These procedures and resources will be useful in preparing the subsequent compliance reports.</w:t>
      </w:r>
    </w:p>
    <w:p w14:paraId="66173622" w14:textId="77777777" w:rsidR="00463B3D" w:rsidRDefault="00463B3D" w:rsidP="00CE788B">
      <w:r>
        <w:t>Examples of actions to ensure AIP plan compliance include:</w:t>
      </w:r>
    </w:p>
    <w:p w14:paraId="238490B8" w14:textId="77777777" w:rsidR="00463B3D" w:rsidRDefault="00463B3D" w:rsidP="00463B3D">
      <w:pPr>
        <w:pStyle w:val="Bullets"/>
      </w:pPr>
      <w:r>
        <w:lastRenderedPageBreak/>
        <w:t>Develop systems and process</w:t>
      </w:r>
      <w:r w:rsidR="008359E1">
        <w:t>es</w:t>
      </w:r>
      <w:r>
        <w:t xml:space="preserve"> which embed corporate Australian industry participation policies in planning and decision making throughout the project (e.g. by developing goals, implementation targets and key performance indicators linked to the implementation of AIP policies).</w:t>
      </w:r>
    </w:p>
    <w:p w14:paraId="2FB09892" w14:textId="77777777" w:rsidR="00463B3D" w:rsidRDefault="00463B3D" w:rsidP="00463B3D">
      <w:pPr>
        <w:pStyle w:val="Bullets"/>
      </w:pPr>
      <w:r>
        <w:t xml:space="preserve">Develop systems to monitor and report on the extent of </w:t>
      </w:r>
      <w:r w:rsidR="00E86958">
        <w:t xml:space="preserve">the participation by </w:t>
      </w:r>
      <w:r>
        <w:t xml:space="preserve">Australian </w:t>
      </w:r>
      <w:r w:rsidR="00E86958">
        <w:t>entities in the project</w:t>
      </w:r>
      <w:r>
        <w:t>.</w:t>
      </w:r>
    </w:p>
    <w:p w14:paraId="24D9D595" w14:textId="77777777" w:rsidR="00463B3D" w:rsidRDefault="00463B3D" w:rsidP="00463B3D">
      <w:pPr>
        <w:pStyle w:val="Bullets"/>
      </w:pPr>
      <w:r>
        <w:t>Develop systems to identify inappropriate action under the AIP plan and to monitor/record the corrective action taken.</w:t>
      </w:r>
    </w:p>
    <w:p w14:paraId="53E385FA" w14:textId="77777777" w:rsidR="00463B3D" w:rsidRDefault="00463B3D" w:rsidP="00463B3D">
      <w:pPr>
        <w:pStyle w:val="Bullets"/>
      </w:pPr>
      <w:r>
        <w:t>Have a system in place to identify and report any variations in AIP plan activities internally and to the AIP Authority.</w:t>
      </w:r>
    </w:p>
    <w:p w14:paraId="5A97A149" w14:textId="77777777" w:rsidR="00D1522B" w:rsidRDefault="00D1522B" w:rsidP="00D1522B">
      <w:pPr>
        <w:pStyle w:val="Bullets"/>
      </w:pPr>
      <w:r>
        <w:t>Have a documented formal policy for Australian industry participation which addresses the preceding criteria.</w:t>
      </w:r>
    </w:p>
    <w:p w14:paraId="061342B8" w14:textId="546599A5" w:rsidR="007E2010" w:rsidRPr="007E2010" w:rsidRDefault="00CC4C53" w:rsidP="007E2010">
      <w:pPr>
        <w:rPr>
          <w:rStyle w:val="Strong"/>
        </w:rPr>
      </w:pPr>
      <w:r>
        <w:rPr>
          <w:rStyle w:val="Strong"/>
        </w:rPr>
        <w:t xml:space="preserve">3. </w:t>
      </w:r>
      <w:r w:rsidR="007E2010" w:rsidRPr="007E2010">
        <w:rPr>
          <w:rStyle w:val="Strong"/>
        </w:rPr>
        <w:t>Ensuring procurement entity compliance with the AIP plan</w:t>
      </w:r>
    </w:p>
    <w:p w14:paraId="2BF32E1D" w14:textId="22790E39" w:rsidR="00E03F9C" w:rsidRDefault="006909A3" w:rsidP="007E2010">
      <w:r>
        <w:t xml:space="preserve">Project proponents </w:t>
      </w:r>
      <w:r w:rsidR="00F13B73">
        <w:t xml:space="preserve">must </w:t>
      </w:r>
      <w:r>
        <w:t xml:space="preserve">detail how they will ensure that procurement entities </w:t>
      </w:r>
      <w:r w:rsidR="004B6F65">
        <w:t xml:space="preserve">will </w:t>
      </w:r>
      <w:r>
        <w:t>undertak</w:t>
      </w:r>
      <w:r w:rsidR="004B6F65">
        <w:t>e</w:t>
      </w:r>
      <w:r>
        <w:t xml:space="preserve"> the required activities to achieve the objective of the AIP plan. These activities should supplement the training detailed in ‘B.4 – Communicating and Providing Opportunities’.</w:t>
      </w:r>
    </w:p>
    <w:p w14:paraId="6FCB9329" w14:textId="6539C995" w:rsidR="0098070E" w:rsidRDefault="00463B3D" w:rsidP="00D461EF">
      <w:r w:rsidRPr="00E464C3">
        <w:t xml:space="preserve">Project proponents </w:t>
      </w:r>
      <w:r w:rsidR="00F13B73">
        <w:t>c</w:t>
      </w:r>
      <w:r w:rsidR="00F13B73" w:rsidRPr="00E464C3">
        <w:t xml:space="preserve">ould </w:t>
      </w:r>
      <w:r w:rsidR="00D1522B">
        <w:t xml:space="preserve">develop and implement standard contractual arrangements with procurement entities to </w:t>
      </w:r>
      <w:r>
        <w:t xml:space="preserve">comply with the AIP plan and </w:t>
      </w:r>
      <w:r w:rsidRPr="00E464C3">
        <w:t xml:space="preserve">provide </w:t>
      </w:r>
      <w:r>
        <w:t>the project proponent with evidence</w:t>
      </w:r>
      <w:r w:rsidR="004B6F65">
        <w:t xml:space="preserve"> of implementation</w:t>
      </w:r>
      <w:r>
        <w:t>. This could include requiring procurement entities to maintain systems similar to the examples provided above.</w:t>
      </w:r>
    </w:p>
    <w:p w14:paraId="2B3CDAE4" w14:textId="5863E873" w:rsidR="00CE788B" w:rsidRDefault="001B65C0" w:rsidP="00D461EF">
      <w:r>
        <w:t xml:space="preserve">Proponents could also undertake audits of procurement entity compliance with AIP plan requirements. </w:t>
      </w:r>
      <w:r w:rsidR="00CE788B">
        <w:br w:type="page"/>
      </w:r>
    </w:p>
    <w:p w14:paraId="58A613D3" w14:textId="6445EEB5" w:rsidR="008741D2" w:rsidRDefault="00CE788B">
      <w:pPr>
        <w:pStyle w:val="Heading3"/>
      </w:pPr>
      <w:bookmarkStart w:id="49" w:name="_Toc372705341"/>
      <w:r>
        <w:lastRenderedPageBreak/>
        <w:t xml:space="preserve">Part C – </w:t>
      </w:r>
      <w:r w:rsidR="00486D62">
        <w:t xml:space="preserve">Initial Facility </w:t>
      </w:r>
      <w:r>
        <w:t>Operation</w:t>
      </w:r>
      <w:r w:rsidR="003B2E76">
        <w:t>al</w:t>
      </w:r>
      <w:r>
        <w:t xml:space="preserve"> Phase</w:t>
      </w:r>
      <w:bookmarkEnd w:id="49"/>
    </w:p>
    <w:p w14:paraId="76536BED" w14:textId="0149A465" w:rsidR="00E03F9C" w:rsidRDefault="00E03F9C" w:rsidP="00E03F9C">
      <w:r>
        <w:t>Part C of the AIP plan is only required to be completed for projects establishing a new facility which are developing an AIP plan in accordance with the</w:t>
      </w:r>
      <w:r w:rsidR="00125FC5">
        <w:t xml:space="preserve"> Jobs</w:t>
      </w:r>
      <w:r>
        <w:t xml:space="preserve"> Act.</w:t>
      </w:r>
      <w:r w:rsidR="00BC3E23">
        <w:t xml:space="preserve"> Part C must be completed at the same time as Part B.</w:t>
      </w:r>
    </w:p>
    <w:p w14:paraId="796060F9" w14:textId="77777777" w:rsidR="003A710B" w:rsidRPr="00E03F9C" w:rsidRDefault="003A710B" w:rsidP="003A710B">
      <w:r>
        <w:t>The key objective of Part C of the AIP plan is that Australian entities should have full, fair and reasonable opportunity to bid for the supply of key goods or services for the new facility’s initial operational phase.</w:t>
      </w:r>
    </w:p>
    <w:p w14:paraId="017536A8" w14:textId="09263B3B" w:rsidR="00CE788B" w:rsidRDefault="00E03F9C" w:rsidP="00CE788B">
      <w:r>
        <w:t>Actions detailed in Part C will be required to be undertaken for the initial operation</w:t>
      </w:r>
      <w:r w:rsidR="003B2E76">
        <w:t>al</w:t>
      </w:r>
      <w:r>
        <w:t xml:space="preserve"> phase of the facility (two years). The </w:t>
      </w:r>
      <w:r w:rsidR="00C26B3C">
        <w:t xml:space="preserve">criteria and </w:t>
      </w:r>
      <w:r>
        <w:t xml:space="preserve">questions comprising Part C are the same as those comprising Part B. </w:t>
      </w:r>
      <w:r w:rsidR="00CE788B">
        <w:t xml:space="preserve">Examples of actions </w:t>
      </w:r>
      <w:r>
        <w:t xml:space="preserve">which </w:t>
      </w:r>
      <w:r w:rsidR="00CE788B">
        <w:t xml:space="preserve">can be </w:t>
      </w:r>
      <w:r>
        <w:t xml:space="preserve">used to address the questions of Part C can be </w:t>
      </w:r>
      <w:r w:rsidR="00CE788B">
        <w:t xml:space="preserve">found in </w:t>
      </w:r>
      <w:r w:rsidR="00355322">
        <w:t>‘</w:t>
      </w:r>
      <w:r w:rsidR="00CE788B">
        <w:t>Part B – Project Phase</w:t>
      </w:r>
      <w:r w:rsidR="00355322">
        <w:t>’</w:t>
      </w:r>
      <w:r>
        <w:t xml:space="preserve"> </w:t>
      </w:r>
      <w:r w:rsidR="008359E1" w:rsidRPr="00855F20">
        <w:t>from</w:t>
      </w:r>
      <w:r w:rsidRPr="00855F20">
        <w:t xml:space="preserve"> page </w:t>
      </w:r>
      <w:r w:rsidR="00355322" w:rsidRPr="00855F20">
        <w:t>1</w:t>
      </w:r>
      <w:r w:rsidR="001C08F5" w:rsidRPr="00855F20">
        <w:t>5</w:t>
      </w:r>
      <w:r w:rsidRPr="00855F20">
        <w:t>.</w:t>
      </w:r>
    </w:p>
    <w:p w14:paraId="5D66B2F3" w14:textId="51738651" w:rsidR="00BC3E23" w:rsidRDefault="00BC3E23" w:rsidP="00CE788B">
      <w:r>
        <w:t xml:space="preserve">Commencement of operations may be some time after the AIP plan is developed therefore the Act allows for a replacement AIP plan to be submitted that updates the details in Part C. This replacement AIP plan can be submitted closer to the commencement of operations. </w:t>
      </w:r>
    </w:p>
    <w:p w14:paraId="08BE8ACD" w14:textId="5D94EC62" w:rsidR="00CE788B" w:rsidRDefault="00087D38" w:rsidP="00CE788B">
      <w:pPr>
        <w:pStyle w:val="Heading4"/>
      </w:pPr>
      <w:bookmarkStart w:id="50" w:name="_Toc372705342"/>
      <w:r>
        <w:t xml:space="preserve">C.1 – </w:t>
      </w:r>
      <w:r w:rsidR="00CE788B">
        <w:t>Operator Details</w:t>
      </w:r>
      <w:bookmarkEnd w:id="50"/>
    </w:p>
    <w:p w14:paraId="10DF7DB1" w14:textId="1536C484" w:rsidR="003A3FF3" w:rsidRDefault="003A3FF3" w:rsidP="003A3FF3">
      <w:r>
        <w:t xml:space="preserve">Provide details of the </w:t>
      </w:r>
      <w:r w:rsidR="00B401CF">
        <w:t xml:space="preserve">nominated </w:t>
      </w:r>
      <w:r>
        <w:t>operator responsible for developing the AIP plan for the facility’s initial operational phase and the contact details of the relevant contact officer.</w:t>
      </w:r>
      <w:r w:rsidR="008359E1">
        <w:t xml:space="preserve"> The details of this contact officer will not be published and are for the AIP Authority’s use only.</w:t>
      </w:r>
      <w:r w:rsidR="00C7784D" w:rsidRPr="00C7784D">
        <w:t xml:space="preserve"> </w:t>
      </w:r>
      <w:r w:rsidR="00C7784D">
        <w:t>The facility contact person must be an employee of the operator and not an external person or agent.</w:t>
      </w:r>
    </w:p>
    <w:p w14:paraId="68E5BC83" w14:textId="5F60697A" w:rsidR="008359E1" w:rsidRDefault="008359E1" w:rsidP="008359E1">
      <w:r>
        <w:t xml:space="preserve">In the case of a facility with multiple operators the </w:t>
      </w:r>
      <w:r w:rsidR="00B401CF">
        <w:t xml:space="preserve">nominated </w:t>
      </w:r>
      <w:r>
        <w:t>operator is the operator with overall responsibility for developing the AIP plan for the initial operations of the facility on</w:t>
      </w:r>
      <w:r>
        <w:noBreakHyphen/>
        <w:t>behalf</w:t>
      </w:r>
      <w:r>
        <w:noBreakHyphen/>
        <w:t>of all operators.</w:t>
      </w:r>
    </w:p>
    <w:p w14:paraId="507DE18A" w14:textId="7F928604" w:rsidR="003A3FF3" w:rsidRDefault="003A3FF3" w:rsidP="003A3FF3">
      <w:r>
        <w:t xml:space="preserve">Where applicable, details </w:t>
      </w:r>
      <w:r w:rsidR="00F13B73">
        <w:t xml:space="preserve">must </w:t>
      </w:r>
      <w:r>
        <w:t xml:space="preserve">also be provided for all other operators involved in the initial operations of the facility which have discharged their AIP plan development responsibilities to the </w:t>
      </w:r>
      <w:r w:rsidR="00B401CF">
        <w:t xml:space="preserve">nominated </w:t>
      </w:r>
      <w:r>
        <w:t>operator.</w:t>
      </w:r>
    </w:p>
    <w:p w14:paraId="6CFFE5CD" w14:textId="5BCB1C39" w:rsidR="00522009" w:rsidRDefault="003A3FF3" w:rsidP="00522009">
      <w:r>
        <w:t xml:space="preserve">In addressing the question regarding </w:t>
      </w:r>
      <w:r w:rsidRPr="00E56DBD">
        <w:rPr>
          <w:rStyle w:val="Strong"/>
        </w:rPr>
        <w:t>o</w:t>
      </w:r>
      <w:r>
        <w:rPr>
          <w:rStyle w:val="Strong"/>
        </w:rPr>
        <w:t>perator</w:t>
      </w:r>
      <w:r w:rsidRPr="00E56DBD">
        <w:rPr>
          <w:rStyle w:val="Strong"/>
        </w:rPr>
        <w:t>/s type</w:t>
      </w:r>
      <w:r>
        <w:t xml:space="preserve"> operators should consider the nature of the relationship between the operators of the facility, i.e. single company, partnership, incorporated joint venture, unincorporated joint venture or public private partnership.</w:t>
      </w:r>
      <w:bookmarkStart w:id="51" w:name="_Toc372705343"/>
    </w:p>
    <w:p w14:paraId="3A5A0A78" w14:textId="3F5739AD" w:rsidR="00CE788B" w:rsidRDefault="00087D38" w:rsidP="003A3FF3">
      <w:pPr>
        <w:pStyle w:val="Heading4"/>
      </w:pPr>
      <w:r>
        <w:t xml:space="preserve">C.2 – </w:t>
      </w:r>
      <w:r w:rsidR="00CE788B">
        <w:t>Contact Details</w:t>
      </w:r>
      <w:bookmarkEnd w:id="51"/>
    </w:p>
    <w:p w14:paraId="07A95240" w14:textId="066E0C28" w:rsidR="00C26B3C" w:rsidRDefault="00C26B3C" w:rsidP="00C26B3C">
      <w:r>
        <w:t>This criterion should provide the contact details of staff within the operator responsible for receiving enquiries from interested Australian entities or implementing the actions of the AIP plan. Strategies for requiring procurement entitie</w:t>
      </w:r>
      <w:r w:rsidR="00B401CF">
        <w:t xml:space="preserve">s to appoint a contact officer </w:t>
      </w:r>
      <w:r>
        <w:t>must also be provided.</w:t>
      </w:r>
    </w:p>
    <w:p w14:paraId="46F1C6CB" w14:textId="59C8497C" w:rsidR="00CE788B" w:rsidRDefault="00DE533D" w:rsidP="00CE788B">
      <w:r>
        <w:t xml:space="preserve">Assistance </w:t>
      </w:r>
      <w:r w:rsidRPr="00855F20">
        <w:t xml:space="preserve">on addressing the questions in this criterion </w:t>
      </w:r>
      <w:r w:rsidR="00CE788B" w:rsidRPr="00855F20">
        <w:t xml:space="preserve">can be found under </w:t>
      </w:r>
      <w:r w:rsidR="00355322" w:rsidRPr="00855F20">
        <w:t>‘</w:t>
      </w:r>
      <w:r w:rsidR="003A3FF3" w:rsidRPr="00855F20">
        <w:t xml:space="preserve">B.1 – </w:t>
      </w:r>
      <w:r w:rsidR="00CE788B" w:rsidRPr="00855F20">
        <w:t>Contact Details</w:t>
      </w:r>
      <w:r w:rsidR="00355322" w:rsidRPr="00855F20">
        <w:t>’</w:t>
      </w:r>
      <w:r w:rsidR="00CE788B" w:rsidRPr="00855F20">
        <w:t xml:space="preserve"> on page </w:t>
      </w:r>
      <w:r w:rsidR="00355322" w:rsidRPr="00855F20">
        <w:t>1</w:t>
      </w:r>
      <w:r w:rsidR="001C08F5" w:rsidRPr="00855F20">
        <w:t>5</w:t>
      </w:r>
      <w:r w:rsidRPr="00855F20">
        <w:t>.</w:t>
      </w:r>
    </w:p>
    <w:p w14:paraId="44642A25" w14:textId="0FD0E440" w:rsidR="00CE788B" w:rsidRDefault="00087D38" w:rsidP="00CE788B">
      <w:pPr>
        <w:pStyle w:val="Heading4"/>
      </w:pPr>
      <w:bookmarkStart w:id="52" w:name="_Toc372705344"/>
      <w:r>
        <w:t xml:space="preserve">C.3 – </w:t>
      </w:r>
      <w:r w:rsidR="005107F8">
        <w:t>Opportunities to supply g</w:t>
      </w:r>
      <w:r w:rsidR="00CE788B">
        <w:t xml:space="preserve">oods and </w:t>
      </w:r>
      <w:r w:rsidR="005107F8">
        <w:t>s</w:t>
      </w:r>
      <w:r w:rsidR="00CE788B">
        <w:t>ervices</w:t>
      </w:r>
      <w:bookmarkEnd w:id="52"/>
    </w:p>
    <w:p w14:paraId="51B1A375" w14:textId="67346E94" w:rsidR="003A3FF3" w:rsidRDefault="003A3FF3" w:rsidP="003A3FF3">
      <w:r>
        <w:t xml:space="preserve">This criterion examines the opportunities which </w:t>
      </w:r>
      <w:r w:rsidR="005107F8">
        <w:t>are likely to arise</w:t>
      </w:r>
      <w:r>
        <w:t xml:space="preserve"> for Australian entities </w:t>
      </w:r>
      <w:r w:rsidR="005107F8">
        <w:t>and/or non</w:t>
      </w:r>
      <w:r w:rsidR="005107F8">
        <w:noBreakHyphen/>
        <w:t xml:space="preserve">Australian entities </w:t>
      </w:r>
      <w:r>
        <w:t>to supply</w:t>
      </w:r>
      <w:r w:rsidRPr="00F07286">
        <w:t xml:space="preserve"> </w:t>
      </w:r>
      <w:r w:rsidR="00886DD3">
        <w:t xml:space="preserve">to </w:t>
      </w:r>
      <w:r>
        <w:t>the initial operations of the facility</w:t>
      </w:r>
      <w:r w:rsidRPr="00F07286">
        <w:t>.</w:t>
      </w:r>
      <w:r>
        <w:t xml:space="preserve"> </w:t>
      </w:r>
      <w:r w:rsidR="004214A5">
        <w:t xml:space="preserve">Information </w:t>
      </w:r>
      <w:r w:rsidR="00F553EC">
        <w:t xml:space="preserve">must </w:t>
      </w:r>
      <w:r w:rsidR="004214A5">
        <w:t xml:space="preserve">be provided on the </w:t>
      </w:r>
      <w:r w:rsidR="00C52E9F">
        <w:t xml:space="preserve">key goods and services to be acquired for the facility and the </w:t>
      </w:r>
      <w:r w:rsidR="004214A5">
        <w:t xml:space="preserve">likely </w:t>
      </w:r>
      <w:r w:rsidR="004214A5">
        <w:lastRenderedPageBreak/>
        <w:t xml:space="preserve">supply opportunities as well as how procurement entities will </w:t>
      </w:r>
      <w:r w:rsidR="00C52E9F">
        <w:t xml:space="preserve">keep up to date on Australian industry supply capability. Information on the standards that will apply on the facility must be provided. </w:t>
      </w:r>
    </w:p>
    <w:p w14:paraId="26D8AD6D" w14:textId="68181681" w:rsidR="00CE788B" w:rsidRDefault="00DE533D" w:rsidP="00CE788B">
      <w:r>
        <w:t xml:space="preserve">Assistance on addressing the questions in this </w:t>
      </w:r>
      <w:r w:rsidRPr="00855F20">
        <w:t xml:space="preserve">criterion can be found under </w:t>
      </w:r>
      <w:r w:rsidR="00355322" w:rsidRPr="00855F20">
        <w:t>‘</w:t>
      </w:r>
      <w:r w:rsidR="003A3FF3" w:rsidRPr="00855F20">
        <w:t xml:space="preserve">B.2 – </w:t>
      </w:r>
      <w:r w:rsidR="004214A5" w:rsidRPr="00855F20">
        <w:t>Opportunities to supply g</w:t>
      </w:r>
      <w:r w:rsidR="00CE788B" w:rsidRPr="00855F20">
        <w:t xml:space="preserve">oods and </w:t>
      </w:r>
      <w:r w:rsidR="004214A5" w:rsidRPr="00855F20">
        <w:t>s</w:t>
      </w:r>
      <w:r w:rsidR="00CE788B" w:rsidRPr="00855F20">
        <w:t>ervices</w:t>
      </w:r>
      <w:r w:rsidR="00355322" w:rsidRPr="00855F20">
        <w:t>’</w:t>
      </w:r>
      <w:r w:rsidR="00CE788B" w:rsidRPr="00855F20">
        <w:t xml:space="preserve"> on page </w:t>
      </w:r>
      <w:r w:rsidR="00355322" w:rsidRPr="00855F20">
        <w:t>1</w:t>
      </w:r>
      <w:r w:rsidR="00D21C7F">
        <w:t>5</w:t>
      </w:r>
      <w:r w:rsidRPr="00855F20">
        <w:t>.</w:t>
      </w:r>
    </w:p>
    <w:p w14:paraId="6181F3FB" w14:textId="25D2E131" w:rsidR="00CE788B" w:rsidRDefault="00087D38" w:rsidP="00CE788B">
      <w:pPr>
        <w:pStyle w:val="Heading4"/>
      </w:pPr>
      <w:bookmarkStart w:id="53" w:name="_Toc372705345"/>
      <w:r>
        <w:t xml:space="preserve">C.4 – </w:t>
      </w:r>
      <w:r w:rsidR="00CE788B">
        <w:t xml:space="preserve">Publication of </w:t>
      </w:r>
      <w:bookmarkEnd w:id="53"/>
      <w:r w:rsidR="00A83FA5">
        <w:t>Information</w:t>
      </w:r>
    </w:p>
    <w:p w14:paraId="4B0B45F9" w14:textId="77777777" w:rsidR="001D5D16" w:rsidRDefault="003A3FF3" w:rsidP="00CE788B">
      <w:r>
        <w:t xml:space="preserve">This criterion </w:t>
      </w:r>
      <w:r w:rsidR="00F553EC">
        <w:t xml:space="preserve">must </w:t>
      </w:r>
      <w:r>
        <w:t xml:space="preserve">provide the addresses </w:t>
      </w:r>
      <w:r w:rsidR="00F553EC">
        <w:t xml:space="preserve">(where known) </w:t>
      </w:r>
      <w:r>
        <w:t xml:space="preserve">of the various websites which will be used to communicate information about the facility and supply opportunities which are likely to arise in the initial operational phase. Strategies </w:t>
      </w:r>
      <w:r w:rsidR="00F553EC">
        <w:t xml:space="preserve">must </w:t>
      </w:r>
      <w:r>
        <w:t xml:space="preserve">also be outlined detailing how procurement entities will be required to </w:t>
      </w:r>
      <w:r w:rsidR="00B401CF">
        <w:t xml:space="preserve">have </w:t>
      </w:r>
      <w:r>
        <w:t>a website to communicate information to assist potential suppliers.</w:t>
      </w:r>
      <w:r w:rsidR="001D5D16">
        <w:t xml:space="preserve"> </w:t>
      </w:r>
    </w:p>
    <w:p w14:paraId="47A0F0A9" w14:textId="0A883A8D" w:rsidR="00CE788B" w:rsidRDefault="00DE533D" w:rsidP="00CE788B">
      <w:r>
        <w:t xml:space="preserve">Assistance on </w:t>
      </w:r>
      <w:r w:rsidRPr="00855F20">
        <w:t xml:space="preserve">addressing the questions in this criterion can be found under </w:t>
      </w:r>
      <w:r w:rsidR="00355322" w:rsidRPr="00855F20">
        <w:t>‘</w:t>
      </w:r>
      <w:r w:rsidR="003A3FF3" w:rsidRPr="00855F20">
        <w:t>B.3 – P</w:t>
      </w:r>
      <w:r w:rsidR="00CE788B" w:rsidRPr="00855F20">
        <w:t xml:space="preserve">ublication of </w:t>
      </w:r>
      <w:r w:rsidR="00A83FA5">
        <w:t>Information</w:t>
      </w:r>
      <w:r w:rsidR="00A83FA5" w:rsidRPr="00855F20">
        <w:t xml:space="preserve">’ </w:t>
      </w:r>
      <w:r w:rsidR="00CE788B" w:rsidRPr="00855F20">
        <w:t>on page</w:t>
      </w:r>
      <w:r w:rsidR="00355322" w:rsidRPr="00855F20">
        <w:t xml:space="preserve"> 1</w:t>
      </w:r>
      <w:r w:rsidR="001C08F5" w:rsidRPr="00855F20">
        <w:t>8</w:t>
      </w:r>
      <w:r w:rsidRPr="00855F20">
        <w:t>.</w:t>
      </w:r>
    </w:p>
    <w:p w14:paraId="043D5E70" w14:textId="053B4735" w:rsidR="00CE788B" w:rsidRDefault="00087D38" w:rsidP="00CE788B">
      <w:pPr>
        <w:pStyle w:val="Heading4"/>
      </w:pPr>
      <w:bookmarkStart w:id="54" w:name="_Toc372705346"/>
      <w:r>
        <w:t xml:space="preserve">C.5 – </w:t>
      </w:r>
      <w:r w:rsidR="00CE788B">
        <w:t>Communicating and Providing Opportunities</w:t>
      </w:r>
      <w:bookmarkEnd w:id="54"/>
    </w:p>
    <w:p w14:paraId="415C9666" w14:textId="198614A4" w:rsidR="003A3FF3" w:rsidRDefault="003A3FF3" w:rsidP="00CE788B">
      <w:r>
        <w:t xml:space="preserve">This criterion </w:t>
      </w:r>
      <w:r w:rsidR="00F553EC">
        <w:t>must</w:t>
      </w:r>
      <w:r>
        <w:t xml:space="preserve"> detail actions for </w:t>
      </w:r>
      <w:r w:rsidR="00C52E9F">
        <w:t xml:space="preserve">engaging with and </w:t>
      </w:r>
      <w:r>
        <w:t>communicating supply opportunities to Australian entities</w:t>
      </w:r>
      <w:r w:rsidR="00C52E9F">
        <w:t>.</w:t>
      </w:r>
      <w:r>
        <w:t xml:space="preserve"> Actions detailed in this criterion should include strategies for ensuring the effective transfer of information on opportunities for Australian entities through all tiers of supply (e.g. from procurement entities to lower tier suppliers).</w:t>
      </w:r>
    </w:p>
    <w:p w14:paraId="1802AB3D" w14:textId="6EEBD126" w:rsidR="00CE788B" w:rsidRDefault="00DE533D" w:rsidP="00CE788B">
      <w:r>
        <w:t xml:space="preserve">Assistance on addressing the questions in this </w:t>
      </w:r>
      <w:r w:rsidRPr="00855F20">
        <w:t>criterion can be found under</w:t>
      </w:r>
      <w:r w:rsidR="00CE788B" w:rsidRPr="00855F20">
        <w:t xml:space="preserve"> </w:t>
      </w:r>
      <w:r w:rsidR="00355322" w:rsidRPr="00855F20">
        <w:t>‘</w:t>
      </w:r>
      <w:r w:rsidR="003A3FF3" w:rsidRPr="00855F20">
        <w:t>B.4 – C</w:t>
      </w:r>
      <w:r w:rsidR="00CE788B" w:rsidRPr="00855F20">
        <w:t>ommunicating and Providing Opportunities</w:t>
      </w:r>
      <w:r w:rsidR="00355322" w:rsidRPr="00855F20">
        <w:t>’</w:t>
      </w:r>
      <w:r w:rsidR="00CE788B" w:rsidRPr="00855F20">
        <w:t xml:space="preserve"> on page </w:t>
      </w:r>
      <w:r w:rsidR="001C08F5" w:rsidRPr="00855F20">
        <w:t>20</w:t>
      </w:r>
      <w:r w:rsidRPr="00855F20">
        <w:t>.</w:t>
      </w:r>
    </w:p>
    <w:p w14:paraId="396FF104" w14:textId="550E749D" w:rsidR="00CE788B" w:rsidRDefault="00087D38" w:rsidP="00CE788B">
      <w:pPr>
        <w:pStyle w:val="Heading4"/>
      </w:pPr>
      <w:bookmarkStart w:id="55" w:name="_Toc372705347"/>
      <w:r>
        <w:t xml:space="preserve">C.6 – </w:t>
      </w:r>
      <w:r w:rsidR="00CE788B">
        <w:t>Facilitating Future Opportunities</w:t>
      </w:r>
      <w:bookmarkEnd w:id="55"/>
    </w:p>
    <w:p w14:paraId="09FAC3BD" w14:textId="77777777" w:rsidR="001D5D16" w:rsidRDefault="003A3FF3" w:rsidP="003A3FF3">
      <w:r>
        <w:t xml:space="preserve">This criterion </w:t>
      </w:r>
      <w:r w:rsidR="00F553EC">
        <w:t xml:space="preserve">must </w:t>
      </w:r>
      <w:r>
        <w:t xml:space="preserve">detail actions and strategies </w:t>
      </w:r>
      <w:r w:rsidR="009A3EE1">
        <w:t>operators</w:t>
      </w:r>
      <w:r>
        <w:t xml:space="preserve"> and procurement entities will undertake to provide access to longer</w:t>
      </w:r>
      <w:r>
        <w:noBreakHyphen/>
        <w:t>term opportunities for Australian entities. The concept of ‘longer</w:t>
      </w:r>
      <w:r>
        <w:noBreakHyphen/>
        <w:t xml:space="preserve">term opportunities’ refers to how, through </w:t>
      </w:r>
      <w:r w:rsidR="009A3EE1">
        <w:t>working with</w:t>
      </w:r>
      <w:r>
        <w:t xml:space="preserve"> this </w:t>
      </w:r>
      <w:r w:rsidR="009A3EE1">
        <w:t>facility</w:t>
      </w:r>
      <w:r>
        <w:t>, Australian entities will develop new skills and capabilities</w:t>
      </w:r>
      <w:r w:rsidR="007B35C0">
        <w:t>,</w:t>
      </w:r>
      <w:r>
        <w:t xml:space="preserve"> increase their competitiveness </w:t>
      </w:r>
      <w:r w:rsidR="007B35C0">
        <w:t>and</w:t>
      </w:r>
      <w:r>
        <w:t xml:space="preserve"> access opportunities </w:t>
      </w:r>
      <w:r w:rsidR="009A3EE1">
        <w:t>with</w:t>
      </w:r>
      <w:r>
        <w:t xml:space="preserve"> future</w:t>
      </w:r>
      <w:r w:rsidR="00D43D59">
        <w:t xml:space="preserve"> similar</w:t>
      </w:r>
      <w:r>
        <w:t xml:space="preserve"> </w:t>
      </w:r>
      <w:r w:rsidR="009A3EE1">
        <w:t>facilities</w:t>
      </w:r>
      <w:r>
        <w:t>. Longer</w:t>
      </w:r>
      <w:r>
        <w:noBreakHyphen/>
        <w:t xml:space="preserve">term opportunities should not be focussed solely on how Australian entities will be engaged </w:t>
      </w:r>
      <w:r w:rsidR="009A3EE1">
        <w:t xml:space="preserve">with </w:t>
      </w:r>
      <w:r>
        <w:t xml:space="preserve">this </w:t>
      </w:r>
      <w:r w:rsidR="009A3EE1">
        <w:t>facility</w:t>
      </w:r>
      <w:r>
        <w:t xml:space="preserve"> long</w:t>
      </w:r>
      <w:r>
        <w:noBreakHyphen/>
        <w:t>term.</w:t>
      </w:r>
      <w:r w:rsidR="001D5D16">
        <w:t xml:space="preserve"> </w:t>
      </w:r>
    </w:p>
    <w:p w14:paraId="7BCF840D" w14:textId="7433DABC" w:rsidR="00CE788B" w:rsidRDefault="003A3FF3" w:rsidP="003A3FF3">
      <w:r>
        <w:t xml:space="preserve">Actions </w:t>
      </w:r>
      <w:r w:rsidR="00F553EC">
        <w:t xml:space="preserve">must </w:t>
      </w:r>
      <w:r>
        <w:t xml:space="preserve">include how </w:t>
      </w:r>
      <w:r w:rsidR="009A3EE1">
        <w:t>operators</w:t>
      </w:r>
      <w:r>
        <w:t xml:space="preserve"> and procurement entities will work with Australian entities to encourage capability development and integration into global supply chains. </w:t>
      </w:r>
      <w:r w:rsidR="009A3EE1">
        <w:t>Operators</w:t>
      </w:r>
      <w:r>
        <w:t xml:space="preserve"> can undertake the proposed activities at any</w:t>
      </w:r>
      <w:r w:rsidR="009A3EE1">
        <w:t xml:space="preserve"> stage of their engagement with Australian entities</w:t>
      </w:r>
      <w:r>
        <w:t xml:space="preserve">, for example, prior to approaching the market, once suitable </w:t>
      </w:r>
      <w:r w:rsidR="009A3EE1">
        <w:t>Australian entities</w:t>
      </w:r>
      <w:r>
        <w:t xml:space="preserve"> are identified, or if Australian </w:t>
      </w:r>
      <w:r w:rsidR="009A3EE1">
        <w:t>entities</w:t>
      </w:r>
      <w:r>
        <w:t xml:space="preserve"> are unsuccessful.</w:t>
      </w:r>
      <w:r w:rsidR="00B401CF">
        <w:t xml:space="preserve"> Processes for providing feedback for unsuccessful Australian bidders must also be described.</w:t>
      </w:r>
    </w:p>
    <w:p w14:paraId="6309E593" w14:textId="5F08953B" w:rsidR="00CE788B" w:rsidRDefault="00DE533D" w:rsidP="00CE788B">
      <w:r>
        <w:t xml:space="preserve">Assistance on addressing the questions in this criterion can be found under </w:t>
      </w:r>
      <w:r w:rsidR="00355322" w:rsidRPr="00355322">
        <w:t>‘</w:t>
      </w:r>
      <w:r w:rsidR="003A3FF3" w:rsidRPr="00355322">
        <w:t>B.5 – F</w:t>
      </w:r>
      <w:r w:rsidRPr="00355322">
        <w:t>acilitating Future Opportunities</w:t>
      </w:r>
      <w:r w:rsidR="00355322">
        <w:t>’</w:t>
      </w:r>
      <w:r w:rsidR="00CE788B" w:rsidRPr="00355322">
        <w:t xml:space="preserve"> on</w:t>
      </w:r>
      <w:r w:rsidR="00CE788B">
        <w:t xml:space="preserve"> </w:t>
      </w:r>
      <w:r w:rsidR="00CE788B" w:rsidRPr="00855F20">
        <w:t xml:space="preserve">page </w:t>
      </w:r>
      <w:r w:rsidR="00355322" w:rsidRPr="00855F20">
        <w:t>2</w:t>
      </w:r>
      <w:r w:rsidR="001C08F5" w:rsidRPr="00855F20">
        <w:t>3</w:t>
      </w:r>
      <w:r w:rsidRPr="00855F20">
        <w:t>.</w:t>
      </w:r>
    </w:p>
    <w:p w14:paraId="0DB9262D" w14:textId="1DA7D2B4" w:rsidR="00CE788B" w:rsidRDefault="00087D38" w:rsidP="00CE788B">
      <w:pPr>
        <w:pStyle w:val="Heading4"/>
      </w:pPr>
      <w:bookmarkStart w:id="56" w:name="_Toc372705348"/>
      <w:r>
        <w:t xml:space="preserve">C.7 – </w:t>
      </w:r>
      <w:r w:rsidR="00CE788B">
        <w:t>Implementation Resources</w:t>
      </w:r>
      <w:bookmarkEnd w:id="56"/>
    </w:p>
    <w:p w14:paraId="12FA43CC" w14:textId="1825CB6E" w:rsidR="009A3EE1" w:rsidRDefault="009A3EE1" w:rsidP="009A3EE1">
      <w:r>
        <w:t xml:space="preserve">The intent of this criterion is to ensure that operators have the appropriate resources and procedures in place within the initial operations of the facility to effectively implement </w:t>
      </w:r>
      <w:r w:rsidR="004D3D53">
        <w:t xml:space="preserve">and monitor </w:t>
      </w:r>
      <w:r>
        <w:t xml:space="preserve">the actions outlined throughout the AIP plan. This </w:t>
      </w:r>
      <w:r w:rsidR="00F553EC">
        <w:t xml:space="preserve">must </w:t>
      </w:r>
      <w:r>
        <w:t xml:space="preserve">also include, where applicable, monitoring the obligations of procurement entities. Operators </w:t>
      </w:r>
      <w:r w:rsidR="00F553EC">
        <w:t xml:space="preserve">must </w:t>
      </w:r>
      <w:r>
        <w:t xml:space="preserve">describe the procedures and resources to implement the strategies to provide full, fair and reasonable </w:t>
      </w:r>
      <w:r>
        <w:lastRenderedPageBreak/>
        <w:t>opportunity to Australian entities and the internal procedures, resources and systems in place to monitor the implementation of the AIP plan.</w:t>
      </w:r>
    </w:p>
    <w:p w14:paraId="2607AC79" w14:textId="781E627B" w:rsidR="009A3EE1" w:rsidRDefault="009A3EE1" w:rsidP="009A3EE1">
      <w:r>
        <w:t xml:space="preserve">The AIP plan and any associated policies should be committed to at a corporate/executive level to increase the likelihood of achieving substantial outcomes. It is important that they are recognised and incorporated in all aspects of the initial operations of the facility. This is more likely to be achieved if adequate resources and procedures </w:t>
      </w:r>
      <w:r w:rsidR="00886DD3">
        <w:t xml:space="preserve">are </w:t>
      </w:r>
      <w:r>
        <w:t>in place. Furthermore, this should also support the collection of evidence for the facility’s subsequent Compliance Report.</w:t>
      </w:r>
    </w:p>
    <w:p w14:paraId="0F705CC0" w14:textId="5B9041E7" w:rsidR="00CE788B" w:rsidRDefault="00DE533D" w:rsidP="00CE788B">
      <w:r>
        <w:t xml:space="preserve">Assistance on addressing the </w:t>
      </w:r>
      <w:r w:rsidRPr="00855F20">
        <w:t xml:space="preserve">questions in this criterion can be found under </w:t>
      </w:r>
      <w:r w:rsidR="00355322" w:rsidRPr="00855F20">
        <w:t>‘</w:t>
      </w:r>
      <w:r w:rsidR="003A3FF3" w:rsidRPr="00855F20">
        <w:t>B.6 – I</w:t>
      </w:r>
      <w:r w:rsidRPr="00855F20">
        <w:t>mplementation Resources</w:t>
      </w:r>
      <w:r w:rsidR="00355322" w:rsidRPr="00855F20">
        <w:t>’</w:t>
      </w:r>
      <w:r w:rsidR="00CE788B" w:rsidRPr="00855F20">
        <w:t xml:space="preserve"> on page </w:t>
      </w:r>
      <w:r w:rsidR="00355322" w:rsidRPr="00855F20">
        <w:t>2</w:t>
      </w:r>
      <w:r w:rsidR="001C08F5" w:rsidRPr="00855F20">
        <w:t>6</w:t>
      </w:r>
      <w:r w:rsidRPr="00855F20">
        <w:t>.</w:t>
      </w:r>
    </w:p>
    <w:p w14:paraId="64A2ED77" w14:textId="77777777" w:rsidR="00087D38" w:rsidRDefault="00CE788B" w:rsidP="0005393C">
      <w:pPr>
        <w:pStyle w:val="Heading2"/>
      </w:pPr>
      <w:r>
        <w:br w:type="page"/>
      </w:r>
      <w:bookmarkStart w:id="57" w:name="_Toc372705349"/>
      <w:r w:rsidR="0005393C">
        <w:lastRenderedPageBreak/>
        <w:t>AIP plan Summary</w:t>
      </w:r>
      <w:bookmarkEnd w:id="57"/>
    </w:p>
    <w:p w14:paraId="597CE584" w14:textId="322D408D" w:rsidR="003A710B" w:rsidRDefault="003A710B" w:rsidP="003A710B">
      <w:r>
        <w:t xml:space="preserve">Along with an AIP plan project proponents </w:t>
      </w:r>
      <w:r w:rsidR="00781E74">
        <w:t xml:space="preserve">and/or operators </w:t>
      </w:r>
      <w:r>
        <w:t xml:space="preserve">are also required to develop </w:t>
      </w:r>
      <w:r w:rsidR="003A7FF5">
        <w:t xml:space="preserve">and submit </w:t>
      </w:r>
      <w:r>
        <w:t>an AIP plan Summary</w:t>
      </w:r>
      <w:r w:rsidR="000A427D">
        <w:t xml:space="preserve"> for publication</w:t>
      </w:r>
      <w:r>
        <w:t xml:space="preserve">. Once a project proponent </w:t>
      </w:r>
      <w:r w:rsidR="00781E74">
        <w:t xml:space="preserve">and/or operator </w:t>
      </w:r>
      <w:r>
        <w:t>has submitted a draft AIP plan to the AIP Authority the AIP plan Summary is required to be published on the AIP Authority’s website on the day after the summary was received by the AIP Authority.</w:t>
      </w:r>
      <w:r w:rsidR="00717FA8">
        <w:t xml:space="preserve"> The summary remains on the website until project completion or the conclusion of the first two years of operations of a new facility. </w:t>
      </w:r>
    </w:p>
    <w:p w14:paraId="277DD963" w14:textId="26AD1736" w:rsidR="003A710B" w:rsidRDefault="003A7FF5" w:rsidP="003A710B">
      <w:r>
        <w:t xml:space="preserve">Summaries must be completed using the templates available on the AIP Authority website </w:t>
      </w:r>
      <w:hyperlink r:id="rId26" w:tooltip="Link to AIP website" w:history="1">
        <w:r w:rsidR="00944058" w:rsidRPr="00572820">
          <w:rPr>
            <w:rStyle w:val="Hyperlink"/>
          </w:rPr>
          <w:t>www.industry.gov.au/aip</w:t>
        </w:r>
      </w:hyperlink>
      <w:r w:rsidR="003A710B" w:rsidRPr="00855F20">
        <w:t>.</w:t>
      </w:r>
      <w:r w:rsidR="00CB5EBD">
        <w:t xml:space="preserve"> Project proponents upgrading an existing facility and completing only Parts A and B of the AIP plan will need to complete the </w:t>
      </w:r>
      <w:r w:rsidR="00CB5EBD" w:rsidRPr="00CB5EBD">
        <w:rPr>
          <w:rStyle w:val="Emphasis"/>
        </w:rPr>
        <w:t>AIP plan Summary – Project Phase</w:t>
      </w:r>
      <w:r w:rsidR="00CB5EBD">
        <w:t xml:space="preserve"> template. Project proponents establishing a new facility and completing Parts A, B and C of the AIP plan will need to complete both the </w:t>
      </w:r>
      <w:r w:rsidR="00CB5EBD" w:rsidRPr="00CB5EBD">
        <w:rPr>
          <w:rStyle w:val="Emphasis"/>
        </w:rPr>
        <w:t>AIP plan Summary – Project Phase</w:t>
      </w:r>
      <w:r w:rsidR="00CB5EBD">
        <w:t xml:space="preserve"> and </w:t>
      </w:r>
      <w:r w:rsidR="00CB5EBD" w:rsidRPr="00CB5EBD">
        <w:rPr>
          <w:rStyle w:val="Emphasis"/>
        </w:rPr>
        <w:t>AIP plan Summary – Operations Phase</w:t>
      </w:r>
      <w:r w:rsidR="00CB5EBD">
        <w:t xml:space="preserve"> templates.</w:t>
      </w:r>
      <w:r w:rsidR="004C4885">
        <w:t xml:space="preserve"> </w:t>
      </w:r>
    </w:p>
    <w:p w14:paraId="7472E6F9" w14:textId="59037BA9" w:rsidR="003A7FF5" w:rsidRDefault="003A7FF5" w:rsidP="003A710B">
      <w:r>
        <w:t>The proponent</w:t>
      </w:r>
      <w:r w:rsidR="006A4B98">
        <w:t>/operator</w:t>
      </w:r>
      <w:r>
        <w:t xml:space="preserve"> and project</w:t>
      </w:r>
      <w:r w:rsidR="006A4B98">
        <w:t>/facility</w:t>
      </w:r>
      <w:r>
        <w:t xml:space="preserve"> information provided in the summaries must match the information in the draft AIP plan. </w:t>
      </w:r>
      <w:r w:rsidR="006A4B98">
        <w:t xml:space="preserve">The list of key goods and services and the AIP activities in the summaries must match the information provided in the draft AIP plan. </w:t>
      </w:r>
    </w:p>
    <w:p w14:paraId="2915372D" w14:textId="7713CA93" w:rsidR="003A7FF5" w:rsidRDefault="003A7FF5" w:rsidP="003A710B">
      <w:r>
        <w:t>Summaries should be submitted to the AIP Authority in both Word and PDF as both forms are published.</w:t>
      </w:r>
    </w:p>
    <w:p w14:paraId="45DD669F" w14:textId="3F05927E" w:rsidR="004C4885" w:rsidRDefault="004C4885" w:rsidP="003A710B">
      <w:r>
        <w:t xml:space="preserve">AIP plan summaries must contain current information so whenever changes to the information occur an updated summary should be provided to the AIP Authority. </w:t>
      </w:r>
    </w:p>
    <w:p w14:paraId="22097C0A" w14:textId="073467AB" w:rsidR="003A710B" w:rsidRDefault="003A710B" w:rsidP="003A710B">
      <w:r>
        <w:t>To develop an AIP plan Summary the following information will need to be provided</w:t>
      </w:r>
      <w:r w:rsidR="00B05DA9">
        <w:t>:</w:t>
      </w:r>
    </w:p>
    <w:p w14:paraId="60E853A3" w14:textId="77777777" w:rsidR="00CB5EBD" w:rsidRDefault="00CB5EBD" w:rsidP="005230AB">
      <w:pPr>
        <w:pStyle w:val="Heading3"/>
      </w:pPr>
      <w:bookmarkStart w:id="58" w:name="_Toc372705350"/>
      <w:r>
        <w:t>Project Phase</w:t>
      </w:r>
      <w:bookmarkEnd w:id="58"/>
    </w:p>
    <w:p w14:paraId="4BDD8368" w14:textId="77777777" w:rsidR="003A710B" w:rsidRDefault="003A710B" w:rsidP="00CB5EBD">
      <w:pPr>
        <w:pStyle w:val="Heading4"/>
      </w:pPr>
      <w:bookmarkStart w:id="59" w:name="_Toc372705187"/>
      <w:bookmarkStart w:id="60" w:name="_Toc372705351"/>
      <w:r>
        <w:t>Project Details</w:t>
      </w:r>
      <w:bookmarkEnd w:id="59"/>
      <w:bookmarkEnd w:id="60"/>
    </w:p>
    <w:p w14:paraId="0C071BE7" w14:textId="5EDB5484" w:rsidR="003A710B" w:rsidRPr="00747D1E" w:rsidRDefault="001D5D16" w:rsidP="003A710B">
      <w:pPr>
        <w:rPr>
          <w:rStyle w:val="Strong"/>
        </w:rPr>
      </w:pPr>
      <w:r>
        <w:rPr>
          <w:rStyle w:val="Strong"/>
        </w:rPr>
        <w:t>Nominated</w:t>
      </w:r>
      <w:r w:rsidR="0001462D">
        <w:rPr>
          <w:rStyle w:val="Strong"/>
        </w:rPr>
        <w:t xml:space="preserve"> </w:t>
      </w:r>
      <w:r w:rsidR="003A710B" w:rsidRPr="00747D1E">
        <w:rPr>
          <w:rStyle w:val="Strong"/>
        </w:rPr>
        <w:t xml:space="preserve">Project </w:t>
      </w:r>
      <w:r w:rsidR="003A710B">
        <w:rPr>
          <w:rStyle w:val="Strong"/>
        </w:rPr>
        <w:t>Proponent</w:t>
      </w:r>
    </w:p>
    <w:p w14:paraId="07C62EB5" w14:textId="0F04A082" w:rsidR="003A710B" w:rsidRDefault="00B05DA9" w:rsidP="003A710B">
      <w:r>
        <w:t xml:space="preserve">Legal </w:t>
      </w:r>
      <w:r w:rsidR="003A710B">
        <w:t xml:space="preserve">name of the </w:t>
      </w:r>
      <w:r>
        <w:t>nominated</w:t>
      </w:r>
      <w:r w:rsidR="003A710B">
        <w:t xml:space="preserve"> project proponent</w:t>
      </w:r>
      <w:r w:rsidR="001D5D16">
        <w:t>.</w:t>
      </w:r>
    </w:p>
    <w:p w14:paraId="7E4EF981" w14:textId="1BF0920A" w:rsidR="0001462D" w:rsidRPr="0001462D" w:rsidRDefault="0001462D" w:rsidP="003A710B">
      <w:pPr>
        <w:rPr>
          <w:b/>
        </w:rPr>
      </w:pPr>
      <w:r w:rsidRPr="0001462D">
        <w:rPr>
          <w:b/>
        </w:rPr>
        <w:t>Project name</w:t>
      </w:r>
    </w:p>
    <w:p w14:paraId="68158086" w14:textId="3F8E57B2" w:rsidR="0001462D" w:rsidRDefault="0001462D" w:rsidP="003A710B">
      <w:r>
        <w:t>Name of the project</w:t>
      </w:r>
      <w:r w:rsidR="001D5D16">
        <w:t>.</w:t>
      </w:r>
    </w:p>
    <w:p w14:paraId="58FA9BA9" w14:textId="77777777" w:rsidR="003A710B" w:rsidRPr="00747D1E" w:rsidRDefault="003A710B" w:rsidP="003A710B">
      <w:pPr>
        <w:rPr>
          <w:rStyle w:val="Strong"/>
        </w:rPr>
      </w:pPr>
      <w:r>
        <w:rPr>
          <w:rStyle w:val="Strong"/>
        </w:rPr>
        <w:t>Description of the project</w:t>
      </w:r>
    </w:p>
    <w:p w14:paraId="21328E4B" w14:textId="7F1E942E" w:rsidR="003A710B" w:rsidRDefault="003A710B" w:rsidP="003A710B">
      <w:r>
        <w:t xml:space="preserve">Provide </w:t>
      </w:r>
      <w:r w:rsidR="003A7FF5">
        <w:t xml:space="preserve">the </w:t>
      </w:r>
      <w:r w:rsidR="00781E74">
        <w:t>description</w:t>
      </w:r>
      <w:r w:rsidR="003A7FF5">
        <w:t xml:space="preserve"> from the AIP plan</w:t>
      </w:r>
      <w:r>
        <w:t xml:space="preserve"> of the project including the project type, whether the project is for a new facility or upgrade to an existing facility</w:t>
      </w:r>
      <w:r w:rsidR="0001462D">
        <w:t xml:space="preserve"> and the procurement and construction timeline</w:t>
      </w:r>
      <w:r>
        <w:t xml:space="preserve">. This </w:t>
      </w:r>
      <w:r w:rsidR="00781E74">
        <w:t>description</w:t>
      </w:r>
      <w:r>
        <w:t xml:space="preserve"> should provide information for Australian entities to determine if they are suitable to provide goods and services to the project.</w:t>
      </w:r>
    </w:p>
    <w:p w14:paraId="2B899C4E" w14:textId="77777777" w:rsidR="003A710B" w:rsidRPr="00747D1E" w:rsidRDefault="003A710B" w:rsidP="003A710B">
      <w:pPr>
        <w:rPr>
          <w:rStyle w:val="Strong"/>
        </w:rPr>
      </w:pPr>
      <w:r>
        <w:rPr>
          <w:rStyle w:val="Strong"/>
        </w:rPr>
        <w:t>E</w:t>
      </w:r>
      <w:r w:rsidRPr="00747D1E">
        <w:rPr>
          <w:rStyle w:val="Strong"/>
        </w:rPr>
        <w:t>stimated project value</w:t>
      </w:r>
    </w:p>
    <w:p w14:paraId="593E13A2" w14:textId="77777777" w:rsidR="003A710B" w:rsidRDefault="003A710B" w:rsidP="003A710B">
      <w:r>
        <w:t xml:space="preserve">Provide an estimate of the </w:t>
      </w:r>
      <w:r w:rsidR="00C5345F">
        <w:t>total expenditure of a capital nature for the project in Australian dollars (AUD).</w:t>
      </w:r>
    </w:p>
    <w:p w14:paraId="3D8409A4" w14:textId="77777777" w:rsidR="003A710B" w:rsidRPr="00747D1E" w:rsidRDefault="003A710B" w:rsidP="003A710B">
      <w:pPr>
        <w:rPr>
          <w:rStyle w:val="Strong"/>
        </w:rPr>
      </w:pPr>
      <w:r w:rsidRPr="00747D1E">
        <w:rPr>
          <w:rStyle w:val="Strong"/>
        </w:rPr>
        <w:t>Project location</w:t>
      </w:r>
    </w:p>
    <w:p w14:paraId="0D729F9D" w14:textId="2C598F64" w:rsidR="003A710B" w:rsidRDefault="003A710B" w:rsidP="003A710B">
      <w:r>
        <w:t xml:space="preserve">Provide the </w:t>
      </w:r>
      <w:r w:rsidR="00C5345F">
        <w:t xml:space="preserve">physical </w:t>
      </w:r>
      <w:r>
        <w:t>location of the project.</w:t>
      </w:r>
    </w:p>
    <w:p w14:paraId="1F46353B" w14:textId="77777777" w:rsidR="001D5D16" w:rsidRDefault="001D5D16" w:rsidP="003A710B">
      <w:pPr>
        <w:rPr>
          <w:rStyle w:val="Strong"/>
        </w:rPr>
      </w:pPr>
    </w:p>
    <w:p w14:paraId="01620502" w14:textId="77777777" w:rsidR="003A710B" w:rsidRPr="003A710B" w:rsidRDefault="003A710B" w:rsidP="003A710B">
      <w:pPr>
        <w:rPr>
          <w:rStyle w:val="Strong"/>
        </w:rPr>
      </w:pPr>
      <w:r w:rsidRPr="003A710B">
        <w:rPr>
          <w:rStyle w:val="Strong"/>
        </w:rPr>
        <w:lastRenderedPageBreak/>
        <w:t>Link to project information</w:t>
      </w:r>
    </w:p>
    <w:p w14:paraId="2866CF55" w14:textId="4263DEB8" w:rsidR="003A710B" w:rsidRDefault="003A710B" w:rsidP="003A710B">
      <w:r>
        <w:t xml:space="preserve">Provide </w:t>
      </w:r>
      <w:r w:rsidR="00D43D59">
        <w:t>the</w:t>
      </w:r>
      <w:r>
        <w:t xml:space="preserve"> address</w:t>
      </w:r>
      <w:r w:rsidR="0001462D">
        <w:t>es</w:t>
      </w:r>
      <w:r>
        <w:t xml:space="preserve"> for the project website</w:t>
      </w:r>
      <w:r w:rsidR="0001462D">
        <w:t>s</w:t>
      </w:r>
      <w:r>
        <w:t>. This should be the address</w:t>
      </w:r>
      <w:r w:rsidR="0001462D">
        <w:t>es</w:t>
      </w:r>
      <w:r>
        <w:t xml:space="preserve"> provided at question</w:t>
      </w:r>
      <w:r w:rsidR="0001462D">
        <w:t>s</w:t>
      </w:r>
      <w:r>
        <w:t xml:space="preserve"> 1</w:t>
      </w:r>
      <w:r w:rsidR="0001462D">
        <w:t xml:space="preserve"> &amp; 2</w:t>
      </w:r>
      <w:r>
        <w:t xml:space="preserve"> of ‘B.3 – Publication of </w:t>
      </w:r>
      <w:r w:rsidR="002B2B88">
        <w:t>Information’</w:t>
      </w:r>
      <w:r>
        <w:t>.</w:t>
      </w:r>
    </w:p>
    <w:p w14:paraId="0B2CACCD" w14:textId="77777777" w:rsidR="003A710B" w:rsidRPr="003A710B" w:rsidRDefault="003A710B" w:rsidP="003A710B">
      <w:pPr>
        <w:rPr>
          <w:rStyle w:val="Strong"/>
        </w:rPr>
      </w:pPr>
      <w:r w:rsidRPr="003A710B">
        <w:rPr>
          <w:rStyle w:val="Strong"/>
        </w:rPr>
        <w:t>Project contact for procurement information</w:t>
      </w:r>
    </w:p>
    <w:p w14:paraId="4BEDE6F0" w14:textId="11CC1A57" w:rsidR="003A710B" w:rsidRDefault="003A710B" w:rsidP="003A710B">
      <w:r>
        <w:t xml:space="preserve">Provide the contact details for a position within the project </w:t>
      </w:r>
      <w:r w:rsidR="000415B9">
        <w:t>that</w:t>
      </w:r>
      <w:r>
        <w:t xml:space="preserve"> will be responsible for receiving enquiries on procurement opportunities. This should be the person </w:t>
      </w:r>
      <w:r w:rsidR="00BF0E26">
        <w:t>detail</w:t>
      </w:r>
      <w:r>
        <w:t>ed at question</w:t>
      </w:r>
      <w:r w:rsidR="00781E74">
        <w:t xml:space="preserve"> </w:t>
      </w:r>
      <w:r>
        <w:t>1 of ‘B.1 – Contact Details’.</w:t>
      </w:r>
    </w:p>
    <w:p w14:paraId="00C158B3" w14:textId="77777777" w:rsidR="003A710B" w:rsidRPr="003A710B" w:rsidRDefault="003A710B" w:rsidP="003A710B">
      <w:pPr>
        <w:rPr>
          <w:rStyle w:val="Strong"/>
        </w:rPr>
      </w:pPr>
      <w:r w:rsidRPr="003A710B">
        <w:rPr>
          <w:rStyle w:val="Strong"/>
        </w:rPr>
        <w:t>Other Project Proponents</w:t>
      </w:r>
    </w:p>
    <w:p w14:paraId="14747C2F" w14:textId="1B92FD73" w:rsidR="003A710B" w:rsidRDefault="003A710B" w:rsidP="003A710B">
      <w:r>
        <w:t xml:space="preserve">Provide the </w:t>
      </w:r>
      <w:r w:rsidR="00B05DA9">
        <w:t xml:space="preserve">legal </w:t>
      </w:r>
      <w:r>
        <w:t>name</w:t>
      </w:r>
      <w:r w:rsidR="001D5D16">
        <w:t>s</w:t>
      </w:r>
      <w:r>
        <w:t xml:space="preserve"> of all other project proponents involved in the project.</w:t>
      </w:r>
    </w:p>
    <w:p w14:paraId="53CCD08B" w14:textId="77777777" w:rsidR="003A710B" w:rsidRDefault="004214A5" w:rsidP="00CB5EBD">
      <w:pPr>
        <w:pStyle w:val="Heading4"/>
      </w:pPr>
      <w:bookmarkStart w:id="61" w:name="_Toc372705188"/>
      <w:bookmarkStart w:id="62" w:name="_Toc372705352"/>
      <w:r>
        <w:t>Expected opportunities for industry participation</w:t>
      </w:r>
      <w:bookmarkEnd w:id="61"/>
      <w:bookmarkEnd w:id="62"/>
    </w:p>
    <w:p w14:paraId="7369560C" w14:textId="49B1F30B" w:rsidR="001C0207" w:rsidRPr="00855F20" w:rsidRDefault="001C0207" w:rsidP="001C0207">
      <w:r>
        <w:t>Complete the table of</w:t>
      </w:r>
      <w:r w:rsidR="00B05DA9">
        <w:t xml:space="preserve"> key goods and services and</w:t>
      </w:r>
      <w:r>
        <w:t xml:space="preserve"> </w:t>
      </w:r>
      <w:r w:rsidR="004214A5">
        <w:t xml:space="preserve">opportunities </w:t>
      </w:r>
      <w:r>
        <w:t xml:space="preserve">expected to </w:t>
      </w:r>
      <w:r w:rsidR="004214A5">
        <w:t>arise</w:t>
      </w:r>
      <w:r>
        <w:t xml:space="preserve"> for the project. This table should be completed with the same goods and services detailed in question 1 of ‘B.2 – </w:t>
      </w:r>
      <w:r w:rsidR="004214A5">
        <w:t>Opportunities to supply goods and</w:t>
      </w:r>
      <w:r>
        <w:t xml:space="preserve"> </w:t>
      </w:r>
      <w:r w:rsidR="004214A5">
        <w:t>s</w:t>
      </w:r>
      <w:r>
        <w:t>ervices’</w:t>
      </w:r>
      <w:r w:rsidR="00FA6F08">
        <w:t xml:space="preserve"> (see</w:t>
      </w:r>
      <w:r w:rsidR="003808CE" w:rsidRPr="003808CE">
        <w:t xml:space="preserve"> </w:t>
      </w:r>
      <w:r w:rsidR="003808CE">
        <w:t xml:space="preserve">example table </w:t>
      </w:r>
      <w:r w:rsidR="003808CE" w:rsidRPr="00855F20">
        <w:t>at</w:t>
      </w:r>
      <w:r w:rsidR="00FA6F08" w:rsidRPr="00855F20">
        <w:t xml:space="preserve"> page 1</w:t>
      </w:r>
      <w:r w:rsidR="001C08F5" w:rsidRPr="00855F20">
        <w:t>6</w:t>
      </w:r>
      <w:r w:rsidR="00FA6F08" w:rsidRPr="00855F20">
        <w:t>)</w:t>
      </w:r>
      <w:r w:rsidRPr="00855F20">
        <w:t>.</w:t>
      </w:r>
    </w:p>
    <w:p w14:paraId="2B1701F2" w14:textId="77777777" w:rsidR="001C0207" w:rsidRDefault="001C0207" w:rsidP="00CB5EBD">
      <w:pPr>
        <w:pStyle w:val="Heading4"/>
      </w:pPr>
      <w:bookmarkStart w:id="63" w:name="_Toc372705189"/>
      <w:bookmarkStart w:id="64" w:name="_Toc372705353"/>
      <w:r>
        <w:t>Standards to be used in the project</w:t>
      </w:r>
      <w:bookmarkEnd w:id="63"/>
      <w:bookmarkEnd w:id="64"/>
    </w:p>
    <w:p w14:paraId="2CB276DC" w14:textId="48F47D5D" w:rsidR="001C0207" w:rsidRDefault="001C0207" w:rsidP="001C0207">
      <w:r>
        <w:t>This should summarise the information provided in response to question</w:t>
      </w:r>
      <w:r w:rsidR="005A242C">
        <w:t xml:space="preserve"> </w:t>
      </w:r>
      <w:r>
        <w:t xml:space="preserve">4 of ‘B.2 – </w:t>
      </w:r>
      <w:r w:rsidR="004214A5">
        <w:t>Opportunities to supply g</w:t>
      </w:r>
      <w:r>
        <w:t xml:space="preserve">oods and </w:t>
      </w:r>
      <w:r w:rsidR="004214A5">
        <w:t>s</w:t>
      </w:r>
      <w:r>
        <w:t>ervices’.</w:t>
      </w:r>
    </w:p>
    <w:p w14:paraId="55869682" w14:textId="02D75BD9" w:rsidR="001C0207" w:rsidRDefault="001C0207" w:rsidP="00CB5EBD">
      <w:pPr>
        <w:pStyle w:val="Heading4"/>
      </w:pPr>
      <w:bookmarkStart w:id="65" w:name="_Toc372705190"/>
      <w:bookmarkStart w:id="66" w:name="_Toc372705354"/>
      <w:r>
        <w:t>AIP activities</w:t>
      </w:r>
      <w:r w:rsidR="00040928">
        <w:t xml:space="preserve"> to be</w:t>
      </w:r>
      <w:r>
        <w:t xml:space="preserve"> undertaken by the project proponent</w:t>
      </w:r>
      <w:bookmarkEnd w:id="65"/>
      <w:bookmarkEnd w:id="66"/>
    </w:p>
    <w:p w14:paraId="2748E919" w14:textId="77777777" w:rsidR="001C0207" w:rsidRDefault="001C0207" w:rsidP="001C0207">
      <w:r w:rsidRPr="001C0207">
        <w:t>This should summarise the activities detailed in response to the following questions:</w:t>
      </w:r>
    </w:p>
    <w:tbl>
      <w:tblPr>
        <w:tblStyle w:val="TableGrid"/>
        <w:tblW w:w="0" w:type="auto"/>
        <w:tblLook w:val="04A0" w:firstRow="1" w:lastRow="0" w:firstColumn="1" w:lastColumn="0" w:noHBand="0" w:noVBand="1"/>
        <w:tblDescription w:val="Questions to be addressed in the AIP plan Summary under &quot;AIP activities undertaken by the project proponent&quot;"/>
      </w:tblPr>
      <w:tblGrid>
        <w:gridCol w:w="6977"/>
        <w:gridCol w:w="1319"/>
      </w:tblGrid>
      <w:tr w:rsidR="005A242C" w14:paraId="0C25BE8D" w14:textId="77777777" w:rsidTr="00173B6F">
        <w:trPr>
          <w:tblHeader/>
        </w:trPr>
        <w:tc>
          <w:tcPr>
            <w:tcW w:w="7196" w:type="dxa"/>
          </w:tcPr>
          <w:p w14:paraId="33231ED4" w14:textId="77777777" w:rsidR="005A242C" w:rsidRPr="00280D8D" w:rsidRDefault="005A242C" w:rsidP="001C0207">
            <w:pPr>
              <w:rPr>
                <w:rStyle w:val="Strong"/>
              </w:rPr>
            </w:pPr>
            <w:r w:rsidRPr="00280D8D">
              <w:rPr>
                <w:rStyle w:val="Strong"/>
              </w:rPr>
              <w:t>Criterion</w:t>
            </w:r>
          </w:p>
        </w:tc>
        <w:tc>
          <w:tcPr>
            <w:tcW w:w="1326" w:type="dxa"/>
          </w:tcPr>
          <w:p w14:paraId="65626E13" w14:textId="77777777" w:rsidR="005A242C" w:rsidRPr="00280D8D" w:rsidRDefault="005A242C" w:rsidP="001C0207">
            <w:pPr>
              <w:rPr>
                <w:rStyle w:val="Strong"/>
              </w:rPr>
            </w:pPr>
            <w:r w:rsidRPr="00280D8D">
              <w:rPr>
                <w:rStyle w:val="Strong"/>
              </w:rPr>
              <w:t>Questions</w:t>
            </w:r>
          </w:p>
        </w:tc>
      </w:tr>
      <w:tr w:rsidR="005A242C" w14:paraId="3B172251" w14:textId="772CD55D" w:rsidTr="00173B6F">
        <w:trPr>
          <w:tblHeader/>
        </w:trPr>
        <w:tc>
          <w:tcPr>
            <w:tcW w:w="7196" w:type="dxa"/>
          </w:tcPr>
          <w:p w14:paraId="1F0BCD10" w14:textId="7B6988C1" w:rsidR="005A242C" w:rsidRDefault="005A242C" w:rsidP="00CF43F6">
            <w:r>
              <w:t xml:space="preserve">B.3 – Publication of </w:t>
            </w:r>
            <w:r w:rsidR="00CF43F6">
              <w:t>Information</w:t>
            </w:r>
          </w:p>
        </w:tc>
        <w:tc>
          <w:tcPr>
            <w:tcW w:w="1326" w:type="dxa"/>
          </w:tcPr>
          <w:p w14:paraId="22C6AE3D" w14:textId="1AB043FC" w:rsidR="005A242C" w:rsidRDefault="005A242C" w:rsidP="00D43D59">
            <w:r>
              <w:t>2</w:t>
            </w:r>
          </w:p>
        </w:tc>
      </w:tr>
      <w:tr w:rsidR="005A242C" w14:paraId="6FE74FBF" w14:textId="77777777" w:rsidTr="00173B6F">
        <w:trPr>
          <w:tblHeader/>
        </w:trPr>
        <w:tc>
          <w:tcPr>
            <w:tcW w:w="7196" w:type="dxa"/>
          </w:tcPr>
          <w:p w14:paraId="018C5432" w14:textId="77777777" w:rsidR="005A242C" w:rsidRDefault="005A242C" w:rsidP="001C0207">
            <w:r>
              <w:t>B.4 – Communicating and Providing Opportunities</w:t>
            </w:r>
          </w:p>
        </w:tc>
        <w:tc>
          <w:tcPr>
            <w:tcW w:w="1326" w:type="dxa"/>
          </w:tcPr>
          <w:p w14:paraId="7F86C2AC" w14:textId="3210D954" w:rsidR="005A242C" w:rsidRDefault="005A242C" w:rsidP="002443CF">
            <w:r>
              <w:t>1</w:t>
            </w:r>
            <w:r w:rsidR="00781E74">
              <w:t xml:space="preserve"> and</w:t>
            </w:r>
            <w:r>
              <w:t xml:space="preserve"> 2</w:t>
            </w:r>
          </w:p>
        </w:tc>
      </w:tr>
      <w:tr w:rsidR="005A242C" w14:paraId="2E948AD4" w14:textId="77777777" w:rsidTr="00173B6F">
        <w:trPr>
          <w:tblHeader/>
        </w:trPr>
        <w:tc>
          <w:tcPr>
            <w:tcW w:w="7196" w:type="dxa"/>
          </w:tcPr>
          <w:p w14:paraId="17EB4328" w14:textId="77777777" w:rsidR="005A242C" w:rsidRDefault="005A242C" w:rsidP="001C0207">
            <w:r>
              <w:t>B.5 – Facilitating Future Opportunities</w:t>
            </w:r>
          </w:p>
        </w:tc>
        <w:tc>
          <w:tcPr>
            <w:tcW w:w="1326" w:type="dxa"/>
          </w:tcPr>
          <w:p w14:paraId="377C173F" w14:textId="77777777" w:rsidR="005A242C" w:rsidRDefault="005A242C" w:rsidP="00781E74">
            <w:r>
              <w:t>1</w:t>
            </w:r>
            <w:r w:rsidR="00781E74">
              <w:t xml:space="preserve"> and</w:t>
            </w:r>
            <w:r>
              <w:t xml:space="preserve"> 2</w:t>
            </w:r>
          </w:p>
        </w:tc>
      </w:tr>
      <w:tr w:rsidR="005A242C" w14:paraId="10D74F71" w14:textId="77777777" w:rsidTr="00173B6F">
        <w:trPr>
          <w:tblHeader/>
        </w:trPr>
        <w:tc>
          <w:tcPr>
            <w:tcW w:w="7196" w:type="dxa"/>
          </w:tcPr>
          <w:p w14:paraId="139EB0AC" w14:textId="77777777" w:rsidR="005A242C" w:rsidRDefault="005A242C" w:rsidP="001C0207">
            <w:r>
              <w:t>B.6 – Implementation Resources</w:t>
            </w:r>
          </w:p>
        </w:tc>
        <w:tc>
          <w:tcPr>
            <w:tcW w:w="1326" w:type="dxa"/>
          </w:tcPr>
          <w:p w14:paraId="49EC7F2A" w14:textId="7F90C093" w:rsidR="005A242C" w:rsidRDefault="005A242C" w:rsidP="002443CF">
            <w:r>
              <w:t>2</w:t>
            </w:r>
            <w:r w:rsidR="00781E74">
              <w:t xml:space="preserve"> and</w:t>
            </w:r>
            <w:r>
              <w:t xml:space="preserve"> 3</w:t>
            </w:r>
          </w:p>
        </w:tc>
      </w:tr>
    </w:tbl>
    <w:p w14:paraId="2F0F6C15" w14:textId="77777777" w:rsidR="001C0207" w:rsidRDefault="001C0207" w:rsidP="00CB5EBD">
      <w:pPr>
        <w:pStyle w:val="Heading4"/>
      </w:pPr>
      <w:bookmarkStart w:id="67" w:name="_Toc372705191"/>
      <w:bookmarkStart w:id="68" w:name="_Toc372705355"/>
      <w:r>
        <w:t>AIP activities to be undertaken by procurement entities</w:t>
      </w:r>
      <w:bookmarkEnd w:id="67"/>
      <w:bookmarkEnd w:id="68"/>
    </w:p>
    <w:p w14:paraId="7DB226C9" w14:textId="77777777" w:rsidR="001C0207" w:rsidRDefault="001C0207" w:rsidP="001C0207">
      <w:r w:rsidRPr="001C0207">
        <w:t>This should summarise the activities detailed in response to the following questions:</w:t>
      </w:r>
    </w:p>
    <w:tbl>
      <w:tblPr>
        <w:tblStyle w:val="TableGrid"/>
        <w:tblW w:w="0" w:type="auto"/>
        <w:tblLook w:val="04A0" w:firstRow="1" w:lastRow="0" w:firstColumn="1" w:lastColumn="0" w:noHBand="0" w:noVBand="1"/>
        <w:tblDescription w:val="Questions to be addressed in the AIP plan Summary under &quot;AIP activities undertaken by procurement entities&quot;"/>
      </w:tblPr>
      <w:tblGrid>
        <w:gridCol w:w="6977"/>
        <w:gridCol w:w="1319"/>
      </w:tblGrid>
      <w:tr w:rsidR="00280D8D" w14:paraId="1EC56CB9" w14:textId="77777777" w:rsidTr="00781E74">
        <w:trPr>
          <w:tblHeader/>
        </w:trPr>
        <w:tc>
          <w:tcPr>
            <w:tcW w:w="7196" w:type="dxa"/>
          </w:tcPr>
          <w:p w14:paraId="3686DFF6" w14:textId="77777777" w:rsidR="00280D8D" w:rsidRPr="00280D8D" w:rsidRDefault="00280D8D" w:rsidP="001C0207">
            <w:pPr>
              <w:rPr>
                <w:rStyle w:val="Strong"/>
              </w:rPr>
            </w:pPr>
            <w:r w:rsidRPr="00280D8D">
              <w:rPr>
                <w:rStyle w:val="Strong"/>
              </w:rPr>
              <w:t>Criterion</w:t>
            </w:r>
          </w:p>
        </w:tc>
        <w:tc>
          <w:tcPr>
            <w:tcW w:w="1326" w:type="dxa"/>
          </w:tcPr>
          <w:p w14:paraId="6F4AAC6B" w14:textId="77777777" w:rsidR="00280D8D" w:rsidRPr="00280D8D" w:rsidRDefault="00280D8D" w:rsidP="001C0207">
            <w:pPr>
              <w:rPr>
                <w:rStyle w:val="Strong"/>
              </w:rPr>
            </w:pPr>
            <w:r w:rsidRPr="00280D8D">
              <w:rPr>
                <w:rStyle w:val="Strong"/>
              </w:rPr>
              <w:t>Questions</w:t>
            </w:r>
          </w:p>
        </w:tc>
      </w:tr>
      <w:tr w:rsidR="00280D8D" w14:paraId="7F53AEDA" w14:textId="77777777" w:rsidTr="00781E74">
        <w:trPr>
          <w:tblHeader/>
        </w:trPr>
        <w:tc>
          <w:tcPr>
            <w:tcW w:w="7196" w:type="dxa"/>
          </w:tcPr>
          <w:p w14:paraId="16E8C5C2" w14:textId="77777777" w:rsidR="00280D8D" w:rsidRDefault="00280D8D" w:rsidP="004214A5">
            <w:r>
              <w:t xml:space="preserve">B.2 – </w:t>
            </w:r>
            <w:r w:rsidR="004214A5">
              <w:t>Opportunities to supply g</w:t>
            </w:r>
            <w:r>
              <w:t>o</w:t>
            </w:r>
            <w:r w:rsidR="004214A5">
              <w:t>o</w:t>
            </w:r>
            <w:r>
              <w:t xml:space="preserve">ds and </w:t>
            </w:r>
            <w:r w:rsidR="004214A5">
              <w:t>s</w:t>
            </w:r>
            <w:r>
              <w:t>ervices</w:t>
            </w:r>
          </w:p>
        </w:tc>
        <w:tc>
          <w:tcPr>
            <w:tcW w:w="1326" w:type="dxa"/>
          </w:tcPr>
          <w:p w14:paraId="7AF76110" w14:textId="77777777" w:rsidR="00280D8D" w:rsidRDefault="00280D8D" w:rsidP="001C0207">
            <w:r>
              <w:t>3</w:t>
            </w:r>
          </w:p>
        </w:tc>
      </w:tr>
      <w:tr w:rsidR="00280D8D" w14:paraId="2DD9547A" w14:textId="77777777" w:rsidTr="00781E74">
        <w:trPr>
          <w:tblHeader/>
        </w:trPr>
        <w:tc>
          <w:tcPr>
            <w:tcW w:w="7196" w:type="dxa"/>
          </w:tcPr>
          <w:p w14:paraId="4867CDC4" w14:textId="696F9000" w:rsidR="00280D8D" w:rsidRDefault="00280D8D" w:rsidP="00CF43F6">
            <w:r>
              <w:t xml:space="preserve">B.3 – Publication of </w:t>
            </w:r>
            <w:r w:rsidR="00CF43F6">
              <w:t>Information</w:t>
            </w:r>
          </w:p>
        </w:tc>
        <w:tc>
          <w:tcPr>
            <w:tcW w:w="1326" w:type="dxa"/>
          </w:tcPr>
          <w:p w14:paraId="514DB9AF" w14:textId="77777777" w:rsidR="00280D8D" w:rsidRDefault="00280D8D" w:rsidP="001C0207">
            <w:r>
              <w:t>3</w:t>
            </w:r>
          </w:p>
        </w:tc>
      </w:tr>
      <w:tr w:rsidR="00280D8D" w14:paraId="365AE651" w14:textId="77777777" w:rsidTr="00781E74">
        <w:trPr>
          <w:tblHeader/>
        </w:trPr>
        <w:tc>
          <w:tcPr>
            <w:tcW w:w="7196" w:type="dxa"/>
          </w:tcPr>
          <w:p w14:paraId="058AA75D" w14:textId="77777777" w:rsidR="00280D8D" w:rsidRDefault="00280D8D" w:rsidP="001C0207">
            <w:r>
              <w:t>B.4 – Communicating and Providing Opportunities</w:t>
            </w:r>
          </w:p>
        </w:tc>
        <w:tc>
          <w:tcPr>
            <w:tcW w:w="1326" w:type="dxa"/>
          </w:tcPr>
          <w:p w14:paraId="33434280" w14:textId="056FAAEC" w:rsidR="00280D8D" w:rsidRDefault="00280D8D" w:rsidP="00781E74">
            <w:r>
              <w:t>3</w:t>
            </w:r>
            <w:r w:rsidR="00781E74">
              <w:t xml:space="preserve"> and</w:t>
            </w:r>
            <w:r>
              <w:t xml:space="preserve"> 4</w:t>
            </w:r>
          </w:p>
        </w:tc>
      </w:tr>
      <w:tr w:rsidR="00280D8D" w14:paraId="30001377" w14:textId="77777777" w:rsidTr="00781E74">
        <w:trPr>
          <w:tblHeader/>
        </w:trPr>
        <w:tc>
          <w:tcPr>
            <w:tcW w:w="7196" w:type="dxa"/>
          </w:tcPr>
          <w:p w14:paraId="584285A5" w14:textId="77777777" w:rsidR="00280D8D" w:rsidRDefault="00280D8D" w:rsidP="001C0207">
            <w:r>
              <w:t>B.5 – Facilitating Future Opportunities</w:t>
            </w:r>
          </w:p>
        </w:tc>
        <w:tc>
          <w:tcPr>
            <w:tcW w:w="1326" w:type="dxa"/>
          </w:tcPr>
          <w:p w14:paraId="0B0DEB14" w14:textId="36B2AE43" w:rsidR="00280D8D" w:rsidRDefault="0030682E" w:rsidP="00781E74">
            <w:r>
              <w:t xml:space="preserve">1, 2 and </w:t>
            </w:r>
            <w:r w:rsidR="00280D8D">
              <w:t>3</w:t>
            </w:r>
          </w:p>
        </w:tc>
      </w:tr>
    </w:tbl>
    <w:p w14:paraId="0DF794B9" w14:textId="77777777" w:rsidR="00CB5EBD" w:rsidRDefault="00CB5EBD" w:rsidP="005230AB">
      <w:pPr>
        <w:pStyle w:val="Heading3"/>
      </w:pPr>
      <w:bookmarkStart w:id="69" w:name="_Toc372705356"/>
      <w:r>
        <w:lastRenderedPageBreak/>
        <w:t>Operations Phase</w:t>
      </w:r>
      <w:bookmarkEnd w:id="69"/>
    </w:p>
    <w:p w14:paraId="6E114489" w14:textId="77777777" w:rsidR="00CB5EBD" w:rsidRDefault="00CB5EBD" w:rsidP="00CB5EBD">
      <w:pPr>
        <w:pStyle w:val="Heading4"/>
      </w:pPr>
      <w:bookmarkStart w:id="70" w:name="_Toc372705193"/>
      <w:bookmarkStart w:id="71" w:name="_Toc372705357"/>
      <w:r>
        <w:t>Facility Details</w:t>
      </w:r>
      <w:bookmarkEnd w:id="70"/>
      <w:bookmarkEnd w:id="71"/>
    </w:p>
    <w:p w14:paraId="277F38FA" w14:textId="77777777" w:rsidR="00CB5EBD" w:rsidRPr="00747D1E" w:rsidRDefault="00CB5EBD" w:rsidP="00CB5EBD">
      <w:pPr>
        <w:rPr>
          <w:rStyle w:val="Strong"/>
        </w:rPr>
      </w:pPr>
      <w:r>
        <w:rPr>
          <w:rStyle w:val="Strong"/>
        </w:rPr>
        <w:t>Operator</w:t>
      </w:r>
    </w:p>
    <w:p w14:paraId="56B99660" w14:textId="768F2AB6" w:rsidR="00CB5EBD" w:rsidRDefault="00B05DA9" w:rsidP="00CB5EBD">
      <w:r>
        <w:t>Legal</w:t>
      </w:r>
      <w:r w:rsidR="00CB5EBD">
        <w:t xml:space="preserve"> name of the </w:t>
      </w:r>
      <w:r w:rsidR="001D5D16">
        <w:t>nominated</w:t>
      </w:r>
      <w:r w:rsidR="00CB5EBD">
        <w:t xml:space="preserve"> operator</w:t>
      </w:r>
      <w:r w:rsidR="001D5D16">
        <w:t>.</w:t>
      </w:r>
    </w:p>
    <w:p w14:paraId="1EF0E282" w14:textId="72A2A156" w:rsidR="000129C7" w:rsidRPr="0001462D" w:rsidRDefault="00B05DA9" w:rsidP="000129C7">
      <w:pPr>
        <w:rPr>
          <w:b/>
        </w:rPr>
      </w:pPr>
      <w:r>
        <w:rPr>
          <w:b/>
        </w:rPr>
        <w:t>Facility</w:t>
      </w:r>
      <w:r w:rsidRPr="0001462D">
        <w:rPr>
          <w:b/>
        </w:rPr>
        <w:t xml:space="preserve"> </w:t>
      </w:r>
      <w:r w:rsidR="000129C7" w:rsidRPr="0001462D">
        <w:rPr>
          <w:b/>
        </w:rPr>
        <w:t>name</w:t>
      </w:r>
    </w:p>
    <w:p w14:paraId="1A2E5D63" w14:textId="6D667788" w:rsidR="000129C7" w:rsidRDefault="000129C7" w:rsidP="000129C7">
      <w:r>
        <w:t xml:space="preserve">Name of the </w:t>
      </w:r>
      <w:r w:rsidR="00B05DA9">
        <w:t>facility</w:t>
      </w:r>
      <w:r w:rsidR="001D5D16">
        <w:t>.</w:t>
      </w:r>
    </w:p>
    <w:p w14:paraId="28CACCA0" w14:textId="77777777" w:rsidR="00CB5EBD" w:rsidRPr="003A710B" w:rsidRDefault="00CB5EBD" w:rsidP="00CB5EBD">
      <w:pPr>
        <w:rPr>
          <w:rStyle w:val="Strong"/>
        </w:rPr>
      </w:pPr>
      <w:r w:rsidRPr="003A710B">
        <w:rPr>
          <w:rStyle w:val="Strong"/>
        </w:rPr>
        <w:t xml:space="preserve">Link to </w:t>
      </w:r>
      <w:r w:rsidR="005A242C">
        <w:rPr>
          <w:rStyle w:val="Strong"/>
        </w:rPr>
        <w:t>facility</w:t>
      </w:r>
      <w:r w:rsidRPr="003A710B">
        <w:rPr>
          <w:rStyle w:val="Strong"/>
        </w:rPr>
        <w:t xml:space="preserve"> information</w:t>
      </w:r>
    </w:p>
    <w:p w14:paraId="0718D13F" w14:textId="34A91454" w:rsidR="00CB5EBD" w:rsidRDefault="00CB5EBD" w:rsidP="00CB5EBD">
      <w:r>
        <w:t xml:space="preserve">Provide </w:t>
      </w:r>
      <w:r w:rsidR="00D43D59">
        <w:t>the</w:t>
      </w:r>
      <w:r>
        <w:t xml:space="preserve"> address</w:t>
      </w:r>
      <w:r w:rsidR="002443CF">
        <w:t>es</w:t>
      </w:r>
      <w:r>
        <w:t xml:space="preserve"> for the </w:t>
      </w:r>
      <w:r w:rsidR="005A242C">
        <w:t>facility</w:t>
      </w:r>
      <w:r>
        <w:t xml:space="preserve"> website</w:t>
      </w:r>
      <w:r w:rsidR="002443CF">
        <w:t>s</w:t>
      </w:r>
      <w:r>
        <w:t>. This should be the address</w:t>
      </w:r>
      <w:r w:rsidR="002443CF">
        <w:t>es</w:t>
      </w:r>
      <w:r>
        <w:t xml:space="preserve"> provided at question</w:t>
      </w:r>
      <w:r w:rsidR="002443CF">
        <w:t>s</w:t>
      </w:r>
      <w:r>
        <w:t xml:space="preserve"> 1</w:t>
      </w:r>
      <w:r w:rsidR="002443CF">
        <w:t xml:space="preserve"> and 2</w:t>
      </w:r>
      <w:r>
        <w:t xml:space="preserve"> of ‘</w:t>
      </w:r>
      <w:r w:rsidR="005A242C">
        <w:t>C</w:t>
      </w:r>
      <w:r>
        <w:t>.</w:t>
      </w:r>
      <w:r w:rsidR="005A242C">
        <w:t>4</w:t>
      </w:r>
      <w:r>
        <w:t xml:space="preserve"> – Publication of </w:t>
      </w:r>
      <w:r w:rsidR="002B2B88">
        <w:t>Information’</w:t>
      </w:r>
      <w:r>
        <w:t>.</w:t>
      </w:r>
    </w:p>
    <w:p w14:paraId="1115B9A4" w14:textId="77777777" w:rsidR="00CB5EBD" w:rsidRPr="003A710B" w:rsidRDefault="00CB5EBD" w:rsidP="00CB5EBD">
      <w:pPr>
        <w:rPr>
          <w:rStyle w:val="Strong"/>
        </w:rPr>
      </w:pPr>
      <w:r w:rsidRPr="003A710B">
        <w:rPr>
          <w:rStyle w:val="Strong"/>
        </w:rPr>
        <w:t>Project contact for procurement information</w:t>
      </w:r>
    </w:p>
    <w:p w14:paraId="097F704B" w14:textId="02A94556" w:rsidR="00CB5EBD" w:rsidRDefault="00CB5EBD" w:rsidP="00CB5EBD">
      <w:r>
        <w:t xml:space="preserve">Provide the contact details for a </w:t>
      </w:r>
      <w:r w:rsidR="00B05DA9">
        <w:t xml:space="preserve">person </w:t>
      </w:r>
      <w:r>
        <w:t xml:space="preserve">within the </w:t>
      </w:r>
      <w:r w:rsidR="005A242C">
        <w:t>facility</w:t>
      </w:r>
      <w:r>
        <w:t xml:space="preserve"> </w:t>
      </w:r>
      <w:r w:rsidR="000415B9">
        <w:t>that</w:t>
      </w:r>
      <w:r>
        <w:t xml:space="preserve"> will be responsible for receiving enquiries on procurement opportunities. This should be the person </w:t>
      </w:r>
      <w:r w:rsidR="00BF0E26">
        <w:t>detail</w:t>
      </w:r>
      <w:r>
        <w:t>ed at question</w:t>
      </w:r>
      <w:r w:rsidR="00781E74">
        <w:t xml:space="preserve"> </w:t>
      </w:r>
      <w:r>
        <w:t>1 of ‘</w:t>
      </w:r>
      <w:r w:rsidR="005A242C">
        <w:t>C</w:t>
      </w:r>
      <w:r>
        <w:t>.</w:t>
      </w:r>
      <w:r w:rsidR="005A242C">
        <w:t>2</w:t>
      </w:r>
      <w:r>
        <w:t xml:space="preserve"> – Contact Details’.</w:t>
      </w:r>
    </w:p>
    <w:p w14:paraId="7903AB0F" w14:textId="77777777" w:rsidR="00CB5EBD" w:rsidRPr="003A710B" w:rsidRDefault="00CB5EBD" w:rsidP="00CB5EBD">
      <w:pPr>
        <w:rPr>
          <w:rStyle w:val="Strong"/>
        </w:rPr>
      </w:pPr>
      <w:r w:rsidRPr="003A710B">
        <w:rPr>
          <w:rStyle w:val="Strong"/>
        </w:rPr>
        <w:t xml:space="preserve">Other </w:t>
      </w:r>
      <w:r w:rsidR="005A242C">
        <w:rPr>
          <w:rStyle w:val="Strong"/>
        </w:rPr>
        <w:t>Operators</w:t>
      </w:r>
    </w:p>
    <w:p w14:paraId="1CC65909" w14:textId="32D5B881" w:rsidR="00CB5EBD" w:rsidRDefault="00CB5EBD" w:rsidP="00CB5EBD">
      <w:r>
        <w:t xml:space="preserve">Provide the </w:t>
      </w:r>
      <w:r w:rsidR="00B05DA9">
        <w:t xml:space="preserve">legal </w:t>
      </w:r>
      <w:r>
        <w:t>name</w:t>
      </w:r>
      <w:r w:rsidR="00B05DA9">
        <w:t>s</w:t>
      </w:r>
      <w:r>
        <w:t xml:space="preserve"> of all other </w:t>
      </w:r>
      <w:r w:rsidR="00781E74">
        <w:t>operators</w:t>
      </w:r>
      <w:r>
        <w:t xml:space="preserve"> involved in the </w:t>
      </w:r>
      <w:r w:rsidR="00781E74">
        <w:t>initial operations of the facility</w:t>
      </w:r>
      <w:r>
        <w:t>.</w:t>
      </w:r>
    </w:p>
    <w:p w14:paraId="0052680B" w14:textId="77777777" w:rsidR="00CB5EBD" w:rsidRDefault="004214A5" w:rsidP="00CB5EBD">
      <w:pPr>
        <w:pStyle w:val="Heading4"/>
      </w:pPr>
      <w:bookmarkStart w:id="72" w:name="_Toc372705194"/>
      <w:bookmarkStart w:id="73" w:name="_Toc372705358"/>
      <w:r>
        <w:t>Expected opportunities for industry participation</w:t>
      </w:r>
      <w:bookmarkEnd w:id="72"/>
      <w:bookmarkEnd w:id="73"/>
    </w:p>
    <w:p w14:paraId="746E2331" w14:textId="4AC1EFDC" w:rsidR="00CB5EBD" w:rsidRDefault="00CB5EBD" w:rsidP="00CB5EBD">
      <w:r>
        <w:t xml:space="preserve">Complete the table of </w:t>
      </w:r>
      <w:r w:rsidR="00B05DA9">
        <w:t xml:space="preserve">key goods and services and </w:t>
      </w:r>
      <w:r w:rsidR="004214A5">
        <w:t xml:space="preserve">opportunities </w:t>
      </w:r>
      <w:r>
        <w:t xml:space="preserve">expected to </w:t>
      </w:r>
      <w:r w:rsidR="004214A5">
        <w:t>arise</w:t>
      </w:r>
      <w:r>
        <w:t xml:space="preserve"> for the </w:t>
      </w:r>
      <w:r w:rsidR="005A242C">
        <w:t>initial operations of the facility</w:t>
      </w:r>
      <w:r>
        <w:t>. This table should be completed with the same goods and servi</w:t>
      </w:r>
      <w:r w:rsidR="005A242C">
        <w:t>ces detailed in question 1 of ‘C</w:t>
      </w:r>
      <w:r>
        <w:t>.</w:t>
      </w:r>
      <w:r w:rsidR="005A242C">
        <w:t>3</w:t>
      </w:r>
      <w:r>
        <w:t xml:space="preserve"> – </w:t>
      </w:r>
      <w:r w:rsidR="004214A5">
        <w:t>Opportunities to supply g</w:t>
      </w:r>
      <w:r>
        <w:t xml:space="preserve">oods and </w:t>
      </w:r>
      <w:r w:rsidR="004214A5" w:rsidRPr="00855F20">
        <w:t>s</w:t>
      </w:r>
      <w:r w:rsidRPr="00855F20">
        <w:t>ervices’</w:t>
      </w:r>
      <w:r w:rsidR="00FA6F08" w:rsidRPr="00855F20">
        <w:t xml:space="preserve"> (see</w:t>
      </w:r>
      <w:r w:rsidR="003808CE" w:rsidRPr="00855F20">
        <w:t xml:space="preserve"> </w:t>
      </w:r>
      <w:r w:rsidR="00FA6F08" w:rsidRPr="00855F20">
        <w:t>page 2</w:t>
      </w:r>
      <w:r w:rsidR="001C08F5" w:rsidRPr="00855F20">
        <w:t>8</w:t>
      </w:r>
      <w:r w:rsidR="00FA6F08" w:rsidRPr="00855F20">
        <w:t>)</w:t>
      </w:r>
      <w:r w:rsidRPr="00855F20">
        <w:t>.</w:t>
      </w:r>
    </w:p>
    <w:p w14:paraId="40490DA8" w14:textId="77777777" w:rsidR="00CB5EBD" w:rsidRDefault="00CB5EBD" w:rsidP="00CB5EBD">
      <w:pPr>
        <w:pStyle w:val="Heading4"/>
      </w:pPr>
      <w:bookmarkStart w:id="74" w:name="_Toc372705195"/>
      <w:bookmarkStart w:id="75" w:name="_Toc372705359"/>
      <w:r>
        <w:t>Standards to be used in the project</w:t>
      </w:r>
      <w:bookmarkEnd w:id="74"/>
      <w:bookmarkEnd w:id="75"/>
    </w:p>
    <w:p w14:paraId="4D9DBBD3" w14:textId="77777777" w:rsidR="00CB5EBD" w:rsidRDefault="00CB5EBD" w:rsidP="00CB5EBD">
      <w:r>
        <w:t>This should summarise the information provided in response to question</w:t>
      </w:r>
      <w:r w:rsidR="005A242C">
        <w:t xml:space="preserve"> </w:t>
      </w:r>
      <w:r>
        <w:t>4 of ‘</w:t>
      </w:r>
      <w:r w:rsidR="004214A5">
        <w:t>C.3 – Opportunities to supply goods and services’</w:t>
      </w:r>
      <w:r>
        <w:t>.</w:t>
      </w:r>
    </w:p>
    <w:p w14:paraId="373B66AB" w14:textId="4A170162" w:rsidR="00CB5EBD" w:rsidRDefault="00CB5EBD" w:rsidP="00CB5EBD">
      <w:pPr>
        <w:pStyle w:val="Heading4"/>
      </w:pPr>
      <w:bookmarkStart w:id="76" w:name="_Toc372705196"/>
      <w:bookmarkStart w:id="77" w:name="_Toc372705360"/>
      <w:r>
        <w:t>AIP activities</w:t>
      </w:r>
      <w:r w:rsidR="00D80277">
        <w:t xml:space="preserve"> to be</w:t>
      </w:r>
      <w:r>
        <w:t xml:space="preserve"> undertaken by the </w:t>
      </w:r>
      <w:r w:rsidR="005A242C">
        <w:t>operator</w:t>
      </w:r>
      <w:bookmarkEnd w:id="76"/>
      <w:bookmarkEnd w:id="77"/>
    </w:p>
    <w:p w14:paraId="7CDE7FDD" w14:textId="77777777" w:rsidR="00CB5EBD" w:rsidRDefault="00CB5EBD" w:rsidP="00CB5EBD">
      <w:r w:rsidRPr="001C0207">
        <w:t>This should summarise the activities detailed in response to the following questions:</w:t>
      </w:r>
    </w:p>
    <w:tbl>
      <w:tblPr>
        <w:tblStyle w:val="TableGrid"/>
        <w:tblW w:w="0" w:type="auto"/>
        <w:tblLook w:val="04A0" w:firstRow="1" w:lastRow="0" w:firstColumn="1" w:lastColumn="0" w:noHBand="0" w:noVBand="1"/>
        <w:tblDescription w:val="Questions to be addressed in the AIP plan Summary under &quot;AIP activities undertaken by the operator&quot;"/>
      </w:tblPr>
      <w:tblGrid>
        <w:gridCol w:w="6977"/>
        <w:gridCol w:w="1319"/>
      </w:tblGrid>
      <w:tr w:rsidR="00280D8D" w14:paraId="5453FD52" w14:textId="77777777" w:rsidTr="00B05DA9">
        <w:trPr>
          <w:tblHeader/>
        </w:trPr>
        <w:tc>
          <w:tcPr>
            <w:tcW w:w="7196" w:type="dxa"/>
          </w:tcPr>
          <w:p w14:paraId="7EDC4801" w14:textId="77777777" w:rsidR="00280D8D" w:rsidRPr="00280D8D" w:rsidRDefault="00280D8D" w:rsidP="009E232E">
            <w:pPr>
              <w:rPr>
                <w:rStyle w:val="Strong"/>
              </w:rPr>
            </w:pPr>
            <w:r w:rsidRPr="00280D8D">
              <w:rPr>
                <w:rStyle w:val="Strong"/>
              </w:rPr>
              <w:t>Criterion</w:t>
            </w:r>
          </w:p>
        </w:tc>
        <w:tc>
          <w:tcPr>
            <w:tcW w:w="1326" w:type="dxa"/>
          </w:tcPr>
          <w:p w14:paraId="63C33EFB" w14:textId="77777777" w:rsidR="00280D8D" w:rsidRPr="00280D8D" w:rsidRDefault="00280D8D" w:rsidP="009E232E">
            <w:pPr>
              <w:rPr>
                <w:rStyle w:val="Strong"/>
              </w:rPr>
            </w:pPr>
            <w:r w:rsidRPr="00280D8D">
              <w:rPr>
                <w:rStyle w:val="Strong"/>
              </w:rPr>
              <w:t>Questions</w:t>
            </w:r>
          </w:p>
        </w:tc>
      </w:tr>
      <w:tr w:rsidR="00280D8D" w14:paraId="7AA11D86" w14:textId="2B09AB74" w:rsidTr="00B05DA9">
        <w:trPr>
          <w:tblHeader/>
        </w:trPr>
        <w:tc>
          <w:tcPr>
            <w:tcW w:w="7196" w:type="dxa"/>
          </w:tcPr>
          <w:p w14:paraId="352A2056" w14:textId="171A9F13" w:rsidR="00280D8D" w:rsidRDefault="00280D8D" w:rsidP="00CF43F6">
            <w:r>
              <w:t xml:space="preserve">C.4 – Publication of </w:t>
            </w:r>
            <w:r w:rsidR="00CF43F6">
              <w:t>Information</w:t>
            </w:r>
          </w:p>
        </w:tc>
        <w:tc>
          <w:tcPr>
            <w:tcW w:w="1326" w:type="dxa"/>
          </w:tcPr>
          <w:p w14:paraId="2C274C26" w14:textId="735550CD" w:rsidR="00280D8D" w:rsidRDefault="00280D8D" w:rsidP="00D43D59">
            <w:r>
              <w:t>2</w:t>
            </w:r>
          </w:p>
        </w:tc>
      </w:tr>
      <w:tr w:rsidR="00280D8D" w14:paraId="4E0F7E52" w14:textId="77777777" w:rsidTr="00B05DA9">
        <w:trPr>
          <w:tblHeader/>
        </w:trPr>
        <w:tc>
          <w:tcPr>
            <w:tcW w:w="7196" w:type="dxa"/>
          </w:tcPr>
          <w:p w14:paraId="11F6A813" w14:textId="77777777" w:rsidR="00280D8D" w:rsidRDefault="00280D8D" w:rsidP="00280D8D">
            <w:r>
              <w:t>C.5 – Communicating and Providing Opportunities</w:t>
            </w:r>
          </w:p>
        </w:tc>
        <w:tc>
          <w:tcPr>
            <w:tcW w:w="1326" w:type="dxa"/>
          </w:tcPr>
          <w:p w14:paraId="3E9AA743" w14:textId="6FC3790E" w:rsidR="00280D8D" w:rsidRDefault="00280D8D" w:rsidP="000A427D">
            <w:r>
              <w:t>1</w:t>
            </w:r>
            <w:r w:rsidR="00781E74">
              <w:t xml:space="preserve"> and</w:t>
            </w:r>
            <w:r>
              <w:t xml:space="preserve"> 2</w:t>
            </w:r>
          </w:p>
        </w:tc>
      </w:tr>
      <w:tr w:rsidR="00280D8D" w14:paraId="492E79E0" w14:textId="77777777" w:rsidTr="00B05DA9">
        <w:trPr>
          <w:tblHeader/>
        </w:trPr>
        <w:tc>
          <w:tcPr>
            <w:tcW w:w="7196" w:type="dxa"/>
          </w:tcPr>
          <w:p w14:paraId="436DE67B" w14:textId="77777777" w:rsidR="00280D8D" w:rsidRDefault="00280D8D" w:rsidP="00280D8D">
            <w:r>
              <w:t>C.6 – Facilitating Future Opportunities</w:t>
            </w:r>
          </w:p>
        </w:tc>
        <w:tc>
          <w:tcPr>
            <w:tcW w:w="1326" w:type="dxa"/>
          </w:tcPr>
          <w:p w14:paraId="6A2FDC97" w14:textId="77777777" w:rsidR="00280D8D" w:rsidRDefault="00280D8D" w:rsidP="00781E74">
            <w:r>
              <w:t>1</w:t>
            </w:r>
            <w:r w:rsidR="00781E74">
              <w:t xml:space="preserve"> and</w:t>
            </w:r>
            <w:r>
              <w:t xml:space="preserve"> 2</w:t>
            </w:r>
          </w:p>
        </w:tc>
      </w:tr>
      <w:tr w:rsidR="00280D8D" w14:paraId="4D5680FC" w14:textId="77777777" w:rsidTr="00B05DA9">
        <w:trPr>
          <w:tblHeader/>
        </w:trPr>
        <w:tc>
          <w:tcPr>
            <w:tcW w:w="7196" w:type="dxa"/>
          </w:tcPr>
          <w:p w14:paraId="17066B3B" w14:textId="77777777" w:rsidR="00280D8D" w:rsidRDefault="00280D8D" w:rsidP="00280D8D">
            <w:r>
              <w:t>C.7 – Implementation Resources</w:t>
            </w:r>
          </w:p>
        </w:tc>
        <w:tc>
          <w:tcPr>
            <w:tcW w:w="1326" w:type="dxa"/>
          </w:tcPr>
          <w:p w14:paraId="6C4C7CA4" w14:textId="5FFA3FF9" w:rsidR="00280D8D" w:rsidRDefault="00280D8D" w:rsidP="00B05DA9">
            <w:r>
              <w:t>2</w:t>
            </w:r>
            <w:r w:rsidR="00781E74">
              <w:t xml:space="preserve"> and</w:t>
            </w:r>
            <w:r>
              <w:t xml:space="preserve"> 3</w:t>
            </w:r>
          </w:p>
        </w:tc>
      </w:tr>
    </w:tbl>
    <w:p w14:paraId="0A9F227C" w14:textId="77777777" w:rsidR="00CB5EBD" w:rsidRDefault="00CB5EBD" w:rsidP="00CB5EBD">
      <w:pPr>
        <w:pStyle w:val="Heading4"/>
      </w:pPr>
      <w:bookmarkStart w:id="78" w:name="_Toc372705197"/>
      <w:bookmarkStart w:id="79" w:name="_Toc372705361"/>
      <w:r>
        <w:t>AIP activities to be undertaken by procurement entities</w:t>
      </w:r>
      <w:bookmarkEnd w:id="78"/>
      <w:bookmarkEnd w:id="79"/>
    </w:p>
    <w:p w14:paraId="15FAA7D8" w14:textId="77777777" w:rsidR="00CB5EBD" w:rsidRDefault="00CB5EBD" w:rsidP="00CB5EBD">
      <w:r w:rsidRPr="001C0207">
        <w:t>This should summarise the activities detailed in response to the following questions:</w:t>
      </w:r>
    </w:p>
    <w:tbl>
      <w:tblPr>
        <w:tblStyle w:val="TableGrid"/>
        <w:tblW w:w="0" w:type="auto"/>
        <w:tblLook w:val="04A0" w:firstRow="1" w:lastRow="0" w:firstColumn="1" w:lastColumn="0" w:noHBand="0" w:noVBand="1"/>
        <w:tblDescription w:val="Questions to be addressed in the AIP plan Summary under &quot;AIP activities undertaken by the procurement entities&quot;"/>
      </w:tblPr>
      <w:tblGrid>
        <w:gridCol w:w="6977"/>
        <w:gridCol w:w="1319"/>
      </w:tblGrid>
      <w:tr w:rsidR="00280D8D" w14:paraId="39A7569D" w14:textId="77777777" w:rsidTr="00781E74">
        <w:trPr>
          <w:tblHeader/>
        </w:trPr>
        <w:tc>
          <w:tcPr>
            <w:tcW w:w="7196" w:type="dxa"/>
          </w:tcPr>
          <w:p w14:paraId="4C05D72B" w14:textId="77777777" w:rsidR="00280D8D" w:rsidRPr="00280D8D" w:rsidRDefault="00280D8D" w:rsidP="009E232E">
            <w:pPr>
              <w:rPr>
                <w:rStyle w:val="Strong"/>
              </w:rPr>
            </w:pPr>
            <w:r w:rsidRPr="00280D8D">
              <w:rPr>
                <w:rStyle w:val="Strong"/>
              </w:rPr>
              <w:lastRenderedPageBreak/>
              <w:t>Criterion</w:t>
            </w:r>
          </w:p>
        </w:tc>
        <w:tc>
          <w:tcPr>
            <w:tcW w:w="1326" w:type="dxa"/>
          </w:tcPr>
          <w:p w14:paraId="171C7453" w14:textId="77777777" w:rsidR="00280D8D" w:rsidRPr="00280D8D" w:rsidRDefault="00280D8D" w:rsidP="009E232E">
            <w:pPr>
              <w:rPr>
                <w:rStyle w:val="Strong"/>
              </w:rPr>
            </w:pPr>
            <w:r w:rsidRPr="00280D8D">
              <w:rPr>
                <w:rStyle w:val="Strong"/>
              </w:rPr>
              <w:t>Questions</w:t>
            </w:r>
          </w:p>
        </w:tc>
      </w:tr>
      <w:tr w:rsidR="00280D8D" w14:paraId="4FB9124C" w14:textId="77777777" w:rsidTr="00781E74">
        <w:trPr>
          <w:tblHeader/>
        </w:trPr>
        <w:tc>
          <w:tcPr>
            <w:tcW w:w="7196" w:type="dxa"/>
          </w:tcPr>
          <w:p w14:paraId="63B2A34B" w14:textId="77777777" w:rsidR="00280D8D" w:rsidRDefault="00280D8D" w:rsidP="004214A5">
            <w:r>
              <w:t xml:space="preserve">C.3 – </w:t>
            </w:r>
            <w:r w:rsidR="004214A5">
              <w:t>Opportunities to supply g</w:t>
            </w:r>
            <w:r>
              <w:t xml:space="preserve">oods and </w:t>
            </w:r>
            <w:r w:rsidR="004214A5">
              <w:t>s</w:t>
            </w:r>
            <w:r>
              <w:t>ervices</w:t>
            </w:r>
          </w:p>
        </w:tc>
        <w:tc>
          <w:tcPr>
            <w:tcW w:w="1326" w:type="dxa"/>
          </w:tcPr>
          <w:p w14:paraId="572F616A" w14:textId="77777777" w:rsidR="00280D8D" w:rsidRDefault="00280D8D" w:rsidP="009E232E">
            <w:r>
              <w:t>3</w:t>
            </w:r>
          </w:p>
        </w:tc>
      </w:tr>
      <w:tr w:rsidR="00280D8D" w14:paraId="6236F5DC" w14:textId="77777777" w:rsidTr="00781E74">
        <w:trPr>
          <w:tblHeader/>
        </w:trPr>
        <w:tc>
          <w:tcPr>
            <w:tcW w:w="7196" w:type="dxa"/>
          </w:tcPr>
          <w:p w14:paraId="09FFD1F1" w14:textId="38F9511E" w:rsidR="00280D8D" w:rsidRDefault="00280D8D" w:rsidP="00CF43F6">
            <w:r>
              <w:t xml:space="preserve">C.4 – Publication of </w:t>
            </w:r>
            <w:r w:rsidR="00CF43F6">
              <w:t>Information</w:t>
            </w:r>
          </w:p>
        </w:tc>
        <w:tc>
          <w:tcPr>
            <w:tcW w:w="1326" w:type="dxa"/>
          </w:tcPr>
          <w:p w14:paraId="3625C658" w14:textId="77777777" w:rsidR="00280D8D" w:rsidRDefault="00280D8D" w:rsidP="009E232E">
            <w:r>
              <w:t>3</w:t>
            </w:r>
          </w:p>
        </w:tc>
      </w:tr>
      <w:tr w:rsidR="00280D8D" w14:paraId="50B6A572" w14:textId="77777777" w:rsidTr="00781E74">
        <w:trPr>
          <w:tblHeader/>
        </w:trPr>
        <w:tc>
          <w:tcPr>
            <w:tcW w:w="7196" w:type="dxa"/>
          </w:tcPr>
          <w:p w14:paraId="7182D53B" w14:textId="77777777" w:rsidR="00280D8D" w:rsidRDefault="00280D8D" w:rsidP="00280D8D">
            <w:r>
              <w:t>C.5 – Communicating and Providing Opportunities</w:t>
            </w:r>
          </w:p>
        </w:tc>
        <w:tc>
          <w:tcPr>
            <w:tcW w:w="1326" w:type="dxa"/>
          </w:tcPr>
          <w:p w14:paraId="433B303E" w14:textId="6531F31D" w:rsidR="00280D8D" w:rsidRDefault="00280D8D" w:rsidP="00781E74">
            <w:r>
              <w:t>3</w:t>
            </w:r>
            <w:r w:rsidR="00781E74">
              <w:t xml:space="preserve"> and</w:t>
            </w:r>
            <w:r>
              <w:t xml:space="preserve"> 4</w:t>
            </w:r>
          </w:p>
        </w:tc>
      </w:tr>
      <w:tr w:rsidR="00280D8D" w14:paraId="224537A6" w14:textId="77777777" w:rsidTr="00781E74">
        <w:trPr>
          <w:tblHeader/>
        </w:trPr>
        <w:tc>
          <w:tcPr>
            <w:tcW w:w="7196" w:type="dxa"/>
          </w:tcPr>
          <w:p w14:paraId="09F5E7F9" w14:textId="77777777" w:rsidR="00280D8D" w:rsidRDefault="00280D8D" w:rsidP="00280D8D">
            <w:r>
              <w:t>C.6 – Facilitating Future Opportunities</w:t>
            </w:r>
          </w:p>
        </w:tc>
        <w:tc>
          <w:tcPr>
            <w:tcW w:w="1326" w:type="dxa"/>
          </w:tcPr>
          <w:p w14:paraId="39D101F7" w14:textId="2187E196" w:rsidR="00280D8D" w:rsidRDefault="0030682E" w:rsidP="00781E74">
            <w:r>
              <w:t xml:space="preserve">1, 2 and </w:t>
            </w:r>
            <w:r w:rsidR="00280D8D">
              <w:t>3</w:t>
            </w:r>
          </w:p>
        </w:tc>
      </w:tr>
    </w:tbl>
    <w:p w14:paraId="5474A9C1" w14:textId="77777777" w:rsidR="0005393C" w:rsidRDefault="0005393C" w:rsidP="00087D38">
      <w:r>
        <w:br w:type="page"/>
      </w:r>
    </w:p>
    <w:p w14:paraId="1AA131C6" w14:textId="7111EFEE" w:rsidR="00CE788B" w:rsidRDefault="00DA2ABB" w:rsidP="00CE788B">
      <w:pPr>
        <w:pStyle w:val="Heading2"/>
      </w:pPr>
      <w:bookmarkStart w:id="80" w:name="_Toc372705362"/>
      <w:r>
        <w:lastRenderedPageBreak/>
        <w:t xml:space="preserve">Compliance </w:t>
      </w:r>
      <w:bookmarkEnd w:id="80"/>
      <w:r w:rsidR="006A4B98">
        <w:t>Reporting</w:t>
      </w:r>
    </w:p>
    <w:p w14:paraId="34FF388B" w14:textId="77777777" w:rsidR="00DE533D" w:rsidRDefault="00DE533D" w:rsidP="00DA2ABB">
      <w:r>
        <w:t>If an approved AIP plan for a project is in force the project proponent and, in the case of a project to establish a new facility, operator must comply with the actions of the AIP plan.</w:t>
      </w:r>
    </w:p>
    <w:p w14:paraId="3E290E81" w14:textId="77777777" w:rsidR="00C00400" w:rsidRDefault="00C00400" w:rsidP="00DA2ABB">
      <w:r>
        <w:t>The project proponent and/or operator are required to develop a Compliance Report and submit it to the AIP Authority for every six month reporting period that the AIP plan is in force. The Compliance Report is required within three months after the end of each reporting period.</w:t>
      </w:r>
    </w:p>
    <w:p w14:paraId="481E34D1" w14:textId="77777777" w:rsidR="00C00400" w:rsidRDefault="00C00400" w:rsidP="00DA2ABB">
      <w:r>
        <w:t>A reporting period can be altered by mutual agreement.</w:t>
      </w:r>
    </w:p>
    <w:p w14:paraId="49DD1A7B" w14:textId="3900D0F4" w:rsidR="00C00400" w:rsidRDefault="00C00400" w:rsidP="00DA2ABB">
      <w:r>
        <w:t>Further information on Compliance Report</w:t>
      </w:r>
      <w:r w:rsidR="00173B6F">
        <w:t>ing</w:t>
      </w:r>
      <w:r>
        <w:t xml:space="preserve"> </w:t>
      </w:r>
      <w:r w:rsidR="004C4885">
        <w:t xml:space="preserve">including the report templates </w:t>
      </w:r>
      <w:r w:rsidR="00173B6F">
        <w:t xml:space="preserve">and User Guide </w:t>
      </w:r>
      <w:r>
        <w:t xml:space="preserve">can be found </w:t>
      </w:r>
      <w:r w:rsidR="004C4885">
        <w:t xml:space="preserve">at </w:t>
      </w:r>
      <w:hyperlink r:id="rId27" w:history="1">
        <w:r w:rsidR="004C4885" w:rsidRPr="00723B38">
          <w:rPr>
            <w:rStyle w:val="Hyperlink"/>
          </w:rPr>
          <w:t>www.industry.gov.au/aip</w:t>
        </w:r>
      </w:hyperlink>
      <w:r w:rsidR="004C4885">
        <w:t xml:space="preserve"> </w:t>
      </w:r>
      <w:r w:rsidRPr="00C00400">
        <w:t>or by contacting the AIP Authority</w:t>
      </w:r>
      <w:r w:rsidRPr="00855F20">
        <w:t>.</w:t>
      </w:r>
    </w:p>
    <w:p w14:paraId="424DB162" w14:textId="77777777" w:rsidR="00DA2ABB" w:rsidRDefault="00DA2ABB" w:rsidP="00DA2ABB">
      <w:r>
        <w:br w:type="page"/>
      </w:r>
    </w:p>
    <w:p w14:paraId="399AC821" w14:textId="77777777" w:rsidR="00DA2ABB" w:rsidRDefault="00DA2ABB" w:rsidP="00DA2ABB">
      <w:pPr>
        <w:pStyle w:val="Heading2"/>
      </w:pPr>
      <w:bookmarkStart w:id="81" w:name="_Toc372705363"/>
      <w:r>
        <w:lastRenderedPageBreak/>
        <w:t>Attachment</w:t>
      </w:r>
      <w:r w:rsidR="005E15D5">
        <w:t xml:space="preserve"> A</w:t>
      </w:r>
      <w:bookmarkEnd w:id="81"/>
    </w:p>
    <w:p w14:paraId="01FC776E" w14:textId="77777777" w:rsidR="00DA2ABB" w:rsidRDefault="00DA2ABB" w:rsidP="005230AB">
      <w:pPr>
        <w:pStyle w:val="Heading3"/>
      </w:pPr>
      <w:bookmarkStart w:id="82" w:name="_Toc370821046"/>
      <w:bookmarkStart w:id="83" w:name="_Toc372705364"/>
      <w:r>
        <w:t>Abbreviations and Acronyms</w:t>
      </w:r>
      <w:bookmarkEnd w:id="82"/>
      <w:bookmarkEnd w:id="83"/>
    </w:p>
    <w:tbl>
      <w:tblPr>
        <w:tblStyle w:val="TableGrid"/>
        <w:tblW w:w="0" w:type="auto"/>
        <w:tblLook w:val="04A0" w:firstRow="1" w:lastRow="0" w:firstColumn="1" w:lastColumn="0" w:noHBand="0" w:noVBand="1"/>
        <w:tblDescription w:val="List of Abbreviations and Acronyms"/>
      </w:tblPr>
      <w:tblGrid>
        <w:gridCol w:w="3317"/>
        <w:gridCol w:w="4979"/>
      </w:tblGrid>
      <w:tr w:rsidR="00652890" w14:paraId="20A43F7B" w14:textId="77777777" w:rsidTr="00652890">
        <w:trPr>
          <w:tblHeader/>
        </w:trPr>
        <w:tc>
          <w:tcPr>
            <w:tcW w:w="3369" w:type="dxa"/>
          </w:tcPr>
          <w:p w14:paraId="4D7E577B" w14:textId="77777777" w:rsidR="00652890" w:rsidRPr="00652890" w:rsidRDefault="00652890" w:rsidP="00DA2ABB">
            <w:pPr>
              <w:rPr>
                <w:rStyle w:val="Strong"/>
              </w:rPr>
            </w:pPr>
            <w:r w:rsidRPr="00652890">
              <w:rPr>
                <w:rStyle w:val="Strong"/>
              </w:rPr>
              <w:t>Abbreviation/Acronym</w:t>
            </w:r>
          </w:p>
        </w:tc>
        <w:tc>
          <w:tcPr>
            <w:tcW w:w="5153" w:type="dxa"/>
          </w:tcPr>
          <w:p w14:paraId="02EEDD16" w14:textId="77777777" w:rsidR="00652890" w:rsidRPr="00652890" w:rsidRDefault="00652890" w:rsidP="00DA2ABB">
            <w:pPr>
              <w:rPr>
                <w:rStyle w:val="Strong"/>
              </w:rPr>
            </w:pPr>
            <w:r w:rsidRPr="00652890">
              <w:rPr>
                <w:rStyle w:val="Strong"/>
              </w:rPr>
              <w:t>Definition</w:t>
            </w:r>
          </w:p>
        </w:tc>
      </w:tr>
      <w:tr w:rsidR="001E6698" w14:paraId="249545E9" w14:textId="77777777" w:rsidTr="00652890">
        <w:trPr>
          <w:tblHeader/>
        </w:trPr>
        <w:tc>
          <w:tcPr>
            <w:tcW w:w="3369" w:type="dxa"/>
          </w:tcPr>
          <w:p w14:paraId="582404C9" w14:textId="77777777" w:rsidR="001E6698" w:rsidRDefault="001E6698" w:rsidP="00DA2ABB">
            <w:r>
              <w:t>ABN</w:t>
            </w:r>
          </w:p>
        </w:tc>
        <w:tc>
          <w:tcPr>
            <w:tcW w:w="5153" w:type="dxa"/>
          </w:tcPr>
          <w:p w14:paraId="78D87F36" w14:textId="77777777" w:rsidR="001E6698" w:rsidRPr="001E6698" w:rsidRDefault="001E6698" w:rsidP="001E6698">
            <w:r w:rsidRPr="001E6698">
              <w:t>Australian Business Number</w:t>
            </w:r>
          </w:p>
        </w:tc>
      </w:tr>
      <w:tr w:rsidR="001E6698" w14:paraId="4C86399A" w14:textId="77777777" w:rsidTr="00652890">
        <w:trPr>
          <w:tblHeader/>
        </w:trPr>
        <w:tc>
          <w:tcPr>
            <w:tcW w:w="3369" w:type="dxa"/>
          </w:tcPr>
          <w:p w14:paraId="0DA7C8E6" w14:textId="77777777" w:rsidR="001E6698" w:rsidRDefault="001E6698" w:rsidP="00DA2ABB">
            <w:r>
              <w:t>ACN</w:t>
            </w:r>
          </w:p>
        </w:tc>
        <w:tc>
          <w:tcPr>
            <w:tcW w:w="5153" w:type="dxa"/>
          </w:tcPr>
          <w:p w14:paraId="78D2DD71" w14:textId="77777777" w:rsidR="001E6698" w:rsidRPr="001E6698" w:rsidRDefault="001E6698" w:rsidP="001E6698">
            <w:r>
              <w:t>Australian Company Number</w:t>
            </w:r>
          </w:p>
        </w:tc>
      </w:tr>
      <w:tr w:rsidR="006B7D46" w14:paraId="43F62A69" w14:textId="77777777" w:rsidTr="00652890">
        <w:trPr>
          <w:tblHeader/>
        </w:trPr>
        <w:tc>
          <w:tcPr>
            <w:tcW w:w="3369" w:type="dxa"/>
          </w:tcPr>
          <w:p w14:paraId="545CA508" w14:textId="6080C27D" w:rsidR="006B7D46" w:rsidRDefault="00125FC5" w:rsidP="00DA2ABB">
            <w:r>
              <w:t xml:space="preserve">Jobs </w:t>
            </w:r>
            <w:r w:rsidR="006B7D46">
              <w:t>Act</w:t>
            </w:r>
          </w:p>
        </w:tc>
        <w:tc>
          <w:tcPr>
            <w:tcW w:w="5153" w:type="dxa"/>
          </w:tcPr>
          <w:p w14:paraId="013406D1" w14:textId="77777777" w:rsidR="006B7D46" w:rsidRPr="006B7D46" w:rsidRDefault="006B7D46" w:rsidP="00DA2ABB">
            <w:pPr>
              <w:rPr>
                <w:rStyle w:val="Emphasis"/>
              </w:rPr>
            </w:pPr>
            <w:r w:rsidRPr="006B7D46">
              <w:rPr>
                <w:rStyle w:val="Emphasis"/>
              </w:rPr>
              <w:t>Australian Jobs Act 2013</w:t>
            </w:r>
          </w:p>
        </w:tc>
      </w:tr>
      <w:tr w:rsidR="00652890" w14:paraId="29FBE87F" w14:textId="77777777" w:rsidTr="00652890">
        <w:trPr>
          <w:tblHeader/>
        </w:trPr>
        <w:tc>
          <w:tcPr>
            <w:tcW w:w="3369" w:type="dxa"/>
          </w:tcPr>
          <w:p w14:paraId="55C5D79C" w14:textId="77777777" w:rsidR="00652890" w:rsidRDefault="00F939BC" w:rsidP="00DA2ABB">
            <w:r>
              <w:t>AIP</w:t>
            </w:r>
          </w:p>
        </w:tc>
        <w:tc>
          <w:tcPr>
            <w:tcW w:w="5153" w:type="dxa"/>
          </w:tcPr>
          <w:p w14:paraId="21ED5C55" w14:textId="77777777" w:rsidR="00652890" w:rsidRDefault="00F939BC" w:rsidP="00DA2ABB">
            <w:r>
              <w:t>Australian Industry Participation</w:t>
            </w:r>
          </w:p>
        </w:tc>
      </w:tr>
      <w:tr w:rsidR="008A285F" w14:paraId="658B6239" w14:textId="77777777" w:rsidTr="00652890">
        <w:trPr>
          <w:tblHeader/>
        </w:trPr>
        <w:tc>
          <w:tcPr>
            <w:tcW w:w="3369" w:type="dxa"/>
          </w:tcPr>
          <w:p w14:paraId="40130BC8" w14:textId="77777777" w:rsidR="008A285F" w:rsidRDefault="008A285F" w:rsidP="00DA2ABB">
            <w:r>
              <w:t>AIP Authority</w:t>
            </w:r>
          </w:p>
        </w:tc>
        <w:tc>
          <w:tcPr>
            <w:tcW w:w="5153" w:type="dxa"/>
          </w:tcPr>
          <w:p w14:paraId="35B7C19D" w14:textId="77777777" w:rsidR="008A285F" w:rsidRPr="008A285F" w:rsidRDefault="008A285F" w:rsidP="008A285F">
            <w:r w:rsidRPr="008A285F">
              <w:t>Australian Industry Participation Authority</w:t>
            </w:r>
          </w:p>
        </w:tc>
      </w:tr>
      <w:tr w:rsidR="00652890" w14:paraId="4ADE1627" w14:textId="77777777" w:rsidTr="00652890">
        <w:trPr>
          <w:tblHeader/>
        </w:trPr>
        <w:tc>
          <w:tcPr>
            <w:tcW w:w="3369" w:type="dxa"/>
          </w:tcPr>
          <w:p w14:paraId="2F441BC5" w14:textId="77777777" w:rsidR="00652890" w:rsidRDefault="00F939BC" w:rsidP="00DA2ABB">
            <w:r>
              <w:t>AIP National Framework</w:t>
            </w:r>
          </w:p>
        </w:tc>
        <w:tc>
          <w:tcPr>
            <w:tcW w:w="5153" w:type="dxa"/>
          </w:tcPr>
          <w:p w14:paraId="62EA2018" w14:textId="77777777" w:rsidR="00652890" w:rsidRPr="00F939BC" w:rsidRDefault="00F939BC" w:rsidP="00DA2ABB">
            <w:pPr>
              <w:rPr>
                <w:rStyle w:val="Emphasis"/>
              </w:rPr>
            </w:pPr>
            <w:r w:rsidRPr="00F939BC">
              <w:rPr>
                <w:rStyle w:val="Emphasis"/>
              </w:rPr>
              <w:t>Australian Industry Participation National Framework</w:t>
            </w:r>
          </w:p>
        </w:tc>
      </w:tr>
      <w:tr w:rsidR="00652890" w14:paraId="692F5A20" w14:textId="77777777" w:rsidTr="00652890">
        <w:trPr>
          <w:tblHeader/>
        </w:trPr>
        <w:tc>
          <w:tcPr>
            <w:tcW w:w="3369" w:type="dxa"/>
          </w:tcPr>
          <w:p w14:paraId="4504C36A" w14:textId="77777777" w:rsidR="00652890" w:rsidRDefault="00F939BC" w:rsidP="00DA2ABB">
            <w:r>
              <w:t>AIP plan</w:t>
            </w:r>
          </w:p>
        </w:tc>
        <w:tc>
          <w:tcPr>
            <w:tcW w:w="5153" w:type="dxa"/>
          </w:tcPr>
          <w:p w14:paraId="62C98CE7" w14:textId="77777777" w:rsidR="00652890" w:rsidRDefault="00F939BC" w:rsidP="00DA2ABB">
            <w:r>
              <w:t>Australian Industry Participation plan</w:t>
            </w:r>
          </w:p>
        </w:tc>
      </w:tr>
      <w:tr w:rsidR="00781E74" w14:paraId="16C60FA1" w14:textId="77777777" w:rsidTr="00652890">
        <w:trPr>
          <w:tblHeader/>
        </w:trPr>
        <w:tc>
          <w:tcPr>
            <w:tcW w:w="3369" w:type="dxa"/>
          </w:tcPr>
          <w:p w14:paraId="58A16028" w14:textId="77777777" w:rsidR="00781E74" w:rsidRDefault="00781E74" w:rsidP="00DA2ABB">
            <w:r>
              <w:t>ISO</w:t>
            </w:r>
          </w:p>
        </w:tc>
        <w:tc>
          <w:tcPr>
            <w:tcW w:w="5153" w:type="dxa"/>
          </w:tcPr>
          <w:p w14:paraId="41F2B2E7" w14:textId="77777777" w:rsidR="00781E74" w:rsidRDefault="00781E74" w:rsidP="00DA2ABB">
            <w:r>
              <w:t>International Organisation for Standardisation</w:t>
            </w:r>
          </w:p>
        </w:tc>
      </w:tr>
      <w:tr w:rsidR="00781E74" w14:paraId="5F2DA351" w14:textId="77777777" w:rsidTr="00652890">
        <w:trPr>
          <w:tblHeader/>
        </w:trPr>
        <w:tc>
          <w:tcPr>
            <w:tcW w:w="3369" w:type="dxa"/>
          </w:tcPr>
          <w:p w14:paraId="47524072" w14:textId="77777777" w:rsidR="00781E74" w:rsidRDefault="00781E74" w:rsidP="00DA2ABB">
            <w:r>
              <w:t>OHS</w:t>
            </w:r>
          </w:p>
        </w:tc>
        <w:tc>
          <w:tcPr>
            <w:tcW w:w="5153" w:type="dxa"/>
          </w:tcPr>
          <w:p w14:paraId="397F2EA8" w14:textId="77777777" w:rsidR="00781E74" w:rsidRDefault="00781E74" w:rsidP="00DA2ABB">
            <w:r>
              <w:t>Occupational Health and Safety</w:t>
            </w:r>
          </w:p>
        </w:tc>
      </w:tr>
      <w:tr w:rsidR="00652890" w14:paraId="28C64ED0" w14:textId="77777777" w:rsidTr="00652890">
        <w:trPr>
          <w:tblHeader/>
        </w:trPr>
        <w:tc>
          <w:tcPr>
            <w:tcW w:w="3369" w:type="dxa"/>
          </w:tcPr>
          <w:p w14:paraId="74DF54C8" w14:textId="77777777" w:rsidR="00652890" w:rsidRDefault="001C0207" w:rsidP="00DA2ABB">
            <w:r>
              <w:t>SME</w:t>
            </w:r>
          </w:p>
        </w:tc>
        <w:tc>
          <w:tcPr>
            <w:tcW w:w="5153" w:type="dxa"/>
          </w:tcPr>
          <w:p w14:paraId="36C46E40" w14:textId="77777777" w:rsidR="00652890" w:rsidRDefault="001C0207" w:rsidP="00DA2ABB">
            <w:r>
              <w:t>Small and medium enterprise</w:t>
            </w:r>
          </w:p>
        </w:tc>
      </w:tr>
    </w:tbl>
    <w:p w14:paraId="5ACA58ED" w14:textId="77777777" w:rsidR="00DA2ABB" w:rsidRDefault="00DA2ABB" w:rsidP="005230AB">
      <w:pPr>
        <w:pStyle w:val="Heading3"/>
      </w:pPr>
      <w:bookmarkStart w:id="84" w:name="_Toc370821047"/>
      <w:bookmarkStart w:id="85" w:name="_Toc372705365"/>
      <w:r>
        <w:t>Key Concepts and Definitions</w:t>
      </w:r>
      <w:bookmarkEnd w:id="84"/>
      <w:bookmarkEnd w:id="85"/>
    </w:p>
    <w:p w14:paraId="1FC2745C" w14:textId="77777777" w:rsidR="00D1522B" w:rsidRPr="00D1522B" w:rsidRDefault="00D1522B" w:rsidP="00D1522B">
      <w:pPr>
        <w:rPr>
          <w:rStyle w:val="Emphasis"/>
        </w:rPr>
      </w:pPr>
      <w:r w:rsidRPr="00D1522B">
        <w:rPr>
          <w:rStyle w:val="Emphasis"/>
        </w:rPr>
        <w:t>In the definitions below ‘person’ refers</w:t>
      </w:r>
      <w:r w:rsidR="00296CE7">
        <w:rPr>
          <w:rStyle w:val="Emphasis"/>
        </w:rPr>
        <w:t xml:space="preserve"> to</w:t>
      </w:r>
      <w:r w:rsidRPr="00D1522B">
        <w:rPr>
          <w:rStyle w:val="Emphasis"/>
        </w:rPr>
        <w:t xml:space="preserve"> a ‘company’</w:t>
      </w:r>
      <w:r w:rsidR="00296CE7">
        <w:rPr>
          <w:rStyle w:val="Emphasis"/>
        </w:rPr>
        <w:t xml:space="preserve"> or ‘corporation’ as defined by the Corporations Act 2001</w:t>
      </w:r>
      <w:r w:rsidRPr="00D1522B">
        <w:rPr>
          <w:rStyle w:val="Emphasis"/>
        </w:rPr>
        <w:t>.</w:t>
      </w:r>
    </w:p>
    <w:p w14:paraId="01F6B55B" w14:textId="77777777" w:rsidR="006E56BF" w:rsidRPr="006E56BF" w:rsidRDefault="006E56BF" w:rsidP="00DA2ABB">
      <w:pPr>
        <w:rPr>
          <w:rStyle w:val="Strong"/>
        </w:rPr>
      </w:pPr>
      <w:r w:rsidRPr="006E56BF">
        <w:rPr>
          <w:rStyle w:val="Strong"/>
        </w:rPr>
        <w:t>Approved AIP plan</w:t>
      </w:r>
    </w:p>
    <w:p w14:paraId="709825EB" w14:textId="77777777" w:rsidR="006E56BF" w:rsidRDefault="006E56BF" w:rsidP="00DA2ABB">
      <w:r>
        <w:t xml:space="preserve">Means an approved AIP plan under section 18, 19 or 20 of the </w:t>
      </w:r>
      <w:r w:rsidRPr="006E56BF">
        <w:rPr>
          <w:rStyle w:val="Emphasis"/>
        </w:rPr>
        <w:t>Australian Jobs Act 2013</w:t>
      </w:r>
      <w:r>
        <w:t>.</w:t>
      </w:r>
    </w:p>
    <w:p w14:paraId="17F39B9E" w14:textId="77777777" w:rsidR="001E309E" w:rsidRPr="001E309E" w:rsidRDefault="001E309E" w:rsidP="00DA2ABB">
      <w:pPr>
        <w:rPr>
          <w:rStyle w:val="Strong"/>
        </w:rPr>
      </w:pPr>
      <w:r w:rsidRPr="001E309E">
        <w:rPr>
          <w:rStyle w:val="Strong"/>
        </w:rPr>
        <w:t>Australian entity</w:t>
      </w:r>
    </w:p>
    <w:p w14:paraId="77A5AE86" w14:textId="77777777" w:rsidR="001E309E" w:rsidRDefault="006E56BF" w:rsidP="00DA2ABB">
      <w:r>
        <w:t>A</w:t>
      </w:r>
      <w:r w:rsidR="001E309E">
        <w:t>n</w:t>
      </w:r>
      <w:r>
        <w:t>y</w:t>
      </w:r>
      <w:r w:rsidR="001E309E">
        <w:t xml:space="preserve"> entity </w:t>
      </w:r>
      <w:r>
        <w:t>with</w:t>
      </w:r>
      <w:r w:rsidR="001E309E">
        <w:t xml:space="preserve"> an </w:t>
      </w:r>
      <w:r w:rsidR="001E6698">
        <w:t>A</w:t>
      </w:r>
      <w:r w:rsidR="001E309E">
        <w:t>BN or an A</w:t>
      </w:r>
      <w:r>
        <w:t>C</w:t>
      </w:r>
      <w:r w:rsidR="001E309E">
        <w:t>N</w:t>
      </w:r>
      <w:r w:rsidR="001E6698">
        <w:t>.</w:t>
      </w:r>
    </w:p>
    <w:p w14:paraId="2A253860" w14:textId="77777777" w:rsidR="006E56BF" w:rsidRPr="006E56BF" w:rsidRDefault="006E56BF" w:rsidP="00DA2ABB">
      <w:pPr>
        <w:rPr>
          <w:rStyle w:val="Strong"/>
        </w:rPr>
      </w:pPr>
      <w:r w:rsidRPr="006E56BF">
        <w:rPr>
          <w:rStyle w:val="Strong"/>
        </w:rPr>
        <w:t>Entity</w:t>
      </w:r>
    </w:p>
    <w:p w14:paraId="70F091B7" w14:textId="77777777" w:rsidR="006E56BF" w:rsidRDefault="006E56BF" w:rsidP="00DA2ABB">
      <w:r>
        <w:t xml:space="preserve">Has the same meaning as in the </w:t>
      </w:r>
      <w:r w:rsidRPr="006E56BF">
        <w:rPr>
          <w:rStyle w:val="Emphasis"/>
        </w:rPr>
        <w:t>A New Tax System (Australian Business Number) Act 1999</w:t>
      </w:r>
      <w:r>
        <w:t>.</w:t>
      </w:r>
    </w:p>
    <w:p w14:paraId="58130753" w14:textId="77777777" w:rsidR="006E56BF" w:rsidRPr="006E56BF" w:rsidRDefault="006E56BF" w:rsidP="00DA2ABB">
      <w:pPr>
        <w:rPr>
          <w:rStyle w:val="Strong"/>
        </w:rPr>
      </w:pPr>
      <w:r w:rsidRPr="006E56BF">
        <w:rPr>
          <w:rStyle w:val="Strong"/>
        </w:rPr>
        <w:t>Key goods or services</w:t>
      </w:r>
    </w:p>
    <w:p w14:paraId="6D0CE014" w14:textId="77777777" w:rsidR="006E56BF" w:rsidRDefault="006E56BF" w:rsidP="00DA2ABB">
      <w:r>
        <w:t>Means goods or services other than goods or services supplied, or to be supplied, under a low value</w:t>
      </w:r>
      <w:r>
        <w:noBreakHyphen/>
        <w:t>contract.</w:t>
      </w:r>
      <w:r w:rsidR="002E3374">
        <w:t xml:space="preserve"> Goods and services are key goods and services if, and only if, the goods or services are for use, wholly or partly, in connection with carrying out the project or the operation of a new facility during the two year initial operations phase.</w:t>
      </w:r>
    </w:p>
    <w:p w14:paraId="21FD52CF" w14:textId="77777777" w:rsidR="006E56BF" w:rsidRPr="006E56BF" w:rsidRDefault="006E56BF" w:rsidP="00DA2ABB">
      <w:pPr>
        <w:rPr>
          <w:rStyle w:val="Strong"/>
        </w:rPr>
      </w:pPr>
      <w:r w:rsidRPr="006E56BF">
        <w:rPr>
          <w:rStyle w:val="Strong"/>
        </w:rPr>
        <w:t>Low</w:t>
      </w:r>
      <w:r w:rsidRPr="006E56BF">
        <w:rPr>
          <w:rStyle w:val="Strong"/>
        </w:rPr>
        <w:noBreakHyphen/>
        <w:t>value contract threshold amount</w:t>
      </w:r>
    </w:p>
    <w:p w14:paraId="0E5E8646" w14:textId="77777777" w:rsidR="006E56BF" w:rsidRDefault="006E56BF" w:rsidP="00DA2ABB">
      <w:r>
        <w:t>Means a contract under $1 million.</w:t>
      </w:r>
    </w:p>
    <w:p w14:paraId="71C9BA74" w14:textId="77777777" w:rsidR="001E309E" w:rsidRPr="001E309E" w:rsidRDefault="001E309E" w:rsidP="00DA2ABB">
      <w:pPr>
        <w:rPr>
          <w:rStyle w:val="Strong"/>
        </w:rPr>
      </w:pPr>
      <w:r w:rsidRPr="001E309E">
        <w:rPr>
          <w:rStyle w:val="Strong"/>
        </w:rPr>
        <w:lastRenderedPageBreak/>
        <w:t>Non-Australian entity</w:t>
      </w:r>
    </w:p>
    <w:p w14:paraId="6302FAB6" w14:textId="77777777" w:rsidR="001E309E" w:rsidRDefault="001E309E" w:rsidP="00DA2ABB">
      <w:r>
        <w:t>Means an entity other than an Australian entity</w:t>
      </w:r>
      <w:r w:rsidR="001E6698">
        <w:t>.</w:t>
      </w:r>
    </w:p>
    <w:p w14:paraId="0458FAA7" w14:textId="77777777" w:rsidR="001E309E" w:rsidRPr="001E309E" w:rsidRDefault="001E309E" w:rsidP="00DA2ABB">
      <w:pPr>
        <w:rPr>
          <w:rStyle w:val="Strong"/>
        </w:rPr>
      </w:pPr>
      <w:r w:rsidRPr="001E309E">
        <w:rPr>
          <w:rStyle w:val="Strong"/>
        </w:rPr>
        <w:t>Operator</w:t>
      </w:r>
    </w:p>
    <w:p w14:paraId="649486AC" w14:textId="77777777" w:rsidR="001E309E" w:rsidRDefault="006E56BF" w:rsidP="00DA2ABB">
      <w:r>
        <w:t>A</w:t>
      </w:r>
      <w:r w:rsidR="001E309E">
        <w:t xml:space="preserve"> person who </w:t>
      </w:r>
      <w:r>
        <w:t>has day to day management and control of the f</w:t>
      </w:r>
      <w:r w:rsidR="001E309E">
        <w:t>acility</w:t>
      </w:r>
      <w:r>
        <w:t xml:space="preserve"> and its activities.</w:t>
      </w:r>
    </w:p>
    <w:p w14:paraId="30FF628E" w14:textId="77777777" w:rsidR="001E309E" w:rsidRPr="001E309E" w:rsidRDefault="001E309E" w:rsidP="00DA2ABB">
      <w:pPr>
        <w:rPr>
          <w:rStyle w:val="Strong"/>
        </w:rPr>
      </w:pPr>
      <w:r w:rsidRPr="001E309E">
        <w:rPr>
          <w:rStyle w:val="Strong"/>
        </w:rPr>
        <w:t>Procurement entity</w:t>
      </w:r>
    </w:p>
    <w:p w14:paraId="5074B4E8" w14:textId="11872C05" w:rsidR="001E309E" w:rsidRDefault="00D476A7" w:rsidP="00DA2ABB">
      <w:r>
        <w:t xml:space="preserve">Could include an Engineering, Procurement and Construction Management </w:t>
      </w:r>
      <w:r w:rsidR="006A4B98">
        <w:t xml:space="preserve">(EPCM) </w:t>
      </w:r>
      <w:r>
        <w:t>company or equivalent tier 1 contractor making procurement decisions on behalf of the project</w:t>
      </w:r>
      <w:r w:rsidR="005230AB">
        <w:t xml:space="preserve"> or facility</w:t>
      </w:r>
      <w:r>
        <w:t>. A procurement entity does not include sub-contractors</w:t>
      </w:r>
      <w:r w:rsidR="005230AB">
        <w:t xml:space="preserve"> which are responsible for supplying goods and services to a project or facility rather than purchasing goods or services</w:t>
      </w:r>
      <w:r>
        <w:t>.</w:t>
      </w:r>
    </w:p>
    <w:p w14:paraId="284D0186" w14:textId="77777777" w:rsidR="001E309E" w:rsidRPr="001E309E" w:rsidRDefault="001E309E" w:rsidP="00DA2ABB">
      <w:pPr>
        <w:rPr>
          <w:rStyle w:val="Strong"/>
        </w:rPr>
      </w:pPr>
      <w:r w:rsidRPr="001E309E">
        <w:rPr>
          <w:rStyle w:val="Strong"/>
        </w:rPr>
        <w:t>Project proponent</w:t>
      </w:r>
    </w:p>
    <w:p w14:paraId="2D4031F8" w14:textId="79DCD530" w:rsidR="005E15D5" w:rsidRDefault="001E309E" w:rsidP="00DA2ABB">
      <w:r>
        <w:t xml:space="preserve">Is the person </w:t>
      </w:r>
      <w:r w:rsidR="00D476A7">
        <w:t>ultimately</w:t>
      </w:r>
      <w:r>
        <w:t xml:space="preserve"> responsible for the project</w:t>
      </w:r>
      <w:r w:rsidR="00D476A7">
        <w:t xml:space="preserve"> </w:t>
      </w:r>
      <w:r w:rsidR="00781E74">
        <w:t xml:space="preserve">(see </w:t>
      </w:r>
      <w:r w:rsidR="00781E74" w:rsidRPr="00781E74">
        <w:rPr>
          <w:rStyle w:val="Strong"/>
        </w:rPr>
        <w:t>Attachment B</w:t>
      </w:r>
      <w:r w:rsidR="00781E74">
        <w:t>)</w:t>
      </w:r>
      <w:proofErr w:type="gramStart"/>
      <w:r w:rsidR="00781E74">
        <w:t>.</w:t>
      </w:r>
      <w:proofErr w:type="gramEnd"/>
    </w:p>
    <w:p w14:paraId="12C9CB17" w14:textId="77777777" w:rsidR="005E15D5" w:rsidRDefault="005E15D5" w:rsidP="005E15D5">
      <w:r>
        <w:br w:type="page"/>
      </w:r>
    </w:p>
    <w:p w14:paraId="6280FC95" w14:textId="77777777" w:rsidR="001E309E" w:rsidRDefault="005E15D5" w:rsidP="005E15D5">
      <w:pPr>
        <w:pStyle w:val="Heading2"/>
      </w:pPr>
      <w:bookmarkStart w:id="86" w:name="_Toc372705366"/>
      <w:r>
        <w:lastRenderedPageBreak/>
        <w:t>Attachment B</w:t>
      </w:r>
      <w:bookmarkEnd w:id="86"/>
    </w:p>
    <w:p w14:paraId="0966C80F" w14:textId="77777777" w:rsidR="005E15D5" w:rsidRDefault="005E15D5" w:rsidP="005230AB">
      <w:pPr>
        <w:pStyle w:val="Heading3"/>
      </w:pPr>
      <w:bookmarkStart w:id="87" w:name="_Toc372705367"/>
      <w:r>
        <w:t>Project proponent/s type</w:t>
      </w:r>
      <w:bookmarkEnd w:id="87"/>
    </w:p>
    <w:p w14:paraId="47159874" w14:textId="77777777" w:rsidR="005E15D5" w:rsidRDefault="005E15D5" w:rsidP="005E15D5">
      <w:r>
        <w:t xml:space="preserve">Criterion </w:t>
      </w:r>
      <w:r w:rsidR="00355322" w:rsidRPr="00355322">
        <w:t>‘</w:t>
      </w:r>
      <w:r w:rsidRPr="00355322">
        <w:t>A.1 – Project Proponent Details</w:t>
      </w:r>
      <w:r w:rsidR="00355322">
        <w:t>’</w:t>
      </w:r>
      <w:r>
        <w:t xml:space="preserve"> requests </w:t>
      </w:r>
      <w:r w:rsidR="00D43D59">
        <w:t xml:space="preserve">that </w:t>
      </w:r>
      <w:r>
        <w:t>project proponents specify the project proponent/s type for the project proponents for the project.</w:t>
      </w:r>
      <w:r w:rsidR="001E6698">
        <w:t xml:space="preserve"> E</w:t>
      </w:r>
      <w:r>
        <w:t xml:space="preserve">xamples </w:t>
      </w:r>
      <w:r w:rsidR="001E6698">
        <w:t xml:space="preserve">of potential project proponent/s types </w:t>
      </w:r>
      <w:r>
        <w:t>are illustrated below.</w:t>
      </w:r>
      <w:r w:rsidR="00C00B09">
        <w:t xml:space="preserve"> The project proponent in each example is indicated by the green box.</w:t>
      </w:r>
    </w:p>
    <w:p w14:paraId="22866C0A" w14:textId="77777777" w:rsidR="005E15D5" w:rsidRDefault="005E15D5" w:rsidP="005E15D5">
      <w:r>
        <w:t>The below diagram is an example where a company is the project proponent:</w:t>
      </w:r>
    </w:p>
    <w:p w14:paraId="19EB8391" w14:textId="77777777" w:rsidR="005E15D5" w:rsidRDefault="00B02787" w:rsidP="00053698">
      <w:pPr>
        <w:jc w:val="center"/>
      </w:pPr>
      <w:r>
        <w:rPr>
          <w:noProof/>
          <w:lang w:eastAsia="en-AU"/>
        </w:rPr>
        <w:drawing>
          <wp:inline distT="0" distB="0" distL="0" distR="0" wp14:anchorId="4D4EEA53" wp14:editId="67804193">
            <wp:extent cx="4667250" cy="1759783"/>
            <wp:effectExtent l="0" t="0" r="0" b="0"/>
            <wp:docPr id="29" name="Picture 29" descr="Illustration of a company as the project proponent for a 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667250" cy="1759783"/>
                    </a:xfrm>
                    <a:prstGeom prst="rect">
                      <a:avLst/>
                    </a:prstGeom>
                    <a:noFill/>
                  </pic:spPr>
                </pic:pic>
              </a:graphicData>
            </a:graphic>
          </wp:inline>
        </w:drawing>
      </w:r>
    </w:p>
    <w:p w14:paraId="7B231389" w14:textId="77777777" w:rsidR="00B02787" w:rsidRDefault="00B02787" w:rsidP="00053698">
      <w:pPr>
        <w:pStyle w:val="Nospace"/>
      </w:pPr>
    </w:p>
    <w:p w14:paraId="0BB16203" w14:textId="77777777" w:rsidR="00A71B63" w:rsidRDefault="00A71B63" w:rsidP="00053698">
      <w:pPr>
        <w:pStyle w:val="Nospace"/>
      </w:pPr>
      <w:r>
        <w:t>The below diagram is an example where a partnership is the project proponent:</w:t>
      </w:r>
    </w:p>
    <w:p w14:paraId="2F09CEA7" w14:textId="77777777" w:rsidR="00A71B63" w:rsidRDefault="00B02787" w:rsidP="00053698">
      <w:pPr>
        <w:jc w:val="center"/>
      </w:pPr>
      <w:r>
        <w:rPr>
          <w:noProof/>
          <w:lang w:eastAsia="en-AU"/>
        </w:rPr>
        <w:drawing>
          <wp:inline distT="0" distB="0" distL="0" distR="0" wp14:anchorId="3E6092EC" wp14:editId="19F13E81">
            <wp:extent cx="4629150" cy="1849923"/>
            <wp:effectExtent l="0" t="0" r="0" b="0"/>
            <wp:docPr id="48" name="Picture 48" descr="Illustration of a partnership as the project proponent for a 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629455" cy="1850045"/>
                    </a:xfrm>
                    <a:prstGeom prst="rect">
                      <a:avLst/>
                    </a:prstGeom>
                    <a:noFill/>
                  </pic:spPr>
                </pic:pic>
              </a:graphicData>
            </a:graphic>
          </wp:inline>
        </w:drawing>
      </w:r>
    </w:p>
    <w:p w14:paraId="2649B409" w14:textId="77777777" w:rsidR="00A71B63" w:rsidRDefault="00A71B63" w:rsidP="00053698">
      <w:pPr>
        <w:pStyle w:val="Nospace"/>
      </w:pPr>
    </w:p>
    <w:p w14:paraId="748C8F2A" w14:textId="77777777" w:rsidR="00A71B63" w:rsidRDefault="00A71B63" w:rsidP="00053698">
      <w:pPr>
        <w:pStyle w:val="Nospace"/>
      </w:pPr>
      <w:r>
        <w:t>The below diagram is an example where an incorporated joint venture is the project proponent:</w:t>
      </w:r>
    </w:p>
    <w:p w14:paraId="4F5D2C8D" w14:textId="77777777" w:rsidR="00A71B63" w:rsidRDefault="00B02787" w:rsidP="00053698">
      <w:pPr>
        <w:jc w:val="center"/>
      </w:pPr>
      <w:r>
        <w:rPr>
          <w:noProof/>
          <w:lang w:eastAsia="en-AU"/>
        </w:rPr>
        <w:drawing>
          <wp:inline distT="0" distB="0" distL="0" distR="0" wp14:anchorId="56F79B60" wp14:editId="74109AC6">
            <wp:extent cx="4619625" cy="1846118"/>
            <wp:effectExtent l="0" t="0" r="0" b="1905"/>
            <wp:docPr id="55" name="Picture 55" descr="Illustration of an incorporated joint venture as the project proponent for a 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624315" cy="1847992"/>
                    </a:xfrm>
                    <a:prstGeom prst="rect">
                      <a:avLst/>
                    </a:prstGeom>
                    <a:noFill/>
                  </pic:spPr>
                </pic:pic>
              </a:graphicData>
            </a:graphic>
          </wp:inline>
        </w:drawing>
      </w:r>
    </w:p>
    <w:p w14:paraId="44830573" w14:textId="77777777" w:rsidR="00A71B63" w:rsidRDefault="00A71B63" w:rsidP="00053698">
      <w:pPr>
        <w:pStyle w:val="Nospace"/>
      </w:pPr>
    </w:p>
    <w:p w14:paraId="7174D9A7" w14:textId="77777777" w:rsidR="00A71B63" w:rsidRDefault="00A71B63" w:rsidP="00053698">
      <w:pPr>
        <w:pStyle w:val="Nospace"/>
      </w:pPr>
      <w:r>
        <w:t>The below diagram is an example where an unincorporated joint venture is the project proponent:</w:t>
      </w:r>
    </w:p>
    <w:p w14:paraId="2ACEC372" w14:textId="77777777" w:rsidR="00A71B63" w:rsidRDefault="00B02787" w:rsidP="00053698">
      <w:pPr>
        <w:jc w:val="center"/>
      </w:pPr>
      <w:r>
        <w:rPr>
          <w:noProof/>
          <w:lang w:eastAsia="en-AU"/>
        </w:rPr>
        <w:drawing>
          <wp:inline distT="0" distB="0" distL="0" distR="0" wp14:anchorId="3C0E8329" wp14:editId="13CA7EA9">
            <wp:extent cx="4714875" cy="1880652"/>
            <wp:effectExtent l="0" t="0" r="0" b="5715"/>
            <wp:docPr id="83" name="Picture 83" descr="Illustration of an unincorporated joint venture as the project proponent for a 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720068" cy="1882723"/>
                    </a:xfrm>
                    <a:prstGeom prst="rect">
                      <a:avLst/>
                    </a:prstGeom>
                    <a:noFill/>
                  </pic:spPr>
                </pic:pic>
              </a:graphicData>
            </a:graphic>
          </wp:inline>
        </w:drawing>
      </w:r>
    </w:p>
    <w:p w14:paraId="592CB5EB" w14:textId="77777777" w:rsidR="00A71B63" w:rsidRDefault="00A71B63" w:rsidP="00053698">
      <w:pPr>
        <w:pStyle w:val="Nospace"/>
      </w:pPr>
    </w:p>
    <w:p w14:paraId="234BD97B" w14:textId="77777777" w:rsidR="00A71B63" w:rsidRDefault="00A71B63" w:rsidP="00053698">
      <w:pPr>
        <w:pStyle w:val="Nospace"/>
      </w:pPr>
      <w:r>
        <w:t>The below diagram is an example where a public private partnership vehicle is the project proponent:</w:t>
      </w:r>
    </w:p>
    <w:p w14:paraId="2FE306BF" w14:textId="77777777" w:rsidR="00053698" w:rsidRDefault="00B02787" w:rsidP="00053698">
      <w:pPr>
        <w:jc w:val="center"/>
      </w:pPr>
      <w:r>
        <w:rPr>
          <w:noProof/>
          <w:lang w:eastAsia="en-AU"/>
        </w:rPr>
        <w:drawing>
          <wp:inline distT="0" distB="0" distL="0" distR="0" wp14:anchorId="5A69C6CD" wp14:editId="26FC8329">
            <wp:extent cx="4114800" cy="2333134"/>
            <wp:effectExtent l="0" t="0" r="0" b="0"/>
            <wp:docPr id="111" name="Picture 111" descr="Illustration of a public private partnership vehicle as the project proponent for a 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125389" cy="2339138"/>
                    </a:xfrm>
                    <a:prstGeom prst="rect">
                      <a:avLst/>
                    </a:prstGeom>
                    <a:noFill/>
                  </pic:spPr>
                </pic:pic>
              </a:graphicData>
            </a:graphic>
          </wp:inline>
        </w:drawing>
      </w:r>
    </w:p>
    <w:p w14:paraId="338696AB" w14:textId="77777777" w:rsidR="00053698" w:rsidRDefault="00053698" w:rsidP="00053698"/>
    <w:sectPr w:rsidR="00053698" w:rsidSect="006665F4">
      <w:headerReference w:type="even" r:id="rId33"/>
      <w:headerReference w:type="default" r:id="rId34"/>
      <w:headerReference w:type="first" r:id="rId35"/>
      <w:type w:val="continuous"/>
      <w:pgSz w:w="11906" w:h="16838" w:code="9"/>
      <w:pgMar w:top="1627" w:right="1800" w:bottom="1440" w:left="180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B5130D" w14:textId="77777777" w:rsidR="00A93146" w:rsidRDefault="00A93146">
      <w:r>
        <w:separator/>
      </w:r>
    </w:p>
    <w:p w14:paraId="05A8D5CF" w14:textId="77777777" w:rsidR="00A93146" w:rsidRDefault="00A93146"/>
  </w:endnote>
  <w:endnote w:type="continuationSeparator" w:id="0">
    <w:p w14:paraId="77FDE0F7" w14:textId="77777777" w:rsidR="00A93146" w:rsidRDefault="00A93146">
      <w:r>
        <w:continuationSeparator/>
      </w:r>
    </w:p>
    <w:p w14:paraId="61AC6A13" w14:textId="77777777" w:rsidR="00A93146" w:rsidRDefault="00A931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85A48" w14:textId="77777777" w:rsidR="00A93146" w:rsidRDefault="00A93146" w:rsidP="004F58DC">
    <w:pPr>
      <w:rPr>
        <w:rStyle w:val="PageNumber"/>
      </w:rPr>
    </w:pPr>
    <w:r>
      <w:rPr>
        <w:rStyle w:val="PageNumber"/>
      </w:rPr>
      <w:fldChar w:fldCharType="begin"/>
    </w:r>
    <w:r>
      <w:rPr>
        <w:rStyle w:val="PageNumber"/>
      </w:rPr>
      <w:instrText xml:space="preserve">PAGE  </w:instrText>
    </w:r>
    <w:r>
      <w:rPr>
        <w:rStyle w:val="PageNumber"/>
      </w:rPr>
      <w:fldChar w:fldCharType="end"/>
    </w:r>
  </w:p>
  <w:p w14:paraId="362C431D" w14:textId="77777777" w:rsidR="00A93146" w:rsidRDefault="00A93146" w:rsidP="004F58D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1218A5" w14:textId="77777777" w:rsidR="00A93146" w:rsidRPr="009866F9" w:rsidRDefault="00A93146" w:rsidP="000164B3">
    <w:pPr>
      <w:pStyle w:val="DIISRTEFOOTER"/>
    </w:pPr>
  </w:p>
  <w:p w14:paraId="522C1BE5" w14:textId="1EC3D4FA" w:rsidR="00A93146" w:rsidRDefault="00A93146" w:rsidP="005E126F">
    <w:pPr>
      <w:pStyle w:val="DIISRTEFOOTER"/>
    </w:pPr>
    <w:r>
      <w:t>User Guide for Jobs Act AIP plans</w:t>
    </w:r>
  </w:p>
  <w:p w14:paraId="0136F9A9" w14:textId="39B6F085" w:rsidR="00A93146" w:rsidRPr="00F37189" w:rsidRDefault="00A93146" w:rsidP="000164B3">
    <w:pPr>
      <w:pStyle w:val="DIISRTEFOOTER"/>
    </w:pPr>
    <w:r>
      <w:t>Version 2.0 July 2019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B062E3" w14:textId="77777777" w:rsidR="00A93146" w:rsidRPr="009866F9" w:rsidRDefault="00A93146" w:rsidP="00F61161">
    <w:pPr>
      <w:pStyle w:val="DIISRTEFOOTER"/>
    </w:pPr>
  </w:p>
  <w:p w14:paraId="72CEA7A8" w14:textId="4EACA8F0" w:rsidR="00A93146" w:rsidRDefault="00A93146" w:rsidP="00F61161">
    <w:pPr>
      <w:pStyle w:val="DIISRTEFOOTER"/>
    </w:pPr>
    <w:r>
      <w:t>User Guide for Jobs Act AIP plans</w:t>
    </w:r>
  </w:p>
  <w:p w14:paraId="6ECCE2F5" w14:textId="3E4D3539" w:rsidR="00A93146" w:rsidRPr="00F37189" w:rsidRDefault="00A93146" w:rsidP="00F61161">
    <w:pPr>
      <w:pStyle w:val="DIISRTEFOOTER"/>
    </w:pPr>
    <w:r>
      <w:t>Version 2.0 July 2019</w:t>
    </w:r>
  </w:p>
  <w:p w14:paraId="452BCF1C" w14:textId="77777777" w:rsidR="00A93146" w:rsidRPr="00F37189" w:rsidRDefault="00A93146" w:rsidP="000164B3">
    <w:pPr>
      <w:pStyle w:val="DIISRTEFOOTER"/>
    </w:pPr>
    <w:r>
      <w:fldChar w:fldCharType="begin"/>
    </w:r>
    <w:r>
      <w:instrText xml:space="preserve"> PAGE   \* MERGEFORMAT </w:instrText>
    </w:r>
    <w:r>
      <w:fldChar w:fldCharType="separate"/>
    </w:r>
    <w:r w:rsidR="0051635F">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F41389" w14:textId="77777777" w:rsidR="00A93146" w:rsidRDefault="00A93146">
      <w:r>
        <w:separator/>
      </w:r>
    </w:p>
    <w:p w14:paraId="5C9E24DE" w14:textId="77777777" w:rsidR="00A93146" w:rsidRDefault="00A93146"/>
  </w:footnote>
  <w:footnote w:type="continuationSeparator" w:id="0">
    <w:p w14:paraId="28E76D83" w14:textId="77777777" w:rsidR="00A93146" w:rsidRDefault="00A93146">
      <w:r>
        <w:continuationSeparator/>
      </w:r>
    </w:p>
    <w:p w14:paraId="516115ED" w14:textId="77777777" w:rsidR="00A93146" w:rsidRDefault="00A9314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D8416E" w14:textId="77777777" w:rsidR="00A93146" w:rsidRDefault="00A93146" w:rsidP="00E221A8">
    <w:pPr>
      <w:jc w:val="center"/>
    </w:pPr>
    <w:r>
      <w:rPr>
        <w:noProof/>
        <w:lang w:eastAsia="en-AU"/>
      </w:rPr>
      <w:drawing>
        <wp:inline distT="0" distB="0" distL="0" distR="0" wp14:anchorId="16152323" wp14:editId="43F1AF8F">
          <wp:extent cx="5362575" cy="1076325"/>
          <wp:effectExtent l="0" t="0" r="9525" b="9525"/>
          <wp:docPr id="5" name="Picture 5" descr="AIP Author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THristovski\Local Settings\Temporary Internet Files\Content.Word\DeptIndustry_AIPA_BW_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2575" cy="107632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EB3B3" w14:textId="77777777" w:rsidR="00A93146" w:rsidRDefault="00A931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64AEA6" w14:textId="77777777" w:rsidR="00A93146" w:rsidRDefault="00A93146" w:rsidP="009866F9"/>
  <w:p w14:paraId="0B8CCDE8" w14:textId="77777777" w:rsidR="00A93146" w:rsidRDefault="00A93146" w:rsidP="009866F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A3B6C" w14:textId="77777777" w:rsidR="00A93146" w:rsidRDefault="00A9314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B2FD7" w14:textId="77777777" w:rsidR="00A93146" w:rsidRDefault="00A93146"/>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FC501" w14:textId="77777777" w:rsidR="00A93146" w:rsidRDefault="00A9314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19957" w14:textId="77777777" w:rsidR="00A93146" w:rsidRDefault="00A931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A8A63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54A4D5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B34288C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ECE4A12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7B562EA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72A212F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70D4075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A8DED906"/>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5AECFC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BEFAFF7C"/>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87AC36EA"/>
    <w:lvl w:ilvl="0">
      <w:start w:val="1"/>
      <w:numFmt w:val="bullet"/>
      <w:pStyle w:val="ListBullet"/>
      <w:lvlText w:val=""/>
      <w:lvlJc w:val="left"/>
      <w:pPr>
        <w:tabs>
          <w:tab w:val="num" w:pos="360"/>
        </w:tabs>
        <w:ind w:left="360" w:hanging="360"/>
      </w:pPr>
      <w:rPr>
        <w:rFonts w:ascii="Wingdings" w:hAnsi="Wingdings" w:hint="default"/>
      </w:rPr>
    </w:lvl>
  </w:abstractNum>
  <w:abstractNum w:abstractNumId="11" w15:restartNumberingAfterBreak="0">
    <w:nsid w:val="046F40F3"/>
    <w:multiLevelType w:val="hybridMultilevel"/>
    <w:tmpl w:val="E604B136"/>
    <w:lvl w:ilvl="0" w:tplc="4BB0101E">
      <w:start w:val="1"/>
      <w:numFmt w:val="lowerLetter"/>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AFC7C53"/>
    <w:multiLevelType w:val="hybridMultilevel"/>
    <w:tmpl w:val="B9EE79E0"/>
    <w:lvl w:ilvl="0" w:tplc="54DE5F16">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15:restartNumberingAfterBreak="0">
    <w:nsid w:val="1C774A06"/>
    <w:multiLevelType w:val="hybridMultilevel"/>
    <w:tmpl w:val="562AFA42"/>
    <w:lvl w:ilvl="0" w:tplc="B8621CEA">
      <w:start w:val="1"/>
      <w:numFmt w:val="bullet"/>
      <w:lvlText w:val=""/>
      <w:lvlJc w:val="left"/>
      <w:pPr>
        <w:tabs>
          <w:tab w:val="num" w:pos="360"/>
        </w:tabs>
        <w:ind w:left="360" w:hanging="360"/>
      </w:pPr>
      <w:rPr>
        <w:rFonts w:ascii="Symbol" w:hAnsi="Symbol" w:hint="default"/>
      </w:rPr>
    </w:lvl>
    <w:lvl w:ilvl="1" w:tplc="0C09000B">
      <w:start w:val="1"/>
      <w:numFmt w:val="bullet"/>
      <w:lvlText w:val=""/>
      <w:lvlJc w:val="left"/>
      <w:pPr>
        <w:tabs>
          <w:tab w:val="num" w:pos="1080"/>
        </w:tabs>
        <w:ind w:left="1080" w:hanging="360"/>
      </w:pPr>
      <w:rPr>
        <w:rFonts w:ascii="Wingdings" w:hAnsi="Wingdings"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6BE71D3"/>
    <w:multiLevelType w:val="multilevel"/>
    <w:tmpl w:val="0A0814E0"/>
    <w:lvl w:ilvl="0">
      <w:start w:val="1"/>
      <w:numFmt w:val="decimal"/>
      <w:pStyle w:val="ListContinue2"/>
      <w:lvlText w:val="%1"/>
      <w:lvlJc w:val="left"/>
      <w:pPr>
        <w:tabs>
          <w:tab w:val="num" w:pos="0"/>
        </w:tabs>
        <w:ind w:left="360" w:hanging="360"/>
      </w:pPr>
      <w:rPr>
        <w:rFonts w:hint="default"/>
        <w:sz w:val="20"/>
      </w:rPr>
    </w:lvl>
    <w:lvl w:ilvl="1">
      <w:start w:val="1"/>
      <w:numFmt w:val="lowerRoman"/>
      <w:lvlText w:val="%2)"/>
      <w:lvlJc w:val="left"/>
      <w:pPr>
        <w:tabs>
          <w:tab w:val="num" w:pos="0"/>
        </w:tabs>
        <w:ind w:left="720" w:hanging="360"/>
      </w:pPr>
      <w:rPr>
        <w:rFonts w:hint="default"/>
      </w:rPr>
    </w:lvl>
    <w:lvl w:ilvl="2">
      <w:start w:val="1"/>
      <w:numFmt w:val="lowerLetter"/>
      <w:lvlText w:val="%3)"/>
      <w:lvlJc w:val="left"/>
      <w:pPr>
        <w:tabs>
          <w:tab w:val="num" w:pos="0"/>
        </w:tabs>
        <w:ind w:left="1080" w:hanging="360"/>
      </w:pPr>
      <w:rPr>
        <w:rFonts w:hint="default"/>
      </w:rPr>
    </w:lvl>
    <w:lvl w:ilvl="3">
      <w:start w:val="1"/>
      <w:numFmt w:val="lowerLetter"/>
      <w:lvlText w:val="(%4)"/>
      <w:lvlJc w:val="left"/>
      <w:pPr>
        <w:tabs>
          <w:tab w:val="num" w:pos="0"/>
        </w:tabs>
        <w:ind w:left="1440" w:hanging="360"/>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5" w15:restartNumberingAfterBreak="0">
    <w:nsid w:val="26C80966"/>
    <w:multiLevelType w:val="hybridMultilevel"/>
    <w:tmpl w:val="6C3255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C1851F1"/>
    <w:multiLevelType w:val="hybridMultilevel"/>
    <w:tmpl w:val="90D4AE0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316D4CE8"/>
    <w:multiLevelType w:val="hybridMultilevel"/>
    <w:tmpl w:val="5C00D95E"/>
    <w:lvl w:ilvl="0" w:tplc="0C09000F">
      <w:start w:val="1"/>
      <w:numFmt w:val="decimal"/>
      <w:lvlText w:val="%1."/>
      <w:lvlJc w:val="left"/>
      <w:pPr>
        <w:ind w:left="1440" w:hanging="360"/>
      </w:p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start w:val="1"/>
      <w:numFmt w:val="decimal"/>
      <w:lvlText w:val="%4."/>
      <w:lvlJc w:val="left"/>
      <w:pPr>
        <w:ind w:left="3600" w:hanging="360"/>
      </w:pPr>
    </w:lvl>
    <w:lvl w:ilvl="4" w:tplc="0C090019">
      <w:start w:val="1"/>
      <w:numFmt w:val="lowerLetter"/>
      <w:lvlText w:val="%5."/>
      <w:lvlJc w:val="left"/>
      <w:pPr>
        <w:ind w:left="4320" w:hanging="360"/>
      </w:pPr>
    </w:lvl>
    <w:lvl w:ilvl="5" w:tplc="0C09001B">
      <w:start w:val="1"/>
      <w:numFmt w:val="lowerRoman"/>
      <w:lvlText w:val="%6."/>
      <w:lvlJc w:val="right"/>
      <w:pPr>
        <w:ind w:left="5040" w:hanging="180"/>
      </w:pPr>
    </w:lvl>
    <w:lvl w:ilvl="6" w:tplc="0C09000F">
      <w:start w:val="1"/>
      <w:numFmt w:val="decimal"/>
      <w:lvlText w:val="%7."/>
      <w:lvlJc w:val="left"/>
      <w:pPr>
        <w:ind w:left="5760" w:hanging="360"/>
      </w:pPr>
    </w:lvl>
    <w:lvl w:ilvl="7" w:tplc="0C090019">
      <w:start w:val="1"/>
      <w:numFmt w:val="lowerLetter"/>
      <w:lvlText w:val="%8."/>
      <w:lvlJc w:val="left"/>
      <w:pPr>
        <w:ind w:left="6480" w:hanging="360"/>
      </w:pPr>
    </w:lvl>
    <w:lvl w:ilvl="8" w:tplc="0C09001B">
      <w:start w:val="1"/>
      <w:numFmt w:val="lowerRoman"/>
      <w:lvlText w:val="%9."/>
      <w:lvlJc w:val="right"/>
      <w:pPr>
        <w:ind w:left="7200" w:hanging="180"/>
      </w:pPr>
    </w:lvl>
  </w:abstractNum>
  <w:abstractNum w:abstractNumId="18" w15:restartNumberingAfterBreak="0">
    <w:nsid w:val="3BD51955"/>
    <w:multiLevelType w:val="multilevel"/>
    <w:tmpl w:val="2966B798"/>
    <w:lvl w:ilvl="0">
      <w:start w:val="1"/>
      <w:numFmt w:val="bullet"/>
      <w:pStyle w:val="ListContinue"/>
      <w:lvlText w:val=""/>
      <w:lvlJc w:val="left"/>
      <w:pPr>
        <w:tabs>
          <w:tab w:val="num" w:pos="360"/>
        </w:tabs>
        <w:ind w:left="360" w:hanging="360"/>
      </w:pPr>
      <w:rPr>
        <w:rFonts w:ascii="Wingdings" w:hAnsi="Wingdings" w:hint="default"/>
      </w:rPr>
    </w:lvl>
    <w:lvl w:ilvl="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51100BD6"/>
    <w:multiLevelType w:val="hybridMultilevel"/>
    <w:tmpl w:val="4F165292"/>
    <w:lvl w:ilvl="0" w:tplc="356E1C36">
      <w:start w:val="1"/>
      <w:numFmt w:val="decimal"/>
      <w:pStyle w:val="Numbered"/>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5EA94E36"/>
    <w:multiLevelType w:val="hybridMultilevel"/>
    <w:tmpl w:val="88B4E6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1AE275B"/>
    <w:multiLevelType w:val="hybridMultilevel"/>
    <w:tmpl w:val="EAF439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C247E79"/>
    <w:multiLevelType w:val="hybridMultilevel"/>
    <w:tmpl w:val="576E67E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3" w15:restartNumberingAfterBreak="0">
    <w:nsid w:val="70BB124F"/>
    <w:multiLevelType w:val="hybridMultilevel"/>
    <w:tmpl w:val="356A6E86"/>
    <w:lvl w:ilvl="0" w:tplc="A816E430">
      <w:start w:val="1"/>
      <w:numFmt w:val="bullet"/>
      <w:pStyle w:val="Bullets"/>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4A2491D"/>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8"/>
  </w:num>
  <w:num w:numId="12">
    <w:abstractNumId w:val="14"/>
  </w:num>
  <w:num w:numId="13">
    <w:abstractNumId w:val="24"/>
  </w:num>
  <w:num w:numId="14">
    <w:abstractNumId w:val="0"/>
  </w:num>
  <w:num w:numId="15">
    <w:abstractNumId w:val="19"/>
  </w:num>
  <w:num w:numId="16">
    <w:abstractNumId w:val="23"/>
  </w:num>
  <w:num w:numId="17">
    <w:abstractNumId w:val="19"/>
    <w:lvlOverride w:ilvl="0">
      <w:startOverride w:val="1"/>
    </w:lvlOverride>
  </w:num>
  <w:num w:numId="18">
    <w:abstractNumId w:val="12"/>
  </w:num>
  <w:num w:numId="19">
    <w:abstractNumId w:val="20"/>
  </w:num>
  <w:num w:numId="20">
    <w:abstractNumId w:val="19"/>
    <w:lvlOverride w:ilvl="0">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9"/>
    <w:lvlOverride w:ilvl="0">
      <w:startOverride w:val="1"/>
    </w:lvlOverride>
  </w:num>
  <w:num w:numId="25">
    <w:abstractNumId w:val="19"/>
    <w:lvlOverride w:ilvl="0">
      <w:startOverride w:val="1"/>
    </w:lvlOverride>
  </w:num>
  <w:num w:numId="26">
    <w:abstractNumId w:val="19"/>
    <w:lvlOverride w:ilvl="0">
      <w:startOverride w:val="1"/>
    </w:lvlOverride>
  </w:num>
  <w:num w:numId="27">
    <w:abstractNumId w:val="15"/>
  </w:num>
  <w:num w:numId="28">
    <w:abstractNumId w:val="11"/>
  </w:num>
  <w:num w:numId="29">
    <w:abstractNumId w:val="13"/>
  </w:num>
  <w:num w:numId="30">
    <w:abstractNumId w:val="13"/>
  </w:num>
  <w:num w:numId="31">
    <w:abstractNumId w:val="16"/>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autoFormatOverride/>
  <w:defaultTabStop w:val="720"/>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997"/>
    <w:rsid w:val="00000D62"/>
    <w:rsid w:val="00000F52"/>
    <w:rsid w:val="00001790"/>
    <w:rsid w:val="00003827"/>
    <w:rsid w:val="000125B3"/>
    <w:rsid w:val="000129C7"/>
    <w:rsid w:val="0001462D"/>
    <w:rsid w:val="000164B3"/>
    <w:rsid w:val="000171D5"/>
    <w:rsid w:val="00020765"/>
    <w:rsid w:val="0002108B"/>
    <w:rsid w:val="000311E4"/>
    <w:rsid w:val="00032C6E"/>
    <w:rsid w:val="00034EFF"/>
    <w:rsid w:val="000369C9"/>
    <w:rsid w:val="00040928"/>
    <w:rsid w:val="000415B9"/>
    <w:rsid w:val="00047AB0"/>
    <w:rsid w:val="00051011"/>
    <w:rsid w:val="00051442"/>
    <w:rsid w:val="00052625"/>
    <w:rsid w:val="00053698"/>
    <w:rsid w:val="0005393C"/>
    <w:rsid w:val="00057BA8"/>
    <w:rsid w:val="00063B2F"/>
    <w:rsid w:val="0007223A"/>
    <w:rsid w:val="0007360D"/>
    <w:rsid w:val="00087254"/>
    <w:rsid w:val="00087D38"/>
    <w:rsid w:val="00090265"/>
    <w:rsid w:val="000A427D"/>
    <w:rsid w:val="000A58FC"/>
    <w:rsid w:val="000B01C6"/>
    <w:rsid w:val="000B15C9"/>
    <w:rsid w:val="000E02B8"/>
    <w:rsid w:val="000E086A"/>
    <w:rsid w:val="000E2575"/>
    <w:rsid w:val="000E2801"/>
    <w:rsid w:val="000E5231"/>
    <w:rsid w:val="000E7A3C"/>
    <w:rsid w:val="000E7D0E"/>
    <w:rsid w:val="000F193F"/>
    <w:rsid w:val="000F1E8C"/>
    <w:rsid w:val="000F2C12"/>
    <w:rsid w:val="000F4E9C"/>
    <w:rsid w:val="00100D82"/>
    <w:rsid w:val="00111CB3"/>
    <w:rsid w:val="001132D8"/>
    <w:rsid w:val="00115297"/>
    <w:rsid w:val="001235B4"/>
    <w:rsid w:val="00125006"/>
    <w:rsid w:val="00125FC5"/>
    <w:rsid w:val="001261B6"/>
    <w:rsid w:val="001272D8"/>
    <w:rsid w:val="00130941"/>
    <w:rsid w:val="00134E02"/>
    <w:rsid w:val="0013501F"/>
    <w:rsid w:val="001374FF"/>
    <w:rsid w:val="001428EB"/>
    <w:rsid w:val="001473E7"/>
    <w:rsid w:val="00152F23"/>
    <w:rsid w:val="001566E0"/>
    <w:rsid w:val="00156C7A"/>
    <w:rsid w:val="00157234"/>
    <w:rsid w:val="0016248E"/>
    <w:rsid w:val="0017237F"/>
    <w:rsid w:val="00173B6F"/>
    <w:rsid w:val="001747F9"/>
    <w:rsid w:val="0017772E"/>
    <w:rsid w:val="001803A4"/>
    <w:rsid w:val="00181C19"/>
    <w:rsid w:val="00184141"/>
    <w:rsid w:val="00184F28"/>
    <w:rsid w:val="001945CF"/>
    <w:rsid w:val="00196162"/>
    <w:rsid w:val="001A210D"/>
    <w:rsid w:val="001A48B5"/>
    <w:rsid w:val="001A7C6C"/>
    <w:rsid w:val="001A7FFB"/>
    <w:rsid w:val="001B0879"/>
    <w:rsid w:val="001B0F8C"/>
    <w:rsid w:val="001B16BF"/>
    <w:rsid w:val="001B2AD8"/>
    <w:rsid w:val="001B65C0"/>
    <w:rsid w:val="001C0207"/>
    <w:rsid w:val="001C08F5"/>
    <w:rsid w:val="001C1094"/>
    <w:rsid w:val="001D2208"/>
    <w:rsid w:val="001D44EA"/>
    <w:rsid w:val="001D54D0"/>
    <w:rsid w:val="001D5D16"/>
    <w:rsid w:val="001E309E"/>
    <w:rsid w:val="001E6698"/>
    <w:rsid w:val="001F07A5"/>
    <w:rsid w:val="001F30E9"/>
    <w:rsid w:val="001F3492"/>
    <w:rsid w:val="001F42F4"/>
    <w:rsid w:val="001F677C"/>
    <w:rsid w:val="001F6E7D"/>
    <w:rsid w:val="0020545F"/>
    <w:rsid w:val="0021279A"/>
    <w:rsid w:val="002160E0"/>
    <w:rsid w:val="00225E52"/>
    <w:rsid w:val="00226D9E"/>
    <w:rsid w:val="002278A8"/>
    <w:rsid w:val="00230368"/>
    <w:rsid w:val="0023207D"/>
    <w:rsid w:val="00235280"/>
    <w:rsid w:val="00235ECC"/>
    <w:rsid w:val="00237528"/>
    <w:rsid w:val="00241EAD"/>
    <w:rsid w:val="002443CF"/>
    <w:rsid w:val="002474FF"/>
    <w:rsid w:val="00247B14"/>
    <w:rsid w:val="00252684"/>
    <w:rsid w:val="00260160"/>
    <w:rsid w:val="00261265"/>
    <w:rsid w:val="00265A63"/>
    <w:rsid w:val="00266F16"/>
    <w:rsid w:val="002753DC"/>
    <w:rsid w:val="00280D8D"/>
    <w:rsid w:val="00282C47"/>
    <w:rsid w:val="00291A1A"/>
    <w:rsid w:val="00296CE7"/>
    <w:rsid w:val="002A3AAD"/>
    <w:rsid w:val="002A730D"/>
    <w:rsid w:val="002B1647"/>
    <w:rsid w:val="002B2B88"/>
    <w:rsid w:val="002B35B3"/>
    <w:rsid w:val="002D15C1"/>
    <w:rsid w:val="002D2849"/>
    <w:rsid w:val="002D2FD6"/>
    <w:rsid w:val="002D4AB4"/>
    <w:rsid w:val="002D6594"/>
    <w:rsid w:val="002D7B11"/>
    <w:rsid w:val="002E051E"/>
    <w:rsid w:val="002E3374"/>
    <w:rsid w:val="002E3A0E"/>
    <w:rsid w:val="002E6BF2"/>
    <w:rsid w:val="002F11A4"/>
    <w:rsid w:val="002F1A60"/>
    <w:rsid w:val="002F5307"/>
    <w:rsid w:val="002F55B7"/>
    <w:rsid w:val="0030682E"/>
    <w:rsid w:val="0031309A"/>
    <w:rsid w:val="003168EF"/>
    <w:rsid w:val="0031747D"/>
    <w:rsid w:val="003177AB"/>
    <w:rsid w:val="00323340"/>
    <w:rsid w:val="0033585E"/>
    <w:rsid w:val="00335ADA"/>
    <w:rsid w:val="003367CB"/>
    <w:rsid w:val="00350277"/>
    <w:rsid w:val="003546FE"/>
    <w:rsid w:val="003547CB"/>
    <w:rsid w:val="00355322"/>
    <w:rsid w:val="00357300"/>
    <w:rsid w:val="00363BC8"/>
    <w:rsid w:val="00370BDE"/>
    <w:rsid w:val="003772EA"/>
    <w:rsid w:val="00377734"/>
    <w:rsid w:val="003808CE"/>
    <w:rsid w:val="00381215"/>
    <w:rsid w:val="00381FC3"/>
    <w:rsid w:val="00383B11"/>
    <w:rsid w:val="00383E0A"/>
    <w:rsid w:val="0038611F"/>
    <w:rsid w:val="00387D24"/>
    <w:rsid w:val="00390032"/>
    <w:rsid w:val="003A3FF3"/>
    <w:rsid w:val="003A710B"/>
    <w:rsid w:val="003A7FF5"/>
    <w:rsid w:val="003B1317"/>
    <w:rsid w:val="003B2E76"/>
    <w:rsid w:val="003B3C6A"/>
    <w:rsid w:val="003B4D82"/>
    <w:rsid w:val="003B7475"/>
    <w:rsid w:val="003C5215"/>
    <w:rsid w:val="003C5760"/>
    <w:rsid w:val="003D3D75"/>
    <w:rsid w:val="003D5D38"/>
    <w:rsid w:val="003D6692"/>
    <w:rsid w:val="003D7A09"/>
    <w:rsid w:val="003E3867"/>
    <w:rsid w:val="003E6AC7"/>
    <w:rsid w:val="003F0CF1"/>
    <w:rsid w:val="003F72F6"/>
    <w:rsid w:val="0040024A"/>
    <w:rsid w:val="00401F16"/>
    <w:rsid w:val="00406B9F"/>
    <w:rsid w:val="0040760F"/>
    <w:rsid w:val="0040772D"/>
    <w:rsid w:val="004134CB"/>
    <w:rsid w:val="004172AC"/>
    <w:rsid w:val="004214A5"/>
    <w:rsid w:val="00422ABF"/>
    <w:rsid w:val="00430753"/>
    <w:rsid w:val="004340E3"/>
    <w:rsid w:val="00440A25"/>
    <w:rsid w:val="00450197"/>
    <w:rsid w:val="00452F6D"/>
    <w:rsid w:val="00457A8B"/>
    <w:rsid w:val="00460EFE"/>
    <w:rsid w:val="00463B3D"/>
    <w:rsid w:val="00464302"/>
    <w:rsid w:val="004729E4"/>
    <w:rsid w:val="00477904"/>
    <w:rsid w:val="00482C7D"/>
    <w:rsid w:val="00486D62"/>
    <w:rsid w:val="004930C4"/>
    <w:rsid w:val="00497339"/>
    <w:rsid w:val="004B52C1"/>
    <w:rsid w:val="004B6F65"/>
    <w:rsid w:val="004C0380"/>
    <w:rsid w:val="004C0E30"/>
    <w:rsid w:val="004C28FC"/>
    <w:rsid w:val="004C4885"/>
    <w:rsid w:val="004C770F"/>
    <w:rsid w:val="004D0350"/>
    <w:rsid w:val="004D3D53"/>
    <w:rsid w:val="004D51BF"/>
    <w:rsid w:val="004D51D4"/>
    <w:rsid w:val="004D530F"/>
    <w:rsid w:val="004D62BA"/>
    <w:rsid w:val="004D72E5"/>
    <w:rsid w:val="004E3E4F"/>
    <w:rsid w:val="004E5F14"/>
    <w:rsid w:val="004F0EE2"/>
    <w:rsid w:val="004F2C77"/>
    <w:rsid w:val="004F58DC"/>
    <w:rsid w:val="004F5E76"/>
    <w:rsid w:val="004F7642"/>
    <w:rsid w:val="00503F89"/>
    <w:rsid w:val="00506F86"/>
    <w:rsid w:val="005107F8"/>
    <w:rsid w:val="00510F9C"/>
    <w:rsid w:val="00511694"/>
    <w:rsid w:val="00511A0B"/>
    <w:rsid w:val="005122B9"/>
    <w:rsid w:val="0051635F"/>
    <w:rsid w:val="00522009"/>
    <w:rsid w:val="005230AB"/>
    <w:rsid w:val="005253F9"/>
    <w:rsid w:val="00527712"/>
    <w:rsid w:val="00531026"/>
    <w:rsid w:val="00532B66"/>
    <w:rsid w:val="00533FE9"/>
    <w:rsid w:val="00534920"/>
    <w:rsid w:val="00535723"/>
    <w:rsid w:val="0054477E"/>
    <w:rsid w:val="00551305"/>
    <w:rsid w:val="005547A4"/>
    <w:rsid w:val="005568AE"/>
    <w:rsid w:val="005673C9"/>
    <w:rsid w:val="00567DC3"/>
    <w:rsid w:val="00570C6E"/>
    <w:rsid w:val="00574FAC"/>
    <w:rsid w:val="0057509D"/>
    <w:rsid w:val="00575D72"/>
    <w:rsid w:val="005775E1"/>
    <w:rsid w:val="00580C97"/>
    <w:rsid w:val="005844BE"/>
    <w:rsid w:val="00593655"/>
    <w:rsid w:val="00593A1C"/>
    <w:rsid w:val="005975A8"/>
    <w:rsid w:val="005A0C48"/>
    <w:rsid w:val="005A242C"/>
    <w:rsid w:val="005B0439"/>
    <w:rsid w:val="005B0CC5"/>
    <w:rsid w:val="005B6C00"/>
    <w:rsid w:val="005C34A7"/>
    <w:rsid w:val="005E126F"/>
    <w:rsid w:val="005E15D5"/>
    <w:rsid w:val="005E18ED"/>
    <w:rsid w:val="005E434A"/>
    <w:rsid w:val="005E5730"/>
    <w:rsid w:val="005E6F97"/>
    <w:rsid w:val="00604A74"/>
    <w:rsid w:val="006119BF"/>
    <w:rsid w:val="00611C3C"/>
    <w:rsid w:val="00612AEB"/>
    <w:rsid w:val="00613872"/>
    <w:rsid w:val="00624188"/>
    <w:rsid w:val="006258CE"/>
    <w:rsid w:val="006334E8"/>
    <w:rsid w:val="00641867"/>
    <w:rsid w:val="00642B27"/>
    <w:rsid w:val="00646D93"/>
    <w:rsid w:val="0065165E"/>
    <w:rsid w:val="00651E86"/>
    <w:rsid w:val="00652433"/>
    <w:rsid w:val="00652890"/>
    <w:rsid w:val="00655CD8"/>
    <w:rsid w:val="006604EB"/>
    <w:rsid w:val="00661470"/>
    <w:rsid w:val="00662DD9"/>
    <w:rsid w:val="006665F4"/>
    <w:rsid w:val="00666C56"/>
    <w:rsid w:val="00667D6B"/>
    <w:rsid w:val="006707FC"/>
    <w:rsid w:val="00681A5A"/>
    <w:rsid w:val="00682ADC"/>
    <w:rsid w:val="00683997"/>
    <w:rsid w:val="0068514F"/>
    <w:rsid w:val="0068664A"/>
    <w:rsid w:val="006909A3"/>
    <w:rsid w:val="00697CC3"/>
    <w:rsid w:val="006A0B8F"/>
    <w:rsid w:val="006A4B98"/>
    <w:rsid w:val="006B0B8A"/>
    <w:rsid w:val="006B29C5"/>
    <w:rsid w:val="006B7D46"/>
    <w:rsid w:val="006C033D"/>
    <w:rsid w:val="006C5A76"/>
    <w:rsid w:val="006D1042"/>
    <w:rsid w:val="006D2F73"/>
    <w:rsid w:val="006D3190"/>
    <w:rsid w:val="006D5F5C"/>
    <w:rsid w:val="006D69AF"/>
    <w:rsid w:val="006D6F21"/>
    <w:rsid w:val="006E154A"/>
    <w:rsid w:val="006E1DFF"/>
    <w:rsid w:val="006E3279"/>
    <w:rsid w:val="006E44AA"/>
    <w:rsid w:val="006E56BF"/>
    <w:rsid w:val="006F08AE"/>
    <w:rsid w:val="006F1DA9"/>
    <w:rsid w:val="00701C0C"/>
    <w:rsid w:val="00704483"/>
    <w:rsid w:val="00707F59"/>
    <w:rsid w:val="00711864"/>
    <w:rsid w:val="00714955"/>
    <w:rsid w:val="00717E58"/>
    <w:rsid w:val="00717FA8"/>
    <w:rsid w:val="00721FA0"/>
    <w:rsid w:val="00727A4D"/>
    <w:rsid w:val="007308A5"/>
    <w:rsid w:val="00731C13"/>
    <w:rsid w:val="007320B2"/>
    <w:rsid w:val="00733D0C"/>
    <w:rsid w:val="00735422"/>
    <w:rsid w:val="00737724"/>
    <w:rsid w:val="00740BE1"/>
    <w:rsid w:val="00747D1E"/>
    <w:rsid w:val="0075432C"/>
    <w:rsid w:val="00761D50"/>
    <w:rsid w:val="007635F5"/>
    <w:rsid w:val="00763D7B"/>
    <w:rsid w:val="00775A63"/>
    <w:rsid w:val="0077716D"/>
    <w:rsid w:val="00777AD8"/>
    <w:rsid w:val="00781E74"/>
    <w:rsid w:val="00785A47"/>
    <w:rsid w:val="00785A84"/>
    <w:rsid w:val="0079403D"/>
    <w:rsid w:val="00795D74"/>
    <w:rsid w:val="0079768B"/>
    <w:rsid w:val="007A18BD"/>
    <w:rsid w:val="007A3852"/>
    <w:rsid w:val="007A5265"/>
    <w:rsid w:val="007B310A"/>
    <w:rsid w:val="007B35C0"/>
    <w:rsid w:val="007B3D6D"/>
    <w:rsid w:val="007C5149"/>
    <w:rsid w:val="007C7BA2"/>
    <w:rsid w:val="007D3B52"/>
    <w:rsid w:val="007D497E"/>
    <w:rsid w:val="007D7D3F"/>
    <w:rsid w:val="007E2010"/>
    <w:rsid w:val="007E6344"/>
    <w:rsid w:val="007E65A1"/>
    <w:rsid w:val="007E7AB7"/>
    <w:rsid w:val="007F104C"/>
    <w:rsid w:val="007F6CBC"/>
    <w:rsid w:val="00802923"/>
    <w:rsid w:val="00803425"/>
    <w:rsid w:val="00803A99"/>
    <w:rsid w:val="00804205"/>
    <w:rsid w:val="008064A6"/>
    <w:rsid w:val="00807DE4"/>
    <w:rsid w:val="00813850"/>
    <w:rsid w:val="0081513E"/>
    <w:rsid w:val="00820546"/>
    <w:rsid w:val="008207F9"/>
    <w:rsid w:val="008227F3"/>
    <w:rsid w:val="008305C1"/>
    <w:rsid w:val="00831E84"/>
    <w:rsid w:val="00831EFC"/>
    <w:rsid w:val="00832A1B"/>
    <w:rsid w:val="00833D23"/>
    <w:rsid w:val="00833E62"/>
    <w:rsid w:val="008359E1"/>
    <w:rsid w:val="008361A1"/>
    <w:rsid w:val="00837BD7"/>
    <w:rsid w:val="00840671"/>
    <w:rsid w:val="00840D4D"/>
    <w:rsid w:val="00842C23"/>
    <w:rsid w:val="00846E56"/>
    <w:rsid w:val="00855F20"/>
    <w:rsid w:val="00860847"/>
    <w:rsid w:val="00862C4C"/>
    <w:rsid w:val="0086497D"/>
    <w:rsid w:val="008666E3"/>
    <w:rsid w:val="0087052E"/>
    <w:rsid w:val="0087253E"/>
    <w:rsid w:val="00872A33"/>
    <w:rsid w:val="008741D2"/>
    <w:rsid w:val="00874D58"/>
    <w:rsid w:val="00881E6E"/>
    <w:rsid w:val="008841FD"/>
    <w:rsid w:val="008853B5"/>
    <w:rsid w:val="00886DD3"/>
    <w:rsid w:val="008A285F"/>
    <w:rsid w:val="008B3104"/>
    <w:rsid w:val="008B4D03"/>
    <w:rsid w:val="008B4E98"/>
    <w:rsid w:val="008C5324"/>
    <w:rsid w:val="008D128F"/>
    <w:rsid w:val="008D14BB"/>
    <w:rsid w:val="008D1B06"/>
    <w:rsid w:val="008D5AEB"/>
    <w:rsid w:val="008E2A5F"/>
    <w:rsid w:val="008E68ED"/>
    <w:rsid w:val="008E7405"/>
    <w:rsid w:val="008F0BDB"/>
    <w:rsid w:val="008F2648"/>
    <w:rsid w:val="008F743E"/>
    <w:rsid w:val="0090032C"/>
    <w:rsid w:val="009013F7"/>
    <w:rsid w:val="009014EB"/>
    <w:rsid w:val="0090273F"/>
    <w:rsid w:val="00904D3E"/>
    <w:rsid w:val="0090582F"/>
    <w:rsid w:val="009126F4"/>
    <w:rsid w:val="00912846"/>
    <w:rsid w:val="00912B0D"/>
    <w:rsid w:val="00914317"/>
    <w:rsid w:val="00915182"/>
    <w:rsid w:val="00916567"/>
    <w:rsid w:val="009175A0"/>
    <w:rsid w:val="009217D1"/>
    <w:rsid w:val="009237F7"/>
    <w:rsid w:val="00924A08"/>
    <w:rsid w:val="0093453D"/>
    <w:rsid w:val="00934FDE"/>
    <w:rsid w:val="00935C24"/>
    <w:rsid w:val="00936409"/>
    <w:rsid w:val="00943D48"/>
    <w:rsid w:val="00944058"/>
    <w:rsid w:val="00944A7E"/>
    <w:rsid w:val="00944D34"/>
    <w:rsid w:val="00944FD8"/>
    <w:rsid w:val="00945A4C"/>
    <w:rsid w:val="0094658C"/>
    <w:rsid w:val="009467BD"/>
    <w:rsid w:val="00946954"/>
    <w:rsid w:val="009471DE"/>
    <w:rsid w:val="00950B31"/>
    <w:rsid w:val="0095147E"/>
    <w:rsid w:val="00952E4D"/>
    <w:rsid w:val="0096245A"/>
    <w:rsid w:val="00966B89"/>
    <w:rsid w:val="00972EA5"/>
    <w:rsid w:val="00975339"/>
    <w:rsid w:val="0097579E"/>
    <w:rsid w:val="00976206"/>
    <w:rsid w:val="009775E9"/>
    <w:rsid w:val="0097783C"/>
    <w:rsid w:val="0098070E"/>
    <w:rsid w:val="00982A23"/>
    <w:rsid w:val="009866F9"/>
    <w:rsid w:val="00991CA1"/>
    <w:rsid w:val="00992581"/>
    <w:rsid w:val="00995B0D"/>
    <w:rsid w:val="009A0BB0"/>
    <w:rsid w:val="009A32BC"/>
    <w:rsid w:val="009A3EE1"/>
    <w:rsid w:val="009A6638"/>
    <w:rsid w:val="009A7AE7"/>
    <w:rsid w:val="009B4953"/>
    <w:rsid w:val="009C09E3"/>
    <w:rsid w:val="009C1529"/>
    <w:rsid w:val="009C2D15"/>
    <w:rsid w:val="009C746B"/>
    <w:rsid w:val="009D127D"/>
    <w:rsid w:val="009D3266"/>
    <w:rsid w:val="009E232E"/>
    <w:rsid w:val="009E260C"/>
    <w:rsid w:val="009F39CE"/>
    <w:rsid w:val="009F7D2E"/>
    <w:rsid w:val="00A01885"/>
    <w:rsid w:val="00A049EB"/>
    <w:rsid w:val="00A11120"/>
    <w:rsid w:val="00A13117"/>
    <w:rsid w:val="00A13BAB"/>
    <w:rsid w:val="00A16E9D"/>
    <w:rsid w:val="00A21D1E"/>
    <w:rsid w:val="00A33059"/>
    <w:rsid w:val="00A338C5"/>
    <w:rsid w:val="00A3404A"/>
    <w:rsid w:val="00A375F1"/>
    <w:rsid w:val="00A53BAB"/>
    <w:rsid w:val="00A57C55"/>
    <w:rsid w:val="00A57E48"/>
    <w:rsid w:val="00A620B0"/>
    <w:rsid w:val="00A63E0C"/>
    <w:rsid w:val="00A64B6E"/>
    <w:rsid w:val="00A67C14"/>
    <w:rsid w:val="00A71B63"/>
    <w:rsid w:val="00A74E00"/>
    <w:rsid w:val="00A74EAE"/>
    <w:rsid w:val="00A8093A"/>
    <w:rsid w:val="00A83FA5"/>
    <w:rsid w:val="00A8524F"/>
    <w:rsid w:val="00A85444"/>
    <w:rsid w:val="00A87457"/>
    <w:rsid w:val="00A93146"/>
    <w:rsid w:val="00A93246"/>
    <w:rsid w:val="00A96672"/>
    <w:rsid w:val="00AA1464"/>
    <w:rsid w:val="00AA24B5"/>
    <w:rsid w:val="00AA2752"/>
    <w:rsid w:val="00AA7182"/>
    <w:rsid w:val="00AB5197"/>
    <w:rsid w:val="00AC0884"/>
    <w:rsid w:val="00AC32E9"/>
    <w:rsid w:val="00AD27B1"/>
    <w:rsid w:val="00AD2EA4"/>
    <w:rsid w:val="00AD448E"/>
    <w:rsid w:val="00AD4927"/>
    <w:rsid w:val="00AD5454"/>
    <w:rsid w:val="00AD6B98"/>
    <w:rsid w:val="00AE46A7"/>
    <w:rsid w:val="00AE4970"/>
    <w:rsid w:val="00AF36D7"/>
    <w:rsid w:val="00AF420F"/>
    <w:rsid w:val="00B02787"/>
    <w:rsid w:val="00B03010"/>
    <w:rsid w:val="00B03F0C"/>
    <w:rsid w:val="00B04056"/>
    <w:rsid w:val="00B05DA9"/>
    <w:rsid w:val="00B07076"/>
    <w:rsid w:val="00B1220C"/>
    <w:rsid w:val="00B16B63"/>
    <w:rsid w:val="00B20E7F"/>
    <w:rsid w:val="00B23C49"/>
    <w:rsid w:val="00B27A84"/>
    <w:rsid w:val="00B30427"/>
    <w:rsid w:val="00B320F7"/>
    <w:rsid w:val="00B33B0F"/>
    <w:rsid w:val="00B37488"/>
    <w:rsid w:val="00B401CF"/>
    <w:rsid w:val="00B45458"/>
    <w:rsid w:val="00B454B7"/>
    <w:rsid w:val="00B50A88"/>
    <w:rsid w:val="00B55B63"/>
    <w:rsid w:val="00B560A1"/>
    <w:rsid w:val="00B5648A"/>
    <w:rsid w:val="00B565B3"/>
    <w:rsid w:val="00B64651"/>
    <w:rsid w:val="00B7195C"/>
    <w:rsid w:val="00B72294"/>
    <w:rsid w:val="00B7674F"/>
    <w:rsid w:val="00B822A7"/>
    <w:rsid w:val="00B85973"/>
    <w:rsid w:val="00B8625F"/>
    <w:rsid w:val="00B86EE3"/>
    <w:rsid w:val="00B9079A"/>
    <w:rsid w:val="00B93BB3"/>
    <w:rsid w:val="00B9455C"/>
    <w:rsid w:val="00BA0703"/>
    <w:rsid w:val="00BA550C"/>
    <w:rsid w:val="00BA5A4A"/>
    <w:rsid w:val="00BB0E3E"/>
    <w:rsid w:val="00BB2258"/>
    <w:rsid w:val="00BB2F5F"/>
    <w:rsid w:val="00BB55BE"/>
    <w:rsid w:val="00BC1467"/>
    <w:rsid w:val="00BC3BA2"/>
    <w:rsid w:val="00BC3E23"/>
    <w:rsid w:val="00BC4289"/>
    <w:rsid w:val="00BC566E"/>
    <w:rsid w:val="00BC59DD"/>
    <w:rsid w:val="00BD7AE5"/>
    <w:rsid w:val="00BE3720"/>
    <w:rsid w:val="00BE3C23"/>
    <w:rsid w:val="00BE77E9"/>
    <w:rsid w:val="00BF04AB"/>
    <w:rsid w:val="00BF0E26"/>
    <w:rsid w:val="00BF119A"/>
    <w:rsid w:val="00BF39E4"/>
    <w:rsid w:val="00BF6C96"/>
    <w:rsid w:val="00BF6D71"/>
    <w:rsid w:val="00BF71DD"/>
    <w:rsid w:val="00C00400"/>
    <w:rsid w:val="00C00B09"/>
    <w:rsid w:val="00C013DD"/>
    <w:rsid w:val="00C030DD"/>
    <w:rsid w:val="00C058F6"/>
    <w:rsid w:val="00C07CD0"/>
    <w:rsid w:val="00C12BF4"/>
    <w:rsid w:val="00C20096"/>
    <w:rsid w:val="00C26B3C"/>
    <w:rsid w:val="00C27BED"/>
    <w:rsid w:val="00C30560"/>
    <w:rsid w:val="00C307A1"/>
    <w:rsid w:val="00C317C5"/>
    <w:rsid w:val="00C36C3A"/>
    <w:rsid w:val="00C45164"/>
    <w:rsid w:val="00C47EB4"/>
    <w:rsid w:val="00C51013"/>
    <w:rsid w:val="00C52E9F"/>
    <w:rsid w:val="00C5345F"/>
    <w:rsid w:val="00C53761"/>
    <w:rsid w:val="00C53D55"/>
    <w:rsid w:val="00C57763"/>
    <w:rsid w:val="00C70B0E"/>
    <w:rsid w:val="00C71EEE"/>
    <w:rsid w:val="00C7268D"/>
    <w:rsid w:val="00C73F78"/>
    <w:rsid w:val="00C75C0E"/>
    <w:rsid w:val="00C76FB8"/>
    <w:rsid w:val="00C7784D"/>
    <w:rsid w:val="00C8769F"/>
    <w:rsid w:val="00C97964"/>
    <w:rsid w:val="00CA23CD"/>
    <w:rsid w:val="00CA3FA8"/>
    <w:rsid w:val="00CB44C7"/>
    <w:rsid w:val="00CB457C"/>
    <w:rsid w:val="00CB5B62"/>
    <w:rsid w:val="00CB5EBD"/>
    <w:rsid w:val="00CB63D2"/>
    <w:rsid w:val="00CC2360"/>
    <w:rsid w:val="00CC31AA"/>
    <w:rsid w:val="00CC4C53"/>
    <w:rsid w:val="00CD2460"/>
    <w:rsid w:val="00CE788B"/>
    <w:rsid w:val="00CF1929"/>
    <w:rsid w:val="00CF43F6"/>
    <w:rsid w:val="00CF7CD1"/>
    <w:rsid w:val="00D052DB"/>
    <w:rsid w:val="00D06162"/>
    <w:rsid w:val="00D06FAD"/>
    <w:rsid w:val="00D115AE"/>
    <w:rsid w:val="00D14476"/>
    <w:rsid w:val="00D1522B"/>
    <w:rsid w:val="00D152EC"/>
    <w:rsid w:val="00D200F1"/>
    <w:rsid w:val="00D21C7F"/>
    <w:rsid w:val="00D317E1"/>
    <w:rsid w:val="00D32748"/>
    <w:rsid w:val="00D43D59"/>
    <w:rsid w:val="00D44479"/>
    <w:rsid w:val="00D449E4"/>
    <w:rsid w:val="00D459A6"/>
    <w:rsid w:val="00D461EF"/>
    <w:rsid w:val="00D476A7"/>
    <w:rsid w:val="00D50A47"/>
    <w:rsid w:val="00D525E2"/>
    <w:rsid w:val="00D564D3"/>
    <w:rsid w:val="00D56549"/>
    <w:rsid w:val="00D57420"/>
    <w:rsid w:val="00D574DD"/>
    <w:rsid w:val="00D63765"/>
    <w:rsid w:val="00D637A0"/>
    <w:rsid w:val="00D6644E"/>
    <w:rsid w:val="00D734D6"/>
    <w:rsid w:val="00D73A92"/>
    <w:rsid w:val="00D76D67"/>
    <w:rsid w:val="00D80277"/>
    <w:rsid w:val="00D81567"/>
    <w:rsid w:val="00D8333E"/>
    <w:rsid w:val="00D844B5"/>
    <w:rsid w:val="00D87555"/>
    <w:rsid w:val="00D953F3"/>
    <w:rsid w:val="00DA2ABB"/>
    <w:rsid w:val="00DA4220"/>
    <w:rsid w:val="00DB03D5"/>
    <w:rsid w:val="00DB5790"/>
    <w:rsid w:val="00DB6720"/>
    <w:rsid w:val="00DC7A73"/>
    <w:rsid w:val="00DD56AF"/>
    <w:rsid w:val="00DD58F4"/>
    <w:rsid w:val="00DD62D8"/>
    <w:rsid w:val="00DD630F"/>
    <w:rsid w:val="00DD6691"/>
    <w:rsid w:val="00DE21A7"/>
    <w:rsid w:val="00DE3FEC"/>
    <w:rsid w:val="00DE533D"/>
    <w:rsid w:val="00DF47B5"/>
    <w:rsid w:val="00E0107E"/>
    <w:rsid w:val="00E03F9C"/>
    <w:rsid w:val="00E10921"/>
    <w:rsid w:val="00E2147D"/>
    <w:rsid w:val="00E221A8"/>
    <w:rsid w:val="00E2260B"/>
    <w:rsid w:val="00E33790"/>
    <w:rsid w:val="00E450DE"/>
    <w:rsid w:val="00E45C82"/>
    <w:rsid w:val="00E464C3"/>
    <w:rsid w:val="00E50749"/>
    <w:rsid w:val="00E5124B"/>
    <w:rsid w:val="00E5310B"/>
    <w:rsid w:val="00E53F99"/>
    <w:rsid w:val="00E547A5"/>
    <w:rsid w:val="00E5602A"/>
    <w:rsid w:val="00E56425"/>
    <w:rsid w:val="00E56DBD"/>
    <w:rsid w:val="00E56E4C"/>
    <w:rsid w:val="00E57E76"/>
    <w:rsid w:val="00E60B1C"/>
    <w:rsid w:val="00E61784"/>
    <w:rsid w:val="00E6602A"/>
    <w:rsid w:val="00E67D9F"/>
    <w:rsid w:val="00E74F3F"/>
    <w:rsid w:val="00E7597A"/>
    <w:rsid w:val="00E759A4"/>
    <w:rsid w:val="00E779D9"/>
    <w:rsid w:val="00E83E86"/>
    <w:rsid w:val="00E841FC"/>
    <w:rsid w:val="00E86958"/>
    <w:rsid w:val="00E920A8"/>
    <w:rsid w:val="00E93AD0"/>
    <w:rsid w:val="00EB47F0"/>
    <w:rsid w:val="00EC22EF"/>
    <w:rsid w:val="00EC7C2D"/>
    <w:rsid w:val="00ED0B3D"/>
    <w:rsid w:val="00ED44E4"/>
    <w:rsid w:val="00ED4F8A"/>
    <w:rsid w:val="00EE191B"/>
    <w:rsid w:val="00EE2E18"/>
    <w:rsid w:val="00EE6097"/>
    <w:rsid w:val="00EF55E6"/>
    <w:rsid w:val="00EF5F1C"/>
    <w:rsid w:val="00F0030E"/>
    <w:rsid w:val="00F02345"/>
    <w:rsid w:val="00F13B73"/>
    <w:rsid w:val="00F2531D"/>
    <w:rsid w:val="00F26686"/>
    <w:rsid w:val="00F2758C"/>
    <w:rsid w:val="00F36BF4"/>
    <w:rsid w:val="00F37189"/>
    <w:rsid w:val="00F41D06"/>
    <w:rsid w:val="00F43404"/>
    <w:rsid w:val="00F45626"/>
    <w:rsid w:val="00F457F8"/>
    <w:rsid w:val="00F47357"/>
    <w:rsid w:val="00F523D5"/>
    <w:rsid w:val="00F5412A"/>
    <w:rsid w:val="00F553EC"/>
    <w:rsid w:val="00F61161"/>
    <w:rsid w:val="00F65679"/>
    <w:rsid w:val="00F664C5"/>
    <w:rsid w:val="00F719BF"/>
    <w:rsid w:val="00F72D61"/>
    <w:rsid w:val="00F76554"/>
    <w:rsid w:val="00F772F0"/>
    <w:rsid w:val="00F835EA"/>
    <w:rsid w:val="00F86DC7"/>
    <w:rsid w:val="00F939BC"/>
    <w:rsid w:val="00FA4479"/>
    <w:rsid w:val="00FA6F08"/>
    <w:rsid w:val="00FB127D"/>
    <w:rsid w:val="00FC29F9"/>
    <w:rsid w:val="00FD0A8D"/>
    <w:rsid w:val="00FD1FB9"/>
    <w:rsid w:val="00FD2F2D"/>
    <w:rsid w:val="00FF0999"/>
    <w:rsid w:val="00FF47A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21"/>
    <o:shapelayout v:ext="edit">
      <o:idmap v:ext="edit" data="1"/>
    </o:shapelayout>
  </w:shapeDefaults>
  <w:decimalSymbol w:val="."/>
  <w:listSeparator w:val=","/>
  <w14:docId w14:val="666BBA0D"/>
  <w15:docId w15:val="{717E5B65-9005-4489-86C2-B7C0A9F3F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locked="1"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3FE9"/>
    <w:pPr>
      <w:spacing w:before="120" w:after="120"/>
    </w:pPr>
    <w:rPr>
      <w:rFonts w:asciiTheme="majorHAnsi" w:hAnsiTheme="majorHAnsi"/>
      <w:sz w:val="22"/>
      <w:szCs w:val="24"/>
    </w:rPr>
  </w:style>
  <w:style w:type="paragraph" w:styleId="Heading1">
    <w:name w:val="heading 1"/>
    <w:basedOn w:val="Normal"/>
    <w:next w:val="Normal"/>
    <w:autoRedefine/>
    <w:qFormat/>
    <w:rsid w:val="00E221A8"/>
    <w:pPr>
      <w:keepNext/>
      <w:spacing w:after="200"/>
      <w:outlineLvl w:val="0"/>
    </w:pPr>
    <w:rPr>
      <w:rFonts w:cs="Arial"/>
      <w:b/>
      <w:bCs/>
      <w:color w:val="005677"/>
      <w:kern w:val="32"/>
      <w:sz w:val="40"/>
      <w:szCs w:val="44"/>
    </w:rPr>
  </w:style>
  <w:style w:type="paragraph" w:styleId="Heading2">
    <w:name w:val="heading 2"/>
    <w:basedOn w:val="Normal"/>
    <w:next w:val="Normal"/>
    <w:autoRedefine/>
    <w:qFormat/>
    <w:rsid w:val="006258CE"/>
    <w:pPr>
      <w:keepNext/>
      <w:spacing w:after="200"/>
      <w:outlineLvl w:val="1"/>
    </w:pPr>
    <w:rPr>
      <w:rFonts w:cs="Arial"/>
      <w:b/>
      <w:bCs/>
      <w:iCs/>
      <w:sz w:val="36"/>
      <w:szCs w:val="28"/>
    </w:rPr>
  </w:style>
  <w:style w:type="paragraph" w:styleId="Heading3">
    <w:name w:val="heading 3"/>
    <w:basedOn w:val="Normal"/>
    <w:next w:val="Normal"/>
    <w:autoRedefine/>
    <w:qFormat/>
    <w:rsid w:val="00E221A8"/>
    <w:pPr>
      <w:keepNext/>
      <w:spacing w:after="200"/>
      <w:outlineLvl w:val="2"/>
    </w:pPr>
    <w:rPr>
      <w:rFonts w:cs="Arial"/>
      <w:b/>
      <w:bCs/>
      <w:color w:val="005677"/>
      <w:sz w:val="32"/>
      <w:szCs w:val="26"/>
    </w:rPr>
  </w:style>
  <w:style w:type="paragraph" w:styleId="Heading4">
    <w:name w:val="heading 4"/>
    <w:basedOn w:val="Normal"/>
    <w:next w:val="Normal"/>
    <w:autoRedefine/>
    <w:qFormat/>
    <w:rsid w:val="00D32748"/>
    <w:pPr>
      <w:keepNext/>
      <w:spacing w:after="200"/>
      <w:outlineLvl w:val="3"/>
    </w:pPr>
    <w:rPr>
      <w:b/>
      <w:bCs/>
      <w:sz w:val="28"/>
      <w:szCs w:val="28"/>
    </w:rPr>
  </w:style>
  <w:style w:type="paragraph" w:styleId="Heading5">
    <w:name w:val="heading 5"/>
    <w:basedOn w:val="Normal"/>
    <w:next w:val="Normal"/>
    <w:autoRedefine/>
    <w:qFormat/>
    <w:rsid w:val="00E221A8"/>
    <w:pPr>
      <w:spacing w:after="200"/>
      <w:outlineLvl w:val="4"/>
    </w:pPr>
    <w:rPr>
      <w:b/>
      <w:bCs/>
      <w:color w:val="005677"/>
      <w:sz w:val="26"/>
      <w:szCs w:val="26"/>
    </w:rPr>
  </w:style>
  <w:style w:type="paragraph" w:styleId="Heading6">
    <w:name w:val="heading 6"/>
    <w:basedOn w:val="Normal"/>
    <w:next w:val="Normal"/>
    <w:autoRedefine/>
    <w:qFormat/>
    <w:rsid w:val="00533FE9"/>
    <w:pPr>
      <w:spacing w:after="200"/>
      <w:outlineLvl w:val="5"/>
    </w:pPr>
    <w:rPr>
      <w:b/>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ISRTEFOOTER">
    <w:name w:val="DIISRTE FOOTER"/>
    <w:basedOn w:val="Normal"/>
    <w:autoRedefine/>
    <w:locked/>
    <w:rsid w:val="000164B3"/>
    <w:pPr>
      <w:tabs>
        <w:tab w:val="center" w:pos="4320"/>
        <w:tab w:val="right" w:pos="8640"/>
      </w:tabs>
      <w:spacing w:before="0" w:after="0" w:line="360" w:lineRule="auto"/>
      <w:ind w:right="360"/>
      <w:jc w:val="right"/>
    </w:pPr>
    <w:rPr>
      <w:sz w:val="16"/>
    </w:rPr>
  </w:style>
  <w:style w:type="paragraph" w:styleId="BodyTextIndent2">
    <w:name w:val="Body Text Indent 2"/>
    <w:basedOn w:val="Normal"/>
    <w:semiHidden/>
    <w:rsid w:val="00D317E1"/>
    <w:pPr>
      <w:spacing w:line="480" w:lineRule="auto"/>
      <w:ind w:left="283"/>
    </w:pPr>
  </w:style>
  <w:style w:type="paragraph" w:customStyle="1" w:styleId="CSMsubheadings">
    <w:name w:val="CSM sub headings"/>
    <w:basedOn w:val="Normal"/>
    <w:semiHidden/>
    <w:locked/>
    <w:rsid w:val="00D317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567"/>
    </w:pPr>
    <w:rPr>
      <w:rFonts w:ascii="Helvetica" w:hAnsi="Helvetica"/>
      <w:b/>
      <w:color w:val="56678E"/>
      <w:lang w:val="en-US"/>
    </w:rPr>
  </w:style>
  <w:style w:type="table" w:customStyle="1" w:styleId="DIISRTETableThree">
    <w:name w:val="DIISRTE Table Three"/>
    <w:basedOn w:val="TableNormal"/>
    <w:locked/>
    <w:rsid w:val="004F5E76"/>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Symbol" w:hAnsi="Symbol"/>
        <w:b/>
        <w:sz w:val="20"/>
      </w:rPr>
    </w:tblStylePr>
    <w:tblStylePr w:type="lastRow">
      <w:rPr>
        <w:rFonts w:ascii="Symbol" w:hAnsi="Symbol"/>
        <w:b/>
        <w:sz w:val="20"/>
      </w:rPr>
    </w:tblStylePr>
    <w:tblStylePr w:type="firstCol">
      <w:rPr>
        <w:rFonts w:ascii="Symbol" w:hAnsi="Symbol"/>
        <w:b/>
        <w:sz w:val="20"/>
      </w:rPr>
    </w:tblStylePr>
  </w:style>
  <w:style w:type="table" w:customStyle="1" w:styleId="DIISRTETableTwo">
    <w:name w:val="DIISRTE Table Two"/>
    <w:basedOn w:val="TableNormal"/>
    <w:locked/>
    <w:rsid w:val="004F5E76"/>
    <w:rPr>
      <w:rFonts w:ascii="Arial" w:hAnsi="Arial"/>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blStylePr w:type="firstRow">
      <w:rPr>
        <w:rFonts w:ascii="Symbol" w:hAnsi="Symbol"/>
        <w:b/>
        <w:sz w:val="20"/>
      </w:rPr>
    </w:tblStylePr>
    <w:tblStylePr w:type="firstCol">
      <w:rPr>
        <w:rFonts w:ascii="Symbol" w:hAnsi="Symbol"/>
        <w:b/>
        <w:sz w:val="20"/>
      </w:rPr>
    </w:tblStylePr>
    <w:tblStylePr w:type="lastCol">
      <w:rPr>
        <w:b/>
      </w:rPr>
      <w:tblPr/>
      <w:tcPr>
        <w:tcBorders>
          <w:top w:val="nil"/>
          <w:left w:val="nil"/>
          <w:bottom w:val="nil"/>
          <w:right w:val="nil"/>
          <w:insideH w:val="nil"/>
          <w:insideV w:val="nil"/>
          <w:tl2br w:val="nil"/>
          <w:tr2bl w:val="nil"/>
        </w:tcBorders>
      </w:tcPr>
    </w:tblStylePr>
  </w:style>
  <w:style w:type="paragraph" w:customStyle="1" w:styleId="FMHeader">
    <w:name w:val="FM Header"/>
    <w:semiHidden/>
    <w:locked/>
    <w:rsid w:val="00D317E1"/>
    <w:pPr>
      <w:spacing w:before="120" w:after="120" w:line="360" w:lineRule="auto"/>
    </w:pPr>
    <w:rPr>
      <w:rFonts w:ascii="Arial" w:hAnsi="Arial"/>
      <w:b/>
      <w:color w:val="165387"/>
      <w:sz w:val="40"/>
      <w:szCs w:val="24"/>
    </w:rPr>
  </w:style>
  <w:style w:type="paragraph" w:customStyle="1" w:styleId="PilbrowBodyText">
    <w:name w:val="Pilbrow Body Text"/>
    <w:semiHidden/>
    <w:locked/>
    <w:rsid w:val="00D317E1"/>
    <w:pPr>
      <w:spacing w:before="120" w:after="120" w:line="360" w:lineRule="auto"/>
      <w:ind w:left="-425" w:right="-204"/>
    </w:pPr>
    <w:rPr>
      <w:rFonts w:ascii="Arial" w:hAnsi="Arial"/>
      <w:b/>
      <w:color w:val="D35200"/>
      <w:sz w:val="28"/>
      <w:szCs w:val="24"/>
    </w:rPr>
  </w:style>
  <w:style w:type="paragraph" w:customStyle="1" w:styleId="PilbrowHeaderCover">
    <w:name w:val="Pilbrow Header Cover"/>
    <w:semiHidden/>
    <w:locked/>
    <w:rsid w:val="00D317E1"/>
    <w:pPr>
      <w:spacing w:before="360" w:after="360"/>
      <w:ind w:left="-425" w:right="-204"/>
    </w:pPr>
    <w:rPr>
      <w:rFonts w:ascii="Arial" w:hAnsi="Arial"/>
      <w:b/>
      <w:color w:val="D1530B"/>
      <w:sz w:val="48"/>
      <w:szCs w:val="24"/>
    </w:rPr>
  </w:style>
  <w:style w:type="paragraph" w:customStyle="1" w:styleId="PilbrowHeaderOne">
    <w:name w:val="Pilbrow Header One"/>
    <w:next w:val="PilbrowBodyText"/>
    <w:semiHidden/>
    <w:locked/>
    <w:rsid w:val="00D317E1"/>
    <w:rPr>
      <w:rFonts w:ascii="Arial" w:hAnsi="Arial"/>
      <w:b/>
      <w:color w:val="D35200"/>
      <w:sz w:val="32"/>
      <w:szCs w:val="24"/>
    </w:rPr>
  </w:style>
  <w:style w:type="paragraph" w:customStyle="1" w:styleId="PilbrowHeaderOnenotab">
    <w:name w:val="Pilbrow Header One (no tab)"/>
    <w:semiHidden/>
    <w:locked/>
    <w:rsid w:val="00D317E1"/>
    <w:rPr>
      <w:rFonts w:ascii="Arial" w:hAnsi="Arial"/>
      <w:b/>
      <w:color w:val="D35200"/>
      <w:sz w:val="32"/>
      <w:szCs w:val="24"/>
    </w:rPr>
  </w:style>
  <w:style w:type="paragraph" w:customStyle="1" w:styleId="PilbrowHeaderTwo">
    <w:name w:val="Pilbrow Header Two"/>
    <w:basedOn w:val="PilbrowBodyText"/>
    <w:semiHidden/>
    <w:locked/>
    <w:rsid w:val="00D317E1"/>
    <w:rPr>
      <w:color w:val="333333"/>
    </w:rPr>
  </w:style>
  <w:style w:type="paragraph" w:customStyle="1" w:styleId="PilbrowSubHeaderCover">
    <w:name w:val="Pilbrow Sub Header Cover"/>
    <w:basedOn w:val="PilbrowHeaderCover"/>
    <w:semiHidden/>
    <w:locked/>
    <w:rsid w:val="00D317E1"/>
    <w:rPr>
      <w:color w:val="333333"/>
      <w:sz w:val="36"/>
    </w:rPr>
  </w:style>
  <w:style w:type="paragraph" w:customStyle="1" w:styleId="PlibrowHeaderOnenotab">
    <w:name w:val="Plibrow Header One (no tab)"/>
    <w:basedOn w:val="PilbrowBodyText"/>
    <w:semiHidden/>
    <w:locked/>
    <w:rsid w:val="00D317E1"/>
    <w:pPr>
      <w:ind w:left="0"/>
    </w:pPr>
    <w:rPr>
      <w:sz w:val="32"/>
    </w:rPr>
  </w:style>
  <w:style w:type="paragraph" w:styleId="Header">
    <w:name w:val="header"/>
    <w:basedOn w:val="Normal"/>
    <w:autoRedefine/>
    <w:rsid w:val="00226D9E"/>
    <w:pPr>
      <w:tabs>
        <w:tab w:val="center" w:pos="4320"/>
        <w:tab w:val="right" w:pos="8640"/>
      </w:tabs>
    </w:pPr>
    <w:rPr>
      <w:sz w:val="18"/>
    </w:rPr>
  </w:style>
  <w:style w:type="paragraph" w:styleId="TOC1">
    <w:name w:val="toc 1"/>
    <w:basedOn w:val="Normal"/>
    <w:next w:val="Normal"/>
    <w:autoRedefine/>
    <w:uiPriority w:val="39"/>
    <w:rsid w:val="00B8625F"/>
  </w:style>
  <w:style w:type="paragraph" w:styleId="ListBullet">
    <w:name w:val="List Bullet"/>
    <w:basedOn w:val="Normal"/>
    <w:autoRedefine/>
    <w:rsid w:val="00226D9E"/>
    <w:pPr>
      <w:numPr>
        <w:numId w:val="1"/>
      </w:numPr>
      <w:spacing w:after="200"/>
    </w:pPr>
  </w:style>
  <w:style w:type="paragraph" w:styleId="ListNumber">
    <w:name w:val="List Number"/>
    <w:basedOn w:val="Normal"/>
    <w:rsid w:val="00226D9E"/>
    <w:pPr>
      <w:numPr>
        <w:numId w:val="6"/>
      </w:numPr>
      <w:spacing w:after="200"/>
    </w:pPr>
  </w:style>
  <w:style w:type="table" w:customStyle="1" w:styleId="DIISRTETableOne">
    <w:name w:val="DIISRTE Table One"/>
    <w:basedOn w:val="TableNormal"/>
    <w:locked/>
    <w:rsid w:val="004F5E76"/>
    <w:rPr>
      <w:rFonts w:ascii="Arial" w:hAnsi="Arial"/>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blStylePr w:type="firstRow">
      <w:rPr>
        <w:rFonts w:ascii="Symbol" w:hAnsi="Symbol"/>
        <w:b/>
        <w:sz w:val="20"/>
      </w:rPr>
    </w:tblStylePr>
    <w:tblStylePr w:type="firstCol">
      <w:rPr>
        <w:rFonts w:ascii="Symbol" w:hAnsi="Symbol"/>
        <w:b/>
        <w:sz w:val="20"/>
      </w:rPr>
    </w:tblStylePr>
  </w:style>
  <w:style w:type="paragraph" w:styleId="TOC2">
    <w:name w:val="toc 2"/>
    <w:basedOn w:val="Normal"/>
    <w:next w:val="Normal"/>
    <w:autoRedefine/>
    <w:uiPriority w:val="39"/>
    <w:rsid w:val="00BF04AB"/>
    <w:pPr>
      <w:tabs>
        <w:tab w:val="right" w:leader="dot" w:pos="8296"/>
      </w:tabs>
    </w:pPr>
  </w:style>
  <w:style w:type="paragraph" w:styleId="TOC3">
    <w:name w:val="toc 3"/>
    <w:basedOn w:val="Normal"/>
    <w:next w:val="Normal"/>
    <w:autoRedefine/>
    <w:uiPriority w:val="39"/>
    <w:rsid w:val="00BF04AB"/>
    <w:pPr>
      <w:tabs>
        <w:tab w:val="right" w:leader="dot" w:pos="8296"/>
      </w:tabs>
      <w:ind w:left="238"/>
    </w:pPr>
  </w:style>
  <w:style w:type="paragraph" w:styleId="TOC4">
    <w:name w:val="toc 4"/>
    <w:basedOn w:val="Normal"/>
    <w:next w:val="Normal"/>
    <w:autoRedefine/>
    <w:uiPriority w:val="39"/>
    <w:rsid w:val="00832A1B"/>
    <w:pPr>
      <w:tabs>
        <w:tab w:val="right" w:leader="dot" w:pos="8296"/>
      </w:tabs>
      <w:ind w:left="482"/>
    </w:pPr>
  </w:style>
  <w:style w:type="paragraph" w:styleId="TOC5">
    <w:name w:val="toc 5"/>
    <w:basedOn w:val="Normal"/>
    <w:next w:val="Normal"/>
    <w:autoRedefine/>
    <w:uiPriority w:val="39"/>
    <w:rsid w:val="00181C19"/>
    <w:pPr>
      <w:ind w:left="960"/>
    </w:pPr>
  </w:style>
  <w:style w:type="character" w:styleId="Hyperlink">
    <w:name w:val="Hyperlink"/>
    <w:uiPriority w:val="99"/>
    <w:rsid w:val="005975A8"/>
    <w:rPr>
      <w:color w:val="0000FF"/>
      <w:u w:val="single"/>
    </w:rPr>
  </w:style>
  <w:style w:type="character" w:styleId="PageNumber">
    <w:name w:val="page number"/>
    <w:rsid w:val="0094658C"/>
    <w:rPr>
      <w:rFonts w:ascii="Arial" w:hAnsi="Arial"/>
      <w:sz w:val="16"/>
    </w:rPr>
  </w:style>
  <w:style w:type="paragraph" w:styleId="HTMLAddress">
    <w:name w:val="HTML Address"/>
    <w:basedOn w:val="Normal"/>
    <w:rsid w:val="00924A08"/>
    <w:rPr>
      <w:i/>
      <w:iCs/>
    </w:rPr>
  </w:style>
  <w:style w:type="character" w:styleId="Strong">
    <w:name w:val="Strong"/>
    <w:qFormat/>
    <w:rsid w:val="00916567"/>
    <w:rPr>
      <w:b/>
      <w:color w:val="auto"/>
    </w:rPr>
  </w:style>
  <w:style w:type="character" w:styleId="Emphasis">
    <w:name w:val="Emphasis"/>
    <w:qFormat/>
    <w:rsid w:val="00533FE9"/>
    <w:rPr>
      <w:i/>
      <w:color w:val="auto"/>
    </w:rPr>
  </w:style>
  <w:style w:type="paragraph" w:styleId="BodyTextIndent">
    <w:name w:val="Body Text Indent"/>
    <w:basedOn w:val="Normal"/>
    <w:next w:val="Normal"/>
    <w:autoRedefine/>
    <w:rsid w:val="009866F9"/>
    <w:pPr>
      <w:ind w:left="360"/>
    </w:pPr>
  </w:style>
  <w:style w:type="paragraph" w:styleId="Footer">
    <w:name w:val="footer"/>
    <w:basedOn w:val="Normal"/>
    <w:link w:val="FooterChar"/>
    <w:uiPriority w:val="99"/>
    <w:rsid w:val="00226D9E"/>
    <w:pPr>
      <w:tabs>
        <w:tab w:val="center" w:pos="4320"/>
        <w:tab w:val="right" w:pos="8640"/>
      </w:tabs>
    </w:pPr>
    <w:rPr>
      <w:sz w:val="18"/>
    </w:rPr>
  </w:style>
  <w:style w:type="paragraph" w:styleId="TOC6">
    <w:name w:val="toc 6"/>
    <w:basedOn w:val="Normal"/>
    <w:next w:val="Normal"/>
    <w:autoRedefine/>
    <w:semiHidden/>
    <w:rsid w:val="00946954"/>
    <w:pPr>
      <w:ind w:left="1200"/>
    </w:pPr>
  </w:style>
  <w:style w:type="paragraph" w:styleId="ListContinue2">
    <w:name w:val="List Continue 2"/>
    <w:basedOn w:val="Normal"/>
    <w:rsid w:val="00226D9E"/>
    <w:pPr>
      <w:numPr>
        <w:numId w:val="12"/>
      </w:numPr>
      <w:spacing w:after="200"/>
    </w:pPr>
  </w:style>
  <w:style w:type="paragraph" w:styleId="BodyText">
    <w:name w:val="Body Text"/>
    <w:basedOn w:val="Normal"/>
    <w:rsid w:val="00D32748"/>
    <w:pPr>
      <w:spacing w:after="200"/>
    </w:pPr>
  </w:style>
  <w:style w:type="paragraph" w:styleId="ListContinue">
    <w:name w:val="List Continue"/>
    <w:basedOn w:val="Normal"/>
    <w:rsid w:val="00EC7C2D"/>
    <w:pPr>
      <w:numPr>
        <w:numId w:val="11"/>
      </w:numPr>
      <w:spacing w:after="200"/>
    </w:pPr>
  </w:style>
  <w:style w:type="paragraph" w:styleId="Caption">
    <w:name w:val="caption"/>
    <w:basedOn w:val="Normal"/>
    <w:next w:val="Normal"/>
    <w:qFormat/>
    <w:rsid w:val="00226D9E"/>
    <w:rPr>
      <w:rFonts w:eastAsia="MS Mincho"/>
      <w:b/>
      <w:sz w:val="18"/>
      <w:lang w:val="en-US"/>
    </w:rPr>
  </w:style>
  <w:style w:type="paragraph" w:styleId="BlockText">
    <w:name w:val="Block Text"/>
    <w:basedOn w:val="Normal"/>
    <w:rsid w:val="00D32748"/>
    <w:pPr>
      <w:spacing w:after="200"/>
      <w:ind w:left="357" w:right="357"/>
    </w:pPr>
    <w:rPr>
      <w:rFonts w:eastAsia="MS Mincho"/>
      <w:color w:val="000000"/>
      <w:sz w:val="20"/>
      <w:lang w:val="en-US"/>
    </w:rPr>
  </w:style>
  <w:style w:type="paragraph" w:styleId="BalloonText">
    <w:name w:val="Balloon Text"/>
    <w:basedOn w:val="Normal"/>
    <w:link w:val="BalloonTextChar"/>
    <w:rsid w:val="006707FC"/>
    <w:rPr>
      <w:rFonts w:ascii="Lucida Grande" w:hAnsi="Lucida Grande" w:cs="Lucida Grande"/>
      <w:sz w:val="18"/>
      <w:szCs w:val="18"/>
    </w:rPr>
  </w:style>
  <w:style w:type="character" w:customStyle="1" w:styleId="BalloonTextChar">
    <w:name w:val="Balloon Text Char"/>
    <w:basedOn w:val="DefaultParagraphFont"/>
    <w:link w:val="BalloonText"/>
    <w:rsid w:val="006707FC"/>
    <w:rPr>
      <w:rFonts w:ascii="Lucida Grande" w:hAnsi="Lucida Grande" w:cs="Lucida Grande"/>
      <w:color w:val="333333"/>
      <w:sz w:val="18"/>
      <w:szCs w:val="18"/>
    </w:rPr>
  </w:style>
  <w:style w:type="character" w:customStyle="1" w:styleId="FooterChar">
    <w:name w:val="Footer Char"/>
    <w:basedOn w:val="DefaultParagraphFont"/>
    <w:link w:val="Footer"/>
    <w:uiPriority w:val="99"/>
    <w:rsid w:val="006665F4"/>
    <w:rPr>
      <w:rFonts w:asciiTheme="majorHAnsi" w:hAnsiTheme="majorHAnsi"/>
      <w:color w:val="333333"/>
      <w:sz w:val="18"/>
      <w:szCs w:val="24"/>
    </w:rPr>
  </w:style>
  <w:style w:type="table" w:styleId="TableGrid">
    <w:name w:val="Table Grid"/>
    <w:basedOn w:val="TableNormal"/>
    <w:uiPriority w:val="59"/>
    <w:rsid w:val="006528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1F677C"/>
    <w:pPr>
      <w:ind w:left="720"/>
      <w:contextualSpacing/>
    </w:pPr>
  </w:style>
  <w:style w:type="paragraph" w:customStyle="1" w:styleId="Numbered">
    <w:name w:val="Numbered"/>
    <w:basedOn w:val="ListParagraph"/>
    <w:link w:val="NumberedChar"/>
    <w:qFormat/>
    <w:rsid w:val="001F677C"/>
    <w:pPr>
      <w:numPr>
        <w:numId w:val="15"/>
      </w:numPr>
      <w:ind w:left="357" w:hanging="357"/>
      <w:contextualSpacing w:val="0"/>
    </w:pPr>
  </w:style>
  <w:style w:type="character" w:customStyle="1" w:styleId="ListParagraphChar">
    <w:name w:val="List Paragraph Char"/>
    <w:basedOn w:val="DefaultParagraphFont"/>
    <w:link w:val="ListParagraph"/>
    <w:uiPriority w:val="34"/>
    <w:rsid w:val="001F677C"/>
    <w:rPr>
      <w:rFonts w:asciiTheme="majorHAnsi" w:hAnsiTheme="majorHAnsi"/>
      <w:color w:val="333333"/>
      <w:sz w:val="22"/>
      <w:szCs w:val="24"/>
    </w:rPr>
  </w:style>
  <w:style w:type="character" w:customStyle="1" w:styleId="NumberedChar">
    <w:name w:val="Numbered Char"/>
    <w:basedOn w:val="ListParagraphChar"/>
    <w:link w:val="Numbered"/>
    <w:rsid w:val="001F677C"/>
    <w:rPr>
      <w:rFonts w:asciiTheme="majorHAnsi" w:hAnsiTheme="majorHAnsi"/>
      <w:color w:val="333333"/>
      <w:sz w:val="22"/>
      <w:szCs w:val="24"/>
    </w:rPr>
  </w:style>
  <w:style w:type="paragraph" w:customStyle="1" w:styleId="Nospace">
    <w:name w:val="No space"/>
    <w:basedOn w:val="Normal"/>
    <w:link w:val="NospaceChar"/>
    <w:qFormat/>
    <w:rsid w:val="00533FE9"/>
    <w:pPr>
      <w:spacing w:before="0" w:after="0"/>
    </w:pPr>
  </w:style>
  <w:style w:type="paragraph" w:customStyle="1" w:styleId="Bullets">
    <w:name w:val="Bullets"/>
    <w:basedOn w:val="ListParagraph"/>
    <w:link w:val="BulletsChar"/>
    <w:qFormat/>
    <w:rsid w:val="00533FE9"/>
    <w:pPr>
      <w:numPr>
        <w:numId w:val="16"/>
      </w:numPr>
      <w:ind w:left="357" w:hanging="357"/>
      <w:contextualSpacing w:val="0"/>
    </w:pPr>
  </w:style>
  <w:style w:type="character" w:customStyle="1" w:styleId="NospaceChar">
    <w:name w:val="No space Char"/>
    <w:basedOn w:val="DefaultParagraphFont"/>
    <w:link w:val="Nospace"/>
    <w:rsid w:val="00533FE9"/>
    <w:rPr>
      <w:rFonts w:asciiTheme="majorHAnsi" w:hAnsiTheme="majorHAnsi"/>
      <w:sz w:val="22"/>
      <w:szCs w:val="24"/>
    </w:rPr>
  </w:style>
  <w:style w:type="character" w:customStyle="1" w:styleId="BulletsChar">
    <w:name w:val="Bullets Char"/>
    <w:basedOn w:val="ListParagraphChar"/>
    <w:link w:val="Bullets"/>
    <w:rsid w:val="00533FE9"/>
    <w:rPr>
      <w:rFonts w:asciiTheme="majorHAnsi" w:hAnsiTheme="majorHAnsi"/>
      <w:color w:val="333333"/>
      <w:sz w:val="22"/>
      <w:szCs w:val="24"/>
    </w:rPr>
  </w:style>
  <w:style w:type="paragraph" w:styleId="TOCHeading">
    <w:name w:val="TOC Heading"/>
    <w:basedOn w:val="Heading1"/>
    <w:next w:val="Normal"/>
    <w:uiPriority w:val="39"/>
    <w:unhideWhenUsed/>
    <w:qFormat/>
    <w:rsid w:val="00F61161"/>
    <w:pPr>
      <w:keepLines/>
      <w:spacing w:before="480" w:after="0" w:line="276" w:lineRule="auto"/>
      <w:outlineLvl w:val="9"/>
    </w:pPr>
    <w:rPr>
      <w:rFonts w:eastAsiaTheme="majorEastAsia" w:cstheme="majorBidi"/>
      <w:color w:val="365F91" w:themeColor="accent1" w:themeShade="BF"/>
      <w:kern w:val="0"/>
      <w:sz w:val="28"/>
      <w:szCs w:val="28"/>
      <w:lang w:val="en-US" w:eastAsia="ja-JP"/>
    </w:rPr>
  </w:style>
  <w:style w:type="character" w:styleId="PlaceholderText">
    <w:name w:val="Placeholder Text"/>
    <w:basedOn w:val="DefaultParagraphFont"/>
    <w:uiPriority w:val="67"/>
    <w:rsid w:val="00532B66"/>
    <w:rPr>
      <w:color w:val="808080"/>
    </w:rPr>
  </w:style>
  <w:style w:type="paragraph" w:styleId="Revision">
    <w:name w:val="Revision"/>
    <w:hidden/>
    <w:uiPriority w:val="71"/>
    <w:semiHidden/>
    <w:rsid w:val="0096245A"/>
    <w:rPr>
      <w:rFonts w:asciiTheme="majorHAnsi" w:hAnsiTheme="majorHAnsi"/>
      <w:sz w:val="22"/>
      <w:szCs w:val="24"/>
    </w:rPr>
  </w:style>
  <w:style w:type="character" w:styleId="CommentReference">
    <w:name w:val="annotation reference"/>
    <w:basedOn w:val="DefaultParagraphFont"/>
    <w:semiHidden/>
    <w:unhideWhenUsed/>
    <w:rsid w:val="00D06162"/>
    <w:rPr>
      <w:sz w:val="16"/>
      <w:szCs w:val="16"/>
    </w:rPr>
  </w:style>
  <w:style w:type="paragraph" w:styleId="CommentText">
    <w:name w:val="annotation text"/>
    <w:basedOn w:val="Normal"/>
    <w:link w:val="CommentTextChar"/>
    <w:semiHidden/>
    <w:unhideWhenUsed/>
    <w:rsid w:val="00D06162"/>
    <w:rPr>
      <w:sz w:val="20"/>
      <w:szCs w:val="20"/>
    </w:rPr>
  </w:style>
  <w:style w:type="character" w:customStyle="1" w:styleId="CommentTextChar">
    <w:name w:val="Comment Text Char"/>
    <w:basedOn w:val="DefaultParagraphFont"/>
    <w:link w:val="CommentText"/>
    <w:semiHidden/>
    <w:rsid w:val="00D06162"/>
    <w:rPr>
      <w:rFonts w:asciiTheme="majorHAnsi" w:hAnsiTheme="majorHAnsi"/>
    </w:rPr>
  </w:style>
  <w:style w:type="paragraph" w:styleId="CommentSubject">
    <w:name w:val="annotation subject"/>
    <w:basedOn w:val="CommentText"/>
    <w:next w:val="CommentText"/>
    <w:link w:val="CommentSubjectChar"/>
    <w:semiHidden/>
    <w:unhideWhenUsed/>
    <w:rsid w:val="00D06162"/>
    <w:rPr>
      <w:b/>
      <w:bCs/>
    </w:rPr>
  </w:style>
  <w:style w:type="character" w:customStyle="1" w:styleId="CommentSubjectChar">
    <w:name w:val="Comment Subject Char"/>
    <w:basedOn w:val="CommentTextChar"/>
    <w:link w:val="CommentSubject"/>
    <w:semiHidden/>
    <w:rsid w:val="00D06162"/>
    <w:rPr>
      <w:rFonts w:asciiTheme="majorHAnsi" w:hAnsiTheme="majorHAns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785736">
      <w:bodyDiv w:val="1"/>
      <w:marLeft w:val="0"/>
      <w:marRight w:val="0"/>
      <w:marTop w:val="0"/>
      <w:marBottom w:val="0"/>
      <w:divBdr>
        <w:top w:val="none" w:sz="0" w:space="0" w:color="auto"/>
        <w:left w:val="none" w:sz="0" w:space="0" w:color="auto"/>
        <w:bottom w:val="none" w:sz="0" w:space="0" w:color="auto"/>
        <w:right w:val="none" w:sz="0" w:space="0" w:color="auto"/>
      </w:divBdr>
    </w:div>
    <w:div w:id="1673072496">
      <w:bodyDiv w:val="1"/>
      <w:marLeft w:val="0"/>
      <w:marRight w:val="0"/>
      <w:marTop w:val="0"/>
      <w:marBottom w:val="0"/>
      <w:divBdr>
        <w:top w:val="none" w:sz="0" w:space="0" w:color="auto"/>
        <w:left w:val="none" w:sz="0" w:space="0" w:color="auto"/>
        <w:bottom w:val="none" w:sz="0" w:space="0" w:color="auto"/>
        <w:right w:val="none" w:sz="0" w:space="0" w:color="auto"/>
      </w:divBdr>
    </w:div>
    <w:div w:id="1864242004">
      <w:bodyDiv w:val="1"/>
      <w:marLeft w:val="0"/>
      <w:marRight w:val="0"/>
      <w:marTop w:val="0"/>
      <w:marBottom w:val="0"/>
      <w:divBdr>
        <w:top w:val="none" w:sz="0" w:space="0" w:color="auto"/>
        <w:left w:val="none" w:sz="0" w:space="0" w:color="auto"/>
        <w:bottom w:val="none" w:sz="0" w:space="0" w:color="auto"/>
        <w:right w:val="none" w:sz="0" w:space="0" w:color="auto"/>
      </w:divBdr>
    </w:div>
    <w:div w:id="21104189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http://www.industry.gov.au/aip" TargetMode="External"/><Relationship Id="rId3" Type="http://schemas.openxmlformats.org/officeDocument/2006/relationships/customXml" Target="../customXml/item3.xml"/><Relationship Id="rId21" Type="http://schemas.openxmlformats.org/officeDocument/2006/relationships/hyperlink" Target="http://www.industry.gov.au/aip" TargetMode="External"/><Relationship Id="rId34" Type="http://schemas.openxmlformats.org/officeDocument/2006/relationships/header" Target="header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industry.gov.au/aip" TargetMode="External"/><Relationship Id="rId33"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industry.gov.au/aip" TargetMode="Externa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aip@industry.gov.au" TargetMode="External"/><Relationship Id="rId32" Type="http://schemas.openxmlformats.org/officeDocument/2006/relationships/image" Target="media/image6.jpeg"/><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www.industry.gov.au/aip" TargetMode="External"/><Relationship Id="rId28" Type="http://schemas.openxmlformats.org/officeDocument/2006/relationships/image" Target="media/image2.jpeg"/><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industry.gov.au/aip" TargetMode="External"/><Relationship Id="rId31"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mailto:aip@industry.gov.au" TargetMode="External"/><Relationship Id="rId27" Type="http://schemas.openxmlformats.org/officeDocument/2006/relationships/hyperlink" Target="http://www.industry.gov.au/aip" TargetMode="External"/><Relationship Id="rId30" Type="http://schemas.openxmlformats.org/officeDocument/2006/relationships/image" Target="media/image4.jpeg"/><Relationship Id="rId35"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e2555c81638466f9eb614edb9ecde52 xmlns="498945f5-0448-4b4c-97d9-fcd4d7a5a1b1">
      <Terms xmlns="http://schemas.microsoft.com/office/infopath/2007/PartnerControls">
        <TermInfo xmlns="http://schemas.microsoft.com/office/infopath/2007/PartnerControls">
          <TermName>Template</TermName>
          <TermId>9b48ba34-650a-488d-9fe8-e5181e10b797</TermId>
        </TermInfo>
      </Terms>
    </pe2555c81638466f9eb614edb9ecde52>
    <a3abd1c0c7bd4d66b784ef4fa32239ba xmlns="498945f5-0448-4b4c-97d9-fcd4d7a5a1b1">
      <Terms xmlns="http://schemas.microsoft.com/office/infopath/2007/PartnerControls"/>
    </a3abd1c0c7bd4d66b784ef4fa32239ba>
    <TaxCatchAll xmlns="498945f5-0448-4b4c-97d9-fcd4d7a5a1b1">
      <Value>469</Value>
      <Value>131</Value>
      <Value>3</Value>
      <Value>411</Value>
      <Value>917</Value>
    </TaxCatchAll>
    <g7cee4c3f49f4a8d957fe196d6fcc5b5 xmlns="498945f5-0448-4b4c-97d9-fcd4d7a5a1b1">
      <Terms xmlns="http://schemas.microsoft.com/office/infopath/2007/PartnerControls"/>
    </g7cee4c3f49f4a8d957fe196d6fcc5b5>
    <gb3e33fa1e184cc8a6b903667b37349e xmlns="498945f5-0448-4b4c-97d9-fcd4d7a5a1b1">
      <Terms xmlns="http://schemas.microsoft.com/office/infopath/2007/PartnerControls"/>
    </gb3e33fa1e184cc8a6b903667b37349e>
    <g7bcb40ba23249a78edca7d43a67c1c9 xmlns="498945f5-0448-4b4c-97d9-fcd4d7a5a1b1">
      <Terms xmlns="http://schemas.microsoft.com/office/infopath/2007/PartnerControls"/>
    </g7bcb40ba23249a78edca7d43a67c1c9>
    <g4ab3527caee4a08a8dfe7a94016710e xmlns="498945f5-0448-4b4c-97d9-fcd4d7a5a1b1">
      <Terms xmlns="http://schemas.microsoft.com/office/infopath/2007/PartnerControls"/>
    </g4ab3527caee4a08a8dfe7a94016710e>
    <kd778f5e510a4594a7afeace431f608b xmlns="498945f5-0448-4b4c-97d9-fcd4d7a5a1b1">
      <Terms xmlns="http://schemas.microsoft.com/office/infopath/2007/PartnerControls">
        <TermInfo xmlns="http://schemas.microsoft.com/office/infopath/2007/PartnerControls">
          <TermName xmlns="http://schemas.microsoft.com/office/infopath/2007/PartnerControls">Australian Jobs Act 2013</TermName>
          <TermId xmlns="http://schemas.microsoft.com/office/infopath/2007/PartnerControls">de541470-8165-45cb-854e-56057fb9bc95</TermId>
        </TermInfo>
      </Terms>
    </kd778f5e510a4594a7afeace431f608b>
    <d0152e49f1a7499baf10632c118877c0 xmlns="498945f5-0448-4b4c-97d9-fcd4d7a5a1b1">
      <Terms xmlns="http://schemas.microsoft.com/office/infopath/2007/PartnerControls">
        <TermInfo xmlns="http://schemas.microsoft.com/office/infopath/2007/PartnerControls">
          <TermName xmlns="http://schemas.microsoft.com/office/infopath/2007/PartnerControls">Draft</TermName>
          <TermId xmlns="http://schemas.microsoft.com/office/infopath/2007/PartnerControls">1533ee51-5320-46f9-b82f-5cafb7ad3cfc</TermId>
        </TermInfo>
      </Terms>
    </d0152e49f1a7499baf10632c118877c0>
    <h562caa41cd8435eb8b6f0bdc23e20a9 xmlns="498945f5-0448-4b4c-97d9-fcd4d7a5a1b1">
      <Terms xmlns="http://schemas.microsoft.com/office/infopath/2007/PartnerControls"/>
    </h562caa41cd8435eb8b6f0bdc23e20a9>
    <n99e4c9942c6404eb103464a00e6097b xmlns="498945f5-0448-4b4c-97d9-fcd4d7a5a1b1">
      <Terms xmlns="http://schemas.microsoft.com/office/infopath/2007/PartnerControls">
        <TermInfo xmlns="http://schemas.microsoft.com/office/infopath/2007/PartnerControls">
          <TermName xmlns="http://schemas.microsoft.com/office/infopath/2007/PartnerControls">2019</TermName>
          <TermId xmlns="http://schemas.microsoft.com/office/infopath/2007/PartnerControls">7e451fe0-4dc6-437a-a849-bab7965a9aee</TermId>
        </TermInfo>
      </Terms>
    </n99e4c9942c6404eb103464a00e6097b>
    <adb9bed2e36e4a93af574aeb444da63e xmlns="498945f5-0448-4b4c-97d9-fcd4d7a5a1b1">
      <Terms xmlns="http://schemas.microsoft.com/office/infopath/2007/PartnerControls"/>
    </adb9bed2e36e4a93af574aeb444da63e>
    <DocHub_PDMSNumber xmlns="498945f5-0448-4b4c-97d9-fcd4d7a5a1b1" xsi:nil="true"/>
    <aa25a1a23adf4c92a153145de6afe324 xmlns="498945f5-0448-4b4c-97d9-fcd4d7a5a1b1">
      <Terms xmlns="http://schemas.microsoft.com/office/infopath/2007/PartnerControls">
        <TermInfo xmlns="http://schemas.microsoft.com/office/infopath/2007/PartnerControls">
          <TermName>UNCLASSIFIED</TermName>
          <TermId>6106d03b-a1a0-4e30-9d91-d5e9fb4314f9</TermId>
        </TermInfo>
      </Terms>
    </aa25a1a23adf4c92a153145de6afe324>
    <Comments xmlns="http://schemas.microsoft.com/sharepoint/v3" xsi:nil="true"/>
    <_dlc_DocId xmlns="498945f5-0448-4b4c-97d9-fcd4d7a5a1b1">A3PSR54DD4M5-1752746618-513</_dlc_DocId>
    <_dlc_DocIdUrl xmlns="498945f5-0448-4b4c-97d9-fcd4d7a5a1b1">
      <Url>https://dochub/div/sectoralgrowthpolicy/businessfunctions/australianindustryparticipation/policydevelopment/_layouts/15/DocIdRedir.aspx?ID=A3PSR54DD4M5-1752746618-513</Url>
      <Description>A3PSR54DD4M5-1752746618-513</Description>
    </_dlc_DocIdUrl>
    <IconOverlay xmlns="http://schemas.microsoft.com/sharepoint/v4"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D575B0F898161E45841419861F54F501" ma:contentTypeVersion="29" ma:contentTypeDescription="Create a new document." ma:contentTypeScope="" ma:versionID="7d81e5f19f1b2829b07f0a4cf83c336c">
  <xsd:schema xmlns:xsd="http://www.w3.org/2001/XMLSchema" xmlns:xs="http://www.w3.org/2001/XMLSchema" xmlns:p="http://schemas.microsoft.com/office/2006/metadata/properties" xmlns:ns1="http://schemas.microsoft.com/sharepoint/v3" xmlns:ns2="498945f5-0448-4b4c-97d9-fcd4d7a5a1b1" xmlns:ns3="http://schemas.microsoft.com/sharepoint/v4" targetNamespace="http://schemas.microsoft.com/office/2006/metadata/properties" ma:root="true" ma:fieldsID="d334d993c197e5458b23fd9d3288116c" ns1:_="" ns2:_="" ns3:_="">
    <xsd:import namespace="http://schemas.microsoft.com/sharepoint/v3"/>
    <xsd:import namespace="498945f5-0448-4b4c-97d9-fcd4d7a5a1b1"/>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aa25a1a23adf4c92a153145de6afe324" minOccurs="0"/>
                <xsd:element ref="ns2:TaxCatchAll" minOccurs="0"/>
                <xsd:element ref="ns2:pe2555c81638466f9eb614edb9ecde52" minOccurs="0"/>
                <xsd:element ref="ns2:g7bcb40ba23249a78edca7d43a67c1c9" minOccurs="0"/>
                <xsd:element ref="ns2:adb9bed2e36e4a93af574aeb444da63e" minOccurs="0"/>
                <xsd:element ref="ns2:n99e4c9942c6404eb103464a00e6097b" minOccurs="0"/>
                <xsd:element ref="ns1:Comments" minOccurs="0"/>
                <xsd:element ref="ns2:DocHub_PDMSNumber" minOccurs="0"/>
                <xsd:element ref="ns2:kd778f5e510a4594a7afeace431f608b" minOccurs="0"/>
                <xsd:element ref="ns2:d0152e49f1a7499baf10632c118877c0" minOccurs="0"/>
                <xsd:element ref="ns2:g7cee4c3f49f4a8d957fe196d6fcc5b5" minOccurs="0"/>
                <xsd:element ref="ns2:a3abd1c0c7bd4d66b784ef4fa32239ba" minOccurs="0"/>
                <xsd:element ref="ns2:g4ab3527caee4a08a8dfe7a94016710e" minOccurs="0"/>
                <xsd:element ref="ns2:gb3e33fa1e184cc8a6b903667b37349e" minOccurs="0"/>
                <xsd:element ref="ns2:h562caa41cd8435eb8b6f0bdc23e20a9" minOccurs="0"/>
                <xsd:element ref="ns2:SharedWithUsers"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2" nillable="true" ma:displayName="Comments"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8945f5-0448-4b4c-97d9-fcd4d7a5a1b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aa25a1a23adf4c92a153145de6afe324" ma:index="12" ma:taxonomy="true" ma:internalName="aa25a1a23adf4c92a153145de6afe324" ma:taxonomyFieldName="DocHub_SecurityClassification" ma:displayName="Security Classification" ma:fieldId="{aa25a1a2-3adf-4c92-a153-145de6afe324}" ma:sspId="fb0313f7-9433-48c0-866e-9e0bbee59a50" ma:termSetId="f68a6a0b-bd85-4d9d-9c73-c45af096016b"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32c53e56-ba7a-482a-8980-6f177a156077}" ma:internalName="TaxCatchAll" ma:showField="CatchAllData" ma:web="498945f5-0448-4b4c-97d9-fcd4d7a5a1b1">
      <xsd:complexType>
        <xsd:complexContent>
          <xsd:extension base="dms:MultiChoiceLookup">
            <xsd:sequence>
              <xsd:element name="Value" type="dms:Lookup" maxOccurs="unbounded" minOccurs="0" nillable="true"/>
            </xsd:sequence>
          </xsd:extension>
        </xsd:complexContent>
      </xsd:complexType>
    </xsd:element>
    <xsd:element name="pe2555c81638466f9eb614edb9ecde52" ma:index="15" ma:taxonomy="true" ma:internalName="pe2555c81638466f9eb614edb9ecde52" ma:taxonomyFieldName="DocHub_DocumentType" ma:displayName="Document Type" ma:indexed="true" ma:fieldId="{9e2555c8-1638-466f-9eb6-14edb9ecde52}" ma:sspId="fb0313f7-9433-48c0-866e-9e0bbee59a50" ma:termSetId="0e4c18c5-28eb-4f9e-8056-b3cddd4b5d9b" ma:anchorId="00000000-0000-0000-0000-000000000000" ma:open="false" ma:isKeyword="false">
      <xsd:complexType>
        <xsd:sequence>
          <xsd:element ref="pc:Terms" minOccurs="0" maxOccurs="1"/>
        </xsd:sequence>
      </xsd:complexType>
    </xsd:element>
    <xsd:element name="g7bcb40ba23249a78edca7d43a67c1c9" ma:index="17" nillable="true" ma:taxonomy="true" ma:internalName="g7bcb40ba23249a78edca7d43a67c1c9" ma:taxonomyFieldName="DocHub_WorkActivity" ma:displayName="Work Activity" ma:indexed="true" ma:fieldId="{07bcb40b-a232-49a7-8edc-a7d43a67c1c9}" ma:sspId="fb0313f7-9433-48c0-866e-9e0bbee59a50" ma:termSetId="6713ebbd-194a-499f-ab84-a4d70e145fb7" ma:anchorId="00000000-0000-0000-0000-000000000000" ma:open="false" ma:isKeyword="false">
      <xsd:complexType>
        <xsd:sequence>
          <xsd:element ref="pc:Terms" minOccurs="0" maxOccurs="1"/>
        </xsd:sequence>
      </xsd:complexType>
    </xsd:element>
    <xsd:element name="adb9bed2e36e4a93af574aeb444da63e" ma:index="19" nillable="true" ma:taxonomy="true" ma:internalName="adb9bed2e36e4a93af574aeb444da63e" ma:taxonomyFieldName="DocHub_Keywords" ma:displayName="Division Keywords" ma:fieldId="{adb9bed2-e36e-4a93-af57-4aeb444da63e}" ma:taxonomyMulti="true" ma:sspId="fb0313f7-9433-48c0-866e-9e0bbee59a50" ma:termSetId="2bfc713d-067c-4d39-b284-75f65e0f335d" ma:anchorId="00000000-0000-0000-0000-000000000000" ma:open="true" ma:isKeyword="false">
      <xsd:complexType>
        <xsd:sequence>
          <xsd:element ref="pc:Terms" minOccurs="0" maxOccurs="1"/>
        </xsd:sequence>
      </xsd:complexType>
    </xsd:element>
    <xsd:element name="n99e4c9942c6404eb103464a00e6097b" ma:index="21" nillable="true" ma:taxonomy="true" ma:internalName="n99e4c9942c6404eb103464a00e6097b" ma:taxonomyFieldName="DocHub_Year" ma:displayName="Year" ma:indexed="true" ma:fieldId="{799e4c99-42c6-404e-b103-464a00e6097b}" ma:sspId="fb0313f7-9433-48c0-866e-9e0bbee59a50" ma:termSetId="07e1743d-d980-4fe7-a67d-b87ecf7f18f6" ma:anchorId="00000000-0000-0000-0000-000000000000" ma:open="false" ma:isKeyword="false">
      <xsd:complexType>
        <xsd:sequence>
          <xsd:element ref="pc:Terms" minOccurs="0" maxOccurs="1"/>
        </xsd:sequence>
      </xsd:complexType>
    </xsd:element>
    <xsd:element name="DocHub_PDMSNumber" ma:index="23" nillable="true" ma:displayName="PDMS Number" ma:description="Parliamentary Document Management System (PDMS) Reference Number" ma:internalName="DocHub_PDMSNumber">
      <xsd:simpleType>
        <xsd:restriction base="dms:Text"/>
      </xsd:simpleType>
    </xsd:element>
    <xsd:element name="kd778f5e510a4594a7afeace431f608b" ma:index="25" nillable="true" ma:taxonomy="true" ma:internalName="kd778f5e510a4594a7afeace431f608b" ma:taxonomyFieldName="DocHub_AIPCategory" ma:displayName="AIP Category" ma:default="" ma:fieldId="{4d778f5e-510a-4594-a7af-eace431f608b}" ma:sspId="fb0313f7-9433-48c0-866e-9e0bbee59a50" ma:termSetId="dfe8a085-28b5-4b66-bdbb-e17f0c2f9be6" ma:anchorId="00000000-0000-0000-0000-000000000000" ma:open="false" ma:isKeyword="false">
      <xsd:complexType>
        <xsd:sequence>
          <xsd:element ref="pc:Terms" minOccurs="0" maxOccurs="1"/>
        </xsd:sequence>
      </xsd:complexType>
    </xsd:element>
    <xsd:element name="d0152e49f1a7499baf10632c118877c0" ma:index="27" nillable="true" ma:taxonomy="true" ma:internalName="d0152e49f1a7499baf10632c118877c0" ma:taxonomyFieldName="DocHub_DocStatus" ma:displayName="Document Status" ma:default="" ma:fieldId="{d0152e49-f1a7-499b-af10-632c118877c0}" ma:sspId="fb0313f7-9433-48c0-866e-9e0bbee59a50" ma:termSetId="8aea78b8-ceb9-40f2-be8e-77cb01b41da4" ma:anchorId="00000000-0000-0000-0000-000000000000" ma:open="false" ma:isKeyword="false">
      <xsd:complexType>
        <xsd:sequence>
          <xsd:element ref="pc:Terms" minOccurs="0" maxOccurs="1"/>
        </xsd:sequence>
      </xsd:complexType>
    </xsd:element>
    <xsd:element name="g7cee4c3f49f4a8d957fe196d6fcc5b5" ma:index="29" nillable="true" ma:taxonomy="true" ma:internalName="g7cee4c3f49f4a8d957fe196d6fcc5b5" ma:taxonomyFieldName="DocHub_GovernmentEntities" ma:displayName="Government Entities" ma:fieldId="{07cee4c3-f49f-4a8d-957f-e196d6fcc5b5}" ma:taxonomyMulti="true" ma:sspId="fb0313f7-9433-48c0-866e-9e0bbee59a50" ma:termSetId="dadb9b88-24b6-471a-9d1e-c062637f92ad" ma:anchorId="00000000-0000-0000-0000-000000000000" ma:open="false" ma:isKeyword="false">
      <xsd:complexType>
        <xsd:sequence>
          <xsd:element ref="pc:Terms" minOccurs="0" maxOccurs="1"/>
        </xsd:sequence>
      </xsd:complexType>
    </xsd:element>
    <xsd:element name="a3abd1c0c7bd4d66b784ef4fa32239ba" ma:index="31" nillable="true" ma:taxonomy="true" ma:internalName="a3abd1c0c7bd4d66b784ef4fa32239ba" ma:taxonomyFieldName="DocHub_AIPProcess" ma:displayName="AIP Process" ma:default="" ma:fieldId="{a3abd1c0-c7bd-4d66-b784-ef4fa32239ba}" ma:sspId="fb0313f7-9433-48c0-866e-9e0bbee59a50" ma:termSetId="1a7deb33-59d4-4b99-bd59-ca7b05e42290" ma:anchorId="00000000-0000-0000-0000-000000000000" ma:open="false" ma:isKeyword="false">
      <xsd:complexType>
        <xsd:sequence>
          <xsd:element ref="pc:Terms" minOccurs="0" maxOccurs="1"/>
        </xsd:sequence>
      </xsd:complexType>
    </xsd:element>
    <xsd:element name="g4ab3527caee4a08a8dfe7a94016710e" ma:index="33" nillable="true" ma:taxonomy="true" ma:internalName="g4ab3527caee4a08a8dfe7a94016710e" ma:taxonomyFieldName="DocHub_ProjectProponent" ma:displayName="Project Proponent" ma:default="" ma:fieldId="{04ab3527-caee-4a08-a8df-e7a94016710e}" ma:sspId="fb0313f7-9433-48c0-866e-9e0bbee59a50" ma:termSetId="f0e9ecc6-7dbc-49d9-818e-f50741715af0" ma:anchorId="00000000-0000-0000-0000-000000000000" ma:open="false" ma:isKeyword="false">
      <xsd:complexType>
        <xsd:sequence>
          <xsd:element ref="pc:Terms" minOccurs="0" maxOccurs="1"/>
        </xsd:sequence>
      </xsd:complexType>
    </xsd:element>
    <xsd:element name="gb3e33fa1e184cc8a6b903667b37349e" ma:index="35" nillable="true" ma:taxonomy="true" ma:internalName="gb3e33fa1e184cc8a6b903667b37349e" ma:taxonomyFieldName="DocHub_Sector" ma:displayName="Sector" ma:default="" ma:fieldId="{0b3e33fa-1e18-4cc8-a6b9-03667b37349e}" ma:sspId="fb0313f7-9433-48c0-866e-9e0bbee59a50" ma:termSetId="0cba73ab-1548-411a-aa45-77f815974a08" ma:anchorId="00000000-0000-0000-0000-000000000000" ma:open="false" ma:isKeyword="false">
      <xsd:complexType>
        <xsd:sequence>
          <xsd:element ref="pc:Terms" minOccurs="0" maxOccurs="1"/>
        </xsd:sequence>
      </xsd:complexType>
    </xsd:element>
    <xsd:element name="h562caa41cd8435eb8b6f0bdc23e20a9" ma:index="36" nillable="true" ma:taxonomy="true" ma:internalName="h562caa41cd8435eb8b6f0bdc23e20a9" ma:taxonomyFieldName="DocHub_BriefingCorrespondenceType" ma:displayName="Briefing / Correspondence Type" ma:fieldId="{1562caa4-1cd8-435e-b8b6-f0bdc23e20a9}" ma:sspId="fb0313f7-9433-48c0-866e-9e0bbee59a50" ma:termSetId="caaae84e-cb57-45e4-b635-a2aae71a9e6c" ma:anchorId="00000000-0000-0000-0000-000000000000" ma:open="false" ma:isKeyword="false">
      <xsd:complexType>
        <xsd:sequence>
          <xsd:element ref="pc:Terms" minOccurs="0" maxOccurs="1"/>
        </xsd:sequence>
      </xsd:complexType>
    </xsd:element>
    <xsd:element name="SharedWithUsers" ma:index="3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D95EF-8CDF-4362-BA09-1C09EC182F35}">
  <ds:schemaRefs>
    <ds:schemaRef ds:uri="http://schemas.microsoft.com/sharepoint/v3/contenttype/forms"/>
  </ds:schemaRefs>
</ds:datastoreItem>
</file>

<file path=customXml/itemProps2.xml><?xml version="1.0" encoding="utf-8"?>
<ds:datastoreItem xmlns:ds="http://schemas.openxmlformats.org/officeDocument/2006/customXml" ds:itemID="{89F1A133-B894-4DE9-B7D3-16A3401C09D9}">
  <ds:schemaRefs>
    <ds:schemaRef ds:uri="http://schemas.microsoft.com/sharepoint/v4"/>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microsoft.com/sharepoint/v3"/>
    <ds:schemaRef ds:uri="498945f5-0448-4b4c-97d9-fcd4d7a5a1b1"/>
    <ds:schemaRef ds:uri="http://www.w3.org/XML/1998/namespace"/>
    <ds:schemaRef ds:uri="http://purl.org/dc/dcmitype/"/>
  </ds:schemaRefs>
</ds:datastoreItem>
</file>

<file path=customXml/itemProps3.xml><?xml version="1.0" encoding="utf-8"?>
<ds:datastoreItem xmlns:ds="http://schemas.openxmlformats.org/officeDocument/2006/customXml" ds:itemID="{CA4C0082-DB99-4727-BA15-03EC027B8A38}">
  <ds:schemaRefs>
    <ds:schemaRef ds:uri="http://schemas.microsoft.com/sharepoint/events"/>
  </ds:schemaRefs>
</ds:datastoreItem>
</file>

<file path=customXml/itemProps4.xml><?xml version="1.0" encoding="utf-8"?>
<ds:datastoreItem xmlns:ds="http://schemas.openxmlformats.org/officeDocument/2006/customXml" ds:itemID="{99CF76D2-FC5C-413F-B00E-0A4BA92B3D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98945f5-0448-4b4c-97d9-fcd4d7a5a1b1"/>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DB1BAC5-8170-4FE6-A49A-FFE0689A1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1311</TotalTime>
  <Pages>39</Pages>
  <Words>10364</Words>
  <Characters>60777</Characters>
  <Application>Microsoft Office Word</Application>
  <DocSecurity>0</DocSecurity>
  <Lines>506</Lines>
  <Paragraphs>141</Paragraphs>
  <ScaleCrop>false</ScaleCrop>
  <HeadingPairs>
    <vt:vector size="2" baseType="variant">
      <vt:variant>
        <vt:lpstr>Title</vt:lpstr>
      </vt:variant>
      <vt:variant>
        <vt:i4>1</vt:i4>
      </vt:variant>
    </vt:vector>
  </HeadingPairs>
  <TitlesOfParts>
    <vt:vector size="1" baseType="lpstr">
      <vt:lpstr>User Guide for developing an AIP plan</vt:lpstr>
    </vt:vector>
  </TitlesOfParts>
  <Company>DIISRTE</Company>
  <LinksUpToDate>false</LinksUpToDate>
  <CharactersWithSpaces>71000</CharactersWithSpaces>
  <SharedDoc>false</SharedDoc>
  <HLinks>
    <vt:vector size="6" baseType="variant">
      <vt:variant>
        <vt:i4>983161</vt:i4>
      </vt:variant>
      <vt:variant>
        <vt:i4>-1</vt:i4>
      </vt:variant>
      <vt:variant>
        <vt:i4>2053</vt:i4>
      </vt:variant>
      <vt:variant>
        <vt:i4>1</vt:i4>
      </vt:variant>
      <vt:variant>
        <vt:lpwstr>Word black header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User Guide for developing an AIP plan</dc:title>
  <dc:creator>Australian Industry Participation Authority</dc:creator>
  <cp:lastModifiedBy>Swarbrick, Richard</cp:lastModifiedBy>
  <cp:revision>75</cp:revision>
  <cp:lastPrinted>2019-07-03T07:16:00Z</cp:lastPrinted>
  <dcterms:created xsi:type="dcterms:W3CDTF">2019-02-22T07:02:00Z</dcterms:created>
  <dcterms:modified xsi:type="dcterms:W3CDTF">2019-07-03T07:25:00Z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y fmtid="{D5CDD505-2E9C-101B-9397-08002B2CF9AE}" pid="6" name="ContentTypeId">
    <vt:lpwstr>0x010100D575B0F898161E45841419861F54F501</vt:lpwstr>
  </property>
  <property fmtid="{D5CDD505-2E9C-101B-9397-08002B2CF9AE}" pid="7" name="DocHub_Year">
    <vt:lpwstr>917;#2019|7e451fe0-4dc6-437a-a849-bab7965a9aee</vt:lpwstr>
  </property>
  <property fmtid="{D5CDD505-2E9C-101B-9397-08002B2CF9AE}" pid="8" name="DocHub_DocStatus">
    <vt:lpwstr>411;#Draft|1533ee51-5320-46f9-b82f-5cafb7ad3cfc</vt:lpwstr>
  </property>
  <property fmtid="{D5CDD505-2E9C-101B-9397-08002B2CF9AE}" pid="9" name="DocHub_ProjectProponent">
    <vt:lpwstr/>
  </property>
  <property fmtid="{D5CDD505-2E9C-101B-9397-08002B2CF9AE}" pid="10" name="DocHub_DocumentType">
    <vt:lpwstr>131;#Template|9b48ba34-650a-488d-9fe8-e5181e10b797</vt:lpwstr>
  </property>
  <property fmtid="{D5CDD505-2E9C-101B-9397-08002B2CF9AE}" pid="11" name="DocHub_SecurityClassification">
    <vt:lpwstr>3;#UNCLASSIFIED|6106d03b-a1a0-4e30-9d91-d5e9fb4314f9</vt:lpwstr>
  </property>
  <property fmtid="{D5CDD505-2E9C-101B-9397-08002B2CF9AE}" pid="12" name="DocHub_AIPProcess">
    <vt:lpwstr/>
  </property>
  <property fmtid="{D5CDD505-2E9C-101B-9397-08002B2CF9AE}" pid="13" name="DocHub_GovernmentEntities">
    <vt:lpwstr/>
  </property>
  <property fmtid="{D5CDD505-2E9C-101B-9397-08002B2CF9AE}" pid="14" name="DocHub_Sector">
    <vt:lpwstr/>
  </property>
  <property fmtid="{D5CDD505-2E9C-101B-9397-08002B2CF9AE}" pid="15" name="DocHub_BriefingCorrespondenceType">
    <vt:lpwstr/>
  </property>
  <property fmtid="{D5CDD505-2E9C-101B-9397-08002B2CF9AE}" pid="16" name="DocHub_WorkActivity">
    <vt:lpwstr/>
  </property>
  <property fmtid="{D5CDD505-2E9C-101B-9397-08002B2CF9AE}" pid="17" name="DocHub_AIPCategory">
    <vt:lpwstr>469;#Australian Jobs Act 2013|de541470-8165-45cb-854e-56057fb9bc95</vt:lpwstr>
  </property>
  <property fmtid="{D5CDD505-2E9C-101B-9397-08002B2CF9AE}" pid="18" name="DocHub_Keywords">
    <vt:lpwstr/>
  </property>
  <property fmtid="{D5CDD505-2E9C-101B-9397-08002B2CF9AE}" pid="19" name="_dlc_DocIdItemGuid">
    <vt:lpwstr>69be48b2-0be7-47cf-a7d7-780aa38352fa</vt:lpwstr>
  </property>
</Properties>
</file>