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DA8C9" w14:textId="4F43EA07" w:rsidR="00233E15" w:rsidRPr="00661CD2" w:rsidRDefault="00233E15" w:rsidP="00121857">
      <w:pPr>
        <w:spacing w:before="120" w:line="240" w:lineRule="auto"/>
        <w:jc w:val="center"/>
        <w:rPr>
          <w:rFonts w:cs="Times New Roman"/>
          <w:b/>
          <w:smallCaps/>
          <w:sz w:val="40"/>
          <w:szCs w:val="28"/>
        </w:rPr>
      </w:pPr>
      <w:bookmarkStart w:id="0" w:name="_GoBack"/>
      <w:bookmarkEnd w:id="0"/>
      <w:r w:rsidRPr="00661CD2">
        <w:rPr>
          <w:rFonts w:cs="Times New Roman"/>
          <w:b/>
          <w:smallCaps/>
          <w:sz w:val="40"/>
          <w:szCs w:val="28"/>
        </w:rPr>
        <w:t>Senior Officers</w:t>
      </w:r>
      <w:r w:rsidR="0026578F" w:rsidRPr="00661CD2">
        <w:rPr>
          <w:rFonts w:cs="Times New Roman"/>
          <w:b/>
          <w:smallCaps/>
          <w:sz w:val="40"/>
          <w:szCs w:val="28"/>
        </w:rPr>
        <w:t>’</w:t>
      </w:r>
      <w:r w:rsidRPr="00661CD2">
        <w:rPr>
          <w:rFonts w:cs="Times New Roman"/>
          <w:b/>
          <w:smallCaps/>
          <w:sz w:val="40"/>
          <w:szCs w:val="28"/>
        </w:rPr>
        <w:t xml:space="preserve"> Group</w:t>
      </w:r>
    </w:p>
    <w:p w14:paraId="69F112D7" w14:textId="4A3763E8" w:rsidR="00233E15" w:rsidRPr="00661CD2" w:rsidRDefault="00233E15" w:rsidP="00121857">
      <w:pPr>
        <w:spacing w:before="120" w:line="240" w:lineRule="auto"/>
        <w:jc w:val="center"/>
        <w:rPr>
          <w:rFonts w:cs="Times New Roman"/>
          <w:b/>
          <w:sz w:val="32"/>
          <w:szCs w:val="28"/>
        </w:rPr>
      </w:pPr>
      <w:r w:rsidRPr="00661CD2">
        <w:rPr>
          <w:rFonts w:cs="Times New Roman"/>
          <w:b/>
          <w:sz w:val="32"/>
          <w:szCs w:val="28"/>
        </w:rPr>
        <w:t>Terms of Reference</w:t>
      </w:r>
    </w:p>
    <w:p w14:paraId="203647BF" w14:textId="31095D6F" w:rsidR="007E6C18" w:rsidRPr="00672F68" w:rsidRDefault="003D5716" w:rsidP="00661CD2">
      <w:pPr>
        <w:spacing w:before="120" w:line="240" w:lineRule="auto"/>
        <w:rPr>
          <w:rFonts w:cs="Times New Roman"/>
          <w:szCs w:val="24"/>
        </w:rPr>
      </w:pPr>
      <w:r w:rsidRPr="00672F68">
        <w:rPr>
          <w:rFonts w:cs="Times New Roman"/>
          <w:szCs w:val="24"/>
        </w:rPr>
        <w:t>The Building Ministers’ Forum (BMF)</w:t>
      </w:r>
      <w:r w:rsidR="00233E15" w:rsidRPr="00672F68">
        <w:rPr>
          <w:rFonts w:cs="Times New Roman"/>
          <w:szCs w:val="24"/>
        </w:rPr>
        <w:t xml:space="preserve"> require</w:t>
      </w:r>
      <w:r w:rsidRPr="00672F68">
        <w:rPr>
          <w:rFonts w:cs="Times New Roman"/>
          <w:szCs w:val="24"/>
        </w:rPr>
        <w:t>s</w:t>
      </w:r>
      <w:r w:rsidR="00233E15" w:rsidRPr="00672F68">
        <w:rPr>
          <w:rFonts w:cs="Times New Roman"/>
          <w:szCs w:val="24"/>
        </w:rPr>
        <w:t xml:space="preserve"> an effective mechanism for the provision of coordinated strategic advice in relation to </w:t>
      </w:r>
      <w:r w:rsidR="00ED2C69" w:rsidRPr="00672F68">
        <w:rPr>
          <w:rFonts w:cs="Times New Roman"/>
          <w:szCs w:val="24"/>
        </w:rPr>
        <w:t>building and construction</w:t>
      </w:r>
      <w:r w:rsidR="00233E15" w:rsidRPr="00672F68">
        <w:rPr>
          <w:rFonts w:cs="Times New Roman"/>
          <w:szCs w:val="24"/>
        </w:rPr>
        <w:t xml:space="preserve"> industry policy issues</w:t>
      </w:r>
      <w:r w:rsidR="007E6C18" w:rsidRPr="00672F68">
        <w:rPr>
          <w:rFonts w:cs="Times New Roman"/>
          <w:szCs w:val="24"/>
        </w:rPr>
        <w:t>.</w:t>
      </w:r>
    </w:p>
    <w:p w14:paraId="43D7EB5E" w14:textId="6CD5DE6D" w:rsidR="00233E15" w:rsidRPr="00764A1B" w:rsidRDefault="007E6C18" w:rsidP="00661CD2">
      <w:pPr>
        <w:spacing w:before="120" w:line="240" w:lineRule="auto"/>
        <w:rPr>
          <w:rFonts w:cs="Times New Roman"/>
          <w:szCs w:val="24"/>
        </w:rPr>
      </w:pPr>
      <w:r w:rsidRPr="00672F68">
        <w:rPr>
          <w:rFonts w:cs="Times New Roman"/>
          <w:szCs w:val="24"/>
        </w:rPr>
        <w:t>The Senior Officers</w:t>
      </w:r>
      <w:r w:rsidR="0026578F" w:rsidRPr="00672F68">
        <w:rPr>
          <w:rFonts w:cs="Times New Roman"/>
          <w:szCs w:val="24"/>
        </w:rPr>
        <w:t>’</w:t>
      </w:r>
      <w:r w:rsidRPr="00672F68">
        <w:rPr>
          <w:rFonts w:cs="Times New Roman"/>
          <w:szCs w:val="24"/>
        </w:rPr>
        <w:t xml:space="preserve"> Group (SOG) </w:t>
      </w:r>
      <w:r w:rsidR="00493D77" w:rsidRPr="00672F68">
        <w:rPr>
          <w:rFonts w:cs="Times New Roman"/>
          <w:szCs w:val="24"/>
        </w:rPr>
        <w:t>is</w:t>
      </w:r>
      <w:r w:rsidRPr="00672F68">
        <w:rPr>
          <w:rFonts w:cs="Times New Roman"/>
          <w:szCs w:val="24"/>
        </w:rPr>
        <w:t xml:space="preserve"> responsible for developing</w:t>
      </w:r>
      <w:r w:rsidR="005E7228" w:rsidRPr="00672F68">
        <w:rPr>
          <w:rFonts w:cs="Times New Roman"/>
          <w:szCs w:val="24"/>
        </w:rPr>
        <w:t xml:space="preserve"> </w:t>
      </w:r>
      <w:r w:rsidR="00493D77" w:rsidRPr="00672F68">
        <w:rPr>
          <w:rFonts w:cs="Times New Roman"/>
          <w:szCs w:val="24"/>
        </w:rPr>
        <w:t xml:space="preserve">and providing </w:t>
      </w:r>
      <w:r w:rsidR="00D94E8A" w:rsidRPr="00672F68">
        <w:rPr>
          <w:rFonts w:cs="Times New Roman"/>
          <w:szCs w:val="24"/>
        </w:rPr>
        <w:t xml:space="preserve">high level national strategic policy </w:t>
      </w:r>
      <w:r w:rsidR="005E7228" w:rsidRPr="00672F68">
        <w:rPr>
          <w:rFonts w:cs="Times New Roman"/>
          <w:szCs w:val="24"/>
        </w:rPr>
        <w:t xml:space="preserve">advice </w:t>
      </w:r>
      <w:r w:rsidR="00493D77" w:rsidRPr="00672F68">
        <w:rPr>
          <w:rFonts w:cs="Times New Roman"/>
          <w:szCs w:val="24"/>
        </w:rPr>
        <w:t>to the BMF</w:t>
      </w:r>
      <w:r w:rsidR="00C12D4A" w:rsidRPr="00672F68">
        <w:rPr>
          <w:rFonts w:cs="Times New Roman"/>
          <w:szCs w:val="24"/>
        </w:rPr>
        <w:t xml:space="preserve"> on </w:t>
      </w:r>
      <w:r w:rsidR="00493D77" w:rsidRPr="00672F68">
        <w:rPr>
          <w:rFonts w:cs="Times New Roman"/>
          <w:szCs w:val="24"/>
        </w:rPr>
        <w:t xml:space="preserve">building and construction </w:t>
      </w:r>
      <w:r w:rsidRPr="00672F68">
        <w:rPr>
          <w:rFonts w:cs="Times New Roman"/>
          <w:szCs w:val="24"/>
        </w:rPr>
        <w:t xml:space="preserve">issues of national </w:t>
      </w:r>
      <w:r w:rsidRPr="00764A1B">
        <w:rPr>
          <w:rFonts w:cs="Times New Roman"/>
          <w:szCs w:val="24"/>
        </w:rPr>
        <w:t>significance</w:t>
      </w:r>
      <w:r w:rsidR="00493D77" w:rsidRPr="00764A1B">
        <w:rPr>
          <w:rFonts w:cs="Times New Roman"/>
          <w:szCs w:val="24"/>
        </w:rPr>
        <w:t xml:space="preserve"> and any other matters requested by the BMF</w:t>
      </w:r>
      <w:r w:rsidRPr="00764A1B">
        <w:rPr>
          <w:rFonts w:cs="Times New Roman"/>
          <w:szCs w:val="24"/>
        </w:rPr>
        <w:t>.</w:t>
      </w:r>
      <w:r w:rsidR="00233E15" w:rsidRPr="00764A1B">
        <w:rPr>
          <w:rFonts w:cs="Times New Roman"/>
          <w:szCs w:val="24"/>
        </w:rPr>
        <w:t xml:space="preserve"> </w:t>
      </w:r>
    </w:p>
    <w:p w14:paraId="7ACF02F2" w14:textId="77777777" w:rsidR="00233E15" w:rsidRPr="00764A1B" w:rsidRDefault="00233E15" w:rsidP="00121857">
      <w:pPr>
        <w:spacing w:before="200" w:line="240" w:lineRule="auto"/>
        <w:rPr>
          <w:rFonts w:cs="Times New Roman"/>
          <w:b/>
          <w:szCs w:val="24"/>
        </w:rPr>
      </w:pPr>
      <w:r w:rsidRPr="00764A1B">
        <w:rPr>
          <w:rFonts w:cs="Times New Roman"/>
          <w:b/>
          <w:szCs w:val="24"/>
        </w:rPr>
        <w:t>Purpose</w:t>
      </w:r>
    </w:p>
    <w:p w14:paraId="72B100BC" w14:textId="71BA7169" w:rsidR="00233E15" w:rsidRPr="00764A1B" w:rsidRDefault="00233E15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The purpose of the SOG is to have in place a group of senior officials from each jurisdiction to provide the BMF with high level </w:t>
      </w:r>
      <w:r w:rsidR="0073067F" w:rsidRPr="00764A1B">
        <w:rPr>
          <w:rFonts w:cs="Times New Roman"/>
          <w:szCs w:val="24"/>
        </w:rPr>
        <w:t xml:space="preserve">national </w:t>
      </w:r>
      <w:r w:rsidRPr="00764A1B">
        <w:rPr>
          <w:rFonts w:cs="Times New Roman"/>
          <w:szCs w:val="24"/>
        </w:rPr>
        <w:t xml:space="preserve">strategic policy advice on </w:t>
      </w:r>
      <w:r w:rsidR="0073067F" w:rsidRPr="00764A1B">
        <w:rPr>
          <w:rFonts w:cs="Times New Roman"/>
          <w:szCs w:val="24"/>
        </w:rPr>
        <w:t xml:space="preserve">national </w:t>
      </w:r>
      <w:r w:rsidR="00ED2C69" w:rsidRPr="00764A1B">
        <w:rPr>
          <w:rFonts w:cs="Times New Roman"/>
          <w:szCs w:val="24"/>
        </w:rPr>
        <w:t>building and construction</w:t>
      </w:r>
      <w:r w:rsidRPr="00764A1B">
        <w:rPr>
          <w:rFonts w:cs="Times New Roman"/>
          <w:szCs w:val="24"/>
        </w:rPr>
        <w:t xml:space="preserve"> </w:t>
      </w:r>
      <w:r w:rsidR="00C12D4A" w:rsidRPr="00764A1B">
        <w:rPr>
          <w:rFonts w:cs="Times New Roman"/>
          <w:szCs w:val="24"/>
        </w:rPr>
        <w:t>issues</w:t>
      </w:r>
      <w:r w:rsidR="003D5716" w:rsidRPr="00764A1B">
        <w:rPr>
          <w:rFonts w:cs="Times New Roman"/>
          <w:szCs w:val="24"/>
        </w:rPr>
        <w:t xml:space="preserve"> across Australia</w:t>
      </w:r>
      <w:r w:rsidRPr="00764A1B">
        <w:rPr>
          <w:rFonts w:cs="Times New Roman"/>
          <w:szCs w:val="24"/>
        </w:rPr>
        <w:t>.</w:t>
      </w:r>
    </w:p>
    <w:p w14:paraId="0B763233" w14:textId="5906FE76" w:rsidR="002C1872" w:rsidRPr="00764A1B" w:rsidRDefault="002C1872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This advice </w:t>
      </w:r>
      <w:r w:rsidR="004C6403" w:rsidRPr="00764A1B">
        <w:rPr>
          <w:rFonts w:cs="Times New Roman"/>
          <w:szCs w:val="24"/>
        </w:rPr>
        <w:t>is</w:t>
      </w:r>
      <w:r w:rsidR="0073067F" w:rsidRPr="00764A1B">
        <w:rPr>
          <w:rFonts w:cs="Times New Roman"/>
          <w:szCs w:val="24"/>
        </w:rPr>
        <w:t xml:space="preserve"> </w:t>
      </w:r>
      <w:r w:rsidR="00C12D4A" w:rsidRPr="00764A1B">
        <w:rPr>
          <w:rFonts w:cs="Times New Roman"/>
          <w:szCs w:val="24"/>
        </w:rPr>
        <w:t>regarding</w:t>
      </w:r>
      <w:r w:rsidR="0073067F" w:rsidRPr="00764A1B">
        <w:rPr>
          <w:rFonts w:cs="Times New Roman"/>
          <w:szCs w:val="24"/>
        </w:rPr>
        <w:t xml:space="preserve"> </w:t>
      </w:r>
      <w:r w:rsidRPr="00764A1B">
        <w:rPr>
          <w:rFonts w:cs="Times New Roman"/>
          <w:szCs w:val="24"/>
        </w:rPr>
        <w:t>cross-jurisdictional issues. The outcome</w:t>
      </w:r>
      <w:r w:rsidR="005E7228" w:rsidRPr="00764A1B">
        <w:rPr>
          <w:rFonts w:cs="Times New Roman"/>
          <w:szCs w:val="24"/>
        </w:rPr>
        <w:t xml:space="preserve">s from this work will </w:t>
      </w:r>
      <w:r w:rsidR="003D5716" w:rsidRPr="00764A1B">
        <w:rPr>
          <w:rFonts w:cs="Times New Roman"/>
          <w:szCs w:val="24"/>
        </w:rPr>
        <w:t xml:space="preserve">include policies to </w:t>
      </w:r>
      <w:r w:rsidRPr="00764A1B">
        <w:rPr>
          <w:rFonts w:cs="Times New Roman"/>
          <w:szCs w:val="24"/>
        </w:rPr>
        <w:t>improve</w:t>
      </w:r>
      <w:r w:rsidR="003D5716" w:rsidRPr="00764A1B">
        <w:rPr>
          <w:rFonts w:cs="Times New Roman"/>
          <w:szCs w:val="24"/>
        </w:rPr>
        <w:t xml:space="preserve"> the</w:t>
      </w:r>
      <w:r w:rsidRPr="00764A1B">
        <w:rPr>
          <w:rFonts w:cs="Times New Roman"/>
          <w:szCs w:val="24"/>
        </w:rPr>
        <w:t xml:space="preserve"> harmonisation of administration and </w:t>
      </w:r>
      <w:r w:rsidR="003D5716" w:rsidRPr="00764A1B">
        <w:rPr>
          <w:rFonts w:cs="Times New Roman"/>
          <w:szCs w:val="24"/>
        </w:rPr>
        <w:t>the</w:t>
      </w:r>
      <w:r w:rsidRPr="00764A1B">
        <w:rPr>
          <w:rFonts w:cs="Times New Roman"/>
          <w:szCs w:val="24"/>
        </w:rPr>
        <w:t xml:space="preserve"> consistency in compliance and enforcement. </w:t>
      </w:r>
    </w:p>
    <w:p w14:paraId="25FE2B8F" w14:textId="1389185B" w:rsidR="00BD657D" w:rsidRPr="00764A1B" w:rsidRDefault="002C1872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The </w:t>
      </w:r>
      <w:r w:rsidR="0073067F" w:rsidRPr="00764A1B">
        <w:rPr>
          <w:rFonts w:cs="Times New Roman"/>
          <w:szCs w:val="24"/>
        </w:rPr>
        <w:t xml:space="preserve">national </w:t>
      </w:r>
      <w:r w:rsidR="007E6C18" w:rsidRPr="00764A1B">
        <w:rPr>
          <w:rFonts w:cs="Times New Roman"/>
          <w:szCs w:val="24"/>
        </w:rPr>
        <w:t xml:space="preserve">strategic policy advice of the </w:t>
      </w:r>
      <w:r w:rsidRPr="00764A1B">
        <w:rPr>
          <w:rFonts w:cs="Times New Roman"/>
          <w:szCs w:val="24"/>
        </w:rPr>
        <w:t>SOG</w:t>
      </w:r>
      <w:r w:rsidR="007E6C18" w:rsidRPr="00764A1B">
        <w:rPr>
          <w:rFonts w:cs="Times New Roman"/>
          <w:szCs w:val="24"/>
        </w:rPr>
        <w:t xml:space="preserve"> </w:t>
      </w:r>
      <w:r w:rsidR="004C6403" w:rsidRPr="00764A1B">
        <w:rPr>
          <w:rFonts w:cs="Times New Roman"/>
          <w:szCs w:val="24"/>
        </w:rPr>
        <w:t xml:space="preserve">will </w:t>
      </w:r>
      <w:r w:rsidRPr="00764A1B">
        <w:rPr>
          <w:rFonts w:cs="Times New Roman"/>
          <w:szCs w:val="24"/>
        </w:rPr>
        <w:t xml:space="preserve">complement the technical advice </w:t>
      </w:r>
      <w:r w:rsidR="00BD657D" w:rsidRPr="00764A1B">
        <w:rPr>
          <w:rFonts w:cs="Times New Roman"/>
          <w:szCs w:val="24"/>
        </w:rPr>
        <w:t xml:space="preserve">on the National Construction Code (NCC) </w:t>
      </w:r>
      <w:r w:rsidRPr="00764A1B">
        <w:rPr>
          <w:rFonts w:cs="Times New Roman"/>
          <w:szCs w:val="24"/>
        </w:rPr>
        <w:t>the BMF receives from the Australian Building Codes Board (ABCB)</w:t>
      </w:r>
      <w:r w:rsidR="00BD657D" w:rsidRPr="00764A1B">
        <w:rPr>
          <w:rFonts w:cs="Times New Roman"/>
          <w:szCs w:val="24"/>
        </w:rPr>
        <w:t xml:space="preserve"> and the regulatory advice it receives from the Building Regulators’ Forum (BRF).</w:t>
      </w:r>
    </w:p>
    <w:p w14:paraId="066DDBC4" w14:textId="3F1D7469" w:rsidR="002C1872" w:rsidRPr="00764A1B" w:rsidRDefault="002C1872" w:rsidP="00121857">
      <w:pPr>
        <w:spacing w:before="200" w:line="240" w:lineRule="auto"/>
        <w:rPr>
          <w:rFonts w:cs="Times New Roman"/>
          <w:b/>
          <w:szCs w:val="24"/>
        </w:rPr>
      </w:pPr>
      <w:r w:rsidRPr="00764A1B">
        <w:rPr>
          <w:rFonts w:cs="Times New Roman"/>
          <w:b/>
          <w:szCs w:val="24"/>
        </w:rPr>
        <w:t>Function</w:t>
      </w:r>
      <w:r w:rsidR="00DF06FA" w:rsidRPr="00764A1B">
        <w:rPr>
          <w:rFonts w:cs="Times New Roman"/>
          <w:b/>
          <w:szCs w:val="24"/>
        </w:rPr>
        <w:t>s</w:t>
      </w:r>
      <w:r w:rsidRPr="00764A1B">
        <w:rPr>
          <w:rFonts w:cs="Times New Roman"/>
          <w:b/>
          <w:szCs w:val="24"/>
        </w:rPr>
        <w:t xml:space="preserve"> </w:t>
      </w:r>
    </w:p>
    <w:p w14:paraId="3F94AF64" w14:textId="77777777" w:rsidR="002C1872" w:rsidRPr="00764A1B" w:rsidRDefault="00356DE9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>The functions of the SOG are to:</w:t>
      </w:r>
    </w:p>
    <w:p w14:paraId="5344FDC4" w14:textId="131A00ED" w:rsidR="00DF06FA" w:rsidRPr="00764A1B" w:rsidRDefault="00356DE9" w:rsidP="00661CD2">
      <w:pPr>
        <w:pStyle w:val="ListParagraph"/>
        <w:numPr>
          <w:ilvl w:val="0"/>
          <w:numId w:val="8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provide the BMF with high level </w:t>
      </w:r>
      <w:r w:rsidR="0073067F" w:rsidRPr="00764A1B">
        <w:rPr>
          <w:rFonts w:cs="Times New Roman"/>
          <w:szCs w:val="24"/>
        </w:rPr>
        <w:t xml:space="preserve">national </w:t>
      </w:r>
      <w:r w:rsidRPr="00764A1B">
        <w:rPr>
          <w:rFonts w:cs="Times New Roman"/>
          <w:szCs w:val="24"/>
        </w:rPr>
        <w:t>strategic</w:t>
      </w:r>
      <w:r w:rsidR="00AC67F8" w:rsidRPr="00764A1B">
        <w:rPr>
          <w:rFonts w:cs="Times New Roman"/>
          <w:szCs w:val="24"/>
        </w:rPr>
        <w:t xml:space="preserve"> </w:t>
      </w:r>
      <w:r w:rsidR="00C12D4A" w:rsidRPr="00764A1B">
        <w:rPr>
          <w:rFonts w:cs="Times New Roman"/>
          <w:szCs w:val="24"/>
        </w:rPr>
        <w:t xml:space="preserve">building and construction </w:t>
      </w:r>
      <w:r w:rsidRPr="00764A1B">
        <w:rPr>
          <w:rFonts w:cs="Times New Roman"/>
          <w:szCs w:val="24"/>
        </w:rPr>
        <w:t xml:space="preserve">policy advice </w:t>
      </w:r>
      <w:r w:rsidR="00DF06FA" w:rsidRPr="00764A1B">
        <w:rPr>
          <w:rFonts w:cs="Times New Roman"/>
          <w:szCs w:val="24"/>
        </w:rPr>
        <w:t>on priority issues determined by the BMF;</w:t>
      </w:r>
    </w:p>
    <w:p w14:paraId="2AA56CA4" w14:textId="548BAF59" w:rsidR="00DF06FA" w:rsidRPr="00764A1B" w:rsidRDefault="00DF06FA" w:rsidP="00661CD2">
      <w:pPr>
        <w:pStyle w:val="ListParagraph"/>
        <w:numPr>
          <w:ilvl w:val="0"/>
          <w:numId w:val="8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monitor progress with the implementation of SOG </w:t>
      </w:r>
      <w:r w:rsidR="000D4263" w:rsidRPr="00764A1B">
        <w:rPr>
          <w:rFonts w:cs="Times New Roman"/>
          <w:szCs w:val="24"/>
        </w:rPr>
        <w:t>initiatives</w:t>
      </w:r>
      <w:r w:rsidRPr="00764A1B">
        <w:rPr>
          <w:rFonts w:cs="Times New Roman"/>
          <w:szCs w:val="24"/>
        </w:rPr>
        <w:t>; and</w:t>
      </w:r>
    </w:p>
    <w:p w14:paraId="72B40684" w14:textId="312094DE" w:rsidR="00AC67F8" w:rsidRPr="00764A1B" w:rsidRDefault="003D5716" w:rsidP="00661CD2">
      <w:pPr>
        <w:pStyle w:val="ListParagraph"/>
        <w:numPr>
          <w:ilvl w:val="0"/>
          <w:numId w:val="8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>collaborate with</w:t>
      </w:r>
      <w:r w:rsidR="00013678" w:rsidRPr="00764A1B">
        <w:rPr>
          <w:rFonts w:cs="Times New Roman"/>
          <w:szCs w:val="24"/>
        </w:rPr>
        <w:t xml:space="preserve"> the </w:t>
      </w:r>
      <w:r w:rsidR="00BD657D" w:rsidRPr="00764A1B">
        <w:rPr>
          <w:rFonts w:cs="Times New Roman"/>
          <w:szCs w:val="24"/>
        </w:rPr>
        <w:t>ABCB</w:t>
      </w:r>
      <w:r w:rsidR="00DF06FA" w:rsidRPr="00764A1B">
        <w:rPr>
          <w:rFonts w:cs="Times New Roman"/>
          <w:szCs w:val="24"/>
        </w:rPr>
        <w:t xml:space="preserve"> and </w:t>
      </w:r>
      <w:r w:rsidR="00BD657D" w:rsidRPr="00764A1B">
        <w:rPr>
          <w:rFonts w:cs="Times New Roman"/>
          <w:szCs w:val="24"/>
        </w:rPr>
        <w:t xml:space="preserve">the </w:t>
      </w:r>
      <w:r w:rsidR="00013678" w:rsidRPr="00764A1B">
        <w:rPr>
          <w:rFonts w:cs="Times New Roman"/>
          <w:szCs w:val="24"/>
        </w:rPr>
        <w:t xml:space="preserve">BRF on </w:t>
      </w:r>
      <w:r w:rsidR="0073067F" w:rsidRPr="00764A1B">
        <w:rPr>
          <w:rFonts w:cs="Times New Roman"/>
          <w:szCs w:val="24"/>
        </w:rPr>
        <w:t xml:space="preserve">national </w:t>
      </w:r>
      <w:r w:rsidR="00ED2C69" w:rsidRPr="00764A1B">
        <w:rPr>
          <w:rFonts w:cs="Times New Roman"/>
          <w:szCs w:val="24"/>
        </w:rPr>
        <w:t>building and construction</w:t>
      </w:r>
      <w:r w:rsidR="00013678" w:rsidRPr="00764A1B">
        <w:rPr>
          <w:rFonts w:cs="Times New Roman"/>
          <w:szCs w:val="24"/>
        </w:rPr>
        <w:t xml:space="preserve"> policy and other matters as directed by the BMF</w:t>
      </w:r>
      <w:r w:rsidR="00DF06FA" w:rsidRPr="00764A1B">
        <w:rPr>
          <w:rFonts w:cs="Times New Roman"/>
          <w:szCs w:val="24"/>
        </w:rPr>
        <w:t>.</w:t>
      </w:r>
    </w:p>
    <w:p w14:paraId="549A9402" w14:textId="77777777" w:rsidR="00013678" w:rsidRPr="00764A1B" w:rsidRDefault="00013678" w:rsidP="00121857">
      <w:pPr>
        <w:spacing w:before="200" w:line="240" w:lineRule="auto"/>
        <w:rPr>
          <w:rFonts w:cs="Times New Roman"/>
          <w:b/>
          <w:szCs w:val="24"/>
        </w:rPr>
      </w:pPr>
      <w:r w:rsidRPr="00764A1B">
        <w:rPr>
          <w:rFonts w:cs="Times New Roman"/>
          <w:b/>
          <w:szCs w:val="24"/>
        </w:rPr>
        <w:t>Principles</w:t>
      </w:r>
    </w:p>
    <w:p w14:paraId="492CEBD7" w14:textId="45D4243A" w:rsidR="00013678" w:rsidRPr="00764A1B" w:rsidRDefault="00013678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The SOG will support the BMF by providing enhanced </w:t>
      </w:r>
      <w:r w:rsidR="003D5716" w:rsidRPr="00764A1B">
        <w:rPr>
          <w:rFonts w:cs="Times New Roman"/>
          <w:szCs w:val="24"/>
        </w:rPr>
        <w:t>national policy development</w:t>
      </w:r>
      <w:r w:rsidRPr="00764A1B">
        <w:rPr>
          <w:rFonts w:cs="Times New Roman"/>
          <w:szCs w:val="24"/>
        </w:rPr>
        <w:t>, collaboration and coordination amongst jurisdictions, by:</w:t>
      </w:r>
    </w:p>
    <w:p w14:paraId="5B606C26" w14:textId="77777777" w:rsidR="00013678" w:rsidRPr="00764A1B" w:rsidRDefault="00013678" w:rsidP="00661CD2">
      <w:pPr>
        <w:pStyle w:val="ListParagraph"/>
        <w:numPr>
          <w:ilvl w:val="0"/>
          <w:numId w:val="9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>ensuring the efficient use of resources and minimising unnecessary duplication of effort;</w:t>
      </w:r>
    </w:p>
    <w:p w14:paraId="1D21CDDD" w14:textId="247B4A6D" w:rsidR="00013678" w:rsidRPr="00764A1B" w:rsidRDefault="00013678" w:rsidP="00661CD2">
      <w:pPr>
        <w:pStyle w:val="ListParagraph"/>
        <w:numPr>
          <w:ilvl w:val="0"/>
          <w:numId w:val="9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>enabling the sharing</w:t>
      </w:r>
      <w:r w:rsidR="00BD657D" w:rsidRPr="00764A1B">
        <w:rPr>
          <w:rFonts w:cs="Times New Roman"/>
          <w:szCs w:val="24"/>
        </w:rPr>
        <w:t xml:space="preserve"> of information amongst the SOG</w:t>
      </w:r>
      <w:r w:rsidRPr="00764A1B">
        <w:rPr>
          <w:rFonts w:cs="Times New Roman"/>
          <w:szCs w:val="24"/>
        </w:rPr>
        <w:t xml:space="preserve"> in a timely manner and in accordance with agreed processes, including consideration of the confidential nature of the information shared;</w:t>
      </w:r>
    </w:p>
    <w:p w14:paraId="34E36BE1" w14:textId="47FA6C5D" w:rsidR="00013678" w:rsidRPr="00764A1B" w:rsidRDefault="00013678" w:rsidP="00661CD2">
      <w:pPr>
        <w:pStyle w:val="ListParagraph"/>
        <w:numPr>
          <w:ilvl w:val="0"/>
          <w:numId w:val="9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working collaboratively with the ABCB </w:t>
      </w:r>
      <w:r w:rsidR="00BD657D" w:rsidRPr="00764A1B">
        <w:rPr>
          <w:rFonts w:cs="Times New Roman"/>
          <w:szCs w:val="24"/>
        </w:rPr>
        <w:t xml:space="preserve">and the BRF </w:t>
      </w:r>
      <w:r w:rsidRPr="00764A1B">
        <w:rPr>
          <w:rFonts w:cs="Times New Roman"/>
          <w:szCs w:val="24"/>
        </w:rPr>
        <w:t xml:space="preserve">on </w:t>
      </w:r>
      <w:r w:rsidR="00ED2C69" w:rsidRPr="00764A1B">
        <w:rPr>
          <w:rFonts w:cs="Times New Roman"/>
          <w:szCs w:val="24"/>
        </w:rPr>
        <w:t>building and construction</w:t>
      </w:r>
      <w:r w:rsidRPr="00764A1B">
        <w:rPr>
          <w:rFonts w:cs="Times New Roman"/>
          <w:szCs w:val="24"/>
        </w:rPr>
        <w:t xml:space="preserve"> </w:t>
      </w:r>
      <w:r w:rsidR="0026578F" w:rsidRPr="00764A1B">
        <w:rPr>
          <w:rFonts w:cs="Times New Roman"/>
          <w:szCs w:val="24"/>
        </w:rPr>
        <w:t>matters</w:t>
      </w:r>
      <w:r w:rsidRPr="00764A1B">
        <w:rPr>
          <w:rFonts w:cs="Times New Roman"/>
          <w:szCs w:val="24"/>
        </w:rPr>
        <w:t xml:space="preserve"> where applicable or as directed by the BMF;</w:t>
      </w:r>
    </w:p>
    <w:p w14:paraId="13AE735A" w14:textId="7F6FFEA1" w:rsidR="00013678" w:rsidRPr="00764A1B" w:rsidRDefault="00013678" w:rsidP="00661CD2">
      <w:pPr>
        <w:pStyle w:val="ListParagraph"/>
        <w:numPr>
          <w:ilvl w:val="0"/>
          <w:numId w:val="9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informing each member of </w:t>
      </w:r>
      <w:r w:rsidR="003D5716" w:rsidRPr="00764A1B">
        <w:rPr>
          <w:rFonts w:cs="Times New Roman"/>
          <w:szCs w:val="24"/>
        </w:rPr>
        <w:t xml:space="preserve">policy </w:t>
      </w:r>
      <w:r w:rsidRPr="00764A1B">
        <w:rPr>
          <w:rFonts w:cs="Times New Roman"/>
          <w:szCs w:val="24"/>
        </w:rPr>
        <w:t>proposals and issues of mutual interest in a timely manner; and</w:t>
      </w:r>
    </w:p>
    <w:p w14:paraId="268C0AA7" w14:textId="642A2284" w:rsidR="00013678" w:rsidRPr="00764A1B" w:rsidRDefault="00013678" w:rsidP="00661CD2">
      <w:pPr>
        <w:pStyle w:val="ListParagraph"/>
        <w:numPr>
          <w:ilvl w:val="0"/>
          <w:numId w:val="9"/>
        </w:numPr>
        <w:spacing w:before="120" w:line="240" w:lineRule="auto"/>
        <w:contextualSpacing w:val="0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promoting a consistent national </w:t>
      </w:r>
      <w:r w:rsidR="003D5716" w:rsidRPr="00764A1B">
        <w:rPr>
          <w:rFonts w:cs="Times New Roman"/>
          <w:szCs w:val="24"/>
        </w:rPr>
        <w:t xml:space="preserve">policy </w:t>
      </w:r>
      <w:r w:rsidRPr="00764A1B">
        <w:rPr>
          <w:rFonts w:cs="Times New Roman"/>
          <w:szCs w:val="24"/>
        </w:rPr>
        <w:t xml:space="preserve">response to </w:t>
      </w:r>
      <w:r w:rsidR="00ED2C69" w:rsidRPr="00764A1B">
        <w:rPr>
          <w:rFonts w:cs="Times New Roman"/>
          <w:szCs w:val="24"/>
        </w:rPr>
        <w:t>building and construction</w:t>
      </w:r>
      <w:r w:rsidRPr="00764A1B">
        <w:rPr>
          <w:rFonts w:cs="Times New Roman"/>
          <w:szCs w:val="24"/>
        </w:rPr>
        <w:t xml:space="preserve"> policy, whilst acknowledging jurisdictions may adopt differing approaches or face resourcing constraints.</w:t>
      </w:r>
    </w:p>
    <w:p w14:paraId="6991BB7B" w14:textId="77777777" w:rsidR="00661CD2" w:rsidRDefault="00661CD2">
      <w:pPr>
        <w:spacing w:after="160" w:line="259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475C555E" w14:textId="6F6DFD0C" w:rsidR="003D5716" w:rsidRPr="00764A1B" w:rsidRDefault="003D5716" w:rsidP="00121857">
      <w:pPr>
        <w:spacing w:before="200" w:line="240" w:lineRule="auto"/>
        <w:rPr>
          <w:rFonts w:cs="Times New Roman"/>
          <w:b/>
          <w:szCs w:val="24"/>
        </w:rPr>
      </w:pPr>
      <w:r w:rsidRPr="00764A1B">
        <w:rPr>
          <w:rFonts w:cs="Times New Roman"/>
          <w:b/>
          <w:szCs w:val="24"/>
        </w:rPr>
        <w:lastRenderedPageBreak/>
        <w:t xml:space="preserve">Reporting </w:t>
      </w:r>
    </w:p>
    <w:p w14:paraId="67FB99C0" w14:textId="77777777" w:rsidR="003D5716" w:rsidRPr="00764A1B" w:rsidRDefault="003D5716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>The SOG will report directly to the BMF.</w:t>
      </w:r>
    </w:p>
    <w:p w14:paraId="65818308" w14:textId="77777777" w:rsidR="00013678" w:rsidRPr="00764A1B" w:rsidRDefault="00013678" w:rsidP="00121857">
      <w:pPr>
        <w:spacing w:before="200" w:line="240" w:lineRule="auto"/>
        <w:rPr>
          <w:rFonts w:cs="Times New Roman"/>
          <w:b/>
          <w:szCs w:val="24"/>
        </w:rPr>
      </w:pPr>
      <w:r w:rsidRPr="00764A1B">
        <w:rPr>
          <w:rFonts w:cs="Times New Roman"/>
          <w:b/>
          <w:szCs w:val="24"/>
        </w:rPr>
        <w:t>Membership</w:t>
      </w:r>
    </w:p>
    <w:p w14:paraId="348CA5FF" w14:textId="0C3853ED" w:rsidR="00745027" w:rsidRPr="00764A1B" w:rsidRDefault="00745027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To ensure the strategic policy focus of the SOG, membership will consist of </w:t>
      </w:r>
      <w:r w:rsidR="004C6403" w:rsidRPr="00764A1B">
        <w:rPr>
          <w:rFonts w:cs="Times New Roman"/>
          <w:szCs w:val="24"/>
        </w:rPr>
        <w:t xml:space="preserve">two </w:t>
      </w:r>
      <w:r w:rsidRPr="00764A1B">
        <w:rPr>
          <w:rFonts w:cs="Times New Roman"/>
          <w:szCs w:val="24"/>
        </w:rPr>
        <w:t xml:space="preserve">senior </w:t>
      </w:r>
      <w:r w:rsidR="00ED2C69" w:rsidRPr="00764A1B">
        <w:rPr>
          <w:rFonts w:cs="Times New Roman"/>
          <w:szCs w:val="24"/>
        </w:rPr>
        <w:t>building and construction</w:t>
      </w:r>
      <w:r w:rsidRPr="00764A1B">
        <w:rPr>
          <w:rFonts w:cs="Times New Roman"/>
          <w:szCs w:val="24"/>
        </w:rPr>
        <w:t xml:space="preserve"> policy officer</w:t>
      </w:r>
      <w:r w:rsidR="00962158" w:rsidRPr="00764A1B">
        <w:rPr>
          <w:rFonts w:cs="Times New Roman"/>
          <w:szCs w:val="24"/>
        </w:rPr>
        <w:t>s</w:t>
      </w:r>
      <w:r w:rsidRPr="00764A1B">
        <w:rPr>
          <w:rFonts w:cs="Times New Roman"/>
          <w:szCs w:val="24"/>
        </w:rPr>
        <w:t xml:space="preserve"> from each jurisdiction and a senior representative from the Commonwealth.</w:t>
      </w:r>
    </w:p>
    <w:p w14:paraId="7ABEB25A" w14:textId="65B85593" w:rsidR="00AC67F8" w:rsidRPr="00764A1B" w:rsidRDefault="00745027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The members of the SOG </w:t>
      </w:r>
      <w:r w:rsidR="00962158" w:rsidRPr="00764A1B">
        <w:rPr>
          <w:rFonts w:cs="Times New Roman"/>
          <w:szCs w:val="24"/>
        </w:rPr>
        <w:t xml:space="preserve">will comprise </w:t>
      </w:r>
      <w:r w:rsidR="000F0874" w:rsidRPr="00764A1B">
        <w:rPr>
          <w:rFonts w:cs="Times New Roman"/>
          <w:szCs w:val="24"/>
        </w:rPr>
        <w:t xml:space="preserve">senior </w:t>
      </w:r>
      <w:r w:rsidR="00323BD3" w:rsidRPr="006B1CBB">
        <w:rPr>
          <w:rFonts w:cs="Times New Roman"/>
          <w:szCs w:val="24"/>
        </w:rPr>
        <w:t>executive</w:t>
      </w:r>
      <w:r w:rsidR="00323BD3" w:rsidRPr="00764A1B">
        <w:rPr>
          <w:rFonts w:cs="Times New Roman"/>
          <w:szCs w:val="24"/>
        </w:rPr>
        <w:t xml:space="preserve"> </w:t>
      </w:r>
      <w:r w:rsidR="000F0874" w:rsidRPr="00764A1B">
        <w:rPr>
          <w:rFonts w:cs="Times New Roman"/>
          <w:szCs w:val="24"/>
        </w:rPr>
        <w:t xml:space="preserve">policy officers </w:t>
      </w:r>
      <w:r w:rsidR="00AC67F8" w:rsidRPr="00764A1B">
        <w:rPr>
          <w:rFonts w:cs="Times New Roman"/>
          <w:szCs w:val="24"/>
        </w:rPr>
        <w:t>to represent their jurisdiction</w:t>
      </w:r>
      <w:r w:rsidR="000F0874" w:rsidRPr="00764A1B">
        <w:rPr>
          <w:rFonts w:cs="Times New Roman"/>
          <w:szCs w:val="24"/>
        </w:rPr>
        <w:t xml:space="preserve">. </w:t>
      </w:r>
    </w:p>
    <w:p w14:paraId="12C8E42F" w14:textId="1EF9B72F" w:rsidR="00745027" w:rsidRPr="00764A1B" w:rsidRDefault="000F0874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>It is expected that the SOG</w:t>
      </w:r>
      <w:r w:rsidR="00ED2C69" w:rsidRPr="00764A1B">
        <w:rPr>
          <w:rFonts w:cs="Times New Roman"/>
          <w:szCs w:val="24"/>
        </w:rPr>
        <w:t xml:space="preserve"> membership will be </w:t>
      </w:r>
      <w:r w:rsidR="005C2C5F" w:rsidRPr="006B1CBB">
        <w:rPr>
          <w:rFonts w:cs="Times New Roman"/>
          <w:szCs w:val="24"/>
        </w:rPr>
        <w:t>the equivalent level of seniority as the ABCB Board and</w:t>
      </w:r>
      <w:r w:rsidR="00ED2C69" w:rsidRPr="006B1CBB">
        <w:rPr>
          <w:rFonts w:cs="Times New Roman"/>
          <w:szCs w:val="24"/>
        </w:rPr>
        <w:t xml:space="preserve"> the BRF</w:t>
      </w:r>
      <w:r w:rsidRPr="006B1CBB">
        <w:rPr>
          <w:rFonts w:cs="Times New Roman"/>
          <w:szCs w:val="24"/>
        </w:rPr>
        <w:t xml:space="preserve">. </w:t>
      </w:r>
      <w:r w:rsidR="00DF06FA" w:rsidRPr="00764A1B">
        <w:rPr>
          <w:rFonts w:cs="Times New Roman"/>
          <w:szCs w:val="24"/>
        </w:rPr>
        <w:t xml:space="preserve"> </w:t>
      </w:r>
      <w:r w:rsidR="00745027" w:rsidRPr="00764A1B">
        <w:rPr>
          <w:rFonts w:cs="Times New Roman"/>
          <w:szCs w:val="24"/>
        </w:rPr>
        <w:t xml:space="preserve">This will ensure that the BMF is </w:t>
      </w:r>
      <w:r w:rsidRPr="00764A1B">
        <w:rPr>
          <w:rFonts w:cs="Times New Roman"/>
          <w:szCs w:val="24"/>
        </w:rPr>
        <w:t xml:space="preserve">provided with comprehensive </w:t>
      </w:r>
      <w:r w:rsidR="002907A8" w:rsidRPr="006B1CBB">
        <w:rPr>
          <w:rFonts w:cs="Times New Roman"/>
          <w:szCs w:val="24"/>
        </w:rPr>
        <w:t>authoritative</w:t>
      </w:r>
      <w:r w:rsidR="002907A8" w:rsidRPr="00764A1B">
        <w:rPr>
          <w:rFonts w:cs="Times New Roman"/>
          <w:szCs w:val="24"/>
        </w:rPr>
        <w:t xml:space="preserve"> </w:t>
      </w:r>
      <w:r w:rsidR="00745027" w:rsidRPr="00764A1B">
        <w:rPr>
          <w:rFonts w:cs="Times New Roman"/>
          <w:szCs w:val="24"/>
        </w:rPr>
        <w:t>advice</w:t>
      </w:r>
      <w:r w:rsidRPr="00764A1B">
        <w:rPr>
          <w:rFonts w:cs="Times New Roman"/>
          <w:szCs w:val="24"/>
        </w:rPr>
        <w:t xml:space="preserve"> on </w:t>
      </w:r>
      <w:r w:rsidR="0073067F" w:rsidRPr="00764A1B">
        <w:rPr>
          <w:rFonts w:cs="Times New Roman"/>
          <w:szCs w:val="24"/>
        </w:rPr>
        <w:t>national</w:t>
      </w:r>
      <w:r w:rsidR="00ED2C69" w:rsidRPr="00764A1B">
        <w:rPr>
          <w:rFonts w:cs="Times New Roman"/>
          <w:szCs w:val="24"/>
        </w:rPr>
        <w:t xml:space="preserve"> building and construction</w:t>
      </w:r>
      <w:r w:rsidR="0073067F" w:rsidRPr="00764A1B">
        <w:rPr>
          <w:rFonts w:cs="Times New Roman"/>
          <w:szCs w:val="24"/>
        </w:rPr>
        <w:t xml:space="preserve"> </w:t>
      </w:r>
      <w:r w:rsidR="00DF06FA" w:rsidRPr="00764A1B">
        <w:rPr>
          <w:rFonts w:cs="Times New Roman"/>
          <w:szCs w:val="24"/>
        </w:rPr>
        <w:t xml:space="preserve">from a policy, </w:t>
      </w:r>
      <w:r w:rsidR="00ED2C69" w:rsidRPr="00764A1B">
        <w:rPr>
          <w:rFonts w:cs="Times New Roman"/>
          <w:szCs w:val="24"/>
        </w:rPr>
        <w:t>technical</w:t>
      </w:r>
      <w:r w:rsidR="00DF06FA" w:rsidRPr="00764A1B">
        <w:rPr>
          <w:rFonts w:cs="Times New Roman"/>
          <w:szCs w:val="24"/>
        </w:rPr>
        <w:t xml:space="preserve"> and </w:t>
      </w:r>
      <w:r w:rsidR="00ED2C69" w:rsidRPr="00764A1B">
        <w:rPr>
          <w:rFonts w:cs="Times New Roman"/>
          <w:szCs w:val="24"/>
        </w:rPr>
        <w:t>regulatory</w:t>
      </w:r>
      <w:r w:rsidR="00DF06FA" w:rsidRPr="00764A1B">
        <w:rPr>
          <w:rFonts w:cs="Times New Roman"/>
          <w:szCs w:val="24"/>
        </w:rPr>
        <w:t xml:space="preserve"> perspective.</w:t>
      </w:r>
    </w:p>
    <w:p w14:paraId="234113B4" w14:textId="77777777" w:rsidR="00745027" w:rsidRPr="00764A1B" w:rsidRDefault="00745027" w:rsidP="00121857">
      <w:pPr>
        <w:spacing w:before="200" w:line="240" w:lineRule="auto"/>
        <w:rPr>
          <w:rFonts w:cs="Times New Roman"/>
          <w:b/>
          <w:szCs w:val="24"/>
        </w:rPr>
      </w:pPr>
      <w:r w:rsidRPr="00764A1B">
        <w:rPr>
          <w:rFonts w:cs="Times New Roman"/>
          <w:b/>
          <w:szCs w:val="24"/>
        </w:rPr>
        <w:t>Meetings</w:t>
      </w:r>
    </w:p>
    <w:p w14:paraId="129DA806" w14:textId="17266277" w:rsidR="00745027" w:rsidRPr="00E76ACF" w:rsidRDefault="000F0874" w:rsidP="00661CD2">
      <w:pPr>
        <w:spacing w:before="120" w:line="240" w:lineRule="auto"/>
        <w:rPr>
          <w:rFonts w:cs="Times New Roman"/>
          <w:szCs w:val="24"/>
        </w:rPr>
      </w:pPr>
      <w:r w:rsidRPr="00764A1B">
        <w:rPr>
          <w:rFonts w:cs="Times New Roman"/>
          <w:szCs w:val="24"/>
        </w:rPr>
        <w:t xml:space="preserve">Responsibility for the SOG Chair and Secretariat function is to be </w:t>
      </w:r>
      <w:r w:rsidR="003D5716" w:rsidRPr="00764A1B">
        <w:rPr>
          <w:rFonts w:cs="Times New Roman"/>
          <w:szCs w:val="24"/>
        </w:rPr>
        <w:t xml:space="preserve">determined </w:t>
      </w:r>
      <w:r w:rsidR="00442CC2" w:rsidRPr="006B1CBB">
        <w:rPr>
          <w:rFonts w:cs="Times New Roman"/>
          <w:szCs w:val="24"/>
        </w:rPr>
        <w:t>bi</w:t>
      </w:r>
      <w:r w:rsidR="00E76ACF" w:rsidRPr="00764A1B">
        <w:rPr>
          <w:rFonts w:cs="Times New Roman"/>
          <w:szCs w:val="24"/>
        </w:rPr>
        <w:t>ennial basis</w:t>
      </w:r>
      <w:r w:rsidR="000F7075" w:rsidRPr="00764A1B">
        <w:rPr>
          <w:rFonts w:cs="Times New Roman"/>
          <w:szCs w:val="24"/>
        </w:rPr>
        <w:t xml:space="preserve"> </w:t>
      </w:r>
      <w:r w:rsidR="003D5716" w:rsidRPr="00764A1B">
        <w:rPr>
          <w:rFonts w:cs="Times New Roman"/>
          <w:szCs w:val="24"/>
        </w:rPr>
        <w:t>by the BMF</w:t>
      </w:r>
      <w:r w:rsidR="008A14EA" w:rsidRPr="00764A1B">
        <w:rPr>
          <w:rFonts w:cs="Times New Roman"/>
          <w:szCs w:val="24"/>
        </w:rPr>
        <w:t>.</w:t>
      </w:r>
    </w:p>
    <w:p w14:paraId="558182E2" w14:textId="0B299A6A" w:rsidR="009B659F" w:rsidRPr="00672F68" w:rsidRDefault="008A14EA" w:rsidP="00661CD2">
      <w:pPr>
        <w:spacing w:before="120" w:line="240" w:lineRule="auto"/>
        <w:rPr>
          <w:rFonts w:cs="Times New Roman"/>
          <w:b/>
          <w:szCs w:val="24"/>
        </w:rPr>
      </w:pPr>
      <w:r w:rsidRPr="00672F68">
        <w:rPr>
          <w:rFonts w:cs="Times New Roman"/>
          <w:szCs w:val="24"/>
        </w:rPr>
        <w:t xml:space="preserve">SOG </w:t>
      </w:r>
      <w:r w:rsidR="000F0874" w:rsidRPr="00672F68">
        <w:rPr>
          <w:rFonts w:cs="Times New Roman"/>
          <w:szCs w:val="24"/>
        </w:rPr>
        <w:t xml:space="preserve">members are expected to </w:t>
      </w:r>
      <w:r w:rsidRPr="00672F68">
        <w:rPr>
          <w:rFonts w:cs="Times New Roman"/>
          <w:szCs w:val="24"/>
        </w:rPr>
        <w:t xml:space="preserve">meet </w:t>
      </w:r>
      <w:r w:rsidR="00DF06FA" w:rsidRPr="00672F68">
        <w:rPr>
          <w:rFonts w:cs="Times New Roman"/>
          <w:szCs w:val="24"/>
        </w:rPr>
        <w:t>on a regular basis to ensure the successful completion of priority projects within the agreed timelines</w:t>
      </w:r>
      <w:r w:rsidR="000F0874" w:rsidRPr="00672F68">
        <w:rPr>
          <w:rFonts w:cs="Times New Roman"/>
          <w:szCs w:val="24"/>
        </w:rPr>
        <w:t xml:space="preserve">. </w:t>
      </w:r>
      <w:r w:rsidR="00DF06FA" w:rsidRPr="00672F68">
        <w:rPr>
          <w:rFonts w:cs="Times New Roman"/>
          <w:szCs w:val="24"/>
        </w:rPr>
        <w:t xml:space="preserve"> </w:t>
      </w:r>
      <w:r w:rsidRPr="00672F68">
        <w:rPr>
          <w:rFonts w:cs="Times New Roman"/>
          <w:szCs w:val="24"/>
        </w:rPr>
        <w:t>Participation in these meetings may be delegated where required</w:t>
      </w:r>
      <w:r w:rsidR="0026578F" w:rsidRPr="00672F68">
        <w:rPr>
          <w:rFonts w:cs="Times New Roman"/>
          <w:szCs w:val="24"/>
        </w:rPr>
        <w:t>;</w:t>
      </w:r>
      <w:r w:rsidRPr="00672F68">
        <w:rPr>
          <w:rFonts w:cs="Times New Roman"/>
          <w:szCs w:val="24"/>
        </w:rPr>
        <w:t xml:space="preserve"> however SOG members are expected to participate wherever practicable. Information may also be circulated and decisions made out of session via written communications.</w:t>
      </w:r>
    </w:p>
    <w:p w14:paraId="0A4CDCB9" w14:textId="21C18CC6" w:rsidR="003D5716" w:rsidRPr="00672F68" w:rsidRDefault="003D5716" w:rsidP="00121857">
      <w:pPr>
        <w:spacing w:before="200" w:line="240" w:lineRule="auto"/>
        <w:rPr>
          <w:rFonts w:cs="Times New Roman"/>
          <w:b/>
          <w:szCs w:val="24"/>
        </w:rPr>
      </w:pPr>
      <w:r w:rsidRPr="00672F68">
        <w:rPr>
          <w:rFonts w:cs="Times New Roman"/>
          <w:b/>
          <w:szCs w:val="24"/>
        </w:rPr>
        <w:t>Resourcing for SOG Secretariat</w:t>
      </w:r>
    </w:p>
    <w:p w14:paraId="41BC5AC8" w14:textId="59047C53" w:rsidR="003D5716" w:rsidRPr="003D5716" w:rsidRDefault="003D5716" w:rsidP="00661CD2">
      <w:pPr>
        <w:spacing w:before="120" w:line="240" w:lineRule="auto"/>
        <w:rPr>
          <w:rFonts w:cs="Times New Roman"/>
          <w:b/>
          <w:szCs w:val="24"/>
        </w:rPr>
      </w:pPr>
      <w:r w:rsidRPr="00672F68">
        <w:rPr>
          <w:rFonts w:cs="Times New Roman"/>
          <w:szCs w:val="24"/>
        </w:rPr>
        <w:t>Resourcing for the SOG will be determined by the BMF.</w:t>
      </w:r>
    </w:p>
    <w:p w14:paraId="7DF0F4F2" w14:textId="77777777" w:rsidR="003D5716" w:rsidRDefault="003D5716">
      <w:pPr>
        <w:rPr>
          <w:rFonts w:cs="Times New Roman"/>
          <w:szCs w:val="24"/>
        </w:rPr>
      </w:pPr>
    </w:p>
    <w:sectPr w:rsidR="003D5716" w:rsidSect="00121857">
      <w:headerReference w:type="default" r:id="rId11"/>
      <w:footerReference w:type="default" r:id="rId12"/>
      <w:pgSz w:w="11906" w:h="16838"/>
      <w:pgMar w:top="1135" w:right="1440" w:bottom="1135" w:left="1440" w:header="426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B6A02" w14:textId="77777777" w:rsidR="006F3D07" w:rsidRDefault="006F3D07" w:rsidP="00875B29">
      <w:pPr>
        <w:spacing w:after="0" w:line="240" w:lineRule="auto"/>
      </w:pPr>
      <w:r>
        <w:separator/>
      </w:r>
    </w:p>
  </w:endnote>
  <w:endnote w:type="continuationSeparator" w:id="0">
    <w:p w14:paraId="53CDBBD5" w14:textId="77777777" w:rsidR="006F3D07" w:rsidRDefault="006F3D07" w:rsidP="0087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1721063"/>
      <w:docPartObj>
        <w:docPartGallery w:val="Page Numbers (Bottom of Page)"/>
        <w:docPartUnique/>
      </w:docPartObj>
    </w:sdtPr>
    <w:sdtEndPr/>
    <w:sdtContent>
      <w:sdt>
        <w:sdtPr>
          <w:id w:val="-2107338189"/>
          <w:docPartObj>
            <w:docPartGallery w:val="Page Numbers (Top of Page)"/>
            <w:docPartUnique/>
          </w:docPartObj>
        </w:sdtPr>
        <w:sdtEndPr/>
        <w:sdtContent>
          <w:p w14:paraId="6B0A5434" w14:textId="3CF48809" w:rsidR="00875B29" w:rsidRPr="00121857" w:rsidRDefault="00121857" w:rsidP="00121857">
            <w:pPr>
              <w:pStyle w:val="Footer"/>
              <w:jc w:val="right"/>
            </w:pPr>
            <w:r w:rsidRPr="00121857">
              <w:t xml:space="preserve">Page </w:t>
            </w:r>
            <w:r w:rsidRPr="00121857">
              <w:rPr>
                <w:bCs/>
                <w:szCs w:val="24"/>
              </w:rPr>
              <w:fldChar w:fldCharType="begin"/>
            </w:r>
            <w:r w:rsidRPr="00121857">
              <w:rPr>
                <w:bCs/>
              </w:rPr>
              <w:instrText xml:space="preserve"> PAGE </w:instrText>
            </w:r>
            <w:r w:rsidRPr="00121857">
              <w:rPr>
                <w:bCs/>
                <w:szCs w:val="24"/>
              </w:rPr>
              <w:fldChar w:fldCharType="separate"/>
            </w:r>
            <w:r w:rsidR="00526AF0">
              <w:rPr>
                <w:bCs/>
                <w:noProof/>
              </w:rPr>
              <w:t>1</w:t>
            </w:r>
            <w:r w:rsidRPr="00121857">
              <w:rPr>
                <w:bCs/>
                <w:szCs w:val="24"/>
              </w:rPr>
              <w:fldChar w:fldCharType="end"/>
            </w:r>
            <w:r w:rsidRPr="00121857">
              <w:t xml:space="preserve"> of </w:t>
            </w:r>
            <w:r w:rsidRPr="00121857">
              <w:rPr>
                <w:bCs/>
                <w:szCs w:val="24"/>
              </w:rPr>
              <w:fldChar w:fldCharType="begin"/>
            </w:r>
            <w:r w:rsidRPr="00121857">
              <w:rPr>
                <w:bCs/>
              </w:rPr>
              <w:instrText xml:space="preserve"> NUMPAGES  </w:instrText>
            </w:r>
            <w:r w:rsidRPr="00121857">
              <w:rPr>
                <w:bCs/>
                <w:szCs w:val="24"/>
              </w:rPr>
              <w:fldChar w:fldCharType="separate"/>
            </w:r>
            <w:r w:rsidR="00526AF0">
              <w:rPr>
                <w:bCs/>
                <w:noProof/>
              </w:rPr>
              <w:t>2</w:t>
            </w:r>
            <w:r w:rsidRPr="00121857">
              <w:rPr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840C1" w14:textId="77777777" w:rsidR="006F3D07" w:rsidRDefault="006F3D07" w:rsidP="00875B29">
      <w:pPr>
        <w:spacing w:after="0" w:line="240" w:lineRule="auto"/>
      </w:pPr>
      <w:r>
        <w:separator/>
      </w:r>
    </w:p>
  </w:footnote>
  <w:footnote w:type="continuationSeparator" w:id="0">
    <w:p w14:paraId="5794FE7D" w14:textId="77777777" w:rsidR="006F3D07" w:rsidRDefault="006F3D07" w:rsidP="00875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B37C3" w14:textId="0530E1F0" w:rsidR="00875B29" w:rsidRPr="00121857" w:rsidRDefault="00875B29" w:rsidP="00121857">
    <w:pPr>
      <w:pStyle w:val="Header"/>
      <w:tabs>
        <w:tab w:val="clear" w:pos="9026"/>
        <w:tab w:val="right" w:pos="9214"/>
      </w:tabs>
      <w:rPr>
        <w:rFonts w:cs="Times New Roman"/>
        <w:color w:val="FFFFFF" w:themeColor="background1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462EE"/>
    <w:multiLevelType w:val="hybridMultilevel"/>
    <w:tmpl w:val="297ABC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A36F10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E253EA"/>
    <w:multiLevelType w:val="hybridMultilevel"/>
    <w:tmpl w:val="246ED87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956A4"/>
    <w:multiLevelType w:val="hybridMultilevel"/>
    <w:tmpl w:val="38D6D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253D00"/>
    <w:multiLevelType w:val="hybridMultilevel"/>
    <w:tmpl w:val="D6EA6A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49444C"/>
    <w:multiLevelType w:val="hybridMultilevel"/>
    <w:tmpl w:val="3BFEE96E"/>
    <w:lvl w:ilvl="0" w:tplc="E7C05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38280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850CA7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F46FE3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46A3FE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802585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788E53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860F6C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06622B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1D90D8C"/>
    <w:multiLevelType w:val="hybridMultilevel"/>
    <w:tmpl w:val="CA1061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43513A"/>
    <w:multiLevelType w:val="hybridMultilevel"/>
    <w:tmpl w:val="3D0A1F64"/>
    <w:lvl w:ilvl="0" w:tplc="B7E67E96">
      <w:start w:val="1"/>
      <w:numFmt w:val="decimal"/>
      <w:pStyle w:val="BodyText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A36F10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744076"/>
    <w:multiLevelType w:val="hybridMultilevel"/>
    <w:tmpl w:val="7CE86A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29"/>
    <w:rsid w:val="00013678"/>
    <w:rsid w:val="00050259"/>
    <w:rsid w:val="00051656"/>
    <w:rsid w:val="000D4263"/>
    <w:rsid w:val="000E4667"/>
    <w:rsid w:val="000F0874"/>
    <w:rsid w:val="000F3645"/>
    <w:rsid w:val="000F7075"/>
    <w:rsid w:val="00121857"/>
    <w:rsid w:val="00134F8F"/>
    <w:rsid w:val="001D2D1D"/>
    <w:rsid w:val="001F583E"/>
    <w:rsid w:val="00200D85"/>
    <w:rsid w:val="00233E15"/>
    <w:rsid w:val="0026578F"/>
    <w:rsid w:val="00267066"/>
    <w:rsid w:val="002742A5"/>
    <w:rsid w:val="002907A8"/>
    <w:rsid w:val="002C1872"/>
    <w:rsid w:val="002E74D1"/>
    <w:rsid w:val="002F06F3"/>
    <w:rsid w:val="00323BD3"/>
    <w:rsid w:val="00356DE9"/>
    <w:rsid w:val="00366B80"/>
    <w:rsid w:val="00385A61"/>
    <w:rsid w:val="003A6D0C"/>
    <w:rsid w:val="003B22B6"/>
    <w:rsid w:val="003D5716"/>
    <w:rsid w:val="00442CC2"/>
    <w:rsid w:val="00493D77"/>
    <w:rsid w:val="004B029C"/>
    <w:rsid w:val="004B33E0"/>
    <w:rsid w:val="004C6403"/>
    <w:rsid w:val="004E69B5"/>
    <w:rsid w:val="00526AF0"/>
    <w:rsid w:val="0057236D"/>
    <w:rsid w:val="005735CD"/>
    <w:rsid w:val="00594E2E"/>
    <w:rsid w:val="005C2C5F"/>
    <w:rsid w:val="005E235F"/>
    <w:rsid w:val="005E7228"/>
    <w:rsid w:val="00601750"/>
    <w:rsid w:val="006139AB"/>
    <w:rsid w:val="006565DC"/>
    <w:rsid w:val="00661CD2"/>
    <w:rsid w:val="00672F68"/>
    <w:rsid w:val="006B1CBB"/>
    <w:rsid w:val="006C52C5"/>
    <w:rsid w:val="006D2E26"/>
    <w:rsid w:val="006D6D7F"/>
    <w:rsid w:val="006F3D07"/>
    <w:rsid w:val="007160C9"/>
    <w:rsid w:val="0073067F"/>
    <w:rsid w:val="00733321"/>
    <w:rsid w:val="00735B98"/>
    <w:rsid w:val="00745027"/>
    <w:rsid w:val="007573E6"/>
    <w:rsid w:val="00764A1B"/>
    <w:rsid w:val="007657A0"/>
    <w:rsid w:val="007C6B52"/>
    <w:rsid w:val="007E6C18"/>
    <w:rsid w:val="00804093"/>
    <w:rsid w:val="00865BD8"/>
    <w:rsid w:val="00875B29"/>
    <w:rsid w:val="008A10A6"/>
    <w:rsid w:val="008A1247"/>
    <w:rsid w:val="008A14EA"/>
    <w:rsid w:val="008C6629"/>
    <w:rsid w:val="00937A71"/>
    <w:rsid w:val="00944D38"/>
    <w:rsid w:val="00952EEC"/>
    <w:rsid w:val="00962158"/>
    <w:rsid w:val="00983E97"/>
    <w:rsid w:val="00991463"/>
    <w:rsid w:val="009B659F"/>
    <w:rsid w:val="009C7A28"/>
    <w:rsid w:val="009D28D5"/>
    <w:rsid w:val="00A47284"/>
    <w:rsid w:val="00A72A50"/>
    <w:rsid w:val="00A8119B"/>
    <w:rsid w:val="00AA1E8F"/>
    <w:rsid w:val="00AC67F8"/>
    <w:rsid w:val="00AF0903"/>
    <w:rsid w:val="00AF7AC5"/>
    <w:rsid w:val="00B524CF"/>
    <w:rsid w:val="00B8255B"/>
    <w:rsid w:val="00B93D20"/>
    <w:rsid w:val="00BD657D"/>
    <w:rsid w:val="00BE6544"/>
    <w:rsid w:val="00C12D4A"/>
    <w:rsid w:val="00C16C26"/>
    <w:rsid w:val="00C22984"/>
    <w:rsid w:val="00C700FC"/>
    <w:rsid w:val="00C84075"/>
    <w:rsid w:val="00CB0535"/>
    <w:rsid w:val="00CC5B11"/>
    <w:rsid w:val="00CF34D4"/>
    <w:rsid w:val="00D000B8"/>
    <w:rsid w:val="00D50ABC"/>
    <w:rsid w:val="00D71F20"/>
    <w:rsid w:val="00D94E8A"/>
    <w:rsid w:val="00DF06FA"/>
    <w:rsid w:val="00E76ACF"/>
    <w:rsid w:val="00E863A5"/>
    <w:rsid w:val="00EA5389"/>
    <w:rsid w:val="00EC2655"/>
    <w:rsid w:val="00ED2C69"/>
    <w:rsid w:val="00F1640E"/>
    <w:rsid w:val="00F21281"/>
    <w:rsid w:val="00F42E9E"/>
    <w:rsid w:val="00F77FC7"/>
    <w:rsid w:val="00FE0BB7"/>
    <w:rsid w:val="00FE7D9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32C2C162"/>
  <w15:chartTrackingRefBased/>
  <w15:docId w15:val="{D26FF839-F20E-47AE-8A19-C0CB7048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B29"/>
    <w:pPr>
      <w:spacing w:after="120" w:line="276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1"/>
    <w:qFormat/>
    <w:rsid w:val="00875B29"/>
    <w:pPr>
      <w:spacing w:before="240" w:after="240" w:line="240" w:lineRule="auto"/>
      <w:ind w:left="2160" w:hanging="2160"/>
      <w:outlineLvl w:val="1"/>
    </w:pPr>
    <w:rPr>
      <w:rFonts w:cs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875B29"/>
    <w:rPr>
      <w:rFonts w:ascii="Times New Roman" w:hAnsi="Times New Roman" w:cs="Times New Roman"/>
      <w:b/>
      <w:sz w:val="28"/>
      <w:szCs w:val="24"/>
    </w:rPr>
  </w:style>
  <w:style w:type="paragraph" w:styleId="ListParagraph">
    <w:name w:val="List Paragraph"/>
    <w:aliases w:val="Bullet point,Bulletr List Paragraph,FooterText,L,List Paragraph1,List Paragraph11,List Paragraph2,List Paragraph21,Listeafsnit1,NFP GP Bulleted List,Paragraphe de liste1,Parágrafo da Lista1,Recommendation,bullet point list"/>
    <w:basedOn w:val="Normal"/>
    <w:link w:val="ListParagraphChar"/>
    <w:uiPriority w:val="34"/>
    <w:qFormat/>
    <w:rsid w:val="00875B29"/>
    <w:pPr>
      <w:ind w:left="720"/>
      <w:contextualSpacing/>
    </w:pPr>
  </w:style>
  <w:style w:type="character" w:customStyle="1" w:styleId="ListParagraphChar">
    <w:name w:val="List Paragraph Char"/>
    <w:aliases w:val="Bullet point Char,Bulletr List Paragraph Char,FooterText Char,L Char,List Paragraph1 Char,List Paragraph11 Char,List Paragraph2 Char,List Paragraph21 Char,Listeafsnit1 Char,NFP GP Bulleted List Char,Paragraphe de liste1 Char"/>
    <w:link w:val="ListParagraph"/>
    <w:uiPriority w:val="34"/>
    <w:locked/>
    <w:rsid w:val="00875B29"/>
    <w:rPr>
      <w:rFonts w:ascii="Times New Roman" w:hAnsi="Times New Roman"/>
      <w:sz w:val="24"/>
    </w:rPr>
  </w:style>
  <w:style w:type="paragraph" w:styleId="BodyText">
    <w:name w:val="Body Text"/>
    <w:basedOn w:val="ListParagraph"/>
    <w:link w:val="BodyTextChar"/>
    <w:uiPriority w:val="1"/>
    <w:qFormat/>
    <w:rsid w:val="00875B29"/>
    <w:pPr>
      <w:numPr>
        <w:numId w:val="1"/>
      </w:numPr>
      <w:contextualSpacing w:val="0"/>
    </w:pPr>
    <w:rPr>
      <w:rFonts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75B2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5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B2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5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B29"/>
    <w:rPr>
      <w:rFonts w:ascii="Times New Roman" w:hAnsi="Times New Roman"/>
      <w:sz w:val="24"/>
    </w:rPr>
  </w:style>
  <w:style w:type="paragraph" w:customStyle="1" w:styleId="Default">
    <w:name w:val="Default"/>
    <w:rsid w:val="003A6D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8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D6D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6D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6D7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D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D7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9BA5C7C60AC43547894F5BBA27D651FE" ma:contentTypeVersion="77" ma:contentTypeDescription="Core Publishing Document, inherited from OOTB document." ma:contentTypeScope="" ma:versionID="e0b082b34659c4186ff553bcd4f0c58e">
  <xsd:schema xmlns:xsd="http://www.w3.org/2001/XMLSchema" xmlns:xs="http://www.w3.org/2001/XMLSchema" xmlns:p="http://schemas.microsoft.com/office/2006/metadata/properties" xmlns:ns1="http://schemas.microsoft.com/sharepoint/v3" xmlns:ns2="0880af4c-2db1-4bbd-bd10-321e99ca68ee" xmlns:ns3="c0b4bd0a-f6ac-422c-a0b2-ddc3a705a698" targetNamespace="http://schemas.microsoft.com/office/2006/metadata/properties" ma:root="true" ma:fieldsID="f341b6add8b70d51cb7e0e526a1fb534" ns1:_="" ns2:_="" ns3:_="">
    <xsd:import namespace="http://schemas.microsoft.com/sharepoint/v3"/>
    <xsd:import namespace="0880af4c-2db1-4bbd-bd10-321e99ca68ee"/>
    <xsd:import namespace="c0b4bd0a-f6ac-422c-a0b2-ddc3a705a698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 minOccurs="0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 minOccurs="0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0af4c-2db1-4bbd-bd10-321e99ca68ee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nillable="true" ma:displayName="Document Contact" ma:list="UserInfo" ma:internalName="CorePublishingDocument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nillable="true" ma:displayName="File Reference" ma:description="Audit Requirement." ma:internalName="CorePublishingFileReference" ma:readOnly="fals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4bd0a-f6ac-422c-a0b2-ddc3a705a698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4a441248-04bf-4c62-8747-8bfb61e5e21c" ma:internalName="Subject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fbec0be5-db93-4c03-a796-ce5d02f374a3" ma:internalName="Keywords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233fae74-8b6e-4f87-8db3-5052d625541f}" ma:internalName="CorePublishingDocumentCategory" ma:showField="Title" ma:web="{c0b4bd0a-f6ac-422c-a0b2-ddc3a705a698}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6ca4ea36-3739-485e-8e04-ddf89b384e56}" ma:internalName="DocumentRollupCategory" ma:showField="Title" ma:web="{c0b4bd0a-f6ac-422c-a0b2-ddc3a705a69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rePublishingDocumentCategory xmlns="c0b4bd0a-f6ac-422c-a0b2-ddc3a705a698" xsi:nil="true"/>
    <CorePublishingFileReference xmlns="0880af4c-2db1-4bbd-bd10-321e99ca68ee" xsi:nil="true"/>
    <KeywordsLookupField xmlns="c0b4bd0a-f6ac-422c-a0b2-ddc3a705a698"/>
    <IncludeInContentRollups xmlns="0880af4c-2db1-4bbd-bd10-321e99ca68ee">false</IncludeInContentRollups>
    <CorePublishingDocumentChangeDescription xmlns="0880af4c-2db1-4bbd-bd10-321e99ca68ee" xsi:nil="true"/>
    <CorePublishingDocumentContact xmlns="0880af4c-2db1-4bbd-bd10-321e99ca68ee">
      <UserInfo>
        <DisplayName/>
        <AccountId xsi:nil="true"/>
        <AccountType/>
      </UserInfo>
    </CorePublishingDocumentContact>
    <SubjectLookupField xmlns="c0b4bd0a-f6ac-422c-a0b2-ddc3a705a698"/>
    <IPSCategory xmlns="0880af4c-2db1-4bbd-bd10-321e99ca68ee" xsi:nil="true"/>
    <CorePublishingComments xmlns="0880af4c-2db1-4bbd-bd10-321e99ca68ee" xsi:nil="true"/>
    <PublishingExpirationDate xmlns="http://schemas.microsoft.com/sharepoint/v3" xsi:nil="true"/>
    <IncludeInRSSFeeds xmlns="0880af4c-2db1-4bbd-bd10-321e99ca68ee">false</IncludeInRSSFeeds>
    <PublishingStartDate xmlns="http://schemas.microsoft.com/sharepoint/v3" xsi:nil="true"/>
    <IncludeInNotificationsAndUpdates xmlns="0880af4c-2db1-4bbd-bd10-321e99ca68ee">true</IncludeInNotificationsAndUpdates>
    <DocumentRollupCategory xmlns="c0b4bd0a-f6ac-422c-a0b2-ddc3a705a698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73819-9A47-4FC9-90BB-87F80907C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880af4c-2db1-4bbd-bd10-321e99ca68ee"/>
    <ds:schemaRef ds:uri="c0b4bd0a-f6ac-422c-a0b2-ddc3a705a6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F26C8-56F9-4270-B3A6-34701065E9C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0b4bd0a-f6ac-422c-a0b2-ddc3a705a698"/>
    <ds:schemaRef ds:uri="http://purl.org/dc/dcmitype/"/>
    <ds:schemaRef ds:uri="0880af4c-2db1-4bbd-bd10-321e99ca68ee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8D3C97-43AF-4E4B-8178-92FDB063FC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51A18-C481-4395-A5CE-247A3CAB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Rodney</dc:creator>
  <cp:keywords/>
  <dc:description/>
  <cp:lastModifiedBy>McGregor, Lenore</cp:lastModifiedBy>
  <cp:revision>2</cp:revision>
  <cp:lastPrinted>2017-09-28T03:09:00Z</cp:lastPrinted>
  <dcterms:created xsi:type="dcterms:W3CDTF">2018-07-04T05:11:00Z</dcterms:created>
  <dcterms:modified xsi:type="dcterms:W3CDTF">2018-07-04T05:11:00Z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0x01010097F86F0C24D64525B252BB20BD9D45A7009BA5C7C60AC43547894F5BBA27D651FE</vt:lpwstr>
  </property>
  <property fmtid="{D5CDD505-2E9C-101B-9397-08002B2CF9AE}" pid="3" name="_dlc_DocIdItemGuid">
    <vt:lpwstr>fe2cc649-0f0f-4a24-bb9a-a9e5c35d14b3</vt:lpwstr>
  </property>
  <property fmtid="{D5CDD505-2E9C-101B-9397-08002B2CF9AE}" pid="4" name="DocHub_Year">
    <vt:lpwstr>360;#2017|5f6de30b-6e1e-4c09-9e51-982258231536</vt:lpwstr>
  </property>
  <property fmtid="{D5CDD505-2E9C-101B-9397-08002B2CF9AE}" pid="5" name="DocHub_DocumentType">
    <vt:lpwstr>275;#Terms of Reference|eeba3d5f-ad86-4535-a09e-e86907e8c434</vt:lpwstr>
  </property>
  <property fmtid="{D5CDD505-2E9C-101B-9397-08002B2CF9AE}" pid="6" name="DocHub_SecurityClassification">
    <vt:lpwstr>3;#UNCLASSIFIED|6106d03b-a1a0-4e30-9d91-d5e9fb4314f9</vt:lpwstr>
  </property>
  <property fmtid="{D5CDD505-2E9C-101B-9397-08002B2CF9AE}" pid="7" name="_CopySource">
    <vt:lpwstr/>
  </property>
  <property fmtid="{D5CDD505-2E9C-101B-9397-08002B2CF9AE}" pid="8" name="DocHub_Keywords">
    <vt:lpwstr>328;#Building Industry Section|8aafe8fe-f053-419e-b663-baf5527dcabb;#429;#SOG|7fda0f8d-6bed-431f-ab1d-78aa8461b4d3;#448;#BMF|0bdebc11-d115-4f7c-a53e-ebe66709e38c;#1398;#Terms of Reference|b0ce7383-bde1-486c-91e0-ca262a4f1ea2</vt:lpwstr>
  </property>
  <property fmtid="{D5CDD505-2E9C-101B-9397-08002B2CF9AE}" pid="9" name="DocHub_BriefingCorrespondenceType">
    <vt:lpwstr/>
  </property>
  <property fmtid="{D5CDD505-2E9C-101B-9397-08002B2CF9AE}" pid="10" name="DocHub_WorkActivity">
    <vt:lpwstr>34;#Advice|1457d667-06f4-481b-ac17-a830d1bf0a1d</vt:lpwstr>
  </property>
</Properties>
</file>