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theme/themeOverride1.xml" ContentType="application/vnd.openxmlformats-officedocument.themeOverrid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charts/chart4.xml" ContentType="application/vnd.openxmlformats-officedocument.drawingml.chart+xml"/>
  <Override PartName="/word/charts/style4.xml" ContentType="application/vnd.ms-office.chartstyle+xml"/>
  <Override PartName="/word/charts/colors4.xml" ContentType="application/vnd.ms-office.chartcolorstyle+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1D439E9" w14:textId="77777777" w:rsidR="00795087" w:rsidRDefault="00795087" w:rsidP="00795087">
      <w:pPr>
        <w:rPr>
          <w:rFonts w:asciiTheme="majorHAnsi" w:eastAsiaTheme="majorEastAsia" w:hAnsiTheme="majorHAnsi" w:cstheme="majorBidi"/>
          <w:b/>
          <w:color w:val="2C2C2D" w:themeColor="text2" w:themeShade="80"/>
          <w:spacing w:val="5"/>
          <w:kern w:val="28"/>
          <w:sz w:val="56"/>
          <w:szCs w:val="52"/>
        </w:rPr>
      </w:pPr>
      <w:bookmarkStart w:id="0" w:name="_GoBack"/>
      <w:bookmarkEnd w:id="0"/>
    </w:p>
    <w:p w14:paraId="55BE7A3B" w14:textId="77777777" w:rsidR="00975726" w:rsidRDefault="00795087" w:rsidP="00795087">
      <w:pPr>
        <w:pStyle w:val="Title"/>
        <w:ind w:left="993"/>
      </w:pPr>
      <w:r w:rsidRPr="00795087">
        <w:t>National Survey of Research Commercialisation (NSRC)</w:t>
      </w:r>
    </w:p>
    <w:p w14:paraId="07641A6E" w14:textId="0E1905AD" w:rsidR="002300AC" w:rsidRDefault="00E40A13" w:rsidP="002916ED">
      <w:pPr>
        <w:pStyle w:val="Subtitle"/>
        <w:ind w:left="993" w:right="662"/>
      </w:pPr>
      <w:r>
        <w:t>Data Summary 2013 – 2015</w:t>
      </w:r>
    </w:p>
    <w:p w14:paraId="26569E24" w14:textId="77777777" w:rsidR="00163B54" w:rsidRDefault="00163B54" w:rsidP="002916ED">
      <w:pPr>
        <w:pStyle w:val="Subtitle"/>
        <w:ind w:left="993" w:right="662"/>
      </w:pPr>
    </w:p>
    <w:p w14:paraId="63FD9D0C" w14:textId="2210053B" w:rsidR="00602C92" w:rsidRDefault="00163B54" w:rsidP="002916ED">
      <w:pPr>
        <w:ind w:left="993" w:right="662"/>
        <w:rPr>
          <w:rStyle w:val="Hyperlink"/>
        </w:rPr>
      </w:pPr>
      <w:r w:rsidRPr="00A93922">
        <w:t>www.industry.gov.au/</w:t>
      </w:r>
      <w:r w:rsidR="00A93922">
        <w:t>nsrc</w:t>
      </w:r>
    </w:p>
    <w:p w14:paraId="137ECAA0" w14:textId="77777777" w:rsidR="001A2DC6" w:rsidRDefault="001A2DC6" w:rsidP="001A25AE">
      <w:pPr>
        <w:ind w:left="993" w:right="804"/>
        <w:rPr>
          <w:rStyle w:val="Hyperlink"/>
        </w:rPr>
      </w:pPr>
    </w:p>
    <w:p w14:paraId="023019DF" w14:textId="77777777" w:rsidR="001A2DC6" w:rsidRDefault="001A2DC6" w:rsidP="00163B54">
      <w:pPr>
        <w:rPr>
          <w:rStyle w:val="Hyperlink"/>
        </w:rPr>
        <w:sectPr w:rsidR="001A2DC6" w:rsidSect="0088639D">
          <w:headerReference w:type="default" r:id="rId11"/>
          <w:footerReference w:type="even" r:id="rId12"/>
          <w:footerReference w:type="default" r:id="rId13"/>
          <w:pgSz w:w="11906" w:h="16838"/>
          <w:pgMar w:top="1440" w:right="1440" w:bottom="1440" w:left="1440" w:header="708" w:footer="708" w:gutter="0"/>
          <w:cols w:space="708"/>
          <w:docGrid w:linePitch="360"/>
        </w:sectPr>
      </w:pPr>
    </w:p>
    <w:p w14:paraId="28AE25C4" w14:textId="77777777" w:rsidR="009F1DA0" w:rsidRPr="009F1DA0" w:rsidRDefault="006255AE" w:rsidP="006255AE">
      <w:pPr>
        <w:rPr>
          <w:szCs w:val="20"/>
        </w:rPr>
      </w:pPr>
      <w:bookmarkStart w:id="1" w:name="_Toc419991348"/>
      <w:bookmarkStart w:id="2" w:name="_Toc304456805"/>
      <w:r w:rsidRPr="009F1DA0">
        <w:rPr>
          <w:szCs w:val="20"/>
        </w:rPr>
        <w:lastRenderedPageBreak/>
        <w:t xml:space="preserve">This document presents </w:t>
      </w:r>
      <w:r w:rsidR="00101473" w:rsidRPr="009F1DA0">
        <w:rPr>
          <w:szCs w:val="20"/>
        </w:rPr>
        <w:t>a summary of</w:t>
      </w:r>
      <w:r w:rsidR="005C7C08" w:rsidRPr="009F1DA0">
        <w:rPr>
          <w:szCs w:val="20"/>
        </w:rPr>
        <w:t xml:space="preserve"> </w:t>
      </w:r>
      <w:r w:rsidRPr="009F1DA0">
        <w:rPr>
          <w:szCs w:val="20"/>
        </w:rPr>
        <w:t xml:space="preserve">key </w:t>
      </w:r>
      <w:r w:rsidR="00101473" w:rsidRPr="009F1DA0">
        <w:rPr>
          <w:szCs w:val="20"/>
        </w:rPr>
        <w:t>results</w:t>
      </w:r>
      <w:r w:rsidRPr="009F1DA0">
        <w:rPr>
          <w:szCs w:val="20"/>
        </w:rPr>
        <w:t xml:space="preserve"> from the</w:t>
      </w:r>
      <w:r w:rsidR="00E40A13" w:rsidRPr="009F1DA0">
        <w:rPr>
          <w:szCs w:val="20"/>
        </w:rPr>
        <w:t xml:space="preserve"> 2015</w:t>
      </w:r>
      <w:r w:rsidRPr="009F1DA0">
        <w:rPr>
          <w:szCs w:val="20"/>
        </w:rPr>
        <w:t xml:space="preserve"> National Survey of Research Commercialisation (NSRC) and </w:t>
      </w:r>
      <w:r w:rsidR="00882642" w:rsidRPr="009F1DA0">
        <w:rPr>
          <w:szCs w:val="20"/>
        </w:rPr>
        <w:t>provides a comparison</w:t>
      </w:r>
      <w:r w:rsidRPr="009F1DA0">
        <w:rPr>
          <w:szCs w:val="20"/>
        </w:rPr>
        <w:t xml:space="preserve"> against data from the </w:t>
      </w:r>
      <w:r w:rsidR="00E40A13" w:rsidRPr="009F1DA0">
        <w:rPr>
          <w:szCs w:val="20"/>
        </w:rPr>
        <w:t>2013 and 2014</w:t>
      </w:r>
      <w:r w:rsidRPr="009F1DA0">
        <w:rPr>
          <w:szCs w:val="20"/>
        </w:rPr>
        <w:t xml:space="preserve"> survey</w:t>
      </w:r>
      <w:r w:rsidR="00E40A13" w:rsidRPr="009F1DA0">
        <w:rPr>
          <w:szCs w:val="20"/>
        </w:rPr>
        <w:t>s</w:t>
      </w:r>
      <w:r w:rsidRPr="009F1DA0">
        <w:rPr>
          <w:szCs w:val="20"/>
        </w:rPr>
        <w:t>.</w:t>
      </w:r>
      <w:r w:rsidR="00C42723" w:rsidRPr="009F1DA0">
        <w:rPr>
          <w:szCs w:val="20"/>
        </w:rPr>
        <w:t xml:space="preserve"> </w:t>
      </w:r>
      <w:r w:rsidR="009A2849" w:rsidRPr="009F1DA0">
        <w:rPr>
          <w:szCs w:val="20"/>
        </w:rPr>
        <w:t>Please</w:t>
      </w:r>
      <w:r w:rsidR="00101473" w:rsidRPr="009F1DA0">
        <w:rPr>
          <w:szCs w:val="20"/>
        </w:rPr>
        <w:t xml:space="preserve"> note</w:t>
      </w:r>
      <w:r w:rsidR="002D3D74" w:rsidRPr="009F1DA0">
        <w:rPr>
          <w:szCs w:val="20"/>
        </w:rPr>
        <w:t xml:space="preserve"> that</w:t>
      </w:r>
      <w:r w:rsidR="00583EBB" w:rsidRPr="009F1DA0">
        <w:rPr>
          <w:szCs w:val="20"/>
        </w:rPr>
        <w:t>:</w:t>
      </w:r>
      <w:r w:rsidR="009F1DA0" w:rsidRPr="009F1DA0">
        <w:rPr>
          <w:szCs w:val="20"/>
        </w:rPr>
        <w:t xml:space="preserve"> </w:t>
      </w:r>
    </w:p>
    <w:p w14:paraId="546F62B3" w14:textId="3BEBA09A" w:rsidR="00583EBB" w:rsidRPr="009F1DA0" w:rsidRDefault="009F1DA0" w:rsidP="009F1DA0">
      <w:pPr>
        <w:pStyle w:val="ListParagraph"/>
        <w:numPr>
          <w:ilvl w:val="0"/>
          <w:numId w:val="35"/>
        </w:numPr>
        <w:rPr>
          <w:sz w:val="20"/>
          <w:szCs w:val="20"/>
        </w:rPr>
      </w:pPr>
      <w:r w:rsidRPr="009F1DA0">
        <w:rPr>
          <w:sz w:val="20"/>
          <w:szCs w:val="20"/>
        </w:rPr>
        <w:t>All dollar figures are adjusted for inflation and given in 2015 values.</w:t>
      </w:r>
    </w:p>
    <w:p w14:paraId="0EC3147A" w14:textId="00B14026" w:rsidR="00583EBB" w:rsidRPr="009F1DA0" w:rsidRDefault="009F1DA0" w:rsidP="002D3D74">
      <w:pPr>
        <w:pStyle w:val="ListParagraph"/>
        <w:numPr>
          <w:ilvl w:val="0"/>
          <w:numId w:val="35"/>
        </w:numPr>
        <w:rPr>
          <w:sz w:val="20"/>
          <w:szCs w:val="20"/>
        </w:rPr>
      </w:pPr>
      <w:r w:rsidRPr="009F1DA0">
        <w:rPr>
          <w:sz w:val="20"/>
          <w:szCs w:val="20"/>
        </w:rPr>
        <w:t>F</w:t>
      </w:r>
      <w:r w:rsidR="00F967B7" w:rsidRPr="009F1DA0">
        <w:rPr>
          <w:sz w:val="20"/>
          <w:szCs w:val="20"/>
        </w:rPr>
        <w:t xml:space="preserve">igures </w:t>
      </w:r>
      <w:r w:rsidR="00882642" w:rsidRPr="009F1DA0">
        <w:rPr>
          <w:sz w:val="20"/>
          <w:szCs w:val="20"/>
        </w:rPr>
        <w:t xml:space="preserve">provided </w:t>
      </w:r>
      <w:r w:rsidR="002D3D74" w:rsidRPr="009F1DA0">
        <w:rPr>
          <w:sz w:val="20"/>
          <w:szCs w:val="20"/>
        </w:rPr>
        <w:t xml:space="preserve">in this summary document </w:t>
      </w:r>
      <w:r w:rsidR="00F967B7" w:rsidRPr="009F1DA0">
        <w:rPr>
          <w:sz w:val="20"/>
          <w:szCs w:val="20"/>
        </w:rPr>
        <w:t>may differ slightly</w:t>
      </w:r>
      <w:r w:rsidR="00882642" w:rsidRPr="009F1DA0">
        <w:rPr>
          <w:sz w:val="20"/>
          <w:szCs w:val="20"/>
        </w:rPr>
        <w:t xml:space="preserve"> from those reported</w:t>
      </w:r>
      <w:r w:rsidR="00F967B7" w:rsidRPr="009F1DA0">
        <w:rPr>
          <w:sz w:val="20"/>
          <w:szCs w:val="20"/>
        </w:rPr>
        <w:t xml:space="preserve"> </w:t>
      </w:r>
      <w:r w:rsidR="005262D4" w:rsidRPr="009F1DA0">
        <w:rPr>
          <w:sz w:val="20"/>
          <w:szCs w:val="20"/>
        </w:rPr>
        <w:t>elsewhere</w:t>
      </w:r>
      <w:r w:rsidR="00F967B7" w:rsidRPr="009F1DA0">
        <w:rPr>
          <w:sz w:val="20"/>
          <w:szCs w:val="20"/>
        </w:rPr>
        <w:t xml:space="preserve"> due to rounding</w:t>
      </w:r>
      <w:r w:rsidR="00C42723" w:rsidRPr="009F1DA0">
        <w:rPr>
          <w:sz w:val="20"/>
          <w:szCs w:val="20"/>
        </w:rPr>
        <w:t xml:space="preserve">. </w:t>
      </w:r>
    </w:p>
    <w:p w14:paraId="1BEADCCD" w14:textId="282A9B5C" w:rsidR="006255AE" w:rsidRDefault="002D3D74" w:rsidP="002D3D74">
      <w:pPr>
        <w:pStyle w:val="ListParagraph"/>
        <w:numPr>
          <w:ilvl w:val="0"/>
          <w:numId w:val="35"/>
        </w:numPr>
        <w:rPr>
          <w:sz w:val="20"/>
          <w:szCs w:val="20"/>
        </w:rPr>
      </w:pPr>
      <w:r w:rsidRPr="009F1DA0">
        <w:rPr>
          <w:sz w:val="20"/>
          <w:szCs w:val="20"/>
        </w:rPr>
        <w:t>The s</w:t>
      </w:r>
      <w:r w:rsidR="00583EBB" w:rsidRPr="009F1DA0">
        <w:rPr>
          <w:sz w:val="20"/>
          <w:szCs w:val="20"/>
        </w:rPr>
        <w:t xml:space="preserve">urvey population may differ between the data </w:t>
      </w:r>
      <w:r w:rsidRPr="009F1DA0">
        <w:rPr>
          <w:sz w:val="20"/>
          <w:szCs w:val="20"/>
        </w:rPr>
        <w:t xml:space="preserve">years </w:t>
      </w:r>
      <w:r w:rsidR="00583EBB" w:rsidRPr="009F1DA0">
        <w:rPr>
          <w:sz w:val="20"/>
          <w:szCs w:val="20"/>
        </w:rPr>
        <w:t xml:space="preserve">being represented. </w:t>
      </w:r>
      <w:r w:rsidR="00F76F38" w:rsidRPr="009F1DA0">
        <w:rPr>
          <w:sz w:val="20"/>
          <w:szCs w:val="20"/>
        </w:rPr>
        <w:t xml:space="preserve">This is </w:t>
      </w:r>
      <w:r w:rsidRPr="009F1DA0">
        <w:rPr>
          <w:sz w:val="20"/>
          <w:szCs w:val="20"/>
        </w:rPr>
        <w:t>due to</w:t>
      </w:r>
      <w:r w:rsidR="00F76F38" w:rsidRPr="009F1DA0">
        <w:rPr>
          <w:sz w:val="20"/>
          <w:szCs w:val="20"/>
        </w:rPr>
        <w:t xml:space="preserve"> </w:t>
      </w:r>
      <w:r w:rsidR="00E6128A">
        <w:rPr>
          <w:sz w:val="20"/>
          <w:szCs w:val="20"/>
        </w:rPr>
        <w:t xml:space="preserve">annual </w:t>
      </w:r>
      <w:r w:rsidR="00F76F38" w:rsidRPr="009F1DA0">
        <w:rPr>
          <w:sz w:val="20"/>
          <w:szCs w:val="20"/>
        </w:rPr>
        <w:t>changes</w:t>
      </w:r>
      <w:r w:rsidR="00583EBB" w:rsidRPr="009F1DA0">
        <w:rPr>
          <w:sz w:val="20"/>
          <w:szCs w:val="20"/>
        </w:rPr>
        <w:t xml:space="preserve"> in the survey population </w:t>
      </w:r>
      <w:r w:rsidRPr="009F1DA0">
        <w:rPr>
          <w:sz w:val="20"/>
          <w:szCs w:val="20"/>
        </w:rPr>
        <w:t>as a result of</w:t>
      </w:r>
      <w:r w:rsidR="00F76F38" w:rsidRPr="009F1DA0">
        <w:rPr>
          <w:sz w:val="20"/>
          <w:szCs w:val="20"/>
        </w:rPr>
        <w:t xml:space="preserve"> new, amalgamated and/or out of scope participants as well as non-responses.  </w:t>
      </w:r>
    </w:p>
    <w:p w14:paraId="16F718E0" w14:textId="3C75D455" w:rsidR="009F1DA0" w:rsidRPr="009F1DA0" w:rsidRDefault="009F1DA0" w:rsidP="009F1DA0">
      <w:pPr>
        <w:pStyle w:val="ListParagraph"/>
        <w:numPr>
          <w:ilvl w:val="0"/>
          <w:numId w:val="35"/>
        </w:numPr>
        <w:rPr>
          <w:sz w:val="20"/>
          <w:szCs w:val="20"/>
        </w:rPr>
      </w:pPr>
      <w:r w:rsidRPr="009F1DA0">
        <w:rPr>
          <w:sz w:val="20"/>
          <w:szCs w:val="20"/>
        </w:rPr>
        <w:t>In 2014, data on start-up company activity was collected through an administrative process outside of the NSRC instrument and the collection method may have impacted on the data results.</w:t>
      </w:r>
    </w:p>
    <w:bookmarkEnd w:id="1"/>
    <w:bookmarkEnd w:id="2"/>
    <w:p w14:paraId="11277BC9" w14:textId="7296645D" w:rsidR="00A22053" w:rsidRPr="00370B37" w:rsidRDefault="00A22053" w:rsidP="00370B37">
      <w:pPr>
        <w:pStyle w:val="Heading2"/>
        <w:numPr>
          <w:ilvl w:val="0"/>
          <w:numId w:val="17"/>
        </w:numPr>
      </w:pPr>
      <w:r w:rsidRPr="00756951">
        <w:t>National Survey of Research Commercialisation</w:t>
      </w:r>
      <w:r w:rsidR="00330D17">
        <w:t xml:space="preserve"> participation</w:t>
      </w:r>
    </w:p>
    <w:p w14:paraId="32C49906" w14:textId="5E0BE1F8" w:rsidR="00A22053" w:rsidRDefault="00A22053" w:rsidP="00370B37">
      <w:pPr>
        <w:pStyle w:val="ListParagraph"/>
        <w:spacing w:after="0"/>
        <w:ind w:left="0"/>
        <w:rPr>
          <w:rFonts w:ascii="Arial" w:hAnsi="Arial" w:cs="Arial"/>
          <w:sz w:val="20"/>
        </w:rPr>
      </w:pPr>
      <w:r w:rsidRPr="00525A6A">
        <w:rPr>
          <w:rFonts w:ascii="Arial" w:hAnsi="Arial" w:cs="Arial"/>
          <w:sz w:val="20"/>
        </w:rPr>
        <w:t xml:space="preserve">The </w:t>
      </w:r>
      <w:r>
        <w:rPr>
          <w:rFonts w:ascii="Arial" w:hAnsi="Arial" w:cs="Arial"/>
          <w:sz w:val="20"/>
        </w:rPr>
        <w:t>NSRC</w:t>
      </w:r>
      <w:r w:rsidRPr="00525A6A">
        <w:rPr>
          <w:rFonts w:ascii="Arial" w:hAnsi="Arial" w:cs="Arial"/>
          <w:sz w:val="20"/>
        </w:rPr>
        <w:t xml:space="preserve"> provides a collection of data on </w:t>
      </w:r>
      <w:r w:rsidR="00E40A13">
        <w:rPr>
          <w:rFonts w:ascii="Arial" w:hAnsi="Arial" w:cs="Arial"/>
          <w:sz w:val="20"/>
        </w:rPr>
        <w:t>different types of</w:t>
      </w:r>
      <w:r w:rsidRPr="00525A6A">
        <w:rPr>
          <w:rFonts w:ascii="Arial" w:hAnsi="Arial" w:cs="Arial"/>
          <w:sz w:val="20"/>
        </w:rPr>
        <w:t xml:space="preserve"> research engagement and commercialisation activities </w:t>
      </w:r>
      <w:r w:rsidR="00E40A13">
        <w:rPr>
          <w:rFonts w:ascii="Arial" w:hAnsi="Arial" w:cs="Arial"/>
          <w:sz w:val="20"/>
        </w:rPr>
        <w:t>occurring within</w:t>
      </w:r>
      <w:r w:rsidRPr="00525A6A">
        <w:rPr>
          <w:rFonts w:ascii="Arial" w:hAnsi="Arial" w:cs="Arial"/>
          <w:sz w:val="20"/>
        </w:rPr>
        <w:t xml:space="preserve"> </w:t>
      </w:r>
      <w:r>
        <w:rPr>
          <w:rFonts w:ascii="Arial" w:hAnsi="Arial" w:cs="Arial"/>
          <w:sz w:val="20"/>
        </w:rPr>
        <w:t xml:space="preserve">Australian </w:t>
      </w:r>
      <w:r w:rsidRPr="00525A6A">
        <w:rPr>
          <w:rFonts w:ascii="Arial" w:hAnsi="Arial" w:cs="Arial"/>
          <w:sz w:val="20"/>
        </w:rPr>
        <w:t>universities, publicly funded research agencies (PFRAs) and medic</w:t>
      </w:r>
      <w:r>
        <w:rPr>
          <w:rFonts w:ascii="Arial" w:hAnsi="Arial" w:cs="Arial"/>
          <w:sz w:val="20"/>
        </w:rPr>
        <w:t>al research institutes (MRIs)</w:t>
      </w:r>
      <w:r w:rsidRPr="00525A6A">
        <w:rPr>
          <w:rFonts w:ascii="Arial" w:hAnsi="Arial" w:cs="Arial"/>
          <w:sz w:val="20"/>
        </w:rPr>
        <w:t>.</w:t>
      </w:r>
    </w:p>
    <w:p w14:paraId="6B510731" w14:textId="77777777" w:rsidR="009F1DA0" w:rsidRDefault="009F1DA0" w:rsidP="00370B37">
      <w:pPr>
        <w:pStyle w:val="ListParagraph"/>
        <w:spacing w:after="0"/>
        <w:ind w:left="0"/>
        <w:rPr>
          <w:rFonts w:ascii="Arial" w:hAnsi="Arial" w:cs="Arial"/>
          <w:sz w:val="20"/>
        </w:rPr>
      </w:pPr>
    </w:p>
    <w:p w14:paraId="7E7C3BAE" w14:textId="5DDCD9C3" w:rsidR="005C7C08" w:rsidRDefault="00D15EFB" w:rsidP="00E40A13">
      <w:pPr>
        <w:pStyle w:val="ListParagraph"/>
        <w:numPr>
          <w:ilvl w:val="0"/>
          <w:numId w:val="11"/>
        </w:numPr>
        <w:spacing w:after="0"/>
        <w:ind w:left="714" w:hanging="357"/>
        <w:rPr>
          <w:rFonts w:ascii="Arial" w:hAnsi="Arial" w:cs="Arial"/>
          <w:sz w:val="20"/>
        </w:rPr>
      </w:pPr>
      <w:r>
        <w:rPr>
          <w:rFonts w:ascii="Arial" w:hAnsi="Arial" w:cs="Arial"/>
          <w:sz w:val="20"/>
        </w:rPr>
        <w:t>T</w:t>
      </w:r>
      <w:r w:rsidR="00A22053">
        <w:rPr>
          <w:rFonts w:ascii="Arial" w:hAnsi="Arial" w:cs="Arial"/>
          <w:sz w:val="20"/>
        </w:rPr>
        <w:t>he 2</w:t>
      </w:r>
      <w:r w:rsidR="00E40A13">
        <w:rPr>
          <w:rFonts w:ascii="Arial" w:hAnsi="Arial" w:cs="Arial"/>
          <w:sz w:val="20"/>
        </w:rPr>
        <w:t xml:space="preserve">015 </w:t>
      </w:r>
      <w:r w:rsidR="00A22053">
        <w:rPr>
          <w:rFonts w:ascii="Arial" w:hAnsi="Arial" w:cs="Arial"/>
          <w:sz w:val="20"/>
        </w:rPr>
        <w:t xml:space="preserve">NSRC </w:t>
      </w:r>
      <w:r>
        <w:rPr>
          <w:rFonts w:ascii="Arial" w:hAnsi="Arial" w:cs="Arial"/>
          <w:sz w:val="20"/>
        </w:rPr>
        <w:t>survey had a participation rate of</w:t>
      </w:r>
      <w:r w:rsidR="00CB34A7">
        <w:rPr>
          <w:rFonts w:ascii="Arial" w:hAnsi="Arial" w:cs="Arial"/>
          <w:sz w:val="20"/>
        </w:rPr>
        <w:t xml:space="preserve"> </w:t>
      </w:r>
      <w:r w:rsidR="007966C5">
        <w:rPr>
          <w:rFonts w:ascii="Arial" w:hAnsi="Arial" w:cs="Arial"/>
          <w:sz w:val="20"/>
        </w:rPr>
        <w:t>9</w:t>
      </w:r>
      <w:r w:rsidR="00CB34A7">
        <w:rPr>
          <w:rFonts w:ascii="Arial" w:hAnsi="Arial" w:cs="Arial"/>
          <w:sz w:val="20"/>
        </w:rPr>
        <w:t xml:space="preserve">9 </w:t>
      </w:r>
      <w:r>
        <w:rPr>
          <w:rFonts w:ascii="Arial" w:hAnsi="Arial" w:cs="Arial"/>
          <w:sz w:val="20"/>
        </w:rPr>
        <w:t>percent</w:t>
      </w:r>
      <w:r w:rsidR="00E40A13">
        <w:rPr>
          <w:rFonts w:ascii="Arial" w:hAnsi="Arial" w:cs="Arial"/>
          <w:sz w:val="20"/>
        </w:rPr>
        <w:t xml:space="preserve">. </w:t>
      </w:r>
      <w:r w:rsidR="005262D4">
        <w:rPr>
          <w:rFonts w:ascii="Arial" w:hAnsi="Arial" w:cs="Arial"/>
          <w:sz w:val="20"/>
        </w:rPr>
        <w:t>Sixty seven</w:t>
      </w:r>
      <w:r w:rsidR="00E40A13">
        <w:rPr>
          <w:rFonts w:ascii="Arial" w:hAnsi="Arial" w:cs="Arial"/>
          <w:sz w:val="20"/>
        </w:rPr>
        <w:t xml:space="preserve"> organisations were invited to participate with</w:t>
      </w:r>
      <w:r>
        <w:rPr>
          <w:rFonts w:ascii="Arial" w:hAnsi="Arial" w:cs="Arial"/>
          <w:sz w:val="20"/>
        </w:rPr>
        <w:t xml:space="preserve"> </w:t>
      </w:r>
      <w:r w:rsidR="007966C5">
        <w:rPr>
          <w:rFonts w:ascii="Arial" w:hAnsi="Arial" w:cs="Arial"/>
          <w:sz w:val="20"/>
        </w:rPr>
        <w:t>66</w:t>
      </w:r>
      <w:r>
        <w:rPr>
          <w:rFonts w:ascii="Arial" w:hAnsi="Arial" w:cs="Arial"/>
          <w:sz w:val="20"/>
        </w:rPr>
        <w:t xml:space="preserve"> organisations </w:t>
      </w:r>
      <w:r w:rsidR="00101473">
        <w:rPr>
          <w:rFonts w:ascii="Arial" w:hAnsi="Arial" w:cs="Arial"/>
          <w:sz w:val="20"/>
        </w:rPr>
        <w:t>responding</w:t>
      </w:r>
      <w:r>
        <w:rPr>
          <w:rFonts w:ascii="Arial" w:hAnsi="Arial" w:cs="Arial"/>
          <w:sz w:val="20"/>
        </w:rPr>
        <w:t xml:space="preserve">. </w:t>
      </w:r>
    </w:p>
    <w:p w14:paraId="14765AC1" w14:textId="7237D2D9" w:rsidR="00A22053" w:rsidRPr="00E40A13" w:rsidRDefault="00101473" w:rsidP="00E40A13">
      <w:pPr>
        <w:pStyle w:val="ListParagraph"/>
        <w:numPr>
          <w:ilvl w:val="0"/>
          <w:numId w:val="11"/>
        </w:numPr>
        <w:spacing w:after="0"/>
        <w:ind w:left="714" w:hanging="357"/>
        <w:rPr>
          <w:rFonts w:ascii="Arial" w:hAnsi="Arial" w:cs="Arial"/>
          <w:sz w:val="20"/>
        </w:rPr>
      </w:pPr>
      <w:r>
        <w:rPr>
          <w:rFonts w:ascii="Arial" w:hAnsi="Arial" w:cs="Arial"/>
          <w:sz w:val="20"/>
        </w:rPr>
        <w:t xml:space="preserve">Participation </w:t>
      </w:r>
      <w:r w:rsidR="00D15EFB">
        <w:rPr>
          <w:rFonts w:ascii="Arial" w:hAnsi="Arial" w:cs="Arial"/>
          <w:sz w:val="20"/>
        </w:rPr>
        <w:t>include</w:t>
      </w:r>
      <w:r w:rsidR="00643D50">
        <w:rPr>
          <w:rFonts w:ascii="Arial" w:hAnsi="Arial" w:cs="Arial"/>
          <w:sz w:val="20"/>
        </w:rPr>
        <w:t>d</w:t>
      </w:r>
      <w:r>
        <w:rPr>
          <w:rFonts w:ascii="Arial" w:hAnsi="Arial" w:cs="Arial"/>
          <w:sz w:val="20"/>
        </w:rPr>
        <w:t xml:space="preserve"> </w:t>
      </w:r>
      <w:r w:rsidR="00064D92">
        <w:rPr>
          <w:rFonts w:ascii="Arial" w:hAnsi="Arial" w:cs="Arial"/>
          <w:sz w:val="20"/>
        </w:rPr>
        <w:t>seven</w:t>
      </w:r>
      <w:r w:rsidR="00C23FB7">
        <w:rPr>
          <w:rFonts w:ascii="Arial" w:hAnsi="Arial" w:cs="Arial"/>
          <w:sz w:val="20"/>
        </w:rPr>
        <w:t xml:space="preserve"> </w:t>
      </w:r>
      <w:r w:rsidR="00A22053" w:rsidRPr="00E40A13">
        <w:rPr>
          <w:rFonts w:ascii="Arial" w:hAnsi="Arial" w:cs="Arial"/>
          <w:sz w:val="20"/>
        </w:rPr>
        <w:t>PFRAs</w:t>
      </w:r>
      <w:r>
        <w:rPr>
          <w:rFonts w:ascii="Arial" w:hAnsi="Arial" w:cs="Arial"/>
          <w:sz w:val="20"/>
        </w:rPr>
        <w:t xml:space="preserve">, </w:t>
      </w:r>
      <w:r w:rsidR="00C23FB7">
        <w:rPr>
          <w:rFonts w:ascii="Arial" w:hAnsi="Arial" w:cs="Arial"/>
          <w:sz w:val="20"/>
        </w:rPr>
        <w:t>38</w:t>
      </w:r>
      <w:r w:rsidR="00C23FB7" w:rsidRPr="00E40A13">
        <w:rPr>
          <w:rFonts w:ascii="Arial" w:hAnsi="Arial" w:cs="Arial"/>
          <w:sz w:val="20"/>
        </w:rPr>
        <w:t xml:space="preserve"> </w:t>
      </w:r>
      <w:r w:rsidR="00A22053" w:rsidRPr="00E40A13">
        <w:rPr>
          <w:rFonts w:ascii="Arial" w:hAnsi="Arial" w:cs="Arial"/>
          <w:sz w:val="20"/>
        </w:rPr>
        <w:t xml:space="preserve">universities and </w:t>
      </w:r>
      <w:r w:rsidR="00C23FB7">
        <w:rPr>
          <w:rFonts w:ascii="Arial" w:hAnsi="Arial" w:cs="Arial"/>
          <w:sz w:val="20"/>
        </w:rPr>
        <w:t>21</w:t>
      </w:r>
      <w:r w:rsidR="00C23FB7" w:rsidRPr="00E40A13">
        <w:rPr>
          <w:rFonts w:ascii="Arial" w:hAnsi="Arial" w:cs="Arial"/>
          <w:sz w:val="20"/>
        </w:rPr>
        <w:t xml:space="preserve"> </w:t>
      </w:r>
      <w:r w:rsidR="00A22053" w:rsidRPr="00E40A13">
        <w:rPr>
          <w:rFonts w:ascii="Arial" w:hAnsi="Arial" w:cs="Arial"/>
          <w:sz w:val="20"/>
        </w:rPr>
        <w:t>MRIs.</w:t>
      </w:r>
    </w:p>
    <w:p w14:paraId="1B844A40" w14:textId="4DA1E8B2" w:rsidR="00A22053" w:rsidRPr="00E47977" w:rsidRDefault="003564BD" w:rsidP="00064D92">
      <w:pPr>
        <w:pStyle w:val="ListParagraph"/>
        <w:numPr>
          <w:ilvl w:val="0"/>
          <w:numId w:val="11"/>
        </w:numPr>
        <w:spacing w:after="0"/>
        <w:rPr>
          <w:rFonts w:ascii="Arial" w:hAnsi="Arial" w:cs="Arial"/>
          <w:sz w:val="20"/>
        </w:rPr>
      </w:pPr>
      <w:r>
        <w:rPr>
          <w:rFonts w:ascii="Arial" w:hAnsi="Arial" w:cs="Arial"/>
          <w:sz w:val="20"/>
        </w:rPr>
        <w:t>There ha</w:t>
      </w:r>
      <w:r w:rsidR="008F3078">
        <w:rPr>
          <w:rFonts w:ascii="Arial" w:hAnsi="Arial" w:cs="Arial"/>
          <w:sz w:val="20"/>
        </w:rPr>
        <w:t>s</w:t>
      </w:r>
      <w:r>
        <w:rPr>
          <w:rFonts w:ascii="Arial" w:hAnsi="Arial" w:cs="Arial"/>
          <w:sz w:val="20"/>
        </w:rPr>
        <w:t xml:space="preserve"> been </w:t>
      </w:r>
      <w:r w:rsidR="00643D50">
        <w:rPr>
          <w:rFonts w:ascii="Arial" w:hAnsi="Arial" w:cs="Arial"/>
          <w:sz w:val="20"/>
        </w:rPr>
        <w:t xml:space="preserve">a </w:t>
      </w:r>
      <w:r>
        <w:rPr>
          <w:rFonts w:ascii="Arial" w:hAnsi="Arial" w:cs="Arial"/>
          <w:sz w:val="20"/>
        </w:rPr>
        <w:t>s</w:t>
      </w:r>
      <w:r w:rsidR="00E40A13">
        <w:rPr>
          <w:rFonts w:ascii="Arial" w:hAnsi="Arial" w:cs="Arial"/>
          <w:sz w:val="20"/>
        </w:rPr>
        <w:t>light change to the 2015</w:t>
      </w:r>
      <w:r w:rsidR="00A22053" w:rsidRPr="00E47977">
        <w:rPr>
          <w:rFonts w:ascii="Arial" w:hAnsi="Arial" w:cs="Arial"/>
          <w:sz w:val="20"/>
        </w:rPr>
        <w:t xml:space="preserve"> survey </w:t>
      </w:r>
      <w:r w:rsidR="005262D4">
        <w:rPr>
          <w:rFonts w:ascii="Arial" w:hAnsi="Arial" w:cs="Arial"/>
          <w:sz w:val="20"/>
        </w:rPr>
        <w:t>respondents</w:t>
      </w:r>
      <w:r w:rsidR="00401236">
        <w:rPr>
          <w:rFonts w:ascii="Arial" w:hAnsi="Arial" w:cs="Arial"/>
          <w:sz w:val="20"/>
        </w:rPr>
        <w:t xml:space="preserve"> compared to 2014</w:t>
      </w:r>
      <w:r>
        <w:rPr>
          <w:rFonts w:ascii="Arial" w:hAnsi="Arial" w:cs="Arial"/>
          <w:sz w:val="20"/>
        </w:rPr>
        <w:t xml:space="preserve">. </w:t>
      </w:r>
      <w:r w:rsidR="00101473">
        <w:rPr>
          <w:rFonts w:ascii="Arial" w:hAnsi="Arial" w:cs="Arial"/>
          <w:sz w:val="20"/>
        </w:rPr>
        <w:t xml:space="preserve">A comprehensive list is </w:t>
      </w:r>
      <w:r w:rsidR="00643D50">
        <w:rPr>
          <w:rFonts w:ascii="Arial" w:hAnsi="Arial" w:cs="Arial"/>
          <w:sz w:val="20"/>
        </w:rPr>
        <w:t>provided</w:t>
      </w:r>
      <w:r w:rsidR="00C0240D">
        <w:rPr>
          <w:rFonts w:ascii="Arial" w:hAnsi="Arial" w:cs="Arial"/>
          <w:sz w:val="20"/>
        </w:rPr>
        <w:t xml:space="preserve"> in the </w:t>
      </w:r>
      <w:hyperlink r:id="rId14" w:history="1">
        <w:r w:rsidR="00064D92" w:rsidRPr="00107406">
          <w:rPr>
            <w:rStyle w:val="Hyperlink"/>
            <w:rFonts w:ascii="Arial" w:hAnsi="Arial" w:cs="Arial"/>
            <w:sz w:val="20"/>
          </w:rPr>
          <w:t>NSRC 2015 Data Collection Methodology</w:t>
        </w:r>
      </w:hyperlink>
      <w:r w:rsidR="00C0240D">
        <w:rPr>
          <w:rFonts w:ascii="Arial" w:hAnsi="Arial" w:cs="Arial"/>
          <w:sz w:val="20"/>
        </w:rPr>
        <w:t xml:space="preserve">. </w:t>
      </w:r>
    </w:p>
    <w:p w14:paraId="3D212C34" w14:textId="77777777" w:rsidR="00A22053" w:rsidRDefault="00A22053" w:rsidP="00A22053">
      <w:pPr>
        <w:spacing w:after="0" w:line="240" w:lineRule="auto"/>
        <w:rPr>
          <w:rFonts w:ascii="Arial" w:hAnsi="Arial" w:cs="Arial"/>
          <w:b/>
        </w:rPr>
      </w:pPr>
    </w:p>
    <w:p w14:paraId="439F9B78" w14:textId="7EE4A648" w:rsidR="00D11FD7" w:rsidRDefault="00A22053" w:rsidP="00D05CB9">
      <w:pPr>
        <w:pStyle w:val="Heading3"/>
        <w:rPr>
          <w:sz w:val="20"/>
          <w:szCs w:val="20"/>
        </w:rPr>
      </w:pPr>
      <w:r w:rsidRPr="00D05CB9">
        <w:rPr>
          <w:sz w:val="20"/>
          <w:szCs w:val="20"/>
        </w:rPr>
        <w:t xml:space="preserve">Table 1: NSRC Survey </w:t>
      </w:r>
      <w:r w:rsidR="00BE237A">
        <w:rPr>
          <w:sz w:val="20"/>
          <w:szCs w:val="20"/>
        </w:rPr>
        <w:t>p</w:t>
      </w:r>
      <w:r w:rsidR="00BE237A" w:rsidRPr="00D05CB9">
        <w:rPr>
          <w:sz w:val="20"/>
          <w:szCs w:val="20"/>
        </w:rPr>
        <w:t>opulation</w:t>
      </w:r>
    </w:p>
    <w:tbl>
      <w:tblPr>
        <w:tblW w:w="6408" w:type="dxa"/>
        <w:tblInd w:w="108" w:type="dxa"/>
        <w:tblLook w:val="04A0" w:firstRow="1" w:lastRow="0" w:firstColumn="1" w:lastColumn="0" w:noHBand="0" w:noVBand="1"/>
      </w:tblPr>
      <w:tblGrid>
        <w:gridCol w:w="1647"/>
        <w:gridCol w:w="1587"/>
        <w:gridCol w:w="1587"/>
        <w:gridCol w:w="1587"/>
      </w:tblGrid>
      <w:tr w:rsidR="00BC353A" w:rsidRPr="00BC353A" w14:paraId="537BFEC1" w14:textId="77777777" w:rsidTr="009F1DA0">
        <w:trPr>
          <w:trHeight w:val="377"/>
        </w:trPr>
        <w:tc>
          <w:tcPr>
            <w:tcW w:w="1647" w:type="dxa"/>
            <w:tcBorders>
              <w:top w:val="single" w:sz="4" w:space="0" w:color="auto"/>
              <w:left w:val="nil"/>
              <w:bottom w:val="single" w:sz="4" w:space="0" w:color="auto"/>
              <w:right w:val="nil"/>
            </w:tcBorders>
            <w:shd w:val="clear" w:color="000000" w:fill="BEDCA0"/>
            <w:noWrap/>
            <w:vAlign w:val="center"/>
            <w:hideMark/>
          </w:tcPr>
          <w:p w14:paraId="534CDC99" w14:textId="77777777" w:rsidR="00BC353A" w:rsidRPr="00BC353A" w:rsidRDefault="00BC353A">
            <w:pPr>
              <w:spacing w:after="0"/>
              <w:jc w:val="center"/>
              <w:rPr>
                <w:rFonts w:ascii="Arial" w:eastAsia="Times New Roman" w:hAnsi="Arial" w:cs="Arial"/>
                <w:b/>
                <w:bCs/>
                <w:color w:val="000000"/>
                <w:sz w:val="22"/>
                <w:lang w:eastAsia="en-AU"/>
              </w:rPr>
            </w:pPr>
            <w:r w:rsidRPr="00BC353A">
              <w:rPr>
                <w:rFonts w:ascii="Arial" w:eastAsia="Times New Roman" w:hAnsi="Arial" w:cs="Arial"/>
                <w:b/>
                <w:bCs/>
                <w:color w:val="000000"/>
                <w:sz w:val="22"/>
                <w:lang w:eastAsia="en-AU"/>
              </w:rPr>
              <w:t> </w:t>
            </w:r>
          </w:p>
        </w:tc>
        <w:tc>
          <w:tcPr>
            <w:tcW w:w="1587" w:type="dxa"/>
            <w:tcBorders>
              <w:top w:val="single" w:sz="4" w:space="0" w:color="auto"/>
              <w:left w:val="nil"/>
              <w:bottom w:val="single" w:sz="4" w:space="0" w:color="auto"/>
              <w:right w:val="nil"/>
            </w:tcBorders>
            <w:shd w:val="clear" w:color="000000" w:fill="BEDCA0"/>
            <w:noWrap/>
            <w:vAlign w:val="center"/>
            <w:hideMark/>
          </w:tcPr>
          <w:p w14:paraId="46B7BA17" w14:textId="77777777" w:rsidR="00BC353A" w:rsidRPr="00BC353A" w:rsidRDefault="00BC353A" w:rsidP="00BC353A">
            <w:pPr>
              <w:spacing w:after="0" w:line="240" w:lineRule="auto"/>
              <w:jc w:val="center"/>
              <w:rPr>
                <w:rFonts w:ascii="Arial" w:eastAsia="Times New Roman" w:hAnsi="Arial" w:cs="Arial"/>
                <w:b/>
                <w:bCs/>
                <w:color w:val="000000"/>
                <w:sz w:val="22"/>
                <w:lang w:eastAsia="en-AU"/>
              </w:rPr>
            </w:pPr>
            <w:r w:rsidRPr="00BC353A">
              <w:rPr>
                <w:rFonts w:ascii="Arial" w:eastAsia="Times New Roman" w:hAnsi="Arial" w:cs="Arial"/>
                <w:b/>
                <w:bCs/>
                <w:color w:val="000000"/>
                <w:sz w:val="22"/>
                <w:lang w:eastAsia="en-AU"/>
              </w:rPr>
              <w:t>2013</w:t>
            </w:r>
          </w:p>
        </w:tc>
        <w:tc>
          <w:tcPr>
            <w:tcW w:w="1587" w:type="dxa"/>
            <w:tcBorders>
              <w:top w:val="single" w:sz="4" w:space="0" w:color="auto"/>
              <w:left w:val="nil"/>
              <w:bottom w:val="single" w:sz="4" w:space="0" w:color="auto"/>
              <w:right w:val="nil"/>
            </w:tcBorders>
            <w:shd w:val="clear" w:color="000000" w:fill="BEDCA0"/>
            <w:noWrap/>
            <w:vAlign w:val="center"/>
            <w:hideMark/>
          </w:tcPr>
          <w:p w14:paraId="116ADC66" w14:textId="77777777" w:rsidR="00BC353A" w:rsidRPr="00BC353A" w:rsidRDefault="00BC353A" w:rsidP="00BC353A">
            <w:pPr>
              <w:spacing w:after="0" w:line="240" w:lineRule="auto"/>
              <w:jc w:val="center"/>
              <w:rPr>
                <w:rFonts w:ascii="Arial" w:eastAsia="Times New Roman" w:hAnsi="Arial" w:cs="Arial"/>
                <w:b/>
                <w:bCs/>
                <w:color w:val="000000"/>
                <w:sz w:val="22"/>
                <w:lang w:eastAsia="en-AU"/>
              </w:rPr>
            </w:pPr>
            <w:r w:rsidRPr="00BC353A">
              <w:rPr>
                <w:rFonts w:ascii="Arial" w:eastAsia="Times New Roman" w:hAnsi="Arial" w:cs="Arial"/>
                <w:b/>
                <w:bCs/>
                <w:color w:val="000000"/>
                <w:sz w:val="22"/>
                <w:lang w:eastAsia="en-AU"/>
              </w:rPr>
              <w:t>2014</w:t>
            </w:r>
          </w:p>
        </w:tc>
        <w:tc>
          <w:tcPr>
            <w:tcW w:w="1587" w:type="dxa"/>
            <w:tcBorders>
              <w:top w:val="single" w:sz="4" w:space="0" w:color="auto"/>
              <w:left w:val="nil"/>
              <w:bottom w:val="single" w:sz="4" w:space="0" w:color="auto"/>
              <w:right w:val="nil"/>
            </w:tcBorders>
            <w:shd w:val="clear" w:color="000000" w:fill="BEDCA0"/>
            <w:noWrap/>
            <w:vAlign w:val="center"/>
            <w:hideMark/>
          </w:tcPr>
          <w:p w14:paraId="4B95F8F0" w14:textId="77777777" w:rsidR="00BC353A" w:rsidRPr="00BC353A" w:rsidRDefault="00BC353A" w:rsidP="00BC353A">
            <w:pPr>
              <w:spacing w:after="0" w:line="240" w:lineRule="auto"/>
              <w:jc w:val="center"/>
              <w:rPr>
                <w:rFonts w:ascii="Arial" w:eastAsia="Times New Roman" w:hAnsi="Arial" w:cs="Arial"/>
                <w:b/>
                <w:bCs/>
                <w:color w:val="000000"/>
                <w:sz w:val="22"/>
                <w:lang w:eastAsia="en-AU"/>
              </w:rPr>
            </w:pPr>
            <w:r w:rsidRPr="00BC353A">
              <w:rPr>
                <w:rFonts w:ascii="Arial" w:eastAsia="Times New Roman" w:hAnsi="Arial" w:cs="Arial"/>
                <w:b/>
                <w:bCs/>
                <w:color w:val="000000"/>
                <w:sz w:val="22"/>
                <w:lang w:eastAsia="en-AU"/>
              </w:rPr>
              <w:t>2015</w:t>
            </w:r>
          </w:p>
        </w:tc>
      </w:tr>
      <w:tr w:rsidR="00BC353A" w:rsidRPr="00BC353A" w14:paraId="53CD9F5A" w14:textId="77777777" w:rsidTr="009F1DA0">
        <w:trPr>
          <w:trHeight w:val="350"/>
        </w:trPr>
        <w:tc>
          <w:tcPr>
            <w:tcW w:w="1647" w:type="dxa"/>
            <w:tcBorders>
              <w:top w:val="nil"/>
              <w:left w:val="nil"/>
              <w:bottom w:val="single" w:sz="4" w:space="0" w:color="auto"/>
              <w:right w:val="nil"/>
            </w:tcBorders>
            <w:shd w:val="clear" w:color="auto" w:fill="auto"/>
            <w:noWrap/>
            <w:vAlign w:val="center"/>
            <w:hideMark/>
          </w:tcPr>
          <w:p w14:paraId="56E91DB6" w14:textId="77777777" w:rsidR="00BC353A" w:rsidRPr="00BC353A" w:rsidRDefault="00BC353A" w:rsidP="00BC353A">
            <w:pPr>
              <w:spacing w:after="0" w:line="240" w:lineRule="auto"/>
              <w:rPr>
                <w:rFonts w:ascii="Arial" w:eastAsia="Times New Roman" w:hAnsi="Arial" w:cs="Arial"/>
                <w:color w:val="000000"/>
                <w:sz w:val="22"/>
                <w:lang w:eastAsia="en-AU"/>
              </w:rPr>
            </w:pPr>
            <w:r w:rsidRPr="00BC353A">
              <w:rPr>
                <w:rFonts w:ascii="Arial" w:eastAsia="Times New Roman" w:hAnsi="Arial" w:cs="Arial"/>
                <w:color w:val="000000"/>
                <w:sz w:val="22"/>
                <w:lang w:eastAsia="en-AU"/>
              </w:rPr>
              <w:t>PFRAs</w:t>
            </w:r>
          </w:p>
        </w:tc>
        <w:tc>
          <w:tcPr>
            <w:tcW w:w="1587" w:type="dxa"/>
            <w:tcBorders>
              <w:top w:val="nil"/>
              <w:left w:val="nil"/>
              <w:bottom w:val="single" w:sz="4" w:space="0" w:color="auto"/>
              <w:right w:val="nil"/>
            </w:tcBorders>
            <w:shd w:val="clear" w:color="auto" w:fill="auto"/>
            <w:noWrap/>
            <w:vAlign w:val="center"/>
            <w:hideMark/>
          </w:tcPr>
          <w:p w14:paraId="4825A2A9" w14:textId="77777777" w:rsidR="00BC353A" w:rsidRPr="00BC353A" w:rsidRDefault="00BC353A" w:rsidP="00BC353A">
            <w:pPr>
              <w:spacing w:after="0" w:line="240" w:lineRule="auto"/>
              <w:jc w:val="center"/>
              <w:rPr>
                <w:rFonts w:ascii="Arial" w:eastAsia="Times New Roman" w:hAnsi="Arial" w:cs="Arial"/>
                <w:color w:val="000000"/>
                <w:sz w:val="22"/>
                <w:lang w:eastAsia="en-AU"/>
              </w:rPr>
            </w:pPr>
            <w:r w:rsidRPr="00BC353A">
              <w:rPr>
                <w:rFonts w:ascii="Arial" w:eastAsia="Times New Roman" w:hAnsi="Arial" w:cs="Arial"/>
                <w:color w:val="000000"/>
                <w:sz w:val="22"/>
                <w:lang w:eastAsia="en-AU"/>
              </w:rPr>
              <w:t>5</w:t>
            </w:r>
          </w:p>
        </w:tc>
        <w:tc>
          <w:tcPr>
            <w:tcW w:w="1587" w:type="dxa"/>
            <w:tcBorders>
              <w:top w:val="nil"/>
              <w:left w:val="nil"/>
              <w:bottom w:val="single" w:sz="4" w:space="0" w:color="auto"/>
              <w:right w:val="nil"/>
            </w:tcBorders>
            <w:shd w:val="clear" w:color="auto" w:fill="auto"/>
            <w:noWrap/>
            <w:vAlign w:val="center"/>
            <w:hideMark/>
          </w:tcPr>
          <w:p w14:paraId="66DE1B89" w14:textId="77777777" w:rsidR="00BC353A" w:rsidRPr="00BC353A" w:rsidRDefault="00BC353A" w:rsidP="00BC353A">
            <w:pPr>
              <w:spacing w:after="0" w:line="240" w:lineRule="auto"/>
              <w:jc w:val="center"/>
              <w:rPr>
                <w:rFonts w:ascii="Arial" w:eastAsia="Times New Roman" w:hAnsi="Arial" w:cs="Arial"/>
                <w:color w:val="000000"/>
                <w:sz w:val="22"/>
                <w:lang w:eastAsia="en-AU"/>
              </w:rPr>
            </w:pPr>
            <w:r w:rsidRPr="00BC353A">
              <w:rPr>
                <w:rFonts w:ascii="Arial" w:eastAsia="Times New Roman" w:hAnsi="Arial" w:cs="Arial"/>
                <w:color w:val="000000"/>
                <w:sz w:val="22"/>
                <w:lang w:eastAsia="en-AU"/>
              </w:rPr>
              <w:t>7</w:t>
            </w:r>
          </w:p>
        </w:tc>
        <w:tc>
          <w:tcPr>
            <w:tcW w:w="1587" w:type="dxa"/>
            <w:tcBorders>
              <w:top w:val="nil"/>
              <w:left w:val="nil"/>
              <w:bottom w:val="single" w:sz="4" w:space="0" w:color="auto"/>
              <w:right w:val="nil"/>
            </w:tcBorders>
            <w:shd w:val="clear" w:color="auto" w:fill="auto"/>
            <w:noWrap/>
            <w:vAlign w:val="center"/>
            <w:hideMark/>
          </w:tcPr>
          <w:p w14:paraId="71D3576B" w14:textId="77777777" w:rsidR="00BC353A" w:rsidRPr="00BC353A" w:rsidRDefault="00BC353A" w:rsidP="00BC353A">
            <w:pPr>
              <w:spacing w:after="0" w:line="240" w:lineRule="auto"/>
              <w:jc w:val="center"/>
              <w:rPr>
                <w:rFonts w:ascii="Arial" w:eastAsia="Times New Roman" w:hAnsi="Arial" w:cs="Arial"/>
                <w:color w:val="000000"/>
                <w:sz w:val="22"/>
                <w:lang w:eastAsia="en-AU"/>
              </w:rPr>
            </w:pPr>
            <w:r w:rsidRPr="00BC353A">
              <w:rPr>
                <w:rFonts w:ascii="Arial" w:eastAsia="Times New Roman" w:hAnsi="Arial" w:cs="Arial"/>
                <w:color w:val="000000"/>
                <w:sz w:val="22"/>
                <w:lang w:eastAsia="en-AU"/>
              </w:rPr>
              <w:t>7</w:t>
            </w:r>
          </w:p>
        </w:tc>
      </w:tr>
      <w:tr w:rsidR="00BC353A" w:rsidRPr="00BC353A" w14:paraId="7DFA577C" w14:textId="77777777" w:rsidTr="009F1DA0">
        <w:trPr>
          <w:trHeight w:val="350"/>
        </w:trPr>
        <w:tc>
          <w:tcPr>
            <w:tcW w:w="1647" w:type="dxa"/>
            <w:tcBorders>
              <w:top w:val="nil"/>
              <w:left w:val="nil"/>
              <w:bottom w:val="single" w:sz="4" w:space="0" w:color="auto"/>
              <w:right w:val="nil"/>
            </w:tcBorders>
            <w:shd w:val="clear" w:color="auto" w:fill="auto"/>
            <w:noWrap/>
            <w:vAlign w:val="center"/>
            <w:hideMark/>
          </w:tcPr>
          <w:p w14:paraId="126726BA" w14:textId="77777777" w:rsidR="00BC353A" w:rsidRPr="00BC353A" w:rsidRDefault="00BC353A" w:rsidP="00BC353A">
            <w:pPr>
              <w:spacing w:after="0" w:line="240" w:lineRule="auto"/>
              <w:rPr>
                <w:rFonts w:ascii="Arial" w:eastAsia="Times New Roman" w:hAnsi="Arial" w:cs="Arial"/>
                <w:color w:val="000000"/>
                <w:sz w:val="22"/>
                <w:lang w:eastAsia="en-AU"/>
              </w:rPr>
            </w:pPr>
            <w:r w:rsidRPr="00BC353A">
              <w:rPr>
                <w:rFonts w:ascii="Arial" w:eastAsia="Times New Roman" w:hAnsi="Arial" w:cs="Arial"/>
                <w:color w:val="000000"/>
                <w:sz w:val="22"/>
                <w:lang w:eastAsia="en-AU"/>
              </w:rPr>
              <w:t>UNIs</w:t>
            </w:r>
          </w:p>
        </w:tc>
        <w:tc>
          <w:tcPr>
            <w:tcW w:w="1587" w:type="dxa"/>
            <w:tcBorders>
              <w:top w:val="nil"/>
              <w:left w:val="nil"/>
              <w:bottom w:val="single" w:sz="4" w:space="0" w:color="auto"/>
              <w:right w:val="nil"/>
            </w:tcBorders>
            <w:shd w:val="clear" w:color="auto" w:fill="auto"/>
            <w:noWrap/>
            <w:vAlign w:val="center"/>
            <w:hideMark/>
          </w:tcPr>
          <w:p w14:paraId="1A4557AF" w14:textId="77777777" w:rsidR="00BC353A" w:rsidRPr="00BC353A" w:rsidRDefault="00BC353A" w:rsidP="00BC353A">
            <w:pPr>
              <w:spacing w:after="0" w:line="240" w:lineRule="auto"/>
              <w:jc w:val="center"/>
              <w:rPr>
                <w:rFonts w:ascii="Arial" w:eastAsia="Times New Roman" w:hAnsi="Arial" w:cs="Arial"/>
                <w:color w:val="000000"/>
                <w:sz w:val="22"/>
                <w:lang w:eastAsia="en-AU"/>
              </w:rPr>
            </w:pPr>
            <w:r w:rsidRPr="00BC353A">
              <w:rPr>
                <w:rFonts w:ascii="Arial" w:eastAsia="Times New Roman" w:hAnsi="Arial" w:cs="Arial"/>
                <w:color w:val="000000"/>
                <w:sz w:val="22"/>
                <w:lang w:eastAsia="en-AU"/>
              </w:rPr>
              <w:t>38</w:t>
            </w:r>
          </w:p>
        </w:tc>
        <w:tc>
          <w:tcPr>
            <w:tcW w:w="1587" w:type="dxa"/>
            <w:tcBorders>
              <w:top w:val="nil"/>
              <w:left w:val="nil"/>
              <w:bottom w:val="single" w:sz="4" w:space="0" w:color="auto"/>
              <w:right w:val="nil"/>
            </w:tcBorders>
            <w:shd w:val="clear" w:color="auto" w:fill="auto"/>
            <w:noWrap/>
            <w:vAlign w:val="center"/>
            <w:hideMark/>
          </w:tcPr>
          <w:p w14:paraId="71418B32" w14:textId="77777777" w:rsidR="00BC353A" w:rsidRPr="00BC353A" w:rsidRDefault="00BC353A" w:rsidP="00BC353A">
            <w:pPr>
              <w:spacing w:after="0" w:line="240" w:lineRule="auto"/>
              <w:jc w:val="center"/>
              <w:rPr>
                <w:rFonts w:ascii="Arial" w:eastAsia="Times New Roman" w:hAnsi="Arial" w:cs="Arial"/>
                <w:color w:val="000000"/>
                <w:sz w:val="22"/>
                <w:lang w:eastAsia="en-AU"/>
              </w:rPr>
            </w:pPr>
            <w:r w:rsidRPr="00BC353A">
              <w:rPr>
                <w:rFonts w:ascii="Arial" w:eastAsia="Times New Roman" w:hAnsi="Arial" w:cs="Arial"/>
                <w:color w:val="000000"/>
                <w:sz w:val="22"/>
                <w:lang w:eastAsia="en-AU"/>
              </w:rPr>
              <w:t>37</w:t>
            </w:r>
          </w:p>
        </w:tc>
        <w:tc>
          <w:tcPr>
            <w:tcW w:w="1587" w:type="dxa"/>
            <w:tcBorders>
              <w:top w:val="nil"/>
              <w:left w:val="nil"/>
              <w:bottom w:val="single" w:sz="4" w:space="0" w:color="auto"/>
              <w:right w:val="nil"/>
            </w:tcBorders>
            <w:shd w:val="clear" w:color="auto" w:fill="auto"/>
            <w:noWrap/>
            <w:vAlign w:val="center"/>
            <w:hideMark/>
          </w:tcPr>
          <w:p w14:paraId="7A85E6F6" w14:textId="77777777" w:rsidR="00BC353A" w:rsidRPr="00BC353A" w:rsidRDefault="00BC353A" w:rsidP="00BC353A">
            <w:pPr>
              <w:spacing w:after="0" w:line="240" w:lineRule="auto"/>
              <w:jc w:val="center"/>
              <w:rPr>
                <w:rFonts w:ascii="Arial" w:eastAsia="Times New Roman" w:hAnsi="Arial" w:cs="Arial"/>
                <w:color w:val="000000"/>
                <w:sz w:val="22"/>
                <w:lang w:eastAsia="en-AU"/>
              </w:rPr>
            </w:pPr>
            <w:r w:rsidRPr="00BC353A">
              <w:rPr>
                <w:rFonts w:ascii="Arial" w:eastAsia="Times New Roman" w:hAnsi="Arial" w:cs="Arial"/>
                <w:color w:val="000000"/>
                <w:sz w:val="22"/>
                <w:lang w:eastAsia="en-AU"/>
              </w:rPr>
              <w:t>38</w:t>
            </w:r>
          </w:p>
        </w:tc>
      </w:tr>
      <w:tr w:rsidR="00BC353A" w:rsidRPr="00BC353A" w14:paraId="534BDFE3" w14:textId="77777777" w:rsidTr="009F1DA0">
        <w:trPr>
          <w:trHeight w:val="350"/>
        </w:trPr>
        <w:tc>
          <w:tcPr>
            <w:tcW w:w="1647" w:type="dxa"/>
            <w:tcBorders>
              <w:top w:val="nil"/>
              <w:left w:val="nil"/>
              <w:bottom w:val="single" w:sz="4" w:space="0" w:color="auto"/>
              <w:right w:val="nil"/>
            </w:tcBorders>
            <w:shd w:val="clear" w:color="auto" w:fill="auto"/>
            <w:noWrap/>
            <w:vAlign w:val="center"/>
            <w:hideMark/>
          </w:tcPr>
          <w:p w14:paraId="07FB3473" w14:textId="77777777" w:rsidR="00BC353A" w:rsidRPr="00BC353A" w:rsidRDefault="00BC353A" w:rsidP="00BC353A">
            <w:pPr>
              <w:spacing w:after="0" w:line="240" w:lineRule="auto"/>
              <w:rPr>
                <w:rFonts w:ascii="Arial" w:eastAsia="Times New Roman" w:hAnsi="Arial" w:cs="Arial"/>
                <w:color w:val="000000"/>
                <w:sz w:val="22"/>
                <w:lang w:eastAsia="en-AU"/>
              </w:rPr>
            </w:pPr>
            <w:r w:rsidRPr="00BC353A">
              <w:rPr>
                <w:rFonts w:ascii="Arial" w:eastAsia="Times New Roman" w:hAnsi="Arial" w:cs="Arial"/>
                <w:color w:val="000000"/>
                <w:sz w:val="22"/>
                <w:lang w:eastAsia="en-AU"/>
              </w:rPr>
              <w:t>MRIs</w:t>
            </w:r>
          </w:p>
        </w:tc>
        <w:tc>
          <w:tcPr>
            <w:tcW w:w="1587" w:type="dxa"/>
            <w:tcBorders>
              <w:top w:val="nil"/>
              <w:left w:val="nil"/>
              <w:bottom w:val="single" w:sz="4" w:space="0" w:color="auto"/>
              <w:right w:val="nil"/>
            </w:tcBorders>
            <w:shd w:val="clear" w:color="auto" w:fill="auto"/>
            <w:noWrap/>
            <w:vAlign w:val="center"/>
            <w:hideMark/>
          </w:tcPr>
          <w:p w14:paraId="4B17D1C1" w14:textId="77777777" w:rsidR="00BC353A" w:rsidRPr="00BC353A" w:rsidRDefault="00BC353A" w:rsidP="00BC353A">
            <w:pPr>
              <w:spacing w:after="0" w:line="240" w:lineRule="auto"/>
              <w:jc w:val="center"/>
              <w:rPr>
                <w:rFonts w:ascii="Arial" w:eastAsia="Times New Roman" w:hAnsi="Arial" w:cs="Arial"/>
                <w:color w:val="000000"/>
                <w:sz w:val="22"/>
                <w:lang w:eastAsia="en-AU"/>
              </w:rPr>
            </w:pPr>
            <w:r w:rsidRPr="00BC353A">
              <w:rPr>
                <w:rFonts w:ascii="Arial" w:eastAsia="Times New Roman" w:hAnsi="Arial" w:cs="Arial"/>
                <w:color w:val="000000"/>
                <w:sz w:val="22"/>
                <w:lang w:eastAsia="en-AU"/>
              </w:rPr>
              <w:t>23</w:t>
            </w:r>
          </w:p>
        </w:tc>
        <w:tc>
          <w:tcPr>
            <w:tcW w:w="1587" w:type="dxa"/>
            <w:tcBorders>
              <w:top w:val="nil"/>
              <w:left w:val="nil"/>
              <w:bottom w:val="single" w:sz="4" w:space="0" w:color="auto"/>
              <w:right w:val="nil"/>
            </w:tcBorders>
            <w:shd w:val="clear" w:color="auto" w:fill="auto"/>
            <w:noWrap/>
            <w:vAlign w:val="center"/>
            <w:hideMark/>
          </w:tcPr>
          <w:p w14:paraId="6BD6B8DF" w14:textId="77777777" w:rsidR="00BC353A" w:rsidRPr="00BC353A" w:rsidRDefault="00BC353A" w:rsidP="00BC353A">
            <w:pPr>
              <w:spacing w:after="0" w:line="240" w:lineRule="auto"/>
              <w:jc w:val="center"/>
              <w:rPr>
                <w:rFonts w:ascii="Arial" w:eastAsia="Times New Roman" w:hAnsi="Arial" w:cs="Arial"/>
                <w:color w:val="000000"/>
                <w:sz w:val="22"/>
                <w:lang w:eastAsia="en-AU"/>
              </w:rPr>
            </w:pPr>
            <w:r w:rsidRPr="00BC353A">
              <w:rPr>
                <w:rFonts w:ascii="Arial" w:eastAsia="Times New Roman" w:hAnsi="Arial" w:cs="Arial"/>
                <w:color w:val="000000"/>
                <w:sz w:val="22"/>
                <w:lang w:eastAsia="en-AU"/>
              </w:rPr>
              <w:t>19</w:t>
            </w:r>
          </w:p>
        </w:tc>
        <w:tc>
          <w:tcPr>
            <w:tcW w:w="1587" w:type="dxa"/>
            <w:tcBorders>
              <w:top w:val="nil"/>
              <w:left w:val="nil"/>
              <w:bottom w:val="single" w:sz="4" w:space="0" w:color="auto"/>
              <w:right w:val="nil"/>
            </w:tcBorders>
            <w:shd w:val="clear" w:color="auto" w:fill="auto"/>
            <w:noWrap/>
            <w:vAlign w:val="center"/>
            <w:hideMark/>
          </w:tcPr>
          <w:p w14:paraId="277F2219" w14:textId="77777777" w:rsidR="00BC353A" w:rsidRPr="00BC353A" w:rsidRDefault="00BC353A" w:rsidP="00BC353A">
            <w:pPr>
              <w:spacing w:after="0" w:line="240" w:lineRule="auto"/>
              <w:jc w:val="center"/>
              <w:rPr>
                <w:rFonts w:ascii="Arial" w:eastAsia="Times New Roman" w:hAnsi="Arial" w:cs="Arial"/>
                <w:color w:val="000000"/>
                <w:sz w:val="22"/>
                <w:lang w:eastAsia="en-AU"/>
              </w:rPr>
            </w:pPr>
            <w:r w:rsidRPr="00BC353A">
              <w:rPr>
                <w:rFonts w:ascii="Arial" w:eastAsia="Times New Roman" w:hAnsi="Arial" w:cs="Arial"/>
                <w:color w:val="000000"/>
                <w:sz w:val="22"/>
                <w:lang w:eastAsia="en-AU"/>
              </w:rPr>
              <w:t>21</w:t>
            </w:r>
          </w:p>
        </w:tc>
      </w:tr>
      <w:tr w:rsidR="00BC353A" w:rsidRPr="00BC353A" w14:paraId="7402C740" w14:textId="77777777" w:rsidTr="009F1DA0">
        <w:trPr>
          <w:trHeight w:val="350"/>
        </w:trPr>
        <w:tc>
          <w:tcPr>
            <w:tcW w:w="1647" w:type="dxa"/>
            <w:tcBorders>
              <w:top w:val="nil"/>
              <w:left w:val="nil"/>
              <w:bottom w:val="single" w:sz="4" w:space="0" w:color="auto"/>
              <w:right w:val="nil"/>
            </w:tcBorders>
            <w:shd w:val="clear" w:color="auto" w:fill="auto"/>
            <w:noWrap/>
            <w:vAlign w:val="center"/>
            <w:hideMark/>
          </w:tcPr>
          <w:p w14:paraId="20D8FA42" w14:textId="77777777" w:rsidR="00BC353A" w:rsidRPr="00BC353A" w:rsidRDefault="00BC353A" w:rsidP="00BC353A">
            <w:pPr>
              <w:spacing w:after="0" w:line="240" w:lineRule="auto"/>
              <w:rPr>
                <w:rFonts w:ascii="Arial" w:eastAsia="Times New Roman" w:hAnsi="Arial" w:cs="Arial"/>
                <w:b/>
                <w:bCs/>
                <w:color w:val="000000"/>
                <w:sz w:val="22"/>
                <w:lang w:eastAsia="en-AU"/>
              </w:rPr>
            </w:pPr>
            <w:r w:rsidRPr="00BC353A">
              <w:rPr>
                <w:rFonts w:ascii="Arial" w:eastAsia="Times New Roman" w:hAnsi="Arial" w:cs="Arial"/>
                <w:b/>
                <w:bCs/>
                <w:color w:val="000000"/>
                <w:sz w:val="22"/>
                <w:lang w:eastAsia="en-AU"/>
              </w:rPr>
              <w:t>Total</w:t>
            </w:r>
          </w:p>
        </w:tc>
        <w:tc>
          <w:tcPr>
            <w:tcW w:w="1587" w:type="dxa"/>
            <w:tcBorders>
              <w:top w:val="nil"/>
              <w:left w:val="nil"/>
              <w:bottom w:val="single" w:sz="4" w:space="0" w:color="auto"/>
              <w:right w:val="nil"/>
            </w:tcBorders>
            <w:shd w:val="clear" w:color="auto" w:fill="auto"/>
            <w:noWrap/>
            <w:vAlign w:val="center"/>
            <w:hideMark/>
          </w:tcPr>
          <w:p w14:paraId="3F0573F1" w14:textId="77777777" w:rsidR="00BC353A" w:rsidRPr="00BC353A" w:rsidRDefault="00BC353A" w:rsidP="00BC353A">
            <w:pPr>
              <w:spacing w:after="0" w:line="240" w:lineRule="auto"/>
              <w:jc w:val="center"/>
              <w:rPr>
                <w:rFonts w:ascii="Arial" w:eastAsia="Times New Roman" w:hAnsi="Arial" w:cs="Arial"/>
                <w:b/>
                <w:bCs/>
                <w:color w:val="000000"/>
                <w:sz w:val="22"/>
                <w:lang w:eastAsia="en-AU"/>
              </w:rPr>
            </w:pPr>
            <w:r w:rsidRPr="00BC353A">
              <w:rPr>
                <w:rFonts w:ascii="Arial" w:eastAsia="Times New Roman" w:hAnsi="Arial" w:cs="Arial"/>
                <w:b/>
                <w:bCs/>
                <w:color w:val="000000"/>
                <w:sz w:val="22"/>
                <w:lang w:eastAsia="en-AU"/>
              </w:rPr>
              <w:t>66</w:t>
            </w:r>
          </w:p>
        </w:tc>
        <w:tc>
          <w:tcPr>
            <w:tcW w:w="1587" w:type="dxa"/>
            <w:tcBorders>
              <w:top w:val="nil"/>
              <w:left w:val="nil"/>
              <w:bottom w:val="single" w:sz="4" w:space="0" w:color="auto"/>
              <w:right w:val="nil"/>
            </w:tcBorders>
            <w:shd w:val="clear" w:color="auto" w:fill="auto"/>
            <w:noWrap/>
            <w:vAlign w:val="center"/>
            <w:hideMark/>
          </w:tcPr>
          <w:p w14:paraId="4F3DC6B5" w14:textId="77777777" w:rsidR="00BC353A" w:rsidRPr="00BC353A" w:rsidRDefault="00BC353A" w:rsidP="00BC353A">
            <w:pPr>
              <w:spacing w:after="0" w:line="240" w:lineRule="auto"/>
              <w:jc w:val="center"/>
              <w:rPr>
                <w:rFonts w:ascii="Arial" w:eastAsia="Times New Roman" w:hAnsi="Arial" w:cs="Arial"/>
                <w:b/>
                <w:bCs/>
                <w:color w:val="000000"/>
                <w:sz w:val="22"/>
                <w:lang w:eastAsia="en-AU"/>
              </w:rPr>
            </w:pPr>
            <w:r w:rsidRPr="00BC353A">
              <w:rPr>
                <w:rFonts w:ascii="Arial" w:eastAsia="Times New Roman" w:hAnsi="Arial" w:cs="Arial"/>
                <w:b/>
                <w:bCs/>
                <w:color w:val="000000"/>
                <w:sz w:val="22"/>
                <w:lang w:eastAsia="en-AU"/>
              </w:rPr>
              <w:t>63</w:t>
            </w:r>
          </w:p>
        </w:tc>
        <w:tc>
          <w:tcPr>
            <w:tcW w:w="1587" w:type="dxa"/>
            <w:tcBorders>
              <w:top w:val="nil"/>
              <w:left w:val="nil"/>
              <w:bottom w:val="single" w:sz="4" w:space="0" w:color="auto"/>
              <w:right w:val="nil"/>
            </w:tcBorders>
            <w:shd w:val="clear" w:color="auto" w:fill="auto"/>
            <w:noWrap/>
            <w:vAlign w:val="center"/>
            <w:hideMark/>
          </w:tcPr>
          <w:p w14:paraId="0FFCE5A6" w14:textId="77777777" w:rsidR="00BC353A" w:rsidRPr="00BC353A" w:rsidRDefault="00BC353A" w:rsidP="00BC353A">
            <w:pPr>
              <w:spacing w:after="0" w:line="240" w:lineRule="auto"/>
              <w:jc w:val="center"/>
              <w:rPr>
                <w:rFonts w:ascii="Arial" w:eastAsia="Times New Roman" w:hAnsi="Arial" w:cs="Arial"/>
                <w:b/>
                <w:bCs/>
                <w:color w:val="000000"/>
                <w:sz w:val="22"/>
                <w:lang w:eastAsia="en-AU"/>
              </w:rPr>
            </w:pPr>
            <w:r w:rsidRPr="00BC353A">
              <w:rPr>
                <w:rFonts w:ascii="Arial" w:eastAsia="Times New Roman" w:hAnsi="Arial" w:cs="Arial"/>
                <w:b/>
                <w:bCs/>
                <w:color w:val="000000"/>
                <w:sz w:val="22"/>
                <w:lang w:eastAsia="en-AU"/>
              </w:rPr>
              <w:t>66</w:t>
            </w:r>
          </w:p>
        </w:tc>
      </w:tr>
    </w:tbl>
    <w:p w14:paraId="6247F4D4" w14:textId="2FCC16DF" w:rsidR="00BC353A" w:rsidRPr="004F423B" w:rsidRDefault="002D3D74" w:rsidP="00327F87">
      <w:pPr>
        <w:rPr>
          <w:b/>
          <w:sz w:val="16"/>
          <w:szCs w:val="16"/>
        </w:rPr>
      </w:pPr>
      <w:r w:rsidRPr="004F423B">
        <w:rPr>
          <w:b/>
          <w:sz w:val="16"/>
          <w:szCs w:val="16"/>
        </w:rPr>
        <w:t>Note: Survey population between the reporting years may differ.</w:t>
      </w:r>
    </w:p>
    <w:p w14:paraId="6D6E1840" w14:textId="77777777" w:rsidR="00BC353A" w:rsidRPr="00BC353A" w:rsidRDefault="00BC353A" w:rsidP="00327F87"/>
    <w:p w14:paraId="34539AB5" w14:textId="72456844" w:rsidR="00A93922" w:rsidRPr="002D3D74" w:rsidRDefault="00C0240D" w:rsidP="002D3D74">
      <w:pPr>
        <w:pStyle w:val="Heading3"/>
        <w:rPr>
          <w:sz w:val="20"/>
          <w:szCs w:val="20"/>
        </w:rPr>
      </w:pPr>
      <w:r>
        <w:rPr>
          <w:sz w:val="20"/>
          <w:szCs w:val="20"/>
        </w:rPr>
        <w:t>Figure 1: 2015</w:t>
      </w:r>
      <w:r w:rsidR="00A22053" w:rsidRPr="00D05CB9">
        <w:rPr>
          <w:sz w:val="20"/>
          <w:szCs w:val="20"/>
        </w:rPr>
        <w:t xml:space="preserve"> NSRC </w:t>
      </w:r>
      <w:r w:rsidR="00BE237A">
        <w:rPr>
          <w:sz w:val="20"/>
          <w:szCs w:val="20"/>
        </w:rPr>
        <w:t xml:space="preserve">Survey </w:t>
      </w:r>
      <w:r w:rsidR="00543125" w:rsidRPr="00D05CB9">
        <w:rPr>
          <w:sz w:val="20"/>
          <w:szCs w:val="20"/>
        </w:rPr>
        <w:t>p</w:t>
      </w:r>
      <w:r w:rsidR="00543125">
        <w:rPr>
          <w:sz w:val="20"/>
          <w:szCs w:val="20"/>
        </w:rPr>
        <w:t>opulation</w:t>
      </w:r>
    </w:p>
    <w:p w14:paraId="63F060B6" w14:textId="2CE06958" w:rsidR="00A22053" w:rsidRDefault="0066603B" w:rsidP="00A22053">
      <w:pPr>
        <w:rPr>
          <w:rFonts w:ascii="Arial" w:hAnsi="Arial" w:cs="Arial"/>
        </w:rPr>
      </w:pPr>
      <w:r>
        <w:rPr>
          <w:rFonts w:ascii="Arial" w:hAnsi="Arial" w:cs="Arial"/>
          <w:noProof/>
          <w:lang w:eastAsia="en-AU"/>
        </w:rPr>
        <w:drawing>
          <wp:inline distT="0" distB="0" distL="0" distR="0" wp14:anchorId="77EE666A" wp14:editId="36747605">
            <wp:extent cx="4529455" cy="1969135"/>
            <wp:effectExtent l="0" t="0" r="444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529455" cy="1969135"/>
                    </a:xfrm>
                    <a:prstGeom prst="rect">
                      <a:avLst/>
                    </a:prstGeom>
                    <a:noFill/>
                  </pic:spPr>
                </pic:pic>
              </a:graphicData>
            </a:graphic>
          </wp:inline>
        </w:drawing>
      </w:r>
    </w:p>
    <w:p w14:paraId="767B0498" w14:textId="16B72CA3" w:rsidR="00A22053" w:rsidRPr="00D172CE" w:rsidRDefault="00D05CB9" w:rsidP="00A22053">
      <w:pPr>
        <w:rPr>
          <w:rFonts w:ascii="Arial" w:hAnsi="Arial" w:cs="Arial"/>
        </w:rPr>
      </w:pPr>
      <w:r>
        <w:t xml:space="preserve">  </w:t>
      </w:r>
    </w:p>
    <w:p w14:paraId="626B8F58" w14:textId="77777777" w:rsidR="00330D17" w:rsidRPr="00756951" w:rsidRDefault="00330D17" w:rsidP="00330D17">
      <w:pPr>
        <w:pStyle w:val="Heading2"/>
        <w:numPr>
          <w:ilvl w:val="0"/>
          <w:numId w:val="17"/>
        </w:numPr>
      </w:pPr>
      <w:r w:rsidRPr="00756951">
        <w:lastRenderedPageBreak/>
        <w:t>Resourc</w:t>
      </w:r>
      <w:r>
        <w:t>ing</w:t>
      </w:r>
    </w:p>
    <w:p w14:paraId="5366FB02" w14:textId="0946FAEE" w:rsidR="00330D17" w:rsidRDefault="00330D17" w:rsidP="009F1DA0">
      <w:pPr>
        <w:spacing w:after="0"/>
        <w:rPr>
          <w:rFonts w:ascii="Arial" w:hAnsi="Arial" w:cs="Arial"/>
        </w:rPr>
      </w:pPr>
      <w:r>
        <w:rPr>
          <w:rFonts w:ascii="Arial" w:hAnsi="Arial" w:cs="Arial"/>
        </w:rPr>
        <w:t>Research commercialisation resourcing includes staff whose duties are specifically involved with research commercialisation activities</w:t>
      </w:r>
      <w:r w:rsidRPr="008B3FD0">
        <w:rPr>
          <w:rFonts w:ascii="Arial" w:hAnsi="Arial" w:cs="Arial"/>
        </w:rPr>
        <w:t xml:space="preserve"> </w:t>
      </w:r>
      <w:r>
        <w:rPr>
          <w:rFonts w:ascii="Arial" w:hAnsi="Arial" w:cs="Arial"/>
        </w:rPr>
        <w:t>including</w:t>
      </w:r>
      <w:r w:rsidRPr="008B3FD0">
        <w:rPr>
          <w:rFonts w:ascii="Arial" w:hAnsi="Arial" w:cs="Arial"/>
        </w:rPr>
        <w:t>:</w:t>
      </w:r>
      <w:r>
        <w:rPr>
          <w:rFonts w:ascii="Arial" w:hAnsi="Arial" w:cs="Arial"/>
        </w:rPr>
        <w:t xml:space="preserve"> </w:t>
      </w:r>
      <w:r w:rsidRPr="008B3FD0">
        <w:rPr>
          <w:rFonts w:ascii="Arial" w:hAnsi="Arial" w:cs="Arial"/>
        </w:rPr>
        <w:t>li</w:t>
      </w:r>
      <w:r>
        <w:rPr>
          <w:rFonts w:ascii="Arial" w:hAnsi="Arial" w:cs="Arial"/>
        </w:rPr>
        <w:t>censing and patenting processes</w:t>
      </w:r>
      <w:r w:rsidRPr="008B3FD0">
        <w:rPr>
          <w:rFonts w:ascii="Arial" w:hAnsi="Arial" w:cs="Arial"/>
        </w:rPr>
        <w:t>;</w:t>
      </w:r>
      <w:r>
        <w:rPr>
          <w:rFonts w:ascii="Arial" w:hAnsi="Arial" w:cs="Arial"/>
        </w:rPr>
        <w:t xml:space="preserve"> licensing solicitation</w:t>
      </w:r>
      <w:r w:rsidR="005262D4">
        <w:rPr>
          <w:rFonts w:ascii="Arial" w:hAnsi="Arial" w:cs="Arial"/>
        </w:rPr>
        <w:t>;</w:t>
      </w:r>
      <w:r>
        <w:rPr>
          <w:rFonts w:ascii="Arial" w:hAnsi="Arial" w:cs="Arial"/>
        </w:rPr>
        <w:t xml:space="preserve"> marketing of technology</w:t>
      </w:r>
      <w:r w:rsidR="005262D4">
        <w:rPr>
          <w:rFonts w:ascii="Arial" w:hAnsi="Arial" w:cs="Arial"/>
        </w:rPr>
        <w:t>;</w:t>
      </w:r>
      <w:r>
        <w:rPr>
          <w:rFonts w:ascii="Arial" w:hAnsi="Arial" w:cs="Arial"/>
        </w:rPr>
        <w:t xml:space="preserve"> technology valuation and</w:t>
      </w:r>
      <w:r w:rsidRPr="008B3FD0">
        <w:rPr>
          <w:rFonts w:ascii="Arial" w:hAnsi="Arial" w:cs="Arial"/>
        </w:rPr>
        <w:t xml:space="preserve"> start-up activity.</w:t>
      </w:r>
    </w:p>
    <w:p w14:paraId="30B865FA" w14:textId="703F8FCE" w:rsidR="00330D17" w:rsidRDefault="00330D17" w:rsidP="00330D17">
      <w:pPr>
        <w:pStyle w:val="ListParagraph"/>
        <w:numPr>
          <w:ilvl w:val="0"/>
          <w:numId w:val="22"/>
        </w:numPr>
        <w:spacing w:before="240"/>
        <w:rPr>
          <w:rFonts w:ascii="Arial" w:hAnsi="Arial" w:cs="Arial"/>
          <w:sz w:val="20"/>
        </w:rPr>
      </w:pPr>
      <w:r>
        <w:rPr>
          <w:rFonts w:ascii="Arial" w:hAnsi="Arial" w:cs="Arial"/>
          <w:sz w:val="20"/>
        </w:rPr>
        <w:t>In 2015, r</w:t>
      </w:r>
      <w:r w:rsidRPr="00756951">
        <w:rPr>
          <w:rFonts w:ascii="Arial" w:hAnsi="Arial" w:cs="Arial"/>
          <w:sz w:val="20"/>
        </w:rPr>
        <w:t xml:space="preserve">esearch organisations </w:t>
      </w:r>
      <w:r w:rsidR="00550348">
        <w:rPr>
          <w:rFonts w:ascii="Arial" w:hAnsi="Arial" w:cs="Arial"/>
          <w:sz w:val="20"/>
        </w:rPr>
        <w:t>reported a total of</w:t>
      </w:r>
      <w:r w:rsidRPr="00756951">
        <w:rPr>
          <w:rFonts w:ascii="Arial" w:hAnsi="Arial" w:cs="Arial"/>
          <w:sz w:val="20"/>
        </w:rPr>
        <w:t xml:space="preserve"> </w:t>
      </w:r>
      <w:r>
        <w:rPr>
          <w:rFonts w:ascii="Arial" w:hAnsi="Arial" w:cs="Arial"/>
          <w:sz w:val="20"/>
        </w:rPr>
        <w:t>571</w:t>
      </w:r>
      <w:r w:rsidRPr="00756951">
        <w:rPr>
          <w:rFonts w:ascii="Arial" w:hAnsi="Arial" w:cs="Arial"/>
          <w:sz w:val="20"/>
        </w:rPr>
        <w:t xml:space="preserve"> </w:t>
      </w:r>
      <w:r w:rsidR="00550348">
        <w:rPr>
          <w:rFonts w:ascii="Arial" w:hAnsi="Arial" w:cs="Arial"/>
          <w:sz w:val="20"/>
        </w:rPr>
        <w:t xml:space="preserve">Full Time Equivalent (FTE) </w:t>
      </w:r>
      <w:r w:rsidRPr="00756951">
        <w:rPr>
          <w:rFonts w:ascii="Arial" w:hAnsi="Arial" w:cs="Arial"/>
          <w:sz w:val="20"/>
        </w:rPr>
        <w:t xml:space="preserve">staff </w:t>
      </w:r>
      <w:r w:rsidR="00550348">
        <w:rPr>
          <w:rFonts w:ascii="Arial" w:hAnsi="Arial" w:cs="Arial"/>
          <w:sz w:val="20"/>
        </w:rPr>
        <w:t xml:space="preserve">employed </w:t>
      </w:r>
      <w:r w:rsidRPr="00756951">
        <w:rPr>
          <w:rFonts w:ascii="Arial" w:hAnsi="Arial" w:cs="Arial"/>
          <w:sz w:val="20"/>
        </w:rPr>
        <w:t xml:space="preserve">for commercialisation activities compared to </w:t>
      </w:r>
      <w:r>
        <w:rPr>
          <w:rFonts w:ascii="Arial" w:hAnsi="Arial" w:cs="Arial"/>
          <w:sz w:val="20"/>
        </w:rPr>
        <w:t>540 in 2014.</w:t>
      </w:r>
    </w:p>
    <w:p w14:paraId="2D2CF107" w14:textId="77777777" w:rsidR="00330D17" w:rsidRPr="00756951" w:rsidRDefault="00330D17" w:rsidP="00330D17">
      <w:pPr>
        <w:pStyle w:val="ListParagraph"/>
        <w:numPr>
          <w:ilvl w:val="0"/>
          <w:numId w:val="22"/>
        </w:numPr>
        <w:spacing w:before="240"/>
        <w:rPr>
          <w:rFonts w:ascii="Arial" w:hAnsi="Arial" w:cs="Arial"/>
          <w:sz w:val="20"/>
        </w:rPr>
      </w:pPr>
      <w:r>
        <w:rPr>
          <w:rFonts w:ascii="Arial" w:hAnsi="Arial" w:cs="Arial"/>
          <w:sz w:val="20"/>
        </w:rPr>
        <w:t>Universities employed 58%</w:t>
      </w:r>
      <w:r w:rsidRPr="00756951">
        <w:rPr>
          <w:rFonts w:ascii="Arial" w:hAnsi="Arial" w:cs="Arial"/>
          <w:sz w:val="20"/>
        </w:rPr>
        <w:t xml:space="preserve"> of </w:t>
      </w:r>
      <w:r>
        <w:rPr>
          <w:rFonts w:ascii="Arial" w:hAnsi="Arial" w:cs="Arial"/>
          <w:sz w:val="20"/>
        </w:rPr>
        <w:t xml:space="preserve">the </w:t>
      </w:r>
      <w:r w:rsidRPr="00756951">
        <w:rPr>
          <w:rFonts w:ascii="Arial" w:hAnsi="Arial" w:cs="Arial"/>
          <w:sz w:val="20"/>
        </w:rPr>
        <w:t>com</w:t>
      </w:r>
      <w:r>
        <w:rPr>
          <w:rFonts w:ascii="Arial" w:hAnsi="Arial" w:cs="Arial"/>
          <w:sz w:val="20"/>
        </w:rPr>
        <w:t>mercialisation workforce in 2015, followed by PFRAs and MRIs at 34% and 8% respectively</w:t>
      </w:r>
      <w:r w:rsidRPr="00756951">
        <w:rPr>
          <w:rFonts w:ascii="Arial" w:hAnsi="Arial" w:cs="Arial"/>
          <w:sz w:val="20"/>
        </w:rPr>
        <w:t>.</w:t>
      </w:r>
    </w:p>
    <w:p w14:paraId="30275EC7" w14:textId="77777777" w:rsidR="00330D17" w:rsidRPr="008A02D4" w:rsidRDefault="00330D17" w:rsidP="00330D17">
      <w:pPr>
        <w:pStyle w:val="ListParagraph"/>
        <w:numPr>
          <w:ilvl w:val="0"/>
          <w:numId w:val="22"/>
        </w:numPr>
        <w:spacing w:before="240"/>
        <w:rPr>
          <w:rFonts w:ascii="Arial" w:hAnsi="Arial" w:cs="Arial"/>
          <w:sz w:val="20"/>
        </w:rPr>
      </w:pPr>
      <w:r>
        <w:rPr>
          <w:rFonts w:ascii="Arial" w:hAnsi="Arial" w:cs="Arial"/>
          <w:sz w:val="20"/>
        </w:rPr>
        <w:t>C</w:t>
      </w:r>
      <w:r w:rsidRPr="00756951">
        <w:rPr>
          <w:rFonts w:ascii="Arial" w:hAnsi="Arial" w:cs="Arial"/>
          <w:sz w:val="20"/>
        </w:rPr>
        <w:t xml:space="preserve">ommercialisation staff employed </w:t>
      </w:r>
      <w:r>
        <w:rPr>
          <w:rFonts w:ascii="Arial" w:hAnsi="Arial" w:cs="Arial"/>
          <w:sz w:val="20"/>
        </w:rPr>
        <w:t>in the</w:t>
      </w:r>
      <w:r w:rsidRPr="00756951">
        <w:rPr>
          <w:rFonts w:ascii="Arial" w:hAnsi="Arial" w:cs="Arial"/>
          <w:sz w:val="20"/>
        </w:rPr>
        <w:t xml:space="preserve"> </w:t>
      </w:r>
      <w:r>
        <w:rPr>
          <w:rFonts w:ascii="Arial" w:hAnsi="Arial" w:cs="Arial"/>
          <w:sz w:val="20"/>
        </w:rPr>
        <w:t>medical research and university sectors increased in 2015 while commercialisation staff employed in PFRAs decreased slightly.</w:t>
      </w:r>
    </w:p>
    <w:p w14:paraId="716BCBD6" w14:textId="293D9F35" w:rsidR="00330D17" w:rsidRPr="00A93922" w:rsidRDefault="00330D17" w:rsidP="00330D17">
      <w:pPr>
        <w:pStyle w:val="Heading3"/>
        <w:rPr>
          <w:sz w:val="20"/>
          <w:szCs w:val="20"/>
        </w:rPr>
      </w:pPr>
      <w:r w:rsidRPr="00A93922">
        <w:rPr>
          <w:sz w:val="20"/>
          <w:szCs w:val="20"/>
        </w:rPr>
        <w:t xml:space="preserve">Table </w:t>
      </w:r>
      <w:r w:rsidR="00550348">
        <w:rPr>
          <w:sz w:val="20"/>
          <w:szCs w:val="20"/>
        </w:rPr>
        <w:t>2</w:t>
      </w:r>
      <w:r w:rsidRPr="00A93922">
        <w:rPr>
          <w:sz w:val="20"/>
          <w:szCs w:val="20"/>
        </w:rPr>
        <w:t xml:space="preserve">: </w:t>
      </w:r>
      <w:r w:rsidR="00C7541D">
        <w:rPr>
          <w:sz w:val="20"/>
          <w:szCs w:val="20"/>
        </w:rPr>
        <w:t>Number of</w:t>
      </w:r>
      <w:r>
        <w:rPr>
          <w:sz w:val="20"/>
          <w:szCs w:val="20"/>
        </w:rPr>
        <w:t xml:space="preserve"> </w:t>
      </w:r>
      <w:r w:rsidR="005C7C08">
        <w:rPr>
          <w:sz w:val="20"/>
          <w:szCs w:val="20"/>
        </w:rPr>
        <w:t xml:space="preserve">FTE </w:t>
      </w:r>
      <w:r>
        <w:rPr>
          <w:sz w:val="20"/>
          <w:szCs w:val="20"/>
        </w:rPr>
        <w:t>c</w:t>
      </w:r>
      <w:r w:rsidR="005C7C08">
        <w:rPr>
          <w:sz w:val="20"/>
          <w:szCs w:val="20"/>
        </w:rPr>
        <w:t>ommercialisation staff</w:t>
      </w:r>
    </w:p>
    <w:tbl>
      <w:tblPr>
        <w:tblW w:w="7297" w:type="dxa"/>
        <w:tblInd w:w="108" w:type="dxa"/>
        <w:tblLook w:val="04A0" w:firstRow="1" w:lastRow="0" w:firstColumn="1" w:lastColumn="0" w:noHBand="0" w:noVBand="1"/>
      </w:tblPr>
      <w:tblGrid>
        <w:gridCol w:w="1174"/>
        <w:gridCol w:w="2041"/>
        <w:gridCol w:w="2041"/>
        <w:gridCol w:w="2041"/>
      </w:tblGrid>
      <w:tr w:rsidR="00330D17" w:rsidRPr="009A0230" w14:paraId="46A522D2" w14:textId="77777777" w:rsidTr="009F1DA0">
        <w:trPr>
          <w:trHeight w:val="440"/>
        </w:trPr>
        <w:tc>
          <w:tcPr>
            <w:tcW w:w="1174" w:type="dxa"/>
            <w:tcBorders>
              <w:top w:val="single" w:sz="4" w:space="0" w:color="auto"/>
              <w:left w:val="nil"/>
              <w:bottom w:val="single" w:sz="4" w:space="0" w:color="auto"/>
              <w:right w:val="nil"/>
            </w:tcBorders>
            <w:shd w:val="clear" w:color="000000" w:fill="C4D79B"/>
            <w:noWrap/>
            <w:vAlign w:val="bottom"/>
            <w:hideMark/>
          </w:tcPr>
          <w:p w14:paraId="4F77BEE3" w14:textId="77777777" w:rsidR="00330D17" w:rsidRPr="009A0230" w:rsidRDefault="00330D17" w:rsidP="00550348">
            <w:pPr>
              <w:spacing w:after="0" w:line="240" w:lineRule="auto"/>
              <w:rPr>
                <w:rFonts w:ascii="Arial" w:eastAsia="Times New Roman" w:hAnsi="Arial" w:cs="Arial"/>
                <w:color w:val="000000"/>
                <w:szCs w:val="20"/>
                <w:lang w:eastAsia="en-AU"/>
              </w:rPr>
            </w:pPr>
            <w:r w:rsidRPr="009A0230">
              <w:rPr>
                <w:rFonts w:ascii="Arial" w:eastAsia="Times New Roman" w:hAnsi="Arial" w:cs="Arial"/>
                <w:color w:val="000000"/>
                <w:szCs w:val="20"/>
                <w:lang w:eastAsia="en-AU"/>
              </w:rPr>
              <w:t> </w:t>
            </w:r>
          </w:p>
        </w:tc>
        <w:tc>
          <w:tcPr>
            <w:tcW w:w="2041" w:type="dxa"/>
            <w:tcBorders>
              <w:top w:val="single" w:sz="4" w:space="0" w:color="auto"/>
              <w:left w:val="nil"/>
              <w:bottom w:val="single" w:sz="4" w:space="0" w:color="auto"/>
              <w:right w:val="nil"/>
            </w:tcBorders>
            <w:shd w:val="clear" w:color="000000" w:fill="C4D79B"/>
            <w:noWrap/>
            <w:vAlign w:val="center"/>
            <w:hideMark/>
          </w:tcPr>
          <w:p w14:paraId="3FE2E4E7" w14:textId="77777777" w:rsidR="00330D17" w:rsidRPr="009A0230" w:rsidRDefault="00330D17" w:rsidP="00550348">
            <w:pPr>
              <w:spacing w:after="0" w:line="240" w:lineRule="auto"/>
              <w:jc w:val="center"/>
              <w:rPr>
                <w:rFonts w:ascii="Arial" w:eastAsia="Times New Roman" w:hAnsi="Arial" w:cs="Arial"/>
                <w:b/>
                <w:bCs/>
                <w:color w:val="000000"/>
                <w:szCs w:val="20"/>
                <w:lang w:eastAsia="en-AU"/>
              </w:rPr>
            </w:pPr>
            <w:r w:rsidRPr="009A0230">
              <w:rPr>
                <w:rFonts w:ascii="Arial" w:eastAsia="Times New Roman" w:hAnsi="Arial" w:cs="Arial"/>
                <w:b/>
                <w:bCs/>
                <w:color w:val="000000"/>
                <w:szCs w:val="20"/>
                <w:lang w:eastAsia="en-AU"/>
              </w:rPr>
              <w:t>2013</w:t>
            </w:r>
          </w:p>
        </w:tc>
        <w:tc>
          <w:tcPr>
            <w:tcW w:w="2041" w:type="dxa"/>
            <w:tcBorders>
              <w:top w:val="single" w:sz="4" w:space="0" w:color="auto"/>
              <w:left w:val="nil"/>
              <w:bottom w:val="single" w:sz="4" w:space="0" w:color="auto"/>
              <w:right w:val="nil"/>
            </w:tcBorders>
            <w:shd w:val="clear" w:color="000000" w:fill="C4D79B"/>
            <w:noWrap/>
            <w:vAlign w:val="center"/>
            <w:hideMark/>
          </w:tcPr>
          <w:p w14:paraId="7E7454F8" w14:textId="77777777" w:rsidR="00330D17" w:rsidRPr="009A0230" w:rsidRDefault="00330D17" w:rsidP="00550348">
            <w:pPr>
              <w:spacing w:after="0" w:line="240" w:lineRule="auto"/>
              <w:jc w:val="center"/>
              <w:rPr>
                <w:rFonts w:ascii="Arial" w:eastAsia="Times New Roman" w:hAnsi="Arial" w:cs="Arial"/>
                <w:b/>
                <w:bCs/>
                <w:color w:val="000000"/>
                <w:szCs w:val="20"/>
                <w:lang w:eastAsia="en-AU"/>
              </w:rPr>
            </w:pPr>
            <w:r w:rsidRPr="009A0230">
              <w:rPr>
                <w:rFonts w:ascii="Arial" w:eastAsia="Times New Roman" w:hAnsi="Arial" w:cs="Arial"/>
                <w:b/>
                <w:bCs/>
                <w:color w:val="000000"/>
                <w:szCs w:val="20"/>
                <w:lang w:eastAsia="en-AU"/>
              </w:rPr>
              <w:t>2014</w:t>
            </w:r>
          </w:p>
        </w:tc>
        <w:tc>
          <w:tcPr>
            <w:tcW w:w="2041" w:type="dxa"/>
            <w:tcBorders>
              <w:top w:val="single" w:sz="4" w:space="0" w:color="auto"/>
              <w:left w:val="nil"/>
              <w:bottom w:val="single" w:sz="4" w:space="0" w:color="auto"/>
              <w:right w:val="nil"/>
            </w:tcBorders>
            <w:shd w:val="clear" w:color="000000" w:fill="C4D79B"/>
            <w:noWrap/>
            <w:vAlign w:val="center"/>
            <w:hideMark/>
          </w:tcPr>
          <w:p w14:paraId="4FECB33E" w14:textId="77777777" w:rsidR="00330D17" w:rsidRPr="009A0230" w:rsidRDefault="00330D17" w:rsidP="00550348">
            <w:pPr>
              <w:spacing w:after="0" w:line="240" w:lineRule="auto"/>
              <w:jc w:val="center"/>
              <w:rPr>
                <w:rFonts w:ascii="Arial" w:eastAsia="Times New Roman" w:hAnsi="Arial" w:cs="Arial"/>
                <w:b/>
                <w:bCs/>
                <w:color w:val="000000"/>
                <w:szCs w:val="20"/>
                <w:lang w:eastAsia="en-AU"/>
              </w:rPr>
            </w:pPr>
            <w:r>
              <w:rPr>
                <w:rFonts w:ascii="Arial" w:eastAsia="Times New Roman" w:hAnsi="Arial" w:cs="Arial"/>
                <w:b/>
                <w:bCs/>
                <w:color w:val="000000"/>
                <w:szCs w:val="20"/>
                <w:lang w:eastAsia="en-AU"/>
              </w:rPr>
              <w:t>2015</w:t>
            </w:r>
          </w:p>
        </w:tc>
      </w:tr>
      <w:tr w:rsidR="00330D17" w:rsidRPr="009A0230" w14:paraId="68C99AC4" w14:textId="77777777" w:rsidTr="009F1DA0">
        <w:trPr>
          <w:trHeight w:val="350"/>
        </w:trPr>
        <w:tc>
          <w:tcPr>
            <w:tcW w:w="1174" w:type="dxa"/>
            <w:tcBorders>
              <w:top w:val="nil"/>
              <w:left w:val="nil"/>
              <w:bottom w:val="nil"/>
              <w:right w:val="nil"/>
            </w:tcBorders>
            <w:shd w:val="clear" w:color="auto" w:fill="auto"/>
            <w:noWrap/>
            <w:vAlign w:val="bottom"/>
            <w:hideMark/>
          </w:tcPr>
          <w:p w14:paraId="4835AF33" w14:textId="77777777" w:rsidR="00330D17" w:rsidRPr="009A0230" w:rsidRDefault="00330D17" w:rsidP="00550348">
            <w:pPr>
              <w:spacing w:after="0" w:line="240" w:lineRule="auto"/>
              <w:rPr>
                <w:rFonts w:ascii="Arial" w:eastAsia="Times New Roman" w:hAnsi="Arial" w:cs="Arial"/>
                <w:color w:val="000000"/>
                <w:szCs w:val="20"/>
                <w:lang w:eastAsia="en-AU"/>
              </w:rPr>
            </w:pPr>
            <w:r w:rsidRPr="009A0230">
              <w:rPr>
                <w:rFonts w:ascii="Arial" w:eastAsia="Times New Roman" w:hAnsi="Arial" w:cs="Arial"/>
                <w:color w:val="000000"/>
                <w:szCs w:val="20"/>
                <w:lang w:eastAsia="en-AU"/>
              </w:rPr>
              <w:t>PFRAs</w:t>
            </w:r>
          </w:p>
        </w:tc>
        <w:tc>
          <w:tcPr>
            <w:tcW w:w="2041" w:type="dxa"/>
            <w:tcBorders>
              <w:top w:val="nil"/>
              <w:left w:val="nil"/>
              <w:bottom w:val="nil"/>
              <w:right w:val="nil"/>
            </w:tcBorders>
            <w:shd w:val="clear" w:color="auto" w:fill="auto"/>
            <w:noWrap/>
            <w:vAlign w:val="center"/>
            <w:hideMark/>
          </w:tcPr>
          <w:p w14:paraId="4E8F1A5B" w14:textId="77777777" w:rsidR="00330D17" w:rsidRPr="009A0230" w:rsidRDefault="00330D17" w:rsidP="00550348">
            <w:pPr>
              <w:spacing w:after="0" w:line="240" w:lineRule="auto"/>
              <w:jc w:val="center"/>
              <w:rPr>
                <w:rFonts w:ascii="Arial" w:eastAsia="Times New Roman" w:hAnsi="Arial" w:cs="Arial"/>
                <w:color w:val="000000"/>
                <w:szCs w:val="20"/>
                <w:lang w:eastAsia="en-AU"/>
              </w:rPr>
            </w:pPr>
            <w:r>
              <w:rPr>
                <w:rFonts w:ascii="Arial" w:eastAsia="Times New Roman" w:hAnsi="Arial" w:cs="Arial"/>
                <w:color w:val="000000"/>
                <w:szCs w:val="20"/>
                <w:lang w:eastAsia="en-AU"/>
              </w:rPr>
              <w:t>189</w:t>
            </w:r>
          </w:p>
        </w:tc>
        <w:tc>
          <w:tcPr>
            <w:tcW w:w="2041" w:type="dxa"/>
            <w:tcBorders>
              <w:top w:val="nil"/>
              <w:left w:val="nil"/>
              <w:bottom w:val="nil"/>
              <w:right w:val="nil"/>
            </w:tcBorders>
            <w:shd w:val="clear" w:color="auto" w:fill="auto"/>
            <w:noWrap/>
            <w:vAlign w:val="center"/>
            <w:hideMark/>
          </w:tcPr>
          <w:p w14:paraId="62F3054D" w14:textId="77777777" w:rsidR="00330D17" w:rsidRPr="009A0230" w:rsidRDefault="00330D17" w:rsidP="00550348">
            <w:pPr>
              <w:spacing w:after="0" w:line="240" w:lineRule="auto"/>
              <w:jc w:val="center"/>
              <w:rPr>
                <w:rFonts w:ascii="Arial" w:eastAsia="Times New Roman" w:hAnsi="Arial" w:cs="Arial"/>
                <w:color w:val="000000"/>
                <w:szCs w:val="20"/>
                <w:lang w:eastAsia="en-AU"/>
              </w:rPr>
            </w:pPr>
            <w:r>
              <w:rPr>
                <w:rFonts w:ascii="Arial" w:eastAsia="Times New Roman" w:hAnsi="Arial" w:cs="Arial"/>
                <w:color w:val="000000"/>
                <w:szCs w:val="20"/>
                <w:lang w:eastAsia="en-AU"/>
              </w:rPr>
              <w:t>201</w:t>
            </w:r>
          </w:p>
        </w:tc>
        <w:tc>
          <w:tcPr>
            <w:tcW w:w="2041" w:type="dxa"/>
            <w:tcBorders>
              <w:top w:val="nil"/>
              <w:left w:val="nil"/>
              <w:bottom w:val="nil"/>
              <w:right w:val="nil"/>
            </w:tcBorders>
            <w:shd w:val="clear" w:color="auto" w:fill="auto"/>
            <w:noWrap/>
            <w:vAlign w:val="center"/>
            <w:hideMark/>
          </w:tcPr>
          <w:p w14:paraId="201F388F" w14:textId="77777777" w:rsidR="00330D17" w:rsidRPr="009A0230" w:rsidRDefault="00330D17" w:rsidP="00550348">
            <w:pPr>
              <w:spacing w:after="0" w:line="240" w:lineRule="auto"/>
              <w:jc w:val="center"/>
              <w:rPr>
                <w:rFonts w:ascii="Arial" w:eastAsia="Times New Roman" w:hAnsi="Arial" w:cs="Arial"/>
                <w:color w:val="000000"/>
                <w:szCs w:val="20"/>
                <w:lang w:eastAsia="en-AU"/>
              </w:rPr>
            </w:pPr>
            <w:r>
              <w:rPr>
                <w:rFonts w:ascii="Arial" w:eastAsia="Times New Roman" w:hAnsi="Arial" w:cs="Arial"/>
                <w:color w:val="000000"/>
                <w:szCs w:val="20"/>
                <w:lang w:eastAsia="en-AU"/>
              </w:rPr>
              <w:t>192</w:t>
            </w:r>
          </w:p>
        </w:tc>
      </w:tr>
      <w:tr w:rsidR="00330D17" w:rsidRPr="009A0230" w14:paraId="63E5B847" w14:textId="77777777" w:rsidTr="009F1DA0">
        <w:trPr>
          <w:trHeight w:val="350"/>
        </w:trPr>
        <w:tc>
          <w:tcPr>
            <w:tcW w:w="1174" w:type="dxa"/>
            <w:tcBorders>
              <w:top w:val="single" w:sz="4" w:space="0" w:color="auto"/>
              <w:left w:val="nil"/>
              <w:bottom w:val="single" w:sz="4" w:space="0" w:color="auto"/>
              <w:right w:val="nil"/>
            </w:tcBorders>
            <w:shd w:val="clear" w:color="auto" w:fill="auto"/>
            <w:noWrap/>
            <w:vAlign w:val="bottom"/>
            <w:hideMark/>
          </w:tcPr>
          <w:p w14:paraId="194342B9" w14:textId="77777777" w:rsidR="00330D17" w:rsidRPr="009A0230" w:rsidRDefault="00330D17" w:rsidP="00550348">
            <w:pPr>
              <w:spacing w:after="0" w:line="240" w:lineRule="auto"/>
              <w:rPr>
                <w:rFonts w:ascii="Arial" w:eastAsia="Times New Roman" w:hAnsi="Arial" w:cs="Arial"/>
                <w:color w:val="000000"/>
                <w:szCs w:val="20"/>
                <w:lang w:eastAsia="en-AU"/>
              </w:rPr>
            </w:pPr>
            <w:r w:rsidRPr="009A0230">
              <w:rPr>
                <w:rFonts w:ascii="Arial" w:eastAsia="Times New Roman" w:hAnsi="Arial" w:cs="Arial"/>
                <w:color w:val="000000"/>
                <w:szCs w:val="20"/>
                <w:lang w:eastAsia="en-AU"/>
              </w:rPr>
              <w:t>UNIs</w:t>
            </w:r>
          </w:p>
        </w:tc>
        <w:tc>
          <w:tcPr>
            <w:tcW w:w="2041" w:type="dxa"/>
            <w:tcBorders>
              <w:top w:val="single" w:sz="4" w:space="0" w:color="auto"/>
              <w:left w:val="nil"/>
              <w:bottom w:val="single" w:sz="4" w:space="0" w:color="auto"/>
              <w:right w:val="nil"/>
            </w:tcBorders>
            <w:shd w:val="clear" w:color="auto" w:fill="auto"/>
            <w:noWrap/>
            <w:vAlign w:val="center"/>
            <w:hideMark/>
          </w:tcPr>
          <w:p w14:paraId="44636DCD" w14:textId="77777777" w:rsidR="00330D17" w:rsidRPr="009A0230" w:rsidRDefault="00330D17" w:rsidP="00550348">
            <w:pPr>
              <w:spacing w:after="0" w:line="240" w:lineRule="auto"/>
              <w:jc w:val="center"/>
              <w:rPr>
                <w:rFonts w:ascii="Arial" w:eastAsia="Times New Roman" w:hAnsi="Arial" w:cs="Arial"/>
                <w:color w:val="000000"/>
                <w:szCs w:val="20"/>
                <w:lang w:eastAsia="en-AU"/>
              </w:rPr>
            </w:pPr>
            <w:r>
              <w:rPr>
                <w:rFonts w:ascii="Arial" w:eastAsia="Times New Roman" w:hAnsi="Arial" w:cs="Arial"/>
                <w:color w:val="000000"/>
                <w:szCs w:val="20"/>
                <w:lang w:eastAsia="en-AU"/>
              </w:rPr>
              <w:t>490</w:t>
            </w:r>
          </w:p>
        </w:tc>
        <w:tc>
          <w:tcPr>
            <w:tcW w:w="2041" w:type="dxa"/>
            <w:tcBorders>
              <w:top w:val="single" w:sz="4" w:space="0" w:color="auto"/>
              <w:left w:val="nil"/>
              <w:bottom w:val="single" w:sz="4" w:space="0" w:color="auto"/>
              <w:right w:val="nil"/>
            </w:tcBorders>
            <w:shd w:val="clear" w:color="auto" w:fill="auto"/>
            <w:noWrap/>
            <w:vAlign w:val="center"/>
            <w:hideMark/>
          </w:tcPr>
          <w:p w14:paraId="35782CF6" w14:textId="77777777" w:rsidR="00330D17" w:rsidRPr="009A0230" w:rsidRDefault="00330D17" w:rsidP="00550348">
            <w:pPr>
              <w:spacing w:after="0" w:line="240" w:lineRule="auto"/>
              <w:jc w:val="center"/>
              <w:rPr>
                <w:rFonts w:ascii="Arial" w:eastAsia="Times New Roman" w:hAnsi="Arial" w:cs="Arial"/>
                <w:color w:val="000000"/>
                <w:szCs w:val="20"/>
                <w:lang w:eastAsia="en-AU"/>
              </w:rPr>
            </w:pPr>
            <w:r>
              <w:rPr>
                <w:rFonts w:ascii="Arial" w:eastAsia="Times New Roman" w:hAnsi="Arial" w:cs="Arial"/>
                <w:color w:val="000000"/>
                <w:szCs w:val="20"/>
                <w:lang w:eastAsia="en-AU"/>
              </w:rPr>
              <w:t>306</w:t>
            </w:r>
          </w:p>
        </w:tc>
        <w:tc>
          <w:tcPr>
            <w:tcW w:w="2041" w:type="dxa"/>
            <w:tcBorders>
              <w:top w:val="single" w:sz="4" w:space="0" w:color="auto"/>
              <w:left w:val="nil"/>
              <w:bottom w:val="single" w:sz="4" w:space="0" w:color="auto"/>
              <w:right w:val="nil"/>
            </w:tcBorders>
            <w:shd w:val="clear" w:color="auto" w:fill="auto"/>
            <w:noWrap/>
            <w:vAlign w:val="center"/>
            <w:hideMark/>
          </w:tcPr>
          <w:p w14:paraId="5E61AAE3" w14:textId="77777777" w:rsidR="00330D17" w:rsidRPr="009A0230" w:rsidRDefault="00330D17" w:rsidP="00550348">
            <w:pPr>
              <w:spacing w:after="0" w:line="240" w:lineRule="auto"/>
              <w:jc w:val="center"/>
              <w:rPr>
                <w:rFonts w:ascii="Arial" w:eastAsia="Times New Roman" w:hAnsi="Arial" w:cs="Arial"/>
                <w:color w:val="000000"/>
                <w:szCs w:val="20"/>
                <w:lang w:eastAsia="en-AU"/>
              </w:rPr>
            </w:pPr>
            <w:r>
              <w:rPr>
                <w:rFonts w:ascii="Arial" w:eastAsia="Times New Roman" w:hAnsi="Arial" w:cs="Arial"/>
                <w:color w:val="000000"/>
                <w:szCs w:val="20"/>
                <w:lang w:eastAsia="en-AU"/>
              </w:rPr>
              <w:t>333</w:t>
            </w:r>
          </w:p>
        </w:tc>
      </w:tr>
      <w:tr w:rsidR="00330D17" w:rsidRPr="009A0230" w14:paraId="2BC8B12B" w14:textId="77777777" w:rsidTr="009F1DA0">
        <w:trPr>
          <w:trHeight w:val="350"/>
        </w:trPr>
        <w:tc>
          <w:tcPr>
            <w:tcW w:w="1174" w:type="dxa"/>
            <w:tcBorders>
              <w:top w:val="nil"/>
              <w:left w:val="nil"/>
              <w:bottom w:val="single" w:sz="4" w:space="0" w:color="auto"/>
              <w:right w:val="nil"/>
            </w:tcBorders>
            <w:shd w:val="clear" w:color="auto" w:fill="auto"/>
            <w:noWrap/>
            <w:vAlign w:val="bottom"/>
            <w:hideMark/>
          </w:tcPr>
          <w:p w14:paraId="7EDB789F" w14:textId="77777777" w:rsidR="00330D17" w:rsidRPr="009A0230" w:rsidRDefault="00330D17" w:rsidP="00550348">
            <w:pPr>
              <w:spacing w:after="0" w:line="240" w:lineRule="auto"/>
              <w:rPr>
                <w:rFonts w:ascii="Arial" w:eastAsia="Times New Roman" w:hAnsi="Arial" w:cs="Arial"/>
                <w:color w:val="000000"/>
                <w:szCs w:val="20"/>
                <w:lang w:eastAsia="en-AU"/>
              </w:rPr>
            </w:pPr>
            <w:r w:rsidRPr="009A0230">
              <w:rPr>
                <w:rFonts w:ascii="Arial" w:eastAsia="Times New Roman" w:hAnsi="Arial" w:cs="Arial"/>
                <w:color w:val="000000"/>
                <w:szCs w:val="20"/>
                <w:lang w:eastAsia="en-AU"/>
              </w:rPr>
              <w:t>MRIs</w:t>
            </w:r>
          </w:p>
        </w:tc>
        <w:tc>
          <w:tcPr>
            <w:tcW w:w="2041" w:type="dxa"/>
            <w:tcBorders>
              <w:top w:val="nil"/>
              <w:left w:val="nil"/>
              <w:bottom w:val="single" w:sz="4" w:space="0" w:color="auto"/>
              <w:right w:val="nil"/>
            </w:tcBorders>
            <w:shd w:val="clear" w:color="auto" w:fill="auto"/>
            <w:noWrap/>
            <w:vAlign w:val="center"/>
            <w:hideMark/>
          </w:tcPr>
          <w:p w14:paraId="44AF5D21" w14:textId="77777777" w:rsidR="00330D17" w:rsidRPr="009A0230" w:rsidRDefault="00330D17" w:rsidP="00550348">
            <w:pPr>
              <w:spacing w:after="0" w:line="240" w:lineRule="auto"/>
              <w:jc w:val="center"/>
              <w:rPr>
                <w:rFonts w:ascii="Arial" w:eastAsia="Times New Roman" w:hAnsi="Arial" w:cs="Arial"/>
                <w:color w:val="000000"/>
                <w:szCs w:val="20"/>
                <w:lang w:eastAsia="en-AU"/>
              </w:rPr>
            </w:pPr>
            <w:r>
              <w:rPr>
                <w:rFonts w:ascii="Arial" w:eastAsia="Times New Roman" w:hAnsi="Arial" w:cs="Arial"/>
                <w:color w:val="000000"/>
                <w:szCs w:val="20"/>
                <w:lang w:eastAsia="en-AU"/>
              </w:rPr>
              <w:t>45</w:t>
            </w:r>
          </w:p>
        </w:tc>
        <w:tc>
          <w:tcPr>
            <w:tcW w:w="2041" w:type="dxa"/>
            <w:tcBorders>
              <w:top w:val="nil"/>
              <w:left w:val="nil"/>
              <w:bottom w:val="single" w:sz="4" w:space="0" w:color="auto"/>
              <w:right w:val="nil"/>
            </w:tcBorders>
            <w:shd w:val="clear" w:color="auto" w:fill="auto"/>
            <w:noWrap/>
            <w:vAlign w:val="center"/>
            <w:hideMark/>
          </w:tcPr>
          <w:p w14:paraId="16948E16" w14:textId="77777777" w:rsidR="00330D17" w:rsidRPr="009A0230" w:rsidRDefault="00330D17" w:rsidP="00550348">
            <w:pPr>
              <w:spacing w:after="0" w:line="240" w:lineRule="auto"/>
              <w:jc w:val="center"/>
              <w:rPr>
                <w:rFonts w:ascii="Arial" w:eastAsia="Times New Roman" w:hAnsi="Arial" w:cs="Arial"/>
                <w:color w:val="000000"/>
                <w:szCs w:val="20"/>
                <w:lang w:eastAsia="en-AU"/>
              </w:rPr>
            </w:pPr>
            <w:r>
              <w:rPr>
                <w:rFonts w:ascii="Arial" w:eastAsia="Times New Roman" w:hAnsi="Arial" w:cs="Arial"/>
                <w:color w:val="000000"/>
                <w:szCs w:val="20"/>
                <w:lang w:eastAsia="en-AU"/>
              </w:rPr>
              <w:t>33</w:t>
            </w:r>
          </w:p>
        </w:tc>
        <w:tc>
          <w:tcPr>
            <w:tcW w:w="2041" w:type="dxa"/>
            <w:tcBorders>
              <w:top w:val="nil"/>
              <w:left w:val="nil"/>
              <w:bottom w:val="single" w:sz="4" w:space="0" w:color="auto"/>
              <w:right w:val="nil"/>
            </w:tcBorders>
            <w:shd w:val="clear" w:color="auto" w:fill="auto"/>
            <w:noWrap/>
            <w:vAlign w:val="center"/>
            <w:hideMark/>
          </w:tcPr>
          <w:p w14:paraId="5C1BA653" w14:textId="77777777" w:rsidR="00330D17" w:rsidRPr="009A0230" w:rsidRDefault="00330D17" w:rsidP="00550348">
            <w:pPr>
              <w:spacing w:after="0" w:line="240" w:lineRule="auto"/>
              <w:jc w:val="center"/>
              <w:rPr>
                <w:rFonts w:ascii="Arial" w:eastAsia="Times New Roman" w:hAnsi="Arial" w:cs="Arial"/>
                <w:color w:val="000000"/>
                <w:szCs w:val="20"/>
                <w:lang w:eastAsia="en-AU"/>
              </w:rPr>
            </w:pPr>
            <w:r>
              <w:rPr>
                <w:rFonts w:ascii="Arial" w:eastAsia="Times New Roman" w:hAnsi="Arial" w:cs="Arial"/>
                <w:color w:val="000000"/>
                <w:szCs w:val="20"/>
                <w:lang w:eastAsia="en-AU"/>
              </w:rPr>
              <w:t>46</w:t>
            </w:r>
          </w:p>
        </w:tc>
      </w:tr>
      <w:tr w:rsidR="00330D17" w:rsidRPr="009A0230" w14:paraId="088B03B9" w14:textId="77777777" w:rsidTr="009F1DA0">
        <w:trPr>
          <w:trHeight w:val="350"/>
        </w:trPr>
        <w:tc>
          <w:tcPr>
            <w:tcW w:w="1174" w:type="dxa"/>
            <w:tcBorders>
              <w:top w:val="nil"/>
              <w:left w:val="nil"/>
              <w:bottom w:val="single" w:sz="4" w:space="0" w:color="auto"/>
              <w:right w:val="nil"/>
            </w:tcBorders>
            <w:shd w:val="clear" w:color="auto" w:fill="auto"/>
            <w:noWrap/>
            <w:vAlign w:val="bottom"/>
            <w:hideMark/>
          </w:tcPr>
          <w:p w14:paraId="4D41917E" w14:textId="77777777" w:rsidR="00330D17" w:rsidRPr="009A0230" w:rsidRDefault="00330D17" w:rsidP="00550348">
            <w:pPr>
              <w:spacing w:after="0" w:line="240" w:lineRule="auto"/>
              <w:rPr>
                <w:rFonts w:ascii="Arial" w:eastAsia="Times New Roman" w:hAnsi="Arial" w:cs="Arial"/>
                <w:b/>
                <w:bCs/>
                <w:color w:val="000000"/>
                <w:szCs w:val="20"/>
                <w:lang w:eastAsia="en-AU"/>
              </w:rPr>
            </w:pPr>
            <w:r w:rsidRPr="009A0230">
              <w:rPr>
                <w:rFonts w:ascii="Arial" w:eastAsia="Times New Roman" w:hAnsi="Arial" w:cs="Arial"/>
                <w:b/>
                <w:bCs/>
                <w:color w:val="000000"/>
                <w:szCs w:val="20"/>
                <w:lang w:eastAsia="en-AU"/>
              </w:rPr>
              <w:t>Total</w:t>
            </w:r>
          </w:p>
        </w:tc>
        <w:tc>
          <w:tcPr>
            <w:tcW w:w="2041" w:type="dxa"/>
            <w:tcBorders>
              <w:top w:val="nil"/>
              <w:left w:val="nil"/>
              <w:bottom w:val="single" w:sz="4" w:space="0" w:color="auto"/>
              <w:right w:val="nil"/>
            </w:tcBorders>
            <w:shd w:val="clear" w:color="auto" w:fill="auto"/>
            <w:noWrap/>
            <w:vAlign w:val="bottom"/>
            <w:hideMark/>
          </w:tcPr>
          <w:p w14:paraId="67776490" w14:textId="77777777" w:rsidR="00330D17" w:rsidRPr="009A0230" w:rsidRDefault="00330D17" w:rsidP="00550348">
            <w:pPr>
              <w:spacing w:after="0" w:line="240" w:lineRule="auto"/>
              <w:jc w:val="center"/>
              <w:rPr>
                <w:rFonts w:ascii="Arial" w:eastAsia="Times New Roman" w:hAnsi="Arial" w:cs="Arial"/>
                <w:b/>
                <w:bCs/>
                <w:color w:val="000000"/>
                <w:szCs w:val="20"/>
                <w:lang w:eastAsia="en-AU"/>
              </w:rPr>
            </w:pPr>
            <w:r>
              <w:rPr>
                <w:rFonts w:ascii="Arial" w:eastAsia="Times New Roman" w:hAnsi="Arial" w:cs="Arial"/>
                <w:b/>
                <w:bCs/>
                <w:color w:val="000000"/>
                <w:szCs w:val="20"/>
                <w:lang w:eastAsia="en-AU"/>
              </w:rPr>
              <w:t>724</w:t>
            </w:r>
          </w:p>
        </w:tc>
        <w:tc>
          <w:tcPr>
            <w:tcW w:w="2041" w:type="dxa"/>
            <w:tcBorders>
              <w:top w:val="nil"/>
              <w:left w:val="nil"/>
              <w:bottom w:val="single" w:sz="4" w:space="0" w:color="auto"/>
              <w:right w:val="nil"/>
            </w:tcBorders>
            <w:shd w:val="clear" w:color="auto" w:fill="auto"/>
            <w:noWrap/>
            <w:vAlign w:val="bottom"/>
            <w:hideMark/>
          </w:tcPr>
          <w:p w14:paraId="6A59E7B0" w14:textId="77777777" w:rsidR="00330D17" w:rsidRPr="009A0230" w:rsidRDefault="00330D17" w:rsidP="00550348">
            <w:pPr>
              <w:spacing w:after="0" w:line="240" w:lineRule="auto"/>
              <w:jc w:val="center"/>
              <w:rPr>
                <w:rFonts w:ascii="Arial" w:eastAsia="Times New Roman" w:hAnsi="Arial" w:cs="Arial"/>
                <w:b/>
                <w:bCs/>
                <w:color w:val="000000"/>
                <w:szCs w:val="20"/>
                <w:lang w:eastAsia="en-AU"/>
              </w:rPr>
            </w:pPr>
            <w:r>
              <w:rPr>
                <w:rFonts w:ascii="Arial" w:eastAsia="Times New Roman" w:hAnsi="Arial" w:cs="Arial"/>
                <w:b/>
                <w:bCs/>
                <w:color w:val="000000"/>
                <w:szCs w:val="20"/>
                <w:lang w:eastAsia="en-AU"/>
              </w:rPr>
              <w:t>540</w:t>
            </w:r>
          </w:p>
        </w:tc>
        <w:tc>
          <w:tcPr>
            <w:tcW w:w="2041" w:type="dxa"/>
            <w:tcBorders>
              <w:top w:val="nil"/>
              <w:left w:val="nil"/>
              <w:bottom w:val="single" w:sz="4" w:space="0" w:color="auto"/>
              <w:right w:val="nil"/>
            </w:tcBorders>
            <w:shd w:val="clear" w:color="auto" w:fill="auto"/>
            <w:noWrap/>
            <w:vAlign w:val="bottom"/>
            <w:hideMark/>
          </w:tcPr>
          <w:p w14:paraId="161A430D" w14:textId="77777777" w:rsidR="00330D17" w:rsidRPr="009A0230" w:rsidRDefault="00330D17" w:rsidP="00550348">
            <w:pPr>
              <w:spacing w:after="0" w:line="240" w:lineRule="auto"/>
              <w:jc w:val="center"/>
              <w:rPr>
                <w:rFonts w:ascii="Arial" w:eastAsia="Times New Roman" w:hAnsi="Arial" w:cs="Arial"/>
                <w:b/>
                <w:bCs/>
                <w:color w:val="000000"/>
                <w:szCs w:val="20"/>
                <w:lang w:eastAsia="en-AU"/>
              </w:rPr>
            </w:pPr>
            <w:r>
              <w:rPr>
                <w:rFonts w:ascii="Arial" w:eastAsia="Times New Roman" w:hAnsi="Arial" w:cs="Arial"/>
                <w:b/>
                <w:bCs/>
                <w:color w:val="000000"/>
                <w:szCs w:val="20"/>
                <w:lang w:eastAsia="en-AU"/>
              </w:rPr>
              <w:t>571</w:t>
            </w:r>
          </w:p>
        </w:tc>
      </w:tr>
    </w:tbl>
    <w:p w14:paraId="581A73F2" w14:textId="77777777" w:rsidR="00330D17" w:rsidRDefault="00330D17" w:rsidP="00330D17">
      <w:pPr>
        <w:rPr>
          <w:rFonts w:ascii="Arial" w:hAnsi="Arial" w:cs="Arial"/>
        </w:rPr>
      </w:pPr>
    </w:p>
    <w:p w14:paraId="09DEFD68" w14:textId="6BB82986" w:rsidR="00330D17" w:rsidRDefault="00330D17" w:rsidP="00330D17">
      <w:pPr>
        <w:pStyle w:val="Heading3"/>
        <w:rPr>
          <w:sz w:val="20"/>
          <w:szCs w:val="20"/>
        </w:rPr>
      </w:pPr>
      <w:r w:rsidRPr="00A93922">
        <w:rPr>
          <w:sz w:val="20"/>
          <w:szCs w:val="20"/>
        </w:rPr>
        <w:t xml:space="preserve">Figure </w:t>
      </w:r>
      <w:r w:rsidR="00550348">
        <w:rPr>
          <w:sz w:val="20"/>
          <w:szCs w:val="20"/>
        </w:rPr>
        <w:t>2</w:t>
      </w:r>
      <w:r w:rsidRPr="00A93922">
        <w:rPr>
          <w:sz w:val="20"/>
          <w:szCs w:val="20"/>
        </w:rPr>
        <w:t xml:space="preserve">: </w:t>
      </w:r>
      <w:r w:rsidR="00C7541D">
        <w:rPr>
          <w:sz w:val="20"/>
          <w:szCs w:val="20"/>
        </w:rPr>
        <w:t>Number of</w:t>
      </w:r>
      <w:r>
        <w:rPr>
          <w:sz w:val="20"/>
          <w:szCs w:val="20"/>
        </w:rPr>
        <w:t xml:space="preserve"> </w:t>
      </w:r>
      <w:r w:rsidR="005C7C08">
        <w:rPr>
          <w:sz w:val="20"/>
          <w:szCs w:val="20"/>
        </w:rPr>
        <w:t xml:space="preserve">FTE </w:t>
      </w:r>
      <w:r w:rsidRPr="00A93922">
        <w:rPr>
          <w:sz w:val="20"/>
          <w:szCs w:val="20"/>
        </w:rPr>
        <w:t>commercialisation staff</w:t>
      </w:r>
    </w:p>
    <w:p w14:paraId="7E648E14" w14:textId="77777777" w:rsidR="00330D17" w:rsidRDefault="00330D17" w:rsidP="00330D17">
      <w:r>
        <w:rPr>
          <w:noProof/>
          <w:lang w:eastAsia="en-AU"/>
        </w:rPr>
        <w:drawing>
          <wp:inline distT="0" distB="0" distL="0" distR="0" wp14:anchorId="384D73E6" wp14:editId="3EF39168">
            <wp:extent cx="4715742" cy="2695575"/>
            <wp:effectExtent l="0" t="0" r="889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748975" cy="2714571"/>
                    </a:xfrm>
                    <a:prstGeom prst="rect">
                      <a:avLst/>
                    </a:prstGeom>
                    <a:noFill/>
                  </pic:spPr>
                </pic:pic>
              </a:graphicData>
            </a:graphic>
          </wp:inline>
        </w:drawing>
      </w:r>
    </w:p>
    <w:p w14:paraId="72AB7FA9" w14:textId="77777777" w:rsidR="00330D17" w:rsidRPr="00A93922" w:rsidRDefault="00330D17" w:rsidP="00330D17">
      <w:pPr>
        <w:spacing w:after="200"/>
      </w:pPr>
      <w:r>
        <w:br w:type="page"/>
      </w:r>
    </w:p>
    <w:p w14:paraId="686C3413" w14:textId="4B644F3D" w:rsidR="00A22053" w:rsidRPr="00A22053" w:rsidRDefault="00A22053" w:rsidP="004C21D3">
      <w:pPr>
        <w:pStyle w:val="Heading2"/>
        <w:numPr>
          <w:ilvl w:val="0"/>
          <w:numId w:val="17"/>
        </w:numPr>
      </w:pPr>
      <w:r w:rsidRPr="00A22053">
        <w:t>Invention Disclosures and Material Transfer Agreements</w:t>
      </w:r>
    </w:p>
    <w:p w14:paraId="75504741" w14:textId="75470C5B" w:rsidR="00A22053" w:rsidRPr="00756951" w:rsidRDefault="00A22053" w:rsidP="00A22053">
      <w:pPr>
        <w:spacing w:after="360"/>
        <w:rPr>
          <w:rFonts w:ascii="Arial" w:hAnsi="Arial" w:cs="Arial"/>
        </w:rPr>
      </w:pPr>
      <w:r w:rsidRPr="00756951">
        <w:rPr>
          <w:rFonts w:ascii="Arial" w:hAnsi="Arial" w:cs="Arial"/>
        </w:rPr>
        <w:t>Invention disclosure</w:t>
      </w:r>
      <w:r>
        <w:rPr>
          <w:rFonts w:ascii="Arial" w:hAnsi="Arial" w:cs="Arial"/>
        </w:rPr>
        <w:t>s</w:t>
      </w:r>
      <w:r w:rsidRPr="00756951">
        <w:rPr>
          <w:rFonts w:ascii="Arial" w:hAnsi="Arial" w:cs="Arial"/>
        </w:rPr>
        <w:t xml:space="preserve"> and material transfer agreements</w:t>
      </w:r>
      <w:r w:rsidR="00F84A38">
        <w:rPr>
          <w:rFonts w:ascii="Arial" w:hAnsi="Arial" w:cs="Arial"/>
        </w:rPr>
        <w:t xml:space="preserve"> </w:t>
      </w:r>
      <w:r w:rsidR="00550348">
        <w:rPr>
          <w:rFonts w:ascii="Arial" w:hAnsi="Arial" w:cs="Arial"/>
        </w:rPr>
        <w:t>(MTAs)</w:t>
      </w:r>
      <w:r w:rsidRPr="00756951">
        <w:rPr>
          <w:rFonts w:ascii="Arial" w:hAnsi="Arial" w:cs="Arial"/>
        </w:rPr>
        <w:t xml:space="preserve"> </w:t>
      </w:r>
      <w:r>
        <w:rPr>
          <w:rFonts w:ascii="Arial" w:hAnsi="Arial" w:cs="Arial"/>
        </w:rPr>
        <w:t>are measures of knowledge creation and knowledge exchange</w:t>
      </w:r>
      <w:r w:rsidRPr="00756951">
        <w:rPr>
          <w:rFonts w:ascii="Arial" w:hAnsi="Arial" w:cs="Arial"/>
        </w:rPr>
        <w:t>.</w:t>
      </w:r>
    </w:p>
    <w:p w14:paraId="23CA7ABB" w14:textId="41B1F140" w:rsidR="00A22053" w:rsidRPr="00D05CB9" w:rsidRDefault="00550348" w:rsidP="00D05CB9">
      <w:pPr>
        <w:pStyle w:val="Heading3"/>
      </w:pPr>
      <w:r>
        <w:t>3</w:t>
      </w:r>
      <w:r w:rsidR="00D05CB9" w:rsidRPr="00D05CB9">
        <w:t xml:space="preserve">.1 </w:t>
      </w:r>
      <w:r w:rsidR="00A22053" w:rsidRPr="00D05CB9">
        <w:t>Invention Disclosures</w:t>
      </w:r>
    </w:p>
    <w:p w14:paraId="24186266" w14:textId="3F432247" w:rsidR="00A22053" w:rsidRDefault="003564BD" w:rsidP="00A22053">
      <w:pPr>
        <w:pStyle w:val="ListParagraph"/>
        <w:spacing w:after="360"/>
        <w:ind w:left="0"/>
        <w:rPr>
          <w:rFonts w:ascii="Arial" w:hAnsi="Arial" w:cs="Arial"/>
          <w:sz w:val="20"/>
          <w:szCs w:val="20"/>
        </w:rPr>
      </w:pPr>
      <w:r>
        <w:rPr>
          <w:rFonts w:ascii="Arial" w:hAnsi="Arial" w:cs="Arial"/>
          <w:sz w:val="20"/>
          <w:szCs w:val="20"/>
        </w:rPr>
        <w:t>An i</w:t>
      </w:r>
      <w:r w:rsidR="00A22053" w:rsidRPr="0086396D">
        <w:rPr>
          <w:rFonts w:ascii="Arial" w:hAnsi="Arial" w:cs="Arial"/>
          <w:sz w:val="20"/>
          <w:szCs w:val="20"/>
        </w:rPr>
        <w:t>nvention disclosure</w:t>
      </w:r>
      <w:r>
        <w:rPr>
          <w:rFonts w:ascii="Arial" w:hAnsi="Arial" w:cs="Arial"/>
          <w:sz w:val="20"/>
          <w:szCs w:val="20"/>
        </w:rPr>
        <w:t xml:space="preserve"> is a </w:t>
      </w:r>
      <w:r w:rsidR="00AC09F0">
        <w:rPr>
          <w:rFonts w:ascii="Arial" w:hAnsi="Arial" w:cs="Arial"/>
          <w:sz w:val="20"/>
          <w:szCs w:val="20"/>
        </w:rPr>
        <w:t xml:space="preserve">confidential </w:t>
      </w:r>
      <w:r>
        <w:rPr>
          <w:rFonts w:ascii="Arial" w:hAnsi="Arial" w:cs="Arial"/>
          <w:sz w:val="20"/>
          <w:szCs w:val="20"/>
        </w:rPr>
        <w:t>document</w:t>
      </w:r>
      <w:r w:rsidR="00AC09F0">
        <w:rPr>
          <w:rFonts w:ascii="Arial" w:hAnsi="Arial" w:cs="Arial"/>
          <w:sz w:val="20"/>
          <w:szCs w:val="20"/>
        </w:rPr>
        <w:t xml:space="preserve"> outlining a </w:t>
      </w:r>
      <w:r>
        <w:rPr>
          <w:rFonts w:ascii="Arial" w:hAnsi="Arial" w:cs="Arial"/>
          <w:sz w:val="20"/>
          <w:szCs w:val="20"/>
        </w:rPr>
        <w:t>new invention, product or process</w:t>
      </w:r>
      <w:r w:rsidR="00D11FD7">
        <w:rPr>
          <w:rFonts w:ascii="Arial" w:hAnsi="Arial" w:cs="Arial"/>
          <w:sz w:val="20"/>
          <w:szCs w:val="20"/>
        </w:rPr>
        <w:t xml:space="preserve"> </w:t>
      </w:r>
      <w:r w:rsidR="00AC09F0">
        <w:rPr>
          <w:rFonts w:ascii="Arial" w:hAnsi="Arial" w:cs="Arial"/>
          <w:sz w:val="20"/>
          <w:szCs w:val="20"/>
        </w:rPr>
        <w:t xml:space="preserve">which helps an organisation (or external patent attorney) to </w:t>
      </w:r>
      <w:r w:rsidR="00A22053" w:rsidRPr="0086396D">
        <w:rPr>
          <w:rFonts w:ascii="Arial" w:hAnsi="Arial" w:cs="Arial"/>
          <w:sz w:val="20"/>
          <w:szCs w:val="20"/>
        </w:rPr>
        <w:t>determine whether patent protection should be sought.</w:t>
      </w:r>
    </w:p>
    <w:p w14:paraId="5683B374" w14:textId="77777777" w:rsidR="00A22053" w:rsidRPr="0086396D" w:rsidRDefault="00A22053" w:rsidP="00A22053">
      <w:pPr>
        <w:pStyle w:val="ListParagraph"/>
        <w:spacing w:after="360"/>
        <w:ind w:left="357"/>
        <w:rPr>
          <w:rFonts w:ascii="Arial" w:hAnsi="Arial" w:cs="Arial"/>
          <w:sz w:val="20"/>
          <w:szCs w:val="20"/>
        </w:rPr>
      </w:pPr>
    </w:p>
    <w:p w14:paraId="15883F29" w14:textId="09FBD5EB" w:rsidR="00A22053" w:rsidRPr="00756951" w:rsidRDefault="00C0240D" w:rsidP="00D11FD7">
      <w:pPr>
        <w:pStyle w:val="ListParagraph"/>
        <w:numPr>
          <w:ilvl w:val="0"/>
          <w:numId w:val="30"/>
        </w:numPr>
        <w:spacing w:before="240"/>
        <w:rPr>
          <w:rFonts w:ascii="Arial" w:hAnsi="Arial" w:cs="Arial"/>
          <w:sz w:val="20"/>
        </w:rPr>
      </w:pPr>
      <w:r>
        <w:rPr>
          <w:rFonts w:ascii="Arial" w:hAnsi="Arial" w:cs="Arial"/>
          <w:sz w:val="20"/>
        </w:rPr>
        <w:t>In 2015</w:t>
      </w:r>
      <w:r w:rsidR="00A22053">
        <w:rPr>
          <w:rFonts w:ascii="Arial" w:hAnsi="Arial" w:cs="Arial"/>
          <w:sz w:val="20"/>
        </w:rPr>
        <w:t>, t</w:t>
      </w:r>
      <w:r w:rsidR="00A22053" w:rsidRPr="00756951">
        <w:rPr>
          <w:rFonts w:ascii="Arial" w:hAnsi="Arial" w:cs="Arial"/>
          <w:sz w:val="20"/>
        </w:rPr>
        <w:t>otal invention disclosure</w:t>
      </w:r>
      <w:r w:rsidR="00A22053">
        <w:rPr>
          <w:rFonts w:ascii="Arial" w:hAnsi="Arial" w:cs="Arial"/>
          <w:sz w:val="20"/>
        </w:rPr>
        <w:t>s</w:t>
      </w:r>
      <w:r w:rsidR="00A22053" w:rsidRPr="00756951">
        <w:rPr>
          <w:rFonts w:ascii="Arial" w:hAnsi="Arial" w:cs="Arial"/>
          <w:sz w:val="20"/>
        </w:rPr>
        <w:t xml:space="preserve"> </w:t>
      </w:r>
      <w:r w:rsidR="00E54B04">
        <w:rPr>
          <w:rFonts w:ascii="Arial" w:hAnsi="Arial" w:cs="Arial"/>
          <w:sz w:val="20"/>
        </w:rPr>
        <w:t xml:space="preserve">numbered </w:t>
      </w:r>
      <w:r w:rsidR="00C23FB7">
        <w:rPr>
          <w:rFonts w:ascii="Arial" w:hAnsi="Arial" w:cs="Arial"/>
          <w:sz w:val="20"/>
        </w:rPr>
        <w:t>1</w:t>
      </w:r>
      <w:r w:rsidR="00D11FD7">
        <w:rPr>
          <w:rFonts w:ascii="Arial" w:hAnsi="Arial" w:cs="Arial"/>
          <w:sz w:val="20"/>
        </w:rPr>
        <w:t>,</w:t>
      </w:r>
      <w:r w:rsidR="00F721EF">
        <w:rPr>
          <w:rFonts w:ascii="Arial" w:hAnsi="Arial" w:cs="Arial"/>
          <w:sz w:val="20"/>
        </w:rPr>
        <w:t>307</w:t>
      </w:r>
      <w:r w:rsidR="00A22053">
        <w:rPr>
          <w:rFonts w:ascii="Arial" w:hAnsi="Arial" w:cs="Arial"/>
          <w:sz w:val="20"/>
        </w:rPr>
        <w:t>,</w:t>
      </w:r>
      <w:r w:rsidR="00A22053" w:rsidRPr="00756951">
        <w:rPr>
          <w:rFonts w:ascii="Arial" w:hAnsi="Arial" w:cs="Arial"/>
          <w:sz w:val="20"/>
        </w:rPr>
        <w:t xml:space="preserve"> </w:t>
      </w:r>
      <w:r w:rsidR="00A22053">
        <w:rPr>
          <w:rFonts w:ascii="Arial" w:hAnsi="Arial" w:cs="Arial"/>
          <w:sz w:val="20"/>
        </w:rPr>
        <w:t>a</w:t>
      </w:r>
      <w:r w:rsidR="00C23FB7">
        <w:rPr>
          <w:rFonts w:ascii="Arial" w:hAnsi="Arial" w:cs="Arial"/>
          <w:sz w:val="20"/>
        </w:rPr>
        <w:t>n</w:t>
      </w:r>
      <w:r w:rsidR="00A22053">
        <w:rPr>
          <w:rFonts w:ascii="Arial" w:hAnsi="Arial" w:cs="Arial"/>
          <w:sz w:val="20"/>
        </w:rPr>
        <w:t xml:space="preserve"> </w:t>
      </w:r>
      <w:r>
        <w:rPr>
          <w:rFonts w:ascii="Arial" w:hAnsi="Arial" w:cs="Arial"/>
          <w:sz w:val="20"/>
        </w:rPr>
        <w:t xml:space="preserve">increase of </w:t>
      </w:r>
      <w:r w:rsidR="00C23FB7">
        <w:rPr>
          <w:rFonts w:ascii="Arial" w:hAnsi="Arial" w:cs="Arial"/>
          <w:sz w:val="20"/>
        </w:rPr>
        <w:t>9</w:t>
      </w:r>
      <w:r>
        <w:rPr>
          <w:rFonts w:ascii="Arial" w:hAnsi="Arial" w:cs="Arial"/>
          <w:sz w:val="20"/>
        </w:rPr>
        <w:t>% from 2014</w:t>
      </w:r>
      <w:r w:rsidR="00A22053" w:rsidRPr="00756951">
        <w:rPr>
          <w:rFonts w:ascii="Arial" w:hAnsi="Arial" w:cs="Arial"/>
          <w:sz w:val="20"/>
        </w:rPr>
        <w:t>.</w:t>
      </w:r>
    </w:p>
    <w:p w14:paraId="26EBCF74" w14:textId="27D482A4" w:rsidR="00A22053" w:rsidRPr="00C3406F" w:rsidRDefault="00C0240D" w:rsidP="00D11FD7">
      <w:pPr>
        <w:pStyle w:val="ListParagraph"/>
        <w:numPr>
          <w:ilvl w:val="0"/>
          <w:numId w:val="30"/>
        </w:numPr>
        <w:spacing w:before="240"/>
        <w:rPr>
          <w:rFonts w:ascii="Arial" w:hAnsi="Arial" w:cs="Arial"/>
          <w:sz w:val="20"/>
        </w:rPr>
      </w:pPr>
      <w:r>
        <w:rPr>
          <w:rFonts w:ascii="Arial" w:hAnsi="Arial" w:cs="Arial"/>
          <w:sz w:val="20"/>
        </w:rPr>
        <w:t xml:space="preserve">Universities accounted for </w:t>
      </w:r>
      <w:r w:rsidR="00C23FB7">
        <w:rPr>
          <w:rFonts w:ascii="Arial" w:hAnsi="Arial" w:cs="Arial"/>
          <w:sz w:val="20"/>
        </w:rPr>
        <w:t>75</w:t>
      </w:r>
      <w:r w:rsidR="00A22053">
        <w:rPr>
          <w:rFonts w:ascii="Arial" w:hAnsi="Arial" w:cs="Arial"/>
          <w:sz w:val="20"/>
        </w:rPr>
        <w:t>% of total invention</w:t>
      </w:r>
      <w:r w:rsidR="00A22053" w:rsidRPr="00756951">
        <w:rPr>
          <w:rFonts w:ascii="Arial" w:hAnsi="Arial" w:cs="Arial"/>
          <w:sz w:val="20"/>
        </w:rPr>
        <w:t xml:space="preserve"> disclosure</w:t>
      </w:r>
      <w:r w:rsidR="00A22053">
        <w:rPr>
          <w:rFonts w:ascii="Arial" w:hAnsi="Arial" w:cs="Arial"/>
          <w:sz w:val="20"/>
        </w:rPr>
        <w:t>s</w:t>
      </w:r>
      <w:r w:rsidR="00A22053" w:rsidRPr="00756951">
        <w:rPr>
          <w:rFonts w:ascii="Arial" w:hAnsi="Arial" w:cs="Arial"/>
          <w:sz w:val="20"/>
        </w:rPr>
        <w:t xml:space="preserve"> reported</w:t>
      </w:r>
      <w:r>
        <w:rPr>
          <w:rFonts w:ascii="Arial" w:hAnsi="Arial" w:cs="Arial"/>
          <w:sz w:val="20"/>
        </w:rPr>
        <w:t xml:space="preserve"> in 2015</w:t>
      </w:r>
      <w:r w:rsidR="00A22053" w:rsidRPr="00756951">
        <w:rPr>
          <w:rFonts w:ascii="Arial" w:hAnsi="Arial" w:cs="Arial"/>
          <w:sz w:val="20"/>
        </w:rPr>
        <w:t>, followed by MRIs and PFR</w:t>
      </w:r>
      <w:r w:rsidR="00A22053">
        <w:rPr>
          <w:rFonts w:ascii="Arial" w:hAnsi="Arial" w:cs="Arial"/>
          <w:sz w:val="20"/>
        </w:rPr>
        <w:t>A</w:t>
      </w:r>
      <w:r w:rsidR="00A22053" w:rsidRPr="00756951">
        <w:rPr>
          <w:rFonts w:ascii="Arial" w:hAnsi="Arial" w:cs="Arial"/>
          <w:sz w:val="20"/>
        </w:rPr>
        <w:t xml:space="preserve">s </w:t>
      </w:r>
      <w:r w:rsidR="00A22053">
        <w:rPr>
          <w:rFonts w:ascii="Arial" w:hAnsi="Arial" w:cs="Arial"/>
          <w:sz w:val="20"/>
        </w:rPr>
        <w:t>at</w:t>
      </w:r>
      <w:r>
        <w:rPr>
          <w:rFonts w:ascii="Arial" w:hAnsi="Arial" w:cs="Arial"/>
          <w:sz w:val="20"/>
        </w:rPr>
        <w:t xml:space="preserve"> </w:t>
      </w:r>
      <w:r w:rsidR="00C23FB7">
        <w:rPr>
          <w:rFonts w:ascii="Arial" w:hAnsi="Arial" w:cs="Arial"/>
          <w:sz w:val="20"/>
        </w:rPr>
        <w:t>18</w:t>
      </w:r>
      <w:r w:rsidR="00A22053">
        <w:rPr>
          <w:rFonts w:ascii="Arial" w:hAnsi="Arial" w:cs="Arial"/>
          <w:sz w:val="20"/>
        </w:rPr>
        <w:t>%</w:t>
      </w:r>
      <w:r>
        <w:rPr>
          <w:rFonts w:ascii="Arial" w:hAnsi="Arial" w:cs="Arial"/>
          <w:sz w:val="20"/>
        </w:rPr>
        <w:t xml:space="preserve"> and </w:t>
      </w:r>
      <w:r w:rsidR="00C23FB7">
        <w:rPr>
          <w:rFonts w:ascii="Arial" w:hAnsi="Arial" w:cs="Arial"/>
          <w:sz w:val="20"/>
        </w:rPr>
        <w:t>7</w:t>
      </w:r>
      <w:r w:rsidR="00A22053">
        <w:rPr>
          <w:rFonts w:ascii="Arial" w:hAnsi="Arial" w:cs="Arial"/>
          <w:sz w:val="20"/>
        </w:rPr>
        <w:t>%</w:t>
      </w:r>
      <w:r w:rsidR="00A22053" w:rsidRPr="00756951">
        <w:rPr>
          <w:rFonts w:ascii="Arial" w:hAnsi="Arial" w:cs="Arial"/>
          <w:sz w:val="20"/>
        </w:rPr>
        <w:t xml:space="preserve"> </w:t>
      </w:r>
      <w:r w:rsidR="00A22053">
        <w:rPr>
          <w:rFonts w:ascii="Arial" w:hAnsi="Arial" w:cs="Arial"/>
          <w:sz w:val="20"/>
        </w:rPr>
        <w:t>respectively</w:t>
      </w:r>
      <w:r w:rsidR="00A22053" w:rsidRPr="00756951">
        <w:rPr>
          <w:rFonts w:ascii="Arial" w:hAnsi="Arial" w:cs="Arial"/>
          <w:sz w:val="20"/>
        </w:rPr>
        <w:t>.</w:t>
      </w:r>
    </w:p>
    <w:p w14:paraId="101C213F" w14:textId="46EAAE64" w:rsidR="00101473" w:rsidRPr="00C3406F" w:rsidRDefault="00101473" w:rsidP="00D11FD7">
      <w:pPr>
        <w:pStyle w:val="ListParagraph"/>
        <w:numPr>
          <w:ilvl w:val="0"/>
          <w:numId w:val="30"/>
        </w:numPr>
        <w:spacing w:before="240"/>
        <w:rPr>
          <w:rFonts w:ascii="Arial" w:hAnsi="Arial" w:cs="Arial"/>
          <w:sz w:val="20"/>
        </w:rPr>
      </w:pPr>
      <w:r>
        <w:rPr>
          <w:rFonts w:ascii="Arial" w:hAnsi="Arial" w:cs="Arial"/>
          <w:sz w:val="20"/>
        </w:rPr>
        <w:t xml:space="preserve">MRIs reported the greatest increase </w:t>
      </w:r>
      <w:r w:rsidR="002D3D74">
        <w:rPr>
          <w:rFonts w:ascii="Arial" w:hAnsi="Arial" w:cs="Arial"/>
          <w:sz w:val="20"/>
        </w:rPr>
        <w:t xml:space="preserve">in the number of invention disclosures </w:t>
      </w:r>
      <w:r w:rsidR="00F721EF">
        <w:rPr>
          <w:rFonts w:ascii="Arial" w:hAnsi="Arial" w:cs="Arial"/>
          <w:sz w:val="20"/>
        </w:rPr>
        <w:t>up</w:t>
      </w:r>
      <w:r w:rsidR="0093357C">
        <w:rPr>
          <w:rFonts w:ascii="Arial" w:hAnsi="Arial" w:cs="Arial"/>
          <w:sz w:val="20"/>
        </w:rPr>
        <w:t xml:space="preserve"> 54% </w:t>
      </w:r>
      <w:r>
        <w:rPr>
          <w:rFonts w:ascii="Arial" w:hAnsi="Arial" w:cs="Arial"/>
          <w:sz w:val="20"/>
        </w:rPr>
        <w:t>in 2015</w:t>
      </w:r>
      <w:r w:rsidR="00744A77">
        <w:rPr>
          <w:rFonts w:ascii="Arial" w:hAnsi="Arial" w:cs="Arial"/>
          <w:sz w:val="20"/>
        </w:rPr>
        <w:t xml:space="preserve"> from 2014</w:t>
      </w:r>
      <w:r w:rsidR="0093357C">
        <w:rPr>
          <w:rFonts w:ascii="Arial" w:hAnsi="Arial" w:cs="Arial"/>
          <w:sz w:val="20"/>
        </w:rPr>
        <w:t>.</w:t>
      </w:r>
    </w:p>
    <w:p w14:paraId="5D5780B1" w14:textId="77777777" w:rsidR="00F967B7" w:rsidRDefault="00F967B7" w:rsidP="00A93922">
      <w:pPr>
        <w:pStyle w:val="Heading3"/>
        <w:spacing w:after="120" w:line="360" w:lineRule="auto"/>
        <w:rPr>
          <w:sz w:val="20"/>
          <w:szCs w:val="20"/>
        </w:rPr>
      </w:pPr>
    </w:p>
    <w:p w14:paraId="3F825A86" w14:textId="5ABC5765" w:rsidR="00A22053" w:rsidRPr="00A93922" w:rsidRDefault="00A22053" w:rsidP="00327F87">
      <w:pPr>
        <w:pStyle w:val="Heading3"/>
        <w:rPr>
          <w:sz w:val="20"/>
          <w:szCs w:val="20"/>
        </w:rPr>
      </w:pPr>
      <w:r w:rsidRPr="00A93922">
        <w:rPr>
          <w:sz w:val="20"/>
          <w:szCs w:val="20"/>
        </w:rPr>
        <w:t xml:space="preserve">Table </w:t>
      </w:r>
      <w:r w:rsidR="00550348">
        <w:rPr>
          <w:sz w:val="20"/>
          <w:szCs w:val="20"/>
        </w:rPr>
        <w:t>3</w:t>
      </w:r>
      <w:r w:rsidRPr="00A93922">
        <w:rPr>
          <w:sz w:val="20"/>
          <w:szCs w:val="20"/>
        </w:rPr>
        <w:t>.1: Number of Invention disclosures</w:t>
      </w:r>
    </w:p>
    <w:tbl>
      <w:tblPr>
        <w:tblW w:w="7297" w:type="dxa"/>
        <w:tblInd w:w="108" w:type="dxa"/>
        <w:tblLook w:val="04A0" w:firstRow="1" w:lastRow="0" w:firstColumn="1" w:lastColumn="0" w:noHBand="0" w:noVBand="1"/>
      </w:tblPr>
      <w:tblGrid>
        <w:gridCol w:w="1174"/>
        <w:gridCol w:w="2041"/>
        <w:gridCol w:w="2041"/>
        <w:gridCol w:w="2041"/>
      </w:tblGrid>
      <w:tr w:rsidR="00C0240D" w:rsidRPr="00537AEF" w14:paraId="6729ADEA" w14:textId="77777777" w:rsidTr="00327F87">
        <w:trPr>
          <w:trHeight w:val="542"/>
        </w:trPr>
        <w:tc>
          <w:tcPr>
            <w:tcW w:w="1174" w:type="dxa"/>
            <w:tcBorders>
              <w:top w:val="single" w:sz="4" w:space="0" w:color="auto"/>
              <w:left w:val="nil"/>
              <w:bottom w:val="single" w:sz="4" w:space="0" w:color="auto"/>
              <w:right w:val="nil"/>
            </w:tcBorders>
            <w:shd w:val="clear" w:color="000000" w:fill="C4D79B"/>
            <w:noWrap/>
            <w:vAlign w:val="center"/>
            <w:hideMark/>
          </w:tcPr>
          <w:p w14:paraId="06D7A82A" w14:textId="77777777" w:rsidR="00C0240D" w:rsidRPr="00537AEF" w:rsidRDefault="00C0240D" w:rsidP="00C0240D">
            <w:pPr>
              <w:spacing w:after="0" w:line="240" w:lineRule="auto"/>
              <w:jc w:val="center"/>
              <w:rPr>
                <w:rFonts w:ascii="Arial" w:eastAsia="Times New Roman" w:hAnsi="Arial" w:cs="Arial"/>
                <w:color w:val="000000"/>
                <w:szCs w:val="20"/>
                <w:lang w:eastAsia="en-AU"/>
              </w:rPr>
            </w:pPr>
            <w:r w:rsidRPr="00537AEF">
              <w:rPr>
                <w:rFonts w:ascii="Arial" w:eastAsia="Times New Roman" w:hAnsi="Arial" w:cs="Arial"/>
                <w:color w:val="000000"/>
                <w:szCs w:val="20"/>
                <w:lang w:eastAsia="en-AU"/>
              </w:rPr>
              <w:t> </w:t>
            </w:r>
          </w:p>
        </w:tc>
        <w:tc>
          <w:tcPr>
            <w:tcW w:w="2041" w:type="dxa"/>
            <w:tcBorders>
              <w:top w:val="single" w:sz="4" w:space="0" w:color="auto"/>
              <w:left w:val="nil"/>
              <w:bottom w:val="single" w:sz="4" w:space="0" w:color="auto"/>
              <w:right w:val="nil"/>
            </w:tcBorders>
            <w:shd w:val="clear" w:color="000000" w:fill="C4D79B"/>
            <w:noWrap/>
            <w:vAlign w:val="center"/>
            <w:hideMark/>
          </w:tcPr>
          <w:p w14:paraId="1A5B12CD" w14:textId="3CEE0F59" w:rsidR="00C0240D" w:rsidRPr="00537AEF" w:rsidRDefault="00C0240D" w:rsidP="00C0240D">
            <w:pPr>
              <w:spacing w:after="0" w:line="240" w:lineRule="auto"/>
              <w:jc w:val="center"/>
              <w:rPr>
                <w:rFonts w:ascii="Arial" w:eastAsia="Times New Roman" w:hAnsi="Arial" w:cs="Arial"/>
                <w:b/>
                <w:bCs/>
                <w:color w:val="000000"/>
                <w:szCs w:val="20"/>
                <w:lang w:eastAsia="en-AU"/>
              </w:rPr>
            </w:pPr>
            <w:r w:rsidRPr="00537AEF">
              <w:rPr>
                <w:rFonts w:ascii="Arial" w:eastAsia="Times New Roman" w:hAnsi="Arial" w:cs="Arial"/>
                <w:b/>
                <w:bCs/>
                <w:color w:val="000000"/>
                <w:szCs w:val="20"/>
                <w:lang w:eastAsia="en-AU"/>
              </w:rPr>
              <w:t>2013</w:t>
            </w:r>
          </w:p>
        </w:tc>
        <w:tc>
          <w:tcPr>
            <w:tcW w:w="2041" w:type="dxa"/>
            <w:tcBorders>
              <w:top w:val="single" w:sz="4" w:space="0" w:color="auto"/>
              <w:left w:val="nil"/>
              <w:bottom w:val="single" w:sz="4" w:space="0" w:color="auto"/>
              <w:right w:val="nil"/>
            </w:tcBorders>
            <w:shd w:val="clear" w:color="000000" w:fill="C4D79B"/>
            <w:noWrap/>
            <w:vAlign w:val="center"/>
            <w:hideMark/>
          </w:tcPr>
          <w:p w14:paraId="32ECF726" w14:textId="206018E6" w:rsidR="00C0240D" w:rsidRPr="00537AEF" w:rsidRDefault="00C0240D" w:rsidP="00C0240D">
            <w:pPr>
              <w:spacing w:after="0" w:line="240" w:lineRule="auto"/>
              <w:jc w:val="center"/>
              <w:rPr>
                <w:rFonts w:ascii="Arial" w:eastAsia="Times New Roman" w:hAnsi="Arial" w:cs="Arial"/>
                <w:b/>
                <w:bCs/>
                <w:color w:val="000000"/>
                <w:szCs w:val="20"/>
                <w:lang w:eastAsia="en-AU"/>
              </w:rPr>
            </w:pPr>
            <w:r w:rsidRPr="00537AEF">
              <w:rPr>
                <w:rFonts w:ascii="Arial" w:eastAsia="Times New Roman" w:hAnsi="Arial" w:cs="Arial"/>
                <w:b/>
                <w:bCs/>
                <w:color w:val="000000"/>
                <w:szCs w:val="20"/>
                <w:lang w:eastAsia="en-AU"/>
              </w:rPr>
              <w:t>2014</w:t>
            </w:r>
          </w:p>
        </w:tc>
        <w:tc>
          <w:tcPr>
            <w:tcW w:w="2041" w:type="dxa"/>
            <w:tcBorders>
              <w:top w:val="single" w:sz="4" w:space="0" w:color="auto"/>
              <w:left w:val="nil"/>
              <w:bottom w:val="single" w:sz="4" w:space="0" w:color="auto"/>
              <w:right w:val="nil"/>
            </w:tcBorders>
            <w:shd w:val="clear" w:color="000000" w:fill="C4D79B"/>
            <w:noWrap/>
            <w:vAlign w:val="center"/>
            <w:hideMark/>
          </w:tcPr>
          <w:p w14:paraId="47D23AE1" w14:textId="3031700D" w:rsidR="00C0240D" w:rsidRPr="00537AEF" w:rsidRDefault="00C0240D" w:rsidP="00C0240D">
            <w:pPr>
              <w:spacing w:after="0" w:line="240" w:lineRule="auto"/>
              <w:jc w:val="center"/>
              <w:rPr>
                <w:rFonts w:ascii="Arial" w:eastAsia="Times New Roman" w:hAnsi="Arial" w:cs="Arial"/>
                <w:b/>
                <w:bCs/>
                <w:color w:val="000000"/>
                <w:szCs w:val="20"/>
                <w:lang w:eastAsia="en-AU"/>
              </w:rPr>
            </w:pPr>
            <w:r w:rsidRPr="00537AEF">
              <w:rPr>
                <w:rFonts w:ascii="Arial" w:eastAsia="Times New Roman" w:hAnsi="Arial" w:cs="Arial"/>
                <w:b/>
                <w:bCs/>
                <w:color w:val="000000"/>
                <w:szCs w:val="20"/>
                <w:lang w:eastAsia="en-AU"/>
              </w:rPr>
              <w:t>201</w:t>
            </w:r>
            <w:r>
              <w:rPr>
                <w:rFonts w:ascii="Arial" w:eastAsia="Times New Roman" w:hAnsi="Arial" w:cs="Arial"/>
                <w:b/>
                <w:bCs/>
                <w:color w:val="000000"/>
                <w:szCs w:val="20"/>
                <w:lang w:eastAsia="en-AU"/>
              </w:rPr>
              <w:t>5</w:t>
            </w:r>
          </w:p>
        </w:tc>
      </w:tr>
      <w:tr w:rsidR="00C0240D" w:rsidRPr="00537AEF" w14:paraId="3CC1262F" w14:textId="77777777" w:rsidTr="00327F87">
        <w:trPr>
          <w:trHeight w:val="454"/>
        </w:trPr>
        <w:tc>
          <w:tcPr>
            <w:tcW w:w="1174" w:type="dxa"/>
            <w:tcBorders>
              <w:top w:val="nil"/>
              <w:left w:val="nil"/>
              <w:bottom w:val="nil"/>
              <w:right w:val="nil"/>
            </w:tcBorders>
            <w:shd w:val="clear" w:color="auto" w:fill="auto"/>
            <w:noWrap/>
            <w:vAlign w:val="bottom"/>
            <w:hideMark/>
          </w:tcPr>
          <w:p w14:paraId="4501E497" w14:textId="77777777" w:rsidR="00C0240D" w:rsidRPr="00537AEF" w:rsidRDefault="00C0240D" w:rsidP="00C0240D">
            <w:pPr>
              <w:spacing w:after="0" w:line="240" w:lineRule="auto"/>
              <w:rPr>
                <w:rFonts w:ascii="Arial" w:eastAsia="Times New Roman" w:hAnsi="Arial" w:cs="Arial"/>
                <w:color w:val="000000"/>
                <w:szCs w:val="20"/>
                <w:lang w:eastAsia="en-AU"/>
              </w:rPr>
            </w:pPr>
            <w:r w:rsidRPr="00537AEF">
              <w:rPr>
                <w:rFonts w:ascii="Arial" w:eastAsia="Times New Roman" w:hAnsi="Arial" w:cs="Arial"/>
                <w:color w:val="000000"/>
                <w:szCs w:val="20"/>
                <w:lang w:eastAsia="en-AU"/>
              </w:rPr>
              <w:t xml:space="preserve"> PFRAs </w:t>
            </w:r>
          </w:p>
        </w:tc>
        <w:tc>
          <w:tcPr>
            <w:tcW w:w="2041" w:type="dxa"/>
            <w:tcBorders>
              <w:top w:val="nil"/>
              <w:left w:val="nil"/>
              <w:bottom w:val="nil"/>
              <w:right w:val="nil"/>
            </w:tcBorders>
            <w:shd w:val="clear" w:color="auto" w:fill="auto"/>
            <w:noWrap/>
            <w:vAlign w:val="bottom"/>
            <w:hideMark/>
          </w:tcPr>
          <w:p w14:paraId="74AB54FC" w14:textId="43DC97A0" w:rsidR="00C0240D" w:rsidRPr="00537AEF" w:rsidRDefault="00C0240D" w:rsidP="00C0240D">
            <w:pPr>
              <w:spacing w:after="0" w:line="240" w:lineRule="auto"/>
              <w:jc w:val="center"/>
              <w:rPr>
                <w:rFonts w:ascii="Arial" w:eastAsia="Times New Roman" w:hAnsi="Arial" w:cs="Arial"/>
                <w:color w:val="000000"/>
                <w:szCs w:val="20"/>
                <w:lang w:eastAsia="en-AU"/>
              </w:rPr>
            </w:pPr>
            <w:r w:rsidRPr="00537AEF">
              <w:rPr>
                <w:rFonts w:ascii="Arial" w:eastAsia="Times New Roman" w:hAnsi="Arial" w:cs="Arial"/>
                <w:color w:val="000000"/>
                <w:szCs w:val="20"/>
                <w:lang w:eastAsia="en-AU"/>
              </w:rPr>
              <w:t>115</w:t>
            </w:r>
          </w:p>
        </w:tc>
        <w:tc>
          <w:tcPr>
            <w:tcW w:w="2041" w:type="dxa"/>
            <w:tcBorders>
              <w:top w:val="nil"/>
              <w:left w:val="nil"/>
              <w:bottom w:val="nil"/>
              <w:right w:val="nil"/>
            </w:tcBorders>
            <w:shd w:val="clear" w:color="auto" w:fill="auto"/>
            <w:noWrap/>
            <w:vAlign w:val="bottom"/>
            <w:hideMark/>
          </w:tcPr>
          <w:p w14:paraId="6BE84978" w14:textId="2D55C9F1" w:rsidR="00C0240D" w:rsidRPr="00537AEF" w:rsidRDefault="00C23FB7" w:rsidP="00C0240D">
            <w:pPr>
              <w:spacing w:after="0" w:line="240" w:lineRule="auto"/>
              <w:jc w:val="center"/>
              <w:rPr>
                <w:rFonts w:ascii="Arial" w:eastAsia="Times New Roman" w:hAnsi="Arial" w:cs="Arial"/>
                <w:color w:val="000000"/>
                <w:szCs w:val="20"/>
                <w:lang w:eastAsia="en-AU"/>
              </w:rPr>
            </w:pPr>
            <w:r>
              <w:rPr>
                <w:rFonts w:ascii="Arial" w:eastAsia="Times New Roman" w:hAnsi="Arial" w:cs="Arial"/>
                <w:color w:val="000000"/>
                <w:szCs w:val="20"/>
                <w:lang w:eastAsia="en-AU"/>
              </w:rPr>
              <w:t>96</w:t>
            </w:r>
          </w:p>
        </w:tc>
        <w:tc>
          <w:tcPr>
            <w:tcW w:w="2041" w:type="dxa"/>
            <w:tcBorders>
              <w:top w:val="nil"/>
              <w:left w:val="nil"/>
              <w:bottom w:val="nil"/>
              <w:right w:val="nil"/>
            </w:tcBorders>
            <w:shd w:val="clear" w:color="auto" w:fill="auto"/>
            <w:noWrap/>
            <w:vAlign w:val="bottom"/>
            <w:hideMark/>
          </w:tcPr>
          <w:p w14:paraId="49577F72" w14:textId="4F30EE9A" w:rsidR="00C0240D" w:rsidRPr="00537AEF" w:rsidRDefault="00C23FB7" w:rsidP="00C0240D">
            <w:pPr>
              <w:spacing w:after="0" w:line="240" w:lineRule="auto"/>
              <w:jc w:val="center"/>
              <w:rPr>
                <w:rFonts w:ascii="Arial" w:eastAsia="Times New Roman" w:hAnsi="Arial" w:cs="Arial"/>
                <w:color w:val="000000"/>
                <w:szCs w:val="20"/>
                <w:lang w:eastAsia="en-AU"/>
              </w:rPr>
            </w:pPr>
            <w:r>
              <w:rPr>
                <w:rFonts w:ascii="Arial" w:eastAsia="Times New Roman" w:hAnsi="Arial" w:cs="Arial"/>
                <w:color w:val="000000"/>
                <w:szCs w:val="20"/>
                <w:lang w:eastAsia="en-AU"/>
              </w:rPr>
              <w:t>94</w:t>
            </w:r>
          </w:p>
        </w:tc>
      </w:tr>
      <w:tr w:rsidR="00C0240D" w:rsidRPr="00537AEF" w14:paraId="08F11C4C" w14:textId="77777777" w:rsidTr="00327F87">
        <w:trPr>
          <w:trHeight w:val="454"/>
        </w:trPr>
        <w:tc>
          <w:tcPr>
            <w:tcW w:w="1174" w:type="dxa"/>
            <w:tcBorders>
              <w:top w:val="single" w:sz="4" w:space="0" w:color="auto"/>
              <w:left w:val="nil"/>
              <w:bottom w:val="single" w:sz="4" w:space="0" w:color="auto"/>
              <w:right w:val="nil"/>
            </w:tcBorders>
            <w:shd w:val="clear" w:color="auto" w:fill="auto"/>
            <w:noWrap/>
            <w:vAlign w:val="bottom"/>
            <w:hideMark/>
          </w:tcPr>
          <w:p w14:paraId="58E2B6E2" w14:textId="77777777" w:rsidR="00C0240D" w:rsidRPr="00537AEF" w:rsidRDefault="00C0240D" w:rsidP="00C0240D">
            <w:pPr>
              <w:spacing w:after="0" w:line="240" w:lineRule="auto"/>
              <w:rPr>
                <w:rFonts w:ascii="Arial" w:eastAsia="Times New Roman" w:hAnsi="Arial" w:cs="Arial"/>
                <w:color w:val="000000"/>
                <w:szCs w:val="20"/>
                <w:lang w:eastAsia="en-AU"/>
              </w:rPr>
            </w:pPr>
            <w:r w:rsidRPr="00537AEF">
              <w:rPr>
                <w:rFonts w:ascii="Arial" w:eastAsia="Times New Roman" w:hAnsi="Arial" w:cs="Arial"/>
                <w:color w:val="000000"/>
                <w:szCs w:val="20"/>
                <w:lang w:eastAsia="en-AU"/>
              </w:rPr>
              <w:t xml:space="preserve"> UNIs </w:t>
            </w:r>
          </w:p>
        </w:tc>
        <w:tc>
          <w:tcPr>
            <w:tcW w:w="2041" w:type="dxa"/>
            <w:tcBorders>
              <w:top w:val="single" w:sz="4" w:space="0" w:color="auto"/>
              <w:left w:val="nil"/>
              <w:bottom w:val="single" w:sz="4" w:space="0" w:color="auto"/>
              <w:right w:val="nil"/>
            </w:tcBorders>
            <w:shd w:val="clear" w:color="auto" w:fill="auto"/>
            <w:noWrap/>
            <w:vAlign w:val="bottom"/>
            <w:hideMark/>
          </w:tcPr>
          <w:p w14:paraId="0C8EE5D4" w14:textId="46FFB6DE" w:rsidR="00C0240D" w:rsidRPr="00537AEF" w:rsidRDefault="00C0240D" w:rsidP="00C0240D">
            <w:pPr>
              <w:spacing w:after="0" w:line="240" w:lineRule="auto"/>
              <w:jc w:val="center"/>
              <w:rPr>
                <w:rFonts w:ascii="Arial" w:eastAsia="Times New Roman" w:hAnsi="Arial" w:cs="Arial"/>
                <w:color w:val="000000"/>
                <w:szCs w:val="20"/>
                <w:lang w:eastAsia="en-AU"/>
              </w:rPr>
            </w:pPr>
            <w:r w:rsidRPr="00537AEF">
              <w:rPr>
                <w:rFonts w:ascii="Arial" w:eastAsia="Times New Roman" w:hAnsi="Arial" w:cs="Arial"/>
                <w:color w:val="000000"/>
                <w:szCs w:val="20"/>
                <w:lang w:eastAsia="en-AU"/>
              </w:rPr>
              <w:t>1,044</w:t>
            </w:r>
          </w:p>
        </w:tc>
        <w:tc>
          <w:tcPr>
            <w:tcW w:w="2041" w:type="dxa"/>
            <w:tcBorders>
              <w:top w:val="single" w:sz="4" w:space="0" w:color="auto"/>
              <w:left w:val="nil"/>
              <w:bottom w:val="single" w:sz="4" w:space="0" w:color="auto"/>
              <w:right w:val="nil"/>
            </w:tcBorders>
            <w:shd w:val="clear" w:color="auto" w:fill="auto"/>
            <w:noWrap/>
            <w:vAlign w:val="bottom"/>
            <w:hideMark/>
          </w:tcPr>
          <w:p w14:paraId="6113B4CE" w14:textId="22E336D4" w:rsidR="00C0240D" w:rsidRPr="00537AEF" w:rsidRDefault="00C0240D" w:rsidP="00C0240D">
            <w:pPr>
              <w:spacing w:after="0" w:line="240" w:lineRule="auto"/>
              <w:jc w:val="center"/>
              <w:rPr>
                <w:rFonts w:ascii="Arial" w:eastAsia="Times New Roman" w:hAnsi="Arial" w:cs="Arial"/>
                <w:color w:val="000000"/>
                <w:szCs w:val="20"/>
                <w:lang w:eastAsia="en-AU"/>
              </w:rPr>
            </w:pPr>
            <w:r w:rsidRPr="00537AEF">
              <w:rPr>
                <w:rFonts w:ascii="Arial" w:eastAsia="Times New Roman" w:hAnsi="Arial" w:cs="Arial"/>
                <w:color w:val="000000"/>
                <w:szCs w:val="20"/>
                <w:lang w:eastAsia="en-AU"/>
              </w:rPr>
              <w:t>957</w:t>
            </w:r>
          </w:p>
        </w:tc>
        <w:tc>
          <w:tcPr>
            <w:tcW w:w="2041" w:type="dxa"/>
            <w:tcBorders>
              <w:top w:val="single" w:sz="4" w:space="0" w:color="auto"/>
              <w:left w:val="nil"/>
              <w:bottom w:val="single" w:sz="4" w:space="0" w:color="auto"/>
              <w:right w:val="nil"/>
            </w:tcBorders>
            <w:shd w:val="clear" w:color="auto" w:fill="auto"/>
            <w:noWrap/>
            <w:vAlign w:val="bottom"/>
            <w:hideMark/>
          </w:tcPr>
          <w:p w14:paraId="4C0C24EB" w14:textId="233E71CC" w:rsidR="00C0240D" w:rsidRPr="00537AEF" w:rsidRDefault="00C23FB7" w:rsidP="00C0240D">
            <w:pPr>
              <w:spacing w:after="0" w:line="240" w:lineRule="auto"/>
              <w:jc w:val="center"/>
              <w:rPr>
                <w:rFonts w:ascii="Arial" w:eastAsia="Times New Roman" w:hAnsi="Arial" w:cs="Arial"/>
                <w:color w:val="000000"/>
                <w:szCs w:val="20"/>
                <w:lang w:eastAsia="en-AU"/>
              </w:rPr>
            </w:pPr>
            <w:r>
              <w:rPr>
                <w:rFonts w:ascii="Arial" w:eastAsia="Times New Roman" w:hAnsi="Arial" w:cs="Arial"/>
                <w:color w:val="000000"/>
                <w:szCs w:val="20"/>
                <w:lang w:eastAsia="en-AU"/>
              </w:rPr>
              <w:t>982</w:t>
            </w:r>
          </w:p>
        </w:tc>
      </w:tr>
      <w:tr w:rsidR="00C0240D" w:rsidRPr="00537AEF" w14:paraId="151CD601" w14:textId="77777777" w:rsidTr="00327F87">
        <w:trPr>
          <w:trHeight w:val="454"/>
        </w:trPr>
        <w:tc>
          <w:tcPr>
            <w:tcW w:w="1174" w:type="dxa"/>
            <w:tcBorders>
              <w:top w:val="nil"/>
              <w:left w:val="nil"/>
              <w:bottom w:val="nil"/>
              <w:right w:val="nil"/>
            </w:tcBorders>
            <w:shd w:val="clear" w:color="auto" w:fill="auto"/>
            <w:noWrap/>
            <w:vAlign w:val="bottom"/>
            <w:hideMark/>
          </w:tcPr>
          <w:p w14:paraId="24D749AE" w14:textId="77777777" w:rsidR="00C0240D" w:rsidRPr="00537AEF" w:rsidRDefault="00C0240D" w:rsidP="00C0240D">
            <w:pPr>
              <w:spacing w:after="0" w:line="240" w:lineRule="auto"/>
              <w:rPr>
                <w:rFonts w:ascii="Arial" w:eastAsia="Times New Roman" w:hAnsi="Arial" w:cs="Arial"/>
                <w:color w:val="000000"/>
                <w:szCs w:val="20"/>
                <w:lang w:eastAsia="en-AU"/>
              </w:rPr>
            </w:pPr>
            <w:r w:rsidRPr="00537AEF">
              <w:rPr>
                <w:rFonts w:ascii="Arial" w:eastAsia="Times New Roman" w:hAnsi="Arial" w:cs="Arial"/>
                <w:color w:val="000000"/>
                <w:szCs w:val="20"/>
                <w:lang w:eastAsia="en-AU"/>
              </w:rPr>
              <w:t xml:space="preserve"> MRIs </w:t>
            </w:r>
          </w:p>
        </w:tc>
        <w:tc>
          <w:tcPr>
            <w:tcW w:w="2041" w:type="dxa"/>
            <w:tcBorders>
              <w:top w:val="nil"/>
              <w:left w:val="nil"/>
              <w:bottom w:val="nil"/>
              <w:right w:val="nil"/>
            </w:tcBorders>
            <w:shd w:val="clear" w:color="auto" w:fill="auto"/>
            <w:noWrap/>
            <w:vAlign w:val="bottom"/>
            <w:hideMark/>
          </w:tcPr>
          <w:p w14:paraId="72326948" w14:textId="055A0369" w:rsidR="00C0240D" w:rsidRPr="00537AEF" w:rsidRDefault="00C0240D" w:rsidP="00C0240D">
            <w:pPr>
              <w:spacing w:after="0" w:line="240" w:lineRule="auto"/>
              <w:jc w:val="center"/>
              <w:rPr>
                <w:rFonts w:ascii="Arial" w:eastAsia="Times New Roman" w:hAnsi="Arial" w:cs="Arial"/>
                <w:color w:val="000000"/>
                <w:szCs w:val="20"/>
                <w:lang w:eastAsia="en-AU"/>
              </w:rPr>
            </w:pPr>
            <w:r w:rsidRPr="00537AEF">
              <w:rPr>
                <w:rFonts w:ascii="Arial" w:eastAsia="Times New Roman" w:hAnsi="Arial" w:cs="Arial"/>
                <w:color w:val="000000"/>
                <w:szCs w:val="20"/>
                <w:lang w:eastAsia="en-AU"/>
              </w:rPr>
              <w:t>261</w:t>
            </w:r>
          </w:p>
        </w:tc>
        <w:tc>
          <w:tcPr>
            <w:tcW w:w="2041" w:type="dxa"/>
            <w:tcBorders>
              <w:top w:val="nil"/>
              <w:left w:val="nil"/>
              <w:bottom w:val="nil"/>
              <w:right w:val="nil"/>
            </w:tcBorders>
            <w:shd w:val="clear" w:color="auto" w:fill="auto"/>
            <w:noWrap/>
            <w:vAlign w:val="bottom"/>
            <w:hideMark/>
          </w:tcPr>
          <w:p w14:paraId="12FDDD87" w14:textId="1060BB3E" w:rsidR="00C0240D" w:rsidRPr="00537AEF" w:rsidRDefault="00C0240D" w:rsidP="00C0240D">
            <w:pPr>
              <w:spacing w:after="0" w:line="240" w:lineRule="auto"/>
              <w:jc w:val="center"/>
              <w:rPr>
                <w:rFonts w:ascii="Arial" w:eastAsia="Times New Roman" w:hAnsi="Arial" w:cs="Arial"/>
                <w:color w:val="000000"/>
                <w:szCs w:val="20"/>
                <w:lang w:eastAsia="en-AU"/>
              </w:rPr>
            </w:pPr>
            <w:r w:rsidRPr="00537AEF">
              <w:rPr>
                <w:rFonts w:ascii="Arial" w:eastAsia="Times New Roman" w:hAnsi="Arial" w:cs="Arial"/>
                <w:color w:val="000000"/>
                <w:szCs w:val="20"/>
                <w:lang w:eastAsia="en-AU"/>
              </w:rPr>
              <w:t>150</w:t>
            </w:r>
          </w:p>
        </w:tc>
        <w:tc>
          <w:tcPr>
            <w:tcW w:w="2041" w:type="dxa"/>
            <w:tcBorders>
              <w:top w:val="nil"/>
              <w:left w:val="nil"/>
              <w:bottom w:val="nil"/>
              <w:right w:val="nil"/>
            </w:tcBorders>
            <w:shd w:val="clear" w:color="auto" w:fill="auto"/>
            <w:noWrap/>
            <w:vAlign w:val="bottom"/>
            <w:hideMark/>
          </w:tcPr>
          <w:p w14:paraId="30284CF3" w14:textId="2DA06F82" w:rsidR="00C0240D" w:rsidRPr="00537AEF" w:rsidRDefault="00C23FB7" w:rsidP="00C0240D">
            <w:pPr>
              <w:spacing w:after="0" w:line="240" w:lineRule="auto"/>
              <w:jc w:val="center"/>
              <w:rPr>
                <w:rFonts w:ascii="Arial" w:eastAsia="Times New Roman" w:hAnsi="Arial" w:cs="Arial"/>
                <w:color w:val="000000"/>
                <w:szCs w:val="20"/>
                <w:lang w:eastAsia="en-AU"/>
              </w:rPr>
            </w:pPr>
            <w:r>
              <w:rPr>
                <w:rFonts w:ascii="Arial" w:eastAsia="Times New Roman" w:hAnsi="Arial" w:cs="Arial"/>
                <w:color w:val="000000"/>
                <w:szCs w:val="20"/>
                <w:lang w:eastAsia="en-AU"/>
              </w:rPr>
              <w:t>231</w:t>
            </w:r>
          </w:p>
        </w:tc>
      </w:tr>
      <w:tr w:rsidR="00C0240D" w:rsidRPr="00537AEF" w14:paraId="62243068" w14:textId="77777777" w:rsidTr="00327F87">
        <w:trPr>
          <w:trHeight w:val="454"/>
        </w:trPr>
        <w:tc>
          <w:tcPr>
            <w:tcW w:w="1174" w:type="dxa"/>
            <w:tcBorders>
              <w:top w:val="single" w:sz="4" w:space="0" w:color="auto"/>
              <w:left w:val="nil"/>
              <w:bottom w:val="single" w:sz="4" w:space="0" w:color="auto"/>
              <w:right w:val="nil"/>
            </w:tcBorders>
            <w:shd w:val="clear" w:color="auto" w:fill="auto"/>
            <w:noWrap/>
            <w:vAlign w:val="bottom"/>
            <w:hideMark/>
          </w:tcPr>
          <w:p w14:paraId="0E4AA208" w14:textId="06719A88" w:rsidR="00C0240D" w:rsidRPr="00537AEF" w:rsidRDefault="00C0240D" w:rsidP="00BC353A">
            <w:pPr>
              <w:spacing w:after="0" w:line="240" w:lineRule="auto"/>
              <w:rPr>
                <w:rFonts w:ascii="Arial" w:eastAsia="Times New Roman" w:hAnsi="Arial" w:cs="Arial"/>
                <w:b/>
                <w:bCs/>
                <w:color w:val="000000"/>
                <w:szCs w:val="20"/>
                <w:lang w:eastAsia="en-AU"/>
              </w:rPr>
            </w:pPr>
            <w:r w:rsidRPr="00537AEF">
              <w:rPr>
                <w:rFonts w:ascii="Arial" w:eastAsia="Times New Roman" w:hAnsi="Arial" w:cs="Arial"/>
                <w:b/>
                <w:bCs/>
                <w:color w:val="000000"/>
                <w:szCs w:val="20"/>
                <w:lang w:eastAsia="en-AU"/>
              </w:rPr>
              <w:t xml:space="preserve"> Total </w:t>
            </w:r>
          </w:p>
        </w:tc>
        <w:tc>
          <w:tcPr>
            <w:tcW w:w="2041" w:type="dxa"/>
            <w:tcBorders>
              <w:top w:val="single" w:sz="4" w:space="0" w:color="auto"/>
              <w:left w:val="nil"/>
              <w:bottom w:val="single" w:sz="4" w:space="0" w:color="auto"/>
              <w:right w:val="nil"/>
            </w:tcBorders>
            <w:shd w:val="clear" w:color="auto" w:fill="auto"/>
            <w:noWrap/>
            <w:vAlign w:val="bottom"/>
            <w:hideMark/>
          </w:tcPr>
          <w:p w14:paraId="6036D330" w14:textId="02947599" w:rsidR="00C0240D" w:rsidRPr="00537AEF" w:rsidRDefault="00C0240D" w:rsidP="00C0240D">
            <w:pPr>
              <w:spacing w:after="0" w:line="240" w:lineRule="auto"/>
              <w:jc w:val="center"/>
              <w:rPr>
                <w:rFonts w:ascii="Arial" w:eastAsia="Times New Roman" w:hAnsi="Arial" w:cs="Arial"/>
                <w:b/>
                <w:bCs/>
                <w:color w:val="000000"/>
                <w:szCs w:val="20"/>
                <w:lang w:eastAsia="en-AU"/>
              </w:rPr>
            </w:pPr>
            <w:r w:rsidRPr="00537AEF">
              <w:rPr>
                <w:rFonts w:ascii="Arial" w:eastAsia="Times New Roman" w:hAnsi="Arial" w:cs="Arial"/>
                <w:b/>
                <w:bCs/>
                <w:color w:val="000000"/>
                <w:szCs w:val="20"/>
                <w:lang w:eastAsia="en-AU"/>
              </w:rPr>
              <w:t>1,420</w:t>
            </w:r>
          </w:p>
        </w:tc>
        <w:tc>
          <w:tcPr>
            <w:tcW w:w="2041" w:type="dxa"/>
            <w:tcBorders>
              <w:top w:val="single" w:sz="4" w:space="0" w:color="auto"/>
              <w:left w:val="nil"/>
              <w:bottom w:val="single" w:sz="4" w:space="0" w:color="auto"/>
              <w:right w:val="nil"/>
            </w:tcBorders>
            <w:shd w:val="clear" w:color="auto" w:fill="auto"/>
            <w:noWrap/>
            <w:vAlign w:val="bottom"/>
            <w:hideMark/>
          </w:tcPr>
          <w:p w14:paraId="3250C0D0" w14:textId="7EE2A43E" w:rsidR="00C0240D" w:rsidRPr="00537AEF" w:rsidRDefault="00C0240D" w:rsidP="00C23FB7">
            <w:pPr>
              <w:spacing w:after="0" w:line="240" w:lineRule="auto"/>
              <w:jc w:val="center"/>
              <w:rPr>
                <w:rFonts w:ascii="Arial" w:eastAsia="Times New Roman" w:hAnsi="Arial" w:cs="Arial"/>
                <w:b/>
                <w:bCs/>
                <w:color w:val="000000"/>
                <w:szCs w:val="20"/>
                <w:lang w:eastAsia="en-AU"/>
              </w:rPr>
            </w:pPr>
            <w:r w:rsidRPr="00537AEF">
              <w:rPr>
                <w:rFonts w:ascii="Arial" w:eastAsia="Times New Roman" w:hAnsi="Arial" w:cs="Arial"/>
                <w:b/>
                <w:bCs/>
                <w:color w:val="000000"/>
                <w:szCs w:val="20"/>
                <w:lang w:eastAsia="en-AU"/>
              </w:rPr>
              <w:t>1,</w:t>
            </w:r>
            <w:r w:rsidR="00C23FB7">
              <w:rPr>
                <w:rFonts w:ascii="Arial" w:eastAsia="Times New Roman" w:hAnsi="Arial" w:cs="Arial"/>
                <w:b/>
                <w:bCs/>
                <w:color w:val="000000"/>
                <w:szCs w:val="20"/>
                <w:lang w:eastAsia="en-AU"/>
              </w:rPr>
              <w:t>203</w:t>
            </w:r>
          </w:p>
        </w:tc>
        <w:tc>
          <w:tcPr>
            <w:tcW w:w="2041" w:type="dxa"/>
            <w:tcBorders>
              <w:top w:val="single" w:sz="4" w:space="0" w:color="auto"/>
              <w:left w:val="nil"/>
              <w:bottom w:val="single" w:sz="4" w:space="0" w:color="auto"/>
              <w:right w:val="nil"/>
            </w:tcBorders>
            <w:shd w:val="clear" w:color="auto" w:fill="auto"/>
            <w:noWrap/>
            <w:vAlign w:val="bottom"/>
            <w:hideMark/>
          </w:tcPr>
          <w:p w14:paraId="5F01C660" w14:textId="57C3CC71" w:rsidR="00C0240D" w:rsidRPr="00537AEF" w:rsidRDefault="00C23FB7" w:rsidP="00C0240D">
            <w:pPr>
              <w:spacing w:after="0" w:line="240" w:lineRule="auto"/>
              <w:jc w:val="center"/>
              <w:rPr>
                <w:rFonts w:ascii="Arial" w:eastAsia="Times New Roman" w:hAnsi="Arial" w:cs="Arial"/>
                <w:b/>
                <w:bCs/>
                <w:color w:val="000000"/>
                <w:szCs w:val="20"/>
                <w:lang w:eastAsia="en-AU"/>
              </w:rPr>
            </w:pPr>
            <w:r>
              <w:rPr>
                <w:rFonts w:ascii="Arial" w:eastAsia="Times New Roman" w:hAnsi="Arial" w:cs="Arial"/>
                <w:b/>
                <w:bCs/>
                <w:color w:val="000000"/>
                <w:szCs w:val="20"/>
                <w:lang w:eastAsia="en-AU"/>
              </w:rPr>
              <w:t>1,307</w:t>
            </w:r>
          </w:p>
        </w:tc>
      </w:tr>
    </w:tbl>
    <w:p w14:paraId="3451E342" w14:textId="77777777" w:rsidR="00C23FB7" w:rsidRDefault="00C23FB7" w:rsidP="00D05CB9">
      <w:pPr>
        <w:pStyle w:val="Heading3"/>
        <w:rPr>
          <w:sz w:val="20"/>
          <w:szCs w:val="20"/>
        </w:rPr>
      </w:pPr>
    </w:p>
    <w:p w14:paraId="4633A13F" w14:textId="152A637E" w:rsidR="00A22053" w:rsidRPr="00327F87" w:rsidRDefault="00A22053" w:rsidP="00D05CB9">
      <w:pPr>
        <w:pStyle w:val="Heading3"/>
        <w:rPr>
          <w:sz w:val="20"/>
          <w:szCs w:val="20"/>
        </w:rPr>
      </w:pPr>
      <w:r w:rsidRPr="00A93922">
        <w:rPr>
          <w:sz w:val="20"/>
          <w:szCs w:val="20"/>
        </w:rPr>
        <w:t xml:space="preserve">Figure </w:t>
      </w:r>
      <w:r w:rsidR="00550348">
        <w:rPr>
          <w:sz w:val="20"/>
          <w:szCs w:val="20"/>
        </w:rPr>
        <w:t>3</w:t>
      </w:r>
      <w:r w:rsidRPr="00A93922">
        <w:rPr>
          <w:sz w:val="20"/>
          <w:szCs w:val="20"/>
        </w:rPr>
        <w:t>.1: Number of Invention disclosures</w:t>
      </w:r>
    </w:p>
    <w:p w14:paraId="03AD4BF0" w14:textId="69AA07D6" w:rsidR="00C23FB7" w:rsidRDefault="00C23FB7" w:rsidP="004C21D3"/>
    <w:p w14:paraId="4DD3992B" w14:textId="0DB2A75C" w:rsidR="00C23FB7" w:rsidRDefault="00DB04AE" w:rsidP="004C21D3">
      <w:r>
        <w:rPr>
          <w:noProof/>
          <w:lang w:eastAsia="en-AU"/>
        </w:rPr>
        <w:drawing>
          <wp:inline distT="0" distB="0" distL="0" distR="0" wp14:anchorId="6B1C3AF1" wp14:editId="4B07E4EA">
            <wp:extent cx="4591050" cy="2610721"/>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615183" cy="2624444"/>
                    </a:xfrm>
                    <a:prstGeom prst="rect">
                      <a:avLst/>
                    </a:prstGeom>
                    <a:noFill/>
                  </pic:spPr>
                </pic:pic>
              </a:graphicData>
            </a:graphic>
          </wp:inline>
        </w:drawing>
      </w:r>
    </w:p>
    <w:p w14:paraId="43B8941E" w14:textId="77777777" w:rsidR="00C23FB7" w:rsidRDefault="00C23FB7" w:rsidP="004C21D3"/>
    <w:p w14:paraId="1D2B6D84" w14:textId="77777777" w:rsidR="00C23FB7" w:rsidRPr="004C21D3" w:rsidRDefault="00C23FB7" w:rsidP="004C21D3"/>
    <w:p w14:paraId="45F3C150" w14:textId="23BE0261" w:rsidR="00A22053" w:rsidRPr="00756951" w:rsidRDefault="00550348" w:rsidP="00D05CB9">
      <w:pPr>
        <w:pStyle w:val="Heading2"/>
      </w:pPr>
      <w:r>
        <w:t>3</w:t>
      </w:r>
      <w:r w:rsidR="00D05CB9">
        <w:t xml:space="preserve">.2 </w:t>
      </w:r>
      <w:r w:rsidR="00A22053" w:rsidRPr="00756951">
        <w:t>Material Transfer Agreement</w:t>
      </w:r>
      <w:r w:rsidR="00A22053">
        <w:t>s</w:t>
      </w:r>
    </w:p>
    <w:p w14:paraId="334BEFDB" w14:textId="5B831EA9" w:rsidR="00A22053" w:rsidRPr="00756951" w:rsidRDefault="00A22053" w:rsidP="00A22053">
      <w:pPr>
        <w:spacing w:after="360"/>
        <w:rPr>
          <w:rFonts w:ascii="Arial" w:hAnsi="Arial" w:cs="Arial"/>
        </w:rPr>
      </w:pPr>
      <w:r w:rsidRPr="00756951">
        <w:rPr>
          <w:rFonts w:ascii="Arial" w:hAnsi="Arial" w:cs="Arial"/>
        </w:rPr>
        <w:t>MTA</w:t>
      </w:r>
      <w:r>
        <w:rPr>
          <w:rFonts w:ascii="Arial" w:hAnsi="Arial" w:cs="Arial"/>
        </w:rPr>
        <w:t>s</w:t>
      </w:r>
      <w:r w:rsidRPr="00756951">
        <w:rPr>
          <w:rFonts w:ascii="Arial" w:hAnsi="Arial" w:cs="Arial"/>
        </w:rPr>
        <w:t xml:space="preserve"> outline conditions under which material is provided from the owner to another entity for a specific use</w:t>
      </w:r>
      <w:r>
        <w:rPr>
          <w:rFonts w:ascii="Arial" w:hAnsi="Arial" w:cs="Arial"/>
        </w:rPr>
        <w:t>.</w:t>
      </w:r>
    </w:p>
    <w:p w14:paraId="033D7D94" w14:textId="503C170E" w:rsidR="00A22053" w:rsidRPr="00756951" w:rsidRDefault="00C0240D" w:rsidP="004C21D3">
      <w:pPr>
        <w:pStyle w:val="ListParagraph"/>
        <w:numPr>
          <w:ilvl w:val="0"/>
          <w:numId w:val="21"/>
        </w:numPr>
        <w:spacing w:before="240"/>
        <w:rPr>
          <w:rFonts w:ascii="Arial" w:hAnsi="Arial" w:cs="Arial"/>
          <w:sz w:val="20"/>
        </w:rPr>
      </w:pPr>
      <w:r>
        <w:rPr>
          <w:rFonts w:ascii="Arial" w:hAnsi="Arial" w:cs="Arial"/>
          <w:sz w:val="20"/>
        </w:rPr>
        <w:t>In 2015</w:t>
      </w:r>
      <w:r w:rsidR="00A22053">
        <w:rPr>
          <w:rFonts w:ascii="Arial" w:hAnsi="Arial" w:cs="Arial"/>
          <w:sz w:val="20"/>
        </w:rPr>
        <w:t>, r</w:t>
      </w:r>
      <w:r w:rsidR="00A22053" w:rsidRPr="00756951">
        <w:rPr>
          <w:rFonts w:ascii="Arial" w:hAnsi="Arial" w:cs="Arial"/>
          <w:sz w:val="20"/>
        </w:rPr>
        <w:t xml:space="preserve">esearch organisations entered into </w:t>
      </w:r>
      <w:r w:rsidR="00386B57">
        <w:rPr>
          <w:rFonts w:ascii="Arial" w:hAnsi="Arial" w:cs="Arial"/>
          <w:sz w:val="20"/>
        </w:rPr>
        <w:t>1</w:t>
      </w:r>
      <w:r w:rsidR="00E54B04">
        <w:rPr>
          <w:rFonts w:ascii="Arial" w:hAnsi="Arial" w:cs="Arial"/>
          <w:sz w:val="20"/>
        </w:rPr>
        <w:t>,</w:t>
      </w:r>
      <w:r w:rsidR="00386B57">
        <w:rPr>
          <w:rFonts w:ascii="Arial" w:hAnsi="Arial" w:cs="Arial"/>
          <w:sz w:val="20"/>
        </w:rPr>
        <w:t xml:space="preserve">223 </w:t>
      </w:r>
      <w:r w:rsidR="00A22053">
        <w:rPr>
          <w:rFonts w:ascii="Arial" w:hAnsi="Arial" w:cs="Arial"/>
          <w:sz w:val="20"/>
        </w:rPr>
        <w:t>MTAs</w:t>
      </w:r>
      <w:r w:rsidR="00A22053" w:rsidRPr="00756951">
        <w:rPr>
          <w:rFonts w:ascii="Arial" w:hAnsi="Arial" w:cs="Arial"/>
          <w:sz w:val="20"/>
        </w:rPr>
        <w:t>, a</w:t>
      </w:r>
      <w:r w:rsidR="00A22053">
        <w:rPr>
          <w:rFonts w:ascii="Arial" w:hAnsi="Arial" w:cs="Arial"/>
          <w:sz w:val="20"/>
        </w:rPr>
        <w:t>n increase of</w:t>
      </w:r>
      <w:r>
        <w:rPr>
          <w:rFonts w:ascii="Arial" w:hAnsi="Arial" w:cs="Arial"/>
          <w:sz w:val="20"/>
        </w:rPr>
        <w:t xml:space="preserve"> </w:t>
      </w:r>
      <w:r w:rsidR="00E0798A">
        <w:rPr>
          <w:rFonts w:ascii="Arial" w:hAnsi="Arial" w:cs="Arial"/>
          <w:sz w:val="20"/>
        </w:rPr>
        <w:t>9</w:t>
      </w:r>
      <w:r w:rsidR="00A22053">
        <w:rPr>
          <w:rFonts w:ascii="Arial" w:hAnsi="Arial" w:cs="Arial"/>
          <w:sz w:val="20"/>
        </w:rPr>
        <w:t>%</w:t>
      </w:r>
      <w:r w:rsidR="00A22053" w:rsidRPr="00756951">
        <w:rPr>
          <w:rFonts w:ascii="Arial" w:hAnsi="Arial" w:cs="Arial"/>
          <w:sz w:val="20"/>
        </w:rPr>
        <w:t xml:space="preserve"> </w:t>
      </w:r>
      <w:r w:rsidR="00E54B04">
        <w:rPr>
          <w:rFonts w:ascii="Arial" w:hAnsi="Arial" w:cs="Arial"/>
          <w:sz w:val="20"/>
        </w:rPr>
        <w:t xml:space="preserve">compared to </w:t>
      </w:r>
      <w:r w:rsidR="00386B57">
        <w:rPr>
          <w:rFonts w:ascii="Arial" w:hAnsi="Arial" w:cs="Arial"/>
          <w:sz w:val="20"/>
        </w:rPr>
        <w:t>1</w:t>
      </w:r>
      <w:r w:rsidR="00E54B04">
        <w:rPr>
          <w:rFonts w:ascii="Arial" w:hAnsi="Arial" w:cs="Arial"/>
          <w:sz w:val="20"/>
        </w:rPr>
        <w:t>,</w:t>
      </w:r>
      <w:r w:rsidR="00E0798A">
        <w:rPr>
          <w:rFonts w:ascii="Arial" w:hAnsi="Arial" w:cs="Arial"/>
          <w:sz w:val="20"/>
        </w:rPr>
        <w:t xml:space="preserve">124 </w:t>
      </w:r>
      <w:r w:rsidR="00A22053">
        <w:rPr>
          <w:rFonts w:ascii="Arial" w:hAnsi="Arial" w:cs="Arial"/>
          <w:sz w:val="20"/>
        </w:rPr>
        <w:t xml:space="preserve">reported </w:t>
      </w:r>
      <w:r>
        <w:rPr>
          <w:rFonts w:ascii="Arial" w:hAnsi="Arial" w:cs="Arial"/>
          <w:sz w:val="20"/>
        </w:rPr>
        <w:t>in 2014</w:t>
      </w:r>
      <w:r w:rsidR="00A22053" w:rsidRPr="00756951">
        <w:rPr>
          <w:rFonts w:ascii="Arial" w:hAnsi="Arial" w:cs="Arial"/>
          <w:sz w:val="20"/>
        </w:rPr>
        <w:t>.</w:t>
      </w:r>
    </w:p>
    <w:p w14:paraId="69074226" w14:textId="166B321A" w:rsidR="00A22053" w:rsidRDefault="00E54B04" w:rsidP="004C21D3">
      <w:pPr>
        <w:pStyle w:val="ListParagraph"/>
        <w:numPr>
          <w:ilvl w:val="0"/>
          <w:numId w:val="21"/>
        </w:numPr>
        <w:spacing w:before="240"/>
        <w:rPr>
          <w:rFonts w:ascii="Arial" w:hAnsi="Arial" w:cs="Arial"/>
          <w:sz w:val="20"/>
        </w:rPr>
      </w:pPr>
      <w:r>
        <w:rPr>
          <w:rFonts w:ascii="Arial" w:hAnsi="Arial" w:cs="Arial"/>
          <w:sz w:val="20"/>
        </w:rPr>
        <w:t>MRIs</w:t>
      </w:r>
      <w:r w:rsidR="00386B57" w:rsidRPr="00756951">
        <w:rPr>
          <w:rFonts w:ascii="Arial" w:hAnsi="Arial" w:cs="Arial"/>
          <w:sz w:val="20"/>
        </w:rPr>
        <w:t xml:space="preserve"> </w:t>
      </w:r>
      <w:r w:rsidR="00A22053" w:rsidRPr="00756951">
        <w:rPr>
          <w:rFonts w:ascii="Arial" w:hAnsi="Arial" w:cs="Arial"/>
          <w:sz w:val="20"/>
        </w:rPr>
        <w:t xml:space="preserve">accounted for </w:t>
      </w:r>
      <w:r w:rsidR="00386B57">
        <w:rPr>
          <w:rFonts w:ascii="Arial" w:hAnsi="Arial" w:cs="Arial"/>
          <w:sz w:val="20"/>
        </w:rPr>
        <w:t>50</w:t>
      </w:r>
      <w:r w:rsidR="00A22053">
        <w:rPr>
          <w:rFonts w:ascii="Arial" w:hAnsi="Arial" w:cs="Arial"/>
          <w:sz w:val="20"/>
        </w:rPr>
        <w:t>%</w:t>
      </w:r>
      <w:r w:rsidR="00A22053" w:rsidRPr="00756951">
        <w:rPr>
          <w:rFonts w:ascii="Arial" w:hAnsi="Arial" w:cs="Arial"/>
          <w:sz w:val="20"/>
        </w:rPr>
        <w:t xml:space="preserve"> of total M</w:t>
      </w:r>
      <w:r w:rsidR="00A22053">
        <w:rPr>
          <w:rFonts w:ascii="Arial" w:hAnsi="Arial" w:cs="Arial"/>
          <w:sz w:val="20"/>
        </w:rPr>
        <w:t>T</w:t>
      </w:r>
      <w:r w:rsidR="00C0240D">
        <w:rPr>
          <w:rFonts w:ascii="Arial" w:hAnsi="Arial" w:cs="Arial"/>
          <w:sz w:val="20"/>
        </w:rPr>
        <w:t>As entered into in 2015</w:t>
      </w:r>
      <w:r w:rsidR="00A22053" w:rsidRPr="00756951">
        <w:rPr>
          <w:rFonts w:ascii="Arial" w:hAnsi="Arial" w:cs="Arial"/>
          <w:sz w:val="20"/>
        </w:rPr>
        <w:t xml:space="preserve">, followed by </w:t>
      </w:r>
      <w:r w:rsidR="00386B57">
        <w:rPr>
          <w:rFonts w:ascii="Arial" w:hAnsi="Arial" w:cs="Arial"/>
          <w:sz w:val="20"/>
        </w:rPr>
        <w:t>Universities</w:t>
      </w:r>
      <w:r w:rsidR="00A22053" w:rsidRPr="00756951">
        <w:rPr>
          <w:rFonts w:ascii="Arial" w:hAnsi="Arial" w:cs="Arial"/>
          <w:sz w:val="20"/>
        </w:rPr>
        <w:t xml:space="preserve"> and PFR</w:t>
      </w:r>
      <w:r w:rsidR="00A22053">
        <w:rPr>
          <w:rFonts w:ascii="Arial" w:hAnsi="Arial" w:cs="Arial"/>
          <w:sz w:val="20"/>
        </w:rPr>
        <w:t>A</w:t>
      </w:r>
      <w:r w:rsidR="00A22053" w:rsidRPr="00756951">
        <w:rPr>
          <w:rFonts w:ascii="Arial" w:hAnsi="Arial" w:cs="Arial"/>
          <w:sz w:val="20"/>
        </w:rPr>
        <w:t>s</w:t>
      </w:r>
      <w:r w:rsidR="00A22053">
        <w:rPr>
          <w:rFonts w:ascii="Arial" w:hAnsi="Arial" w:cs="Arial"/>
          <w:sz w:val="20"/>
        </w:rPr>
        <w:t xml:space="preserve"> with </w:t>
      </w:r>
      <w:r w:rsidR="00386B57">
        <w:rPr>
          <w:rFonts w:ascii="Arial" w:hAnsi="Arial" w:cs="Arial"/>
          <w:sz w:val="20"/>
        </w:rPr>
        <w:t>37</w:t>
      </w:r>
      <w:r w:rsidR="00A22053">
        <w:rPr>
          <w:rFonts w:ascii="Arial" w:hAnsi="Arial" w:cs="Arial"/>
          <w:sz w:val="20"/>
        </w:rPr>
        <w:t>%</w:t>
      </w:r>
      <w:r w:rsidR="00C0240D">
        <w:rPr>
          <w:rFonts w:ascii="Arial" w:hAnsi="Arial" w:cs="Arial"/>
          <w:sz w:val="20"/>
        </w:rPr>
        <w:t xml:space="preserve"> and </w:t>
      </w:r>
      <w:r w:rsidR="00386B57">
        <w:rPr>
          <w:rFonts w:ascii="Arial" w:hAnsi="Arial" w:cs="Arial"/>
          <w:sz w:val="20"/>
        </w:rPr>
        <w:t>13</w:t>
      </w:r>
      <w:r w:rsidR="00A22053">
        <w:rPr>
          <w:rFonts w:ascii="Arial" w:hAnsi="Arial" w:cs="Arial"/>
          <w:sz w:val="20"/>
        </w:rPr>
        <w:t>%</w:t>
      </w:r>
      <w:r w:rsidR="00A22053" w:rsidRPr="00756951">
        <w:rPr>
          <w:rFonts w:ascii="Arial" w:hAnsi="Arial" w:cs="Arial"/>
          <w:sz w:val="20"/>
        </w:rPr>
        <w:t xml:space="preserve"> </w:t>
      </w:r>
      <w:r w:rsidR="00A22053">
        <w:rPr>
          <w:rFonts w:ascii="Arial" w:hAnsi="Arial" w:cs="Arial"/>
          <w:sz w:val="20"/>
        </w:rPr>
        <w:t>respectively</w:t>
      </w:r>
      <w:r w:rsidR="00A22053" w:rsidRPr="00756951">
        <w:rPr>
          <w:rFonts w:ascii="Arial" w:hAnsi="Arial" w:cs="Arial"/>
          <w:sz w:val="20"/>
        </w:rPr>
        <w:t>.</w:t>
      </w:r>
    </w:p>
    <w:p w14:paraId="19F450C8" w14:textId="6E493A31" w:rsidR="00101473" w:rsidRDefault="00D00356" w:rsidP="004C21D3">
      <w:pPr>
        <w:pStyle w:val="ListParagraph"/>
        <w:numPr>
          <w:ilvl w:val="0"/>
          <w:numId w:val="21"/>
        </w:numPr>
        <w:spacing w:before="240"/>
        <w:rPr>
          <w:rFonts w:ascii="Arial" w:hAnsi="Arial" w:cs="Arial"/>
          <w:sz w:val="20"/>
        </w:rPr>
      </w:pPr>
      <w:r>
        <w:rPr>
          <w:rFonts w:ascii="Arial" w:hAnsi="Arial" w:cs="Arial"/>
          <w:sz w:val="20"/>
        </w:rPr>
        <w:t>The PFRA</w:t>
      </w:r>
      <w:r w:rsidR="00DD0349">
        <w:rPr>
          <w:rFonts w:ascii="Arial" w:hAnsi="Arial" w:cs="Arial"/>
          <w:sz w:val="20"/>
        </w:rPr>
        <w:t>s</w:t>
      </w:r>
      <w:r>
        <w:rPr>
          <w:rFonts w:ascii="Arial" w:hAnsi="Arial" w:cs="Arial"/>
          <w:sz w:val="20"/>
        </w:rPr>
        <w:t xml:space="preserve"> reported the largest increase of</w:t>
      </w:r>
      <w:r w:rsidR="00F721EF">
        <w:rPr>
          <w:rFonts w:ascii="Arial" w:hAnsi="Arial" w:cs="Arial"/>
          <w:sz w:val="20"/>
        </w:rPr>
        <w:t xml:space="preserve"> 99% in 2015 with 165 MTAs </w:t>
      </w:r>
      <w:r>
        <w:rPr>
          <w:rFonts w:ascii="Arial" w:hAnsi="Arial" w:cs="Arial"/>
          <w:sz w:val="20"/>
        </w:rPr>
        <w:t>compared to 83 in 2014.</w:t>
      </w:r>
    </w:p>
    <w:p w14:paraId="4BBCF5DB" w14:textId="4CEC87D5" w:rsidR="00D11FD7" w:rsidRPr="008A02D4" w:rsidRDefault="00D11FD7" w:rsidP="003B6DBB">
      <w:pPr>
        <w:pStyle w:val="ListParagraph"/>
        <w:spacing w:before="240"/>
        <w:ind w:left="360"/>
        <w:rPr>
          <w:rFonts w:ascii="Arial" w:hAnsi="Arial" w:cs="Arial"/>
          <w:sz w:val="20"/>
        </w:rPr>
      </w:pPr>
    </w:p>
    <w:p w14:paraId="56818C2A" w14:textId="2908761D" w:rsidR="00A22053" w:rsidRPr="00A93922" w:rsidRDefault="00A22053" w:rsidP="00D05CB9">
      <w:pPr>
        <w:pStyle w:val="Heading3"/>
        <w:rPr>
          <w:sz w:val="20"/>
          <w:szCs w:val="20"/>
        </w:rPr>
      </w:pPr>
      <w:r w:rsidRPr="00A93922">
        <w:rPr>
          <w:sz w:val="20"/>
          <w:szCs w:val="20"/>
        </w:rPr>
        <w:t xml:space="preserve">Table </w:t>
      </w:r>
      <w:r w:rsidR="005F6171">
        <w:rPr>
          <w:sz w:val="20"/>
          <w:szCs w:val="20"/>
        </w:rPr>
        <w:t>3</w:t>
      </w:r>
      <w:r w:rsidRPr="00A93922">
        <w:rPr>
          <w:sz w:val="20"/>
          <w:szCs w:val="20"/>
        </w:rPr>
        <w:t>.2: Number of Material Transfer Agreements</w:t>
      </w:r>
    </w:p>
    <w:tbl>
      <w:tblPr>
        <w:tblW w:w="7222" w:type="dxa"/>
        <w:tblInd w:w="108" w:type="dxa"/>
        <w:tblLook w:val="04A0" w:firstRow="1" w:lastRow="0" w:firstColumn="1" w:lastColumn="0" w:noHBand="0" w:noVBand="1"/>
      </w:tblPr>
      <w:tblGrid>
        <w:gridCol w:w="1162"/>
        <w:gridCol w:w="2020"/>
        <w:gridCol w:w="2020"/>
        <w:gridCol w:w="2020"/>
      </w:tblGrid>
      <w:tr w:rsidR="00BD6230" w:rsidRPr="00537AEF" w14:paraId="5A32DDF9" w14:textId="77777777" w:rsidTr="00327F87">
        <w:trPr>
          <w:trHeight w:val="517"/>
        </w:trPr>
        <w:tc>
          <w:tcPr>
            <w:tcW w:w="1162" w:type="dxa"/>
            <w:tcBorders>
              <w:top w:val="single" w:sz="4" w:space="0" w:color="auto"/>
              <w:left w:val="nil"/>
              <w:bottom w:val="single" w:sz="4" w:space="0" w:color="auto"/>
              <w:right w:val="nil"/>
            </w:tcBorders>
            <w:shd w:val="clear" w:color="000000" w:fill="C4D79B"/>
            <w:noWrap/>
            <w:vAlign w:val="center"/>
            <w:hideMark/>
          </w:tcPr>
          <w:p w14:paraId="42EB085D" w14:textId="77777777" w:rsidR="00BD6230" w:rsidRPr="00537AEF" w:rsidRDefault="00BD6230" w:rsidP="00BD6230">
            <w:pPr>
              <w:spacing w:after="0" w:line="240" w:lineRule="auto"/>
              <w:jc w:val="center"/>
              <w:rPr>
                <w:rFonts w:ascii="Arial" w:eastAsia="Times New Roman" w:hAnsi="Arial" w:cs="Arial"/>
                <w:color w:val="000000"/>
                <w:szCs w:val="20"/>
                <w:lang w:eastAsia="en-AU"/>
              </w:rPr>
            </w:pPr>
            <w:r w:rsidRPr="00537AEF">
              <w:rPr>
                <w:rFonts w:ascii="Arial" w:eastAsia="Times New Roman" w:hAnsi="Arial" w:cs="Arial"/>
                <w:color w:val="000000"/>
                <w:szCs w:val="20"/>
                <w:lang w:eastAsia="en-AU"/>
              </w:rPr>
              <w:t> </w:t>
            </w:r>
          </w:p>
        </w:tc>
        <w:tc>
          <w:tcPr>
            <w:tcW w:w="2020" w:type="dxa"/>
            <w:tcBorders>
              <w:top w:val="single" w:sz="4" w:space="0" w:color="auto"/>
              <w:left w:val="nil"/>
              <w:bottom w:val="single" w:sz="4" w:space="0" w:color="auto"/>
              <w:right w:val="nil"/>
            </w:tcBorders>
            <w:shd w:val="clear" w:color="000000" w:fill="C4D79B"/>
            <w:noWrap/>
            <w:vAlign w:val="center"/>
            <w:hideMark/>
          </w:tcPr>
          <w:p w14:paraId="4DACC135" w14:textId="5CCED7B9" w:rsidR="00BD6230" w:rsidRPr="00537AEF" w:rsidRDefault="00BD6230" w:rsidP="00BD6230">
            <w:pPr>
              <w:spacing w:after="0" w:line="240" w:lineRule="auto"/>
              <w:jc w:val="center"/>
              <w:rPr>
                <w:rFonts w:ascii="Arial" w:eastAsia="Times New Roman" w:hAnsi="Arial" w:cs="Arial"/>
                <w:b/>
                <w:bCs/>
                <w:color w:val="000000"/>
                <w:szCs w:val="20"/>
                <w:lang w:eastAsia="en-AU"/>
              </w:rPr>
            </w:pPr>
            <w:r w:rsidRPr="00537AEF">
              <w:rPr>
                <w:rFonts w:ascii="Arial" w:eastAsia="Times New Roman" w:hAnsi="Arial" w:cs="Arial"/>
                <w:b/>
                <w:bCs/>
                <w:color w:val="000000"/>
                <w:szCs w:val="20"/>
                <w:lang w:eastAsia="en-AU"/>
              </w:rPr>
              <w:t>2013</w:t>
            </w:r>
          </w:p>
        </w:tc>
        <w:tc>
          <w:tcPr>
            <w:tcW w:w="2020" w:type="dxa"/>
            <w:tcBorders>
              <w:top w:val="single" w:sz="4" w:space="0" w:color="auto"/>
              <w:left w:val="nil"/>
              <w:bottom w:val="single" w:sz="4" w:space="0" w:color="auto"/>
              <w:right w:val="nil"/>
            </w:tcBorders>
            <w:shd w:val="clear" w:color="000000" w:fill="C4D79B"/>
            <w:noWrap/>
            <w:vAlign w:val="center"/>
            <w:hideMark/>
          </w:tcPr>
          <w:p w14:paraId="777CFDE5" w14:textId="7D24187B" w:rsidR="00BD6230" w:rsidRPr="00537AEF" w:rsidRDefault="00BD6230" w:rsidP="00BD6230">
            <w:pPr>
              <w:spacing w:after="0" w:line="240" w:lineRule="auto"/>
              <w:jc w:val="center"/>
              <w:rPr>
                <w:rFonts w:ascii="Arial" w:eastAsia="Times New Roman" w:hAnsi="Arial" w:cs="Arial"/>
                <w:b/>
                <w:bCs/>
                <w:color w:val="000000"/>
                <w:szCs w:val="20"/>
                <w:lang w:eastAsia="en-AU"/>
              </w:rPr>
            </w:pPr>
            <w:r w:rsidRPr="00537AEF">
              <w:rPr>
                <w:rFonts w:ascii="Arial" w:eastAsia="Times New Roman" w:hAnsi="Arial" w:cs="Arial"/>
                <w:b/>
                <w:bCs/>
                <w:color w:val="000000"/>
                <w:szCs w:val="20"/>
                <w:lang w:eastAsia="en-AU"/>
              </w:rPr>
              <w:t>2014</w:t>
            </w:r>
          </w:p>
        </w:tc>
        <w:tc>
          <w:tcPr>
            <w:tcW w:w="2020" w:type="dxa"/>
            <w:tcBorders>
              <w:top w:val="single" w:sz="4" w:space="0" w:color="auto"/>
              <w:left w:val="nil"/>
              <w:bottom w:val="single" w:sz="4" w:space="0" w:color="auto"/>
              <w:right w:val="nil"/>
            </w:tcBorders>
            <w:shd w:val="clear" w:color="000000" w:fill="C4D79B"/>
            <w:noWrap/>
            <w:vAlign w:val="center"/>
            <w:hideMark/>
          </w:tcPr>
          <w:p w14:paraId="11252CC3" w14:textId="736AA8C1" w:rsidR="00BD6230" w:rsidRPr="00537AEF" w:rsidRDefault="00386B57" w:rsidP="00BD6230">
            <w:pPr>
              <w:spacing w:after="0" w:line="240" w:lineRule="auto"/>
              <w:jc w:val="center"/>
              <w:rPr>
                <w:rFonts w:ascii="Arial" w:eastAsia="Times New Roman" w:hAnsi="Arial" w:cs="Arial"/>
                <w:b/>
                <w:bCs/>
                <w:color w:val="000000"/>
                <w:szCs w:val="20"/>
                <w:lang w:eastAsia="en-AU"/>
              </w:rPr>
            </w:pPr>
            <w:r>
              <w:rPr>
                <w:rFonts w:ascii="Arial" w:eastAsia="Times New Roman" w:hAnsi="Arial" w:cs="Arial"/>
                <w:b/>
                <w:bCs/>
                <w:color w:val="000000"/>
                <w:szCs w:val="20"/>
                <w:lang w:eastAsia="en-AU"/>
              </w:rPr>
              <w:t>2015</w:t>
            </w:r>
          </w:p>
        </w:tc>
      </w:tr>
      <w:tr w:rsidR="00BD6230" w:rsidRPr="00537AEF" w14:paraId="204CDCCC" w14:textId="77777777" w:rsidTr="00327F87">
        <w:trPr>
          <w:trHeight w:val="484"/>
        </w:trPr>
        <w:tc>
          <w:tcPr>
            <w:tcW w:w="1162" w:type="dxa"/>
            <w:tcBorders>
              <w:top w:val="nil"/>
              <w:left w:val="nil"/>
              <w:bottom w:val="nil"/>
              <w:right w:val="nil"/>
            </w:tcBorders>
            <w:shd w:val="clear" w:color="auto" w:fill="auto"/>
            <w:noWrap/>
            <w:vAlign w:val="bottom"/>
            <w:hideMark/>
          </w:tcPr>
          <w:p w14:paraId="6C7A8EF1" w14:textId="77777777" w:rsidR="00BD6230" w:rsidRPr="00537AEF" w:rsidRDefault="00BD6230" w:rsidP="00BD6230">
            <w:pPr>
              <w:spacing w:after="0" w:line="240" w:lineRule="auto"/>
              <w:rPr>
                <w:rFonts w:ascii="Arial" w:eastAsia="Times New Roman" w:hAnsi="Arial" w:cs="Arial"/>
                <w:color w:val="000000"/>
                <w:szCs w:val="20"/>
                <w:lang w:eastAsia="en-AU"/>
              </w:rPr>
            </w:pPr>
            <w:r w:rsidRPr="00537AEF">
              <w:rPr>
                <w:rFonts w:ascii="Arial" w:eastAsia="Times New Roman" w:hAnsi="Arial" w:cs="Arial"/>
                <w:color w:val="000000"/>
                <w:szCs w:val="20"/>
                <w:lang w:eastAsia="en-AU"/>
              </w:rPr>
              <w:t>PFRAs</w:t>
            </w:r>
          </w:p>
        </w:tc>
        <w:tc>
          <w:tcPr>
            <w:tcW w:w="2020" w:type="dxa"/>
            <w:tcBorders>
              <w:top w:val="nil"/>
              <w:left w:val="nil"/>
              <w:bottom w:val="nil"/>
              <w:right w:val="nil"/>
            </w:tcBorders>
            <w:shd w:val="clear" w:color="auto" w:fill="auto"/>
            <w:noWrap/>
            <w:vAlign w:val="bottom"/>
            <w:hideMark/>
          </w:tcPr>
          <w:p w14:paraId="34CAAC90" w14:textId="5DD8D72B" w:rsidR="00BD6230" w:rsidRPr="00537AEF" w:rsidRDefault="00386B57" w:rsidP="00BD6230">
            <w:pPr>
              <w:spacing w:after="0" w:line="240" w:lineRule="auto"/>
              <w:jc w:val="center"/>
              <w:rPr>
                <w:rFonts w:ascii="Arial" w:eastAsia="Times New Roman" w:hAnsi="Arial" w:cs="Arial"/>
                <w:color w:val="000000"/>
                <w:szCs w:val="20"/>
                <w:lang w:eastAsia="en-AU"/>
              </w:rPr>
            </w:pPr>
            <w:r>
              <w:rPr>
                <w:rFonts w:ascii="Arial" w:eastAsia="Times New Roman" w:hAnsi="Arial" w:cs="Arial"/>
                <w:color w:val="000000"/>
                <w:szCs w:val="20"/>
                <w:lang w:eastAsia="en-AU"/>
              </w:rPr>
              <w:t>165</w:t>
            </w:r>
          </w:p>
        </w:tc>
        <w:tc>
          <w:tcPr>
            <w:tcW w:w="2020" w:type="dxa"/>
            <w:tcBorders>
              <w:top w:val="nil"/>
              <w:left w:val="nil"/>
              <w:bottom w:val="nil"/>
              <w:right w:val="nil"/>
            </w:tcBorders>
            <w:shd w:val="clear" w:color="auto" w:fill="auto"/>
            <w:noWrap/>
            <w:vAlign w:val="bottom"/>
            <w:hideMark/>
          </w:tcPr>
          <w:p w14:paraId="5E4AD146" w14:textId="62C36B8E" w:rsidR="00BD6230" w:rsidRPr="00537AEF" w:rsidRDefault="00386B57" w:rsidP="00BD6230">
            <w:pPr>
              <w:spacing w:after="0" w:line="240" w:lineRule="auto"/>
              <w:jc w:val="center"/>
              <w:rPr>
                <w:rFonts w:ascii="Arial" w:eastAsia="Times New Roman" w:hAnsi="Arial" w:cs="Arial"/>
                <w:color w:val="000000"/>
                <w:szCs w:val="20"/>
                <w:lang w:eastAsia="en-AU"/>
              </w:rPr>
            </w:pPr>
            <w:r>
              <w:rPr>
                <w:rFonts w:ascii="Arial" w:eastAsia="Times New Roman" w:hAnsi="Arial" w:cs="Arial"/>
                <w:color w:val="000000"/>
                <w:szCs w:val="20"/>
                <w:lang w:eastAsia="en-AU"/>
              </w:rPr>
              <w:t>83</w:t>
            </w:r>
          </w:p>
        </w:tc>
        <w:tc>
          <w:tcPr>
            <w:tcW w:w="2020" w:type="dxa"/>
            <w:tcBorders>
              <w:top w:val="nil"/>
              <w:left w:val="nil"/>
              <w:bottom w:val="nil"/>
              <w:right w:val="nil"/>
            </w:tcBorders>
            <w:shd w:val="clear" w:color="auto" w:fill="auto"/>
            <w:noWrap/>
            <w:vAlign w:val="bottom"/>
            <w:hideMark/>
          </w:tcPr>
          <w:p w14:paraId="774B56C6" w14:textId="7E0205BE" w:rsidR="00BD6230" w:rsidRPr="00537AEF" w:rsidRDefault="00386B57" w:rsidP="00BD6230">
            <w:pPr>
              <w:spacing w:after="0" w:line="240" w:lineRule="auto"/>
              <w:jc w:val="center"/>
              <w:rPr>
                <w:rFonts w:ascii="Arial" w:eastAsia="Times New Roman" w:hAnsi="Arial" w:cs="Arial"/>
                <w:color w:val="000000"/>
                <w:szCs w:val="20"/>
                <w:lang w:eastAsia="en-AU"/>
              </w:rPr>
            </w:pPr>
            <w:r>
              <w:rPr>
                <w:rFonts w:ascii="Arial" w:eastAsia="Times New Roman" w:hAnsi="Arial" w:cs="Arial"/>
                <w:color w:val="000000"/>
                <w:szCs w:val="20"/>
                <w:lang w:eastAsia="en-AU"/>
              </w:rPr>
              <w:t>165</w:t>
            </w:r>
          </w:p>
        </w:tc>
      </w:tr>
      <w:tr w:rsidR="00BD6230" w:rsidRPr="00537AEF" w14:paraId="35240081" w14:textId="77777777" w:rsidTr="00327F87">
        <w:trPr>
          <w:trHeight w:val="484"/>
        </w:trPr>
        <w:tc>
          <w:tcPr>
            <w:tcW w:w="1162" w:type="dxa"/>
            <w:tcBorders>
              <w:top w:val="single" w:sz="4" w:space="0" w:color="auto"/>
              <w:left w:val="nil"/>
              <w:bottom w:val="single" w:sz="4" w:space="0" w:color="auto"/>
              <w:right w:val="nil"/>
            </w:tcBorders>
            <w:shd w:val="clear" w:color="auto" w:fill="auto"/>
            <w:noWrap/>
            <w:vAlign w:val="bottom"/>
            <w:hideMark/>
          </w:tcPr>
          <w:p w14:paraId="3FBF431E" w14:textId="77777777" w:rsidR="00BD6230" w:rsidRPr="00537AEF" w:rsidRDefault="00BD6230" w:rsidP="00BD6230">
            <w:pPr>
              <w:spacing w:after="0" w:line="240" w:lineRule="auto"/>
              <w:rPr>
                <w:rFonts w:ascii="Arial" w:eastAsia="Times New Roman" w:hAnsi="Arial" w:cs="Arial"/>
                <w:color w:val="000000"/>
                <w:szCs w:val="20"/>
                <w:lang w:eastAsia="en-AU"/>
              </w:rPr>
            </w:pPr>
            <w:r w:rsidRPr="00537AEF">
              <w:rPr>
                <w:rFonts w:ascii="Arial" w:eastAsia="Times New Roman" w:hAnsi="Arial" w:cs="Arial"/>
                <w:color w:val="000000"/>
                <w:szCs w:val="20"/>
                <w:lang w:eastAsia="en-AU"/>
              </w:rPr>
              <w:t>UNIs</w:t>
            </w:r>
          </w:p>
        </w:tc>
        <w:tc>
          <w:tcPr>
            <w:tcW w:w="2020" w:type="dxa"/>
            <w:tcBorders>
              <w:top w:val="single" w:sz="4" w:space="0" w:color="auto"/>
              <w:left w:val="nil"/>
              <w:bottom w:val="single" w:sz="4" w:space="0" w:color="auto"/>
              <w:right w:val="nil"/>
            </w:tcBorders>
            <w:shd w:val="clear" w:color="auto" w:fill="auto"/>
            <w:noWrap/>
            <w:vAlign w:val="bottom"/>
            <w:hideMark/>
          </w:tcPr>
          <w:p w14:paraId="277EBAE7" w14:textId="2EA33E17" w:rsidR="00BD6230" w:rsidRPr="00537AEF" w:rsidRDefault="00386B57" w:rsidP="00BD6230">
            <w:pPr>
              <w:spacing w:after="0" w:line="240" w:lineRule="auto"/>
              <w:jc w:val="center"/>
              <w:rPr>
                <w:rFonts w:ascii="Arial" w:eastAsia="Times New Roman" w:hAnsi="Arial" w:cs="Arial"/>
                <w:color w:val="000000"/>
                <w:szCs w:val="20"/>
                <w:lang w:eastAsia="en-AU"/>
              </w:rPr>
            </w:pPr>
            <w:r>
              <w:rPr>
                <w:rFonts w:ascii="Arial" w:eastAsia="Times New Roman" w:hAnsi="Arial" w:cs="Arial"/>
                <w:color w:val="000000"/>
                <w:szCs w:val="20"/>
                <w:lang w:eastAsia="en-AU"/>
              </w:rPr>
              <w:t>427</w:t>
            </w:r>
          </w:p>
        </w:tc>
        <w:tc>
          <w:tcPr>
            <w:tcW w:w="2020" w:type="dxa"/>
            <w:tcBorders>
              <w:top w:val="single" w:sz="4" w:space="0" w:color="auto"/>
              <w:left w:val="nil"/>
              <w:bottom w:val="single" w:sz="4" w:space="0" w:color="auto"/>
              <w:right w:val="nil"/>
            </w:tcBorders>
            <w:shd w:val="clear" w:color="auto" w:fill="auto"/>
            <w:noWrap/>
            <w:vAlign w:val="bottom"/>
            <w:hideMark/>
          </w:tcPr>
          <w:p w14:paraId="43D50410" w14:textId="22180452" w:rsidR="00BD6230" w:rsidRPr="00537AEF" w:rsidRDefault="00E0798A" w:rsidP="00BD6230">
            <w:pPr>
              <w:spacing w:after="0" w:line="240" w:lineRule="auto"/>
              <w:jc w:val="center"/>
              <w:rPr>
                <w:rFonts w:ascii="Arial" w:eastAsia="Times New Roman" w:hAnsi="Arial" w:cs="Arial"/>
                <w:color w:val="000000"/>
                <w:szCs w:val="20"/>
                <w:lang w:eastAsia="en-AU"/>
              </w:rPr>
            </w:pPr>
            <w:r>
              <w:rPr>
                <w:rFonts w:ascii="Arial" w:eastAsia="Times New Roman" w:hAnsi="Arial" w:cs="Arial"/>
                <w:color w:val="000000"/>
                <w:szCs w:val="20"/>
                <w:lang w:eastAsia="en-AU"/>
              </w:rPr>
              <w:t>528</w:t>
            </w:r>
          </w:p>
        </w:tc>
        <w:tc>
          <w:tcPr>
            <w:tcW w:w="2020" w:type="dxa"/>
            <w:tcBorders>
              <w:top w:val="single" w:sz="4" w:space="0" w:color="auto"/>
              <w:left w:val="nil"/>
              <w:bottom w:val="single" w:sz="4" w:space="0" w:color="auto"/>
              <w:right w:val="nil"/>
            </w:tcBorders>
            <w:shd w:val="clear" w:color="auto" w:fill="auto"/>
            <w:noWrap/>
            <w:vAlign w:val="bottom"/>
            <w:hideMark/>
          </w:tcPr>
          <w:p w14:paraId="5E09B2FA" w14:textId="3C9083FF" w:rsidR="00BD6230" w:rsidRPr="00537AEF" w:rsidRDefault="00386B57" w:rsidP="00BD6230">
            <w:pPr>
              <w:spacing w:after="0" w:line="240" w:lineRule="auto"/>
              <w:jc w:val="center"/>
              <w:rPr>
                <w:rFonts w:ascii="Arial" w:eastAsia="Times New Roman" w:hAnsi="Arial" w:cs="Arial"/>
                <w:color w:val="000000"/>
                <w:szCs w:val="20"/>
                <w:lang w:eastAsia="en-AU"/>
              </w:rPr>
            </w:pPr>
            <w:r>
              <w:rPr>
                <w:rFonts w:ascii="Arial" w:eastAsia="Times New Roman" w:hAnsi="Arial" w:cs="Arial"/>
                <w:color w:val="000000"/>
                <w:szCs w:val="20"/>
                <w:lang w:eastAsia="en-AU"/>
              </w:rPr>
              <w:t>451</w:t>
            </w:r>
          </w:p>
        </w:tc>
      </w:tr>
      <w:tr w:rsidR="00BD6230" w:rsidRPr="00537AEF" w14:paraId="52C5822A" w14:textId="77777777" w:rsidTr="00327F87">
        <w:trPr>
          <w:trHeight w:val="484"/>
        </w:trPr>
        <w:tc>
          <w:tcPr>
            <w:tcW w:w="1162" w:type="dxa"/>
            <w:tcBorders>
              <w:top w:val="nil"/>
              <w:left w:val="nil"/>
              <w:bottom w:val="nil"/>
              <w:right w:val="nil"/>
            </w:tcBorders>
            <w:shd w:val="clear" w:color="auto" w:fill="auto"/>
            <w:noWrap/>
            <w:vAlign w:val="bottom"/>
            <w:hideMark/>
          </w:tcPr>
          <w:p w14:paraId="41342CFB" w14:textId="77777777" w:rsidR="00BD6230" w:rsidRPr="00537AEF" w:rsidRDefault="00BD6230" w:rsidP="00BD6230">
            <w:pPr>
              <w:spacing w:after="0" w:line="240" w:lineRule="auto"/>
              <w:rPr>
                <w:rFonts w:ascii="Arial" w:eastAsia="Times New Roman" w:hAnsi="Arial" w:cs="Arial"/>
                <w:color w:val="000000"/>
                <w:szCs w:val="20"/>
                <w:lang w:eastAsia="en-AU"/>
              </w:rPr>
            </w:pPr>
            <w:r w:rsidRPr="00537AEF">
              <w:rPr>
                <w:rFonts w:ascii="Arial" w:eastAsia="Times New Roman" w:hAnsi="Arial" w:cs="Arial"/>
                <w:color w:val="000000"/>
                <w:szCs w:val="20"/>
                <w:lang w:eastAsia="en-AU"/>
              </w:rPr>
              <w:t>MRIs</w:t>
            </w:r>
          </w:p>
        </w:tc>
        <w:tc>
          <w:tcPr>
            <w:tcW w:w="2020" w:type="dxa"/>
            <w:tcBorders>
              <w:top w:val="nil"/>
              <w:left w:val="nil"/>
              <w:bottom w:val="nil"/>
              <w:right w:val="nil"/>
            </w:tcBorders>
            <w:shd w:val="clear" w:color="auto" w:fill="auto"/>
            <w:noWrap/>
            <w:vAlign w:val="bottom"/>
            <w:hideMark/>
          </w:tcPr>
          <w:p w14:paraId="09AE640A" w14:textId="0F24A7C7" w:rsidR="00BD6230" w:rsidRPr="00537AEF" w:rsidRDefault="00386B57" w:rsidP="00BD6230">
            <w:pPr>
              <w:spacing w:after="0" w:line="240" w:lineRule="auto"/>
              <w:jc w:val="center"/>
              <w:rPr>
                <w:rFonts w:ascii="Arial" w:eastAsia="Times New Roman" w:hAnsi="Arial" w:cs="Arial"/>
                <w:color w:val="000000"/>
                <w:szCs w:val="20"/>
                <w:lang w:eastAsia="en-AU"/>
              </w:rPr>
            </w:pPr>
            <w:r>
              <w:rPr>
                <w:rFonts w:ascii="Arial" w:eastAsia="Times New Roman" w:hAnsi="Arial" w:cs="Arial"/>
                <w:color w:val="000000"/>
                <w:szCs w:val="20"/>
                <w:lang w:eastAsia="en-AU"/>
              </w:rPr>
              <w:t>346</w:t>
            </w:r>
          </w:p>
        </w:tc>
        <w:tc>
          <w:tcPr>
            <w:tcW w:w="2020" w:type="dxa"/>
            <w:tcBorders>
              <w:top w:val="nil"/>
              <w:left w:val="nil"/>
              <w:bottom w:val="nil"/>
              <w:right w:val="nil"/>
            </w:tcBorders>
            <w:shd w:val="clear" w:color="auto" w:fill="auto"/>
            <w:noWrap/>
            <w:vAlign w:val="bottom"/>
            <w:hideMark/>
          </w:tcPr>
          <w:p w14:paraId="024098B9" w14:textId="0C45447A" w:rsidR="00BD6230" w:rsidRPr="00537AEF" w:rsidRDefault="00386B57" w:rsidP="00BD6230">
            <w:pPr>
              <w:spacing w:after="0" w:line="240" w:lineRule="auto"/>
              <w:jc w:val="center"/>
              <w:rPr>
                <w:rFonts w:ascii="Arial" w:eastAsia="Times New Roman" w:hAnsi="Arial" w:cs="Arial"/>
                <w:color w:val="000000"/>
                <w:szCs w:val="20"/>
                <w:lang w:eastAsia="en-AU"/>
              </w:rPr>
            </w:pPr>
            <w:r>
              <w:rPr>
                <w:rFonts w:ascii="Arial" w:eastAsia="Times New Roman" w:hAnsi="Arial" w:cs="Arial"/>
                <w:color w:val="000000"/>
                <w:szCs w:val="20"/>
                <w:lang w:eastAsia="en-AU"/>
              </w:rPr>
              <w:t>513</w:t>
            </w:r>
          </w:p>
        </w:tc>
        <w:tc>
          <w:tcPr>
            <w:tcW w:w="2020" w:type="dxa"/>
            <w:tcBorders>
              <w:top w:val="nil"/>
              <w:left w:val="nil"/>
              <w:bottom w:val="nil"/>
              <w:right w:val="nil"/>
            </w:tcBorders>
            <w:shd w:val="clear" w:color="auto" w:fill="auto"/>
            <w:noWrap/>
            <w:vAlign w:val="bottom"/>
            <w:hideMark/>
          </w:tcPr>
          <w:p w14:paraId="032F9075" w14:textId="5860C539" w:rsidR="00BD6230" w:rsidRPr="00537AEF" w:rsidRDefault="001C7E9D" w:rsidP="00BD6230">
            <w:pPr>
              <w:spacing w:after="0" w:line="240" w:lineRule="auto"/>
              <w:jc w:val="center"/>
              <w:rPr>
                <w:rFonts w:ascii="Arial" w:eastAsia="Times New Roman" w:hAnsi="Arial" w:cs="Arial"/>
                <w:color w:val="000000"/>
                <w:szCs w:val="20"/>
                <w:lang w:eastAsia="en-AU"/>
              </w:rPr>
            </w:pPr>
            <w:r>
              <w:rPr>
                <w:rFonts w:ascii="Arial" w:eastAsia="Times New Roman" w:hAnsi="Arial" w:cs="Arial"/>
                <w:color w:val="000000"/>
                <w:szCs w:val="20"/>
                <w:lang w:eastAsia="en-AU"/>
              </w:rPr>
              <w:t>607</w:t>
            </w:r>
          </w:p>
        </w:tc>
      </w:tr>
      <w:tr w:rsidR="00BD6230" w:rsidRPr="00537AEF" w14:paraId="5C70F74E" w14:textId="77777777" w:rsidTr="00327F87">
        <w:trPr>
          <w:trHeight w:val="484"/>
        </w:trPr>
        <w:tc>
          <w:tcPr>
            <w:tcW w:w="1162" w:type="dxa"/>
            <w:tcBorders>
              <w:top w:val="single" w:sz="4" w:space="0" w:color="auto"/>
              <w:left w:val="nil"/>
              <w:bottom w:val="single" w:sz="4" w:space="0" w:color="auto"/>
              <w:right w:val="nil"/>
            </w:tcBorders>
            <w:shd w:val="clear" w:color="auto" w:fill="auto"/>
            <w:noWrap/>
            <w:vAlign w:val="bottom"/>
            <w:hideMark/>
          </w:tcPr>
          <w:p w14:paraId="7E1F75CB" w14:textId="44A80E80" w:rsidR="00BD6230" w:rsidRPr="00537AEF" w:rsidRDefault="00BD6230" w:rsidP="00BC353A">
            <w:pPr>
              <w:spacing w:after="0" w:line="240" w:lineRule="auto"/>
              <w:rPr>
                <w:rFonts w:ascii="Arial" w:eastAsia="Times New Roman" w:hAnsi="Arial" w:cs="Arial"/>
                <w:b/>
                <w:bCs/>
                <w:color w:val="000000"/>
                <w:szCs w:val="20"/>
                <w:lang w:eastAsia="en-AU"/>
              </w:rPr>
            </w:pPr>
            <w:r w:rsidRPr="00537AEF">
              <w:rPr>
                <w:rFonts w:ascii="Arial" w:eastAsia="Times New Roman" w:hAnsi="Arial" w:cs="Arial"/>
                <w:b/>
                <w:bCs/>
                <w:color w:val="000000"/>
                <w:szCs w:val="20"/>
                <w:lang w:eastAsia="en-AU"/>
              </w:rPr>
              <w:t>Total</w:t>
            </w:r>
          </w:p>
        </w:tc>
        <w:tc>
          <w:tcPr>
            <w:tcW w:w="2020" w:type="dxa"/>
            <w:tcBorders>
              <w:top w:val="single" w:sz="4" w:space="0" w:color="auto"/>
              <w:left w:val="nil"/>
              <w:bottom w:val="single" w:sz="4" w:space="0" w:color="auto"/>
              <w:right w:val="nil"/>
            </w:tcBorders>
            <w:shd w:val="clear" w:color="auto" w:fill="auto"/>
            <w:noWrap/>
            <w:vAlign w:val="bottom"/>
            <w:hideMark/>
          </w:tcPr>
          <w:p w14:paraId="17F6DE91" w14:textId="137B11CC" w:rsidR="00BD6230" w:rsidRPr="00537AEF" w:rsidRDefault="001C7E9D" w:rsidP="00BD6230">
            <w:pPr>
              <w:spacing w:after="0" w:line="240" w:lineRule="auto"/>
              <w:jc w:val="center"/>
              <w:rPr>
                <w:rFonts w:ascii="Arial" w:eastAsia="Times New Roman" w:hAnsi="Arial" w:cs="Arial"/>
                <w:b/>
                <w:bCs/>
                <w:color w:val="000000"/>
                <w:szCs w:val="20"/>
                <w:lang w:eastAsia="en-AU"/>
              </w:rPr>
            </w:pPr>
            <w:r>
              <w:rPr>
                <w:rFonts w:ascii="Arial" w:eastAsia="Times New Roman" w:hAnsi="Arial" w:cs="Arial"/>
                <w:b/>
                <w:bCs/>
                <w:color w:val="000000"/>
                <w:szCs w:val="20"/>
                <w:lang w:eastAsia="en-AU"/>
              </w:rPr>
              <w:t>938</w:t>
            </w:r>
          </w:p>
        </w:tc>
        <w:tc>
          <w:tcPr>
            <w:tcW w:w="2020" w:type="dxa"/>
            <w:tcBorders>
              <w:top w:val="single" w:sz="4" w:space="0" w:color="auto"/>
              <w:left w:val="nil"/>
              <w:bottom w:val="single" w:sz="4" w:space="0" w:color="auto"/>
              <w:right w:val="nil"/>
            </w:tcBorders>
            <w:shd w:val="clear" w:color="auto" w:fill="auto"/>
            <w:noWrap/>
            <w:vAlign w:val="bottom"/>
            <w:hideMark/>
          </w:tcPr>
          <w:p w14:paraId="74C510DA" w14:textId="489C7289" w:rsidR="00BD6230" w:rsidRPr="00537AEF" w:rsidRDefault="001C7E9D" w:rsidP="00E0798A">
            <w:pPr>
              <w:spacing w:after="0" w:line="240" w:lineRule="auto"/>
              <w:jc w:val="center"/>
              <w:rPr>
                <w:rFonts w:ascii="Arial" w:eastAsia="Times New Roman" w:hAnsi="Arial" w:cs="Arial"/>
                <w:b/>
                <w:bCs/>
                <w:color w:val="000000"/>
                <w:szCs w:val="20"/>
                <w:lang w:eastAsia="en-AU"/>
              </w:rPr>
            </w:pPr>
            <w:r>
              <w:rPr>
                <w:rFonts w:ascii="Arial" w:eastAsia="Times New Roman" w:hAnsi="Arial" w:cs="Arial"/>
                <w:b/>
                <w:bCs/>
                <w:color w:val="000000"/>
                <w:szCs w:val="20"/>
                <w:lang w:eastAsia="en-AU"/>
              </w:rPr>
              <w:t>1,</w:t>
            </w:r>
            <w:r w:rsidR="00E0798A">
              <w:rPr>
                <w:rFonts w:ascii="Arial" w:eastAsia="Times New Roman" w:hAnsi="Arial" w:cs="Arial"/>
                <w:b/>
                <w:bCs/>
                <w:color w:val="000000"/>
                <w:szCs w:val="20"/>
                <w:lang w:eastAsia="en-AU"/>
              </w:rPr>
              <w:t>124</w:t>
            </w:r>
          </w:p>
        </w:tc>
        <w:tc>
          <w:tcPr>
            <w:tcW w:w="2020" w:type="dxa"/>
            <w:tcBorders>
              <w:top w:val="single" w:sz="4" w:space="0" w:color="auto"/>
              <w:left w:val="nil"/>
              <w:bottom w:val="single" w:sz="4" w:space="0" w:color="auto"/>
              <w:right w:val="nil"/>
            </w:tcBorders>
            <w:shd w:val="clear" w:color="auto" w:fill="auto"/>
            <w:noWrap/>
            <w:vAlign w:val="bottom"/>
            <w:hideMark/>
          </w:tcPr>
          <w:p w14:paraId="47247388" w14:textId="3DCDA494" w:rsidR="00BD6230" w:rsidRPr="00537AEF" w:rsidRDefault="001C7E9D" w:rsidP="00BD6230">
            <w:pPr>
              <w:spacing w:after="0" w:line="240" w:lineRule="auto"/>
              <w:jc w:val="center"/>
              <w:rPr>
                <w:rFonts w:ascii="Arial" w:eastAsia="Times New Roman" w:hAnsi="Arial" w:cs="Arial"/>
                <w:b/>
                <w:bCs/>
                <w:color w:val="000000"/>
                <w:szCs w:val="20"/>
                <w:lang w:eastAsia="en-AU"/>
              </w:rPr>
            </w:pPr>
            <w:r>
              <w:rPr>
                <w:rFonts w:ascii="Arial" w:eastAsia="Times New Roman" w:hAnsi="Arial" w:cs="Arial"/>
                <w:b/>
                <w:bCs/>
                <w:color w:val="000000"/>
                <w:szCs w:val="20"/>
                <w:lang w:eastAsia="en-AU"/>
              </w:rPr>
              <w:t>1,223</w:t>
            </w:r>
          </w:p>
        </w:tc>
      </w:tr>
    </w:tbl>
    <w:p w14:paraId="74CC4F70" w14:textId="77777777" w:rsidR="00A22053" w:rsidRDefault="00A22053" w:rsidP="00A22053">
      <w:pPr>
        <w:pStyle w:val="ListParagraph"/>
        <w:spacing w:after="360"/>
        <w:ind w:left="357"/>
        <w:rPr>
          <w:rFonts w:ascii="Arial" w:hAnsi="Arial" w:cs="Arial"/>
          <w:b/>
        </w:rPr>
      </w:pPr>
    </w:p>
    <w:p w14:paraId="5D106F4D" w14:textId="26ECB868" w:rsidR="00A22053" w:rsidRPr="00327F87" w:rsidRDefault="00A22053" w:rsidP="00D05CB9">
      <w:pPr>
        <w:pStyle w:val="Heading3"/>
        <w:rPr>
          <w:sz w:val="20"/>
          <w:szCs w:val="20"/>
        </w:rPr>
      </w:pPr>
      <w:r w:rsidRPr="00A93922">
        <w:rPr>
          <w:sz w:val="20"/>
          <w:szCs w:val="20"/>
        </w:rPr>
        <w:t xml:space="preserve">Figure </w:t>
      </w:r>
      <w:r w:rsidR="005F6171">
        <w:rPr>
          <w:sz w:val="20"/>
          <w:szCs w:val="20"/>
        </w:rPr>
        <w:t>3</w:t>
      </w:r>
      <w:r w:rsidRPr="00A93922">
        <w:rPr>
          <w:sz w:val="20"/>
          <w:szCs w:val="20"/>
        </w:rPr>
        <w:t>.2: Number of Material Transfer Agreements</w:t>
      </w:r>
    </w:p>
    <w:p w14:paraId="5A8AC14D" w14:textId="21BA6174" w:rsidR="00A22053" w:rsidRDefault="00A22053" w:rsidP="00A22053">
      <w:pPr>
        <w:pStyle w:val="ListParagraph"/>
        <w:spacing w:after="360"/>
        <w:ind w:left="0"/>
        <w:rPr>
          <w:rFonts w:ascii="Arial" w:hAnsi="Arial" w:cs="Arial"/>
          <w:b/>
        </w:rPr>
      </w:pPr>
    </w:p>
    <w:p w14:paraId="18268922" w14:textId="77777777" w:rsidR="00A22053" w:rsidRDefault="00A22053" w:rsidP="00A22053">
      <w:pPr>
        <w:pStyle w:val="ListParagraph"/>
        <w:spacing w:after="360"/>
        <w:ind w:left="0"/>
        <w:rPr>
          <w:rFonts w:ascii="Arial" w:hAnsi="Arial" w:cs="Arial"/>
          <w:b/>
        </w:rPr>
      </w:pPr>
    </w:p>
    <w:p w14:paraId="4BC13B05" w14:textId="60968BD0" w:rsidR="00D11FD7" w:rsidRDefault="00E0798A" w:rsidP="00A22053">
      <w:pPr>
        <w:pStyle w:val="ListParagraph"/>
        <w:spacing w:after="360"/>
        <w:ind w:left="0"/>
        <w:rPr>
          <w:rFonts w:ascii="Arial" w:hAnsi="Arial" w:cs="Arial"/>
          <w:b/>
        </w:rPr>
      </w:pPr>
      <w:r>
        <w:rPr>
          <w:rFonts w:ascii="Arial" w:hAnsi="Arial" w:cs="Arial"/>
          <w:b/>
          <w:noProof/>
          <w:lang w:eastAsia="en-AU"/>
        </w:rPr>
        <w:drawing>
          <wp:inline distT="0" distB="0" distL="0" distR="0" wp14:anchorId="40B85B30" wp14:editId="2F2E091A">
            <wp:extent cx="4648200" cy="2988563"/>
            <wp:effectExtent l="0" t="0" r="0" b="254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4670995" cy="3003219"/>
                    </a:xfrm>
                    <a:prstGeom prst="rect">
                      <a:avLst/>
                    </a:prstGeom>
                    <a:noFill/>
                  </pic:spPr>
                </pic:pic>
              </a:graphicData>
            </a:graphic>
          </wp:inline>
        </w:drawing>
      </w:r>
    </w:p>
    <w:p w14:paraId="71EEAC49" w14:textId="1E1819DA" w:rsidR="008A3849" w:rsidRDefault="008A3849" w:rsidP="00A22053">
      <w:pPr>
        <w:pStyle w:val="ListParagraph"/>
        <w:spacing w:after="360"/>
        <w:ind w:left="0"/>
        <w:rPr>
          <w:rFonts w:ascii="Arial" w:hAnsi="Arial" w:cs="Arial"/>
          <w:b/>
        </w:rPr>
      </w:pPr>
    </w:p>
    <w:p w14:paraId="7E3AA29C" w14:textId="27FC3EA8" w:rsidR="008A3849" w:rsidRDefault="008A3849">
      <w:pPr>
        <w:spacing w:after="200"/>
        <w:rPr>
          <w:rFonts w:ascii="Arial" w:hAnsi="Arial" w:cs="Arial"/>
          <w:b/>
          <w:sz w:val="22"/>
        </w:rPr>
      </w:pPr>
      <w:r>
        <w:rPr>
          <w:rFonts w:ascii="Arial" w:hAnsi="Arial" w:cs="Arial"/>
          <w:b/>
        </w:rPr>
        <w:br w:type="page"/>
      </w:r>
    </w:p>
    <w:p w14:paraId="7A359C83" w14:textId="15D3DD32" w:rsidR="00A22053" w:rsidRPr="00756951" w:rsidRDefault="00A22053" w:rsidP="003B6DBB">
      <w:pPr>
        <w:pStyle w:val="Heading2"/>
        <w:numPr>
          <w:ilvl w:val="0"/>
          <w:numId w:val="17"/>
        </w:numPr>
      </w:pPr>
      <w:r w:rsidRPr="00756951">
        <w:t xml:space="preserve">Commercialisation </w:t>
      </w:r>
      <w:r>
        <w:t>O</w:t>
      </w:r>
      <w:r w:rsidRPr="00756951">
        <w:t>utcomes</w:t>
      </w:r>
    </w:p>
    <w:p w14:paraId="75C23A9C" w14:textId="10CE7747" w:rsidR="00A22053" w:rsidRDefault="00A22053" w:rsidP="00A22053">
      <w:pPr>
        <w:spacing w:after="360"/>
        <w:rPr>
          <w:rFonts w:ascii="Arial" w:hAnsi="Arial" w:cs="Arial"/>
        </w:rPr>
      </w:pPr>
      <w:r w:rsidRPr="00756951">
        <w:rPr>
          <w:rFonts w:ascii="Arial" w:hAnsi="Arial" w:cs="Arial"/>
        </w:rPr>
        <w:t xml:space="preserve">Research commercialisation is </w:t>
      </w:r>
      <w:r w:rsidR="009E20C2">
        <w:rPr>
          <w:rFonts w:ascii="Arial" w:hAnsi="Arial" w:cs="Arial"/>
        </w:rPr>
        <w:t>the</w:t>
      </w:r>
      <w:r w:rsidR="009E20C2" w:rsidRPr="00756951">
        <w:rPr>
          <w:rFonts w:ascii="Arial" w:hAnsi="Arial" w:cs="Arial"/>
        </w:rPr>
        <w:t xml:space="preserve"> </w:t>
      </w:r>
      <w:r w:rsidRPr="00756951">
        <w:rPr>
          <w:rFonts w:ascii="Arial" w:hAnsi="Arial" w:cs="Arial"/>
        </w:rPr>
        <w:t xml:space="preserve">process of converting </w:t>
      </w:r>
      <w:r w:rsidR="009E20C2">
        <w:rPr>
          <w:rFonts w:ascii="Arial" w:hAnsi="Arial" w:cs="Arial"/>
        </w:rPr>
        <w:t>ideas and research</w:t>
      </w:r>
      <w:r w:rsidRPr="00756951">
        <w:rPr>
          <w:rFonts w:ascii="Arial" w:hAnsi="Arial" w:cs="Arial"/>
        </w:rPr>
        <w:t xml:space="preserve"> into marketable product</w:t>
      </w:r>
      <w:r w:rsidR="009E20C2">
        <w:rPr>
          <w:rFonts w:ascii="Arial" w:hAnsi="Arial" w:cs="Arial"/>
        </w:rPr>
        <w:t>s</w:t>
      </w:r>
      <w:r w:rsidRPr="00756951">
        <w:rPr>
          <w:rFonts w:ascii="Arial" w:hAnsi="Arial" w:cs="Arial"/>
        </w:rPr>
        <w:t xml:space="preserve"> </w:t>
      </w:r>
      <w:r w:rsidR="009E20C2">
        <w:rPr>
          <w:rFonts w:ascii="Arial" w:hAnsi="Arial" w:cs="Arial"/>
        </w:rPr>
        <w:t>and</w:t>
      </w:r>
      <w:r w:rsidR="009E20C2" w:rsidRPr="00756951">
        <w:rPr>
          <w:rFonts w:ascii="Arial" w:hAnsi="Arial" w:cs="Arial"/>
        </w:rPr>
        <w:t xml:space="preserve"> </w:t>
      </w:r>
      <w:r w:rsidRPr="00756951">
        <w:rPr>
          <w:rFonts w:ascii="Arial" w:hAnsi="Arial" w:cs="Arial"/>
        </w:rPr>
        <w:t>process</w:t>
      </w:r>
      <w:r w:rsidR="009E20C2">
        <w:rPr>
          <w:rFonts w:ascii="Arial" w:hAnsi="Arial" w:cs="Arial"/>
        </w:rPr>
        <w:t>es</w:t>
      </w:r>
      <w:r w:rsidRPr="00756951">
        <w:rPr>
          <w:rFonts w:ascii="Arial" w:hAnsi="Arial" w:cs="Arial"/>
        </w:rPr>
        <w:t>.</w:t>
      </w:r>
    </w:p>
    <w:p w14:paraId="374F579A" w14:textId="712B9FE3" w:rsidR="00A22053" w:rsidRDefault="003D7DAD" w:rsidP="00724B0D">
      <w:pPr>
        <w:pStyle w:val="Heading3"/>
        <w:spacing w:before="0" w:line="240" w:lineRule="auto"/>
      </w:pPr>
      <w:r>
        <w:t>4.</w:t>
      </w:r>
      <w:r w:rsidR="00A22053" w:rsidRPr="00756951">
        <w:t>1</w:t>
      </w:r>
      <w:r w:rsidR="00A22053">
        <w:tab/>
      </w:r>
      <w:r w:rsidR="00A22053" w:rsidRPr="00756951">
        <w:t>Licences, Options and Agreements (LOAs)</w:t>
      </w:r>
    </w:p>
    <w:p w14:paraId="79E07C31" w14:textId="3A3D0DD3" w:rsidR="00A22053" w:rsidRPr="00C413A0" w:rsidRDefault="00A22053" w:rsidP="00724B0D">
      <w:pPr>
        <w:pStyle w:val="NormalWeb"/>
        <w:spacing w:before="0" w:beforeAutospacing="0" w:after="0" w:afterAutospacing="0" w:line="240" w:lineRule="auto"/>
        <w:rPr>
          <w:rFonts w:ascii="Arial" w:eastAsiaTheme="minorHAnsi" w:hAnsi="Arial" w:cs="Arial"/>
          <w:sz w:val="20"/>
          <w:szCs w:val="22"/>
          <w:lang w:eastAsia="en-US"/>
        </w:rPr>
      </w:pPr>
      <w:r w:rsidRPr="00C413A0">
        <w:rPr>
          <w:rFonts w:ascii="Arial" w:eastAsiaTheme="minorHAnsi" w:hAnsi="Arial" w:cs="Arial"/>
          <w:sz w:val="20"/>
          <w:szCs w:val="22"/>
          <w:lang w:eastAsia="en-US"/>
        </w:rPr>
        <w:t>A licen</w:t>
      </w:r>
      <w:r>
        <w:rPr>
          <w:rFonts w:ascii="Arial" w:eastAsiaTheme="minorHAnsi" w:hAnsi="Arial" w:cs="Arial"/>
          <w:sz w:val="20"/>
          <w:szCs w:val="22"/>
          <w:lang w:eastAsia="en-US"/>
        </w:rPr>
        <w:t>c</w:t>
      </w:r>
      <w:r w:rsidRPr="00C413A0">
        <w:rPr>
          <w:rFonts w:ascii="Arial" w:eastAsiaTheme="minorHAnsi" w:hAnsi="Arial" w:cs="Arial"/>
          <w:sz w:val="20"/>
          <w:szCs w:val="22"/>
          <w:lang w:eastAsia="en-US"/>
        </w:rPr>
        <w:t>e agreement formalises the transfer of technology between two parties, where the owner of the technology grants righ</w:t>
      </w:r>
      <w:r>
        <w:rPr>
          <w:rFonts w:ascii="Arial" w:eastAsiaTheme="minorHAnsi" w:hAnsi="Arial" w:cs="Arial"/>
          <w:sz w:val="20"/>
          <w:szCs w:val="22"/>
          <w:lang w:eastAsia="en-US"/>
        </w:rPr>
        <w:t>ts to the other party</w:t>
      </w:r>
      <w:r w:rsidRPr="00C413A0">
        <w:rPr>
          <w:rFonts w:ascii="Arial" w:eastAsiaTheme="minorHAnsi" w:hAnsi="Arial" w:cs="Arial"/>
          <w:sz w:val="20"/>
          <w:szCs w:val="22"/>
          <w:lang w:eastAsia="en-US"/>
        </w:rPr>
        <w:t>. An option agreement grants the potential licensee a time period during which it may evaluate the technology and negotiate the terms of a licen</w:t>
      </w:r>
      <w:r>
        <w:rPr>
          <w:rFonts w:ascii="Arial" w:eastAsiaTheme="minorHAnsi" w:hAnsi="Arial" w:cs="Arial"/>
          <w:sz w:val="20"/>
          <w:szCs w:val="22"/>
          <w:lang w:eastAsia="en-US"/>
        </w:rPr>
        <w:t>c</w:t>
      </w:r>
      <w:r w:rsidRPr="00C413A0">
        <w:rPr>
          <w:rFonts w:ascii="Arial" w:eastAsiaTheme="minorHAnsi" w:hAnsi="Arial" w:cs="Arial"/>
          <w:sz w:val="20"/>
          <w:szCs w:val="22"/>
          <w:lang w:eastAsia="en-US"/>
        </w:rPr>
        <w:t>e agreement. An assignment agreement conveys all right</w:t>
      </w:r>
      <w:r w:rsidR="00744A77">
        <w:rPr>
          <w:rFonts w:ascii="Arial" w:eastAsiaTheme="minorHAnsi" w:hAnsi="Arial" w:cs="Arial"/>
          <w:sz w:val="20"/>
          <w:szCs w:val="22"/>
          <w:lang w:eastAsia="en-US"/>
        </w:rPr>
        <w:t>s</w:t>
      </w:r>
      <w:r w:rsidRPr="00C413A0">
        <w:rPr>
          <w:rFonts w:ascii="Arial" w:eastAsiaTheme="minorHAnsi" w:hAnsi="Arial" w:cs="Arial"/>
          <w:sz w:val="20"/>
          <w:szCs w:val="22"/>
          <w:lang w:eastAsia="en-US"/>
        </w:rPr>
        <w:t>, title and interest in the licen</w:t>
      </w:r>
      <w:r>
        <w:rPr>
          <w:rFonts w:ascii="Arial" w:eastAsiaTheme="minorHAnsi" w:hAnsi="Arial" w:cs="Arial"/>
          <w:sz w:val="20"/>
          <w:szCs w:val="22"/>
          <w:lang w:eastAsia="en-US"/>
        </w:rPr>
        <w:t>c</w:t>
      </w:r>
      <w:r w:rsidRPr="00C413A0">
        <w:rPr>
          <w:rFonts w:ascii="Arial" w:eastAsiaTheme="minorHAnsi" w:hAnsi="Arial" w:cs="Arial"/>
          <w:sz w:val="20"/>
          <w:szCs w:val="22"/>
          <w:lang w:eastAsia="en-US"/>
        </w:rPr>
        <w:t>ed subject matter to the named assignee.</w:t>
      </w:r>
    </w:p>
    <w:p w14:paraId="34096E6B" w14:textId="31A1AD25" w:rsidR="00A22053" w:rsidRDefault="003D7DAD" w:rsidP="00D05CB9">
      <w:pPr>
        <w:pStyle w:val="Heading3"/>
      </w:pPr>
      <w:r>
        <w:t>4</w:t>
      </w:r>
      <w:r w:rsidR="00A22053">
        <w:t>.1.1</w:t>
      </w:r>
      <w:r w:rsidR="00A22053">
        <w:tab/>
        <w:t xml:space="preserve">Executed LOAs </w:t>
      </w:r>
    </w:p>
    <w:p w14:paraId="192B55EF" w14:textId="11B47847" w:rsidR="0060411C" w:rsidRPr="0060411C" w:rsidRDefault="00241727" w:rsidP="00241727">
      <w:r>
        <w:rPr>
          <w:rFonts w:ascii="Arial" w:hAnsi="Arial" w:cs="Arial"/>
        </w:rPr>
        <w:t>Executed LOAs represent a</w:t>
      </w:r>
      <w:r w:rsidR="0060411C">
        <w:rPr>
          <w:rFonts w:ascii="Arial" w:hAnsi="Arial" w:cs="Arial"/>
        </w:rPr>
        <w:t xml:space="preserve"> count of the number of LOAs executed in 2015 for all technologies.</w:t>
      </w:r>
    </w:p>
    <w:p w14:paraId="68DDDA0F" w14:textId="34A2DA65" w:rsidR="00A22053" w:rsidRPr="00756951" w:rsidRDefault="00BD6230" w:rsidP="004C21D3">
      <w:pPr>
        <w:pStyle w:val="ListParagraph"/>
        <w:numPr>
          <w:ilvl w:val="0"/>
          <w:numId w:val="23"/>
        </w:numPr>
        <w:spacing w:before="240"/>
        <w:rPr>
          <w:rFonts w:ascii="Arial" w:hAnsi="Arial" w:cs="Arial"/>
          <w:sz w:val="20"/>
        </w:rPr>
      </w:pPr>
      <w:r>
        <w:rPr>
          <w:rFonts w:ascii="Arial" w:hAnsi="Arial" w:cs="Arial"/>
          <w:sz w:val="20"/>
        </w:rPr>
        <w:t>In 2015</w:t>
      </w:r>
      <w:r w:rsidR="00CA55DD">
        <w:rPr>
          <w:rFonts w:ascii="Arial" w:hAnsi="Arial" w:cs="Arial"/>
          <w:sz w:val="20"/>
        </w:rPr>
        <w:t>,</w:t>
      </w:r>
      <w:r w:rsidR="00A22053">
        <w:rPr>
          <w:rFonts w:ascii="Arial" w:hAnsi="Arial" w:cs="Arial"/>
          <w:sz w:val="20"/>
        </w:rPr>
        <w:t xml:space="preserve"> r</w:t>
      </w:r>
      <w:r w:rsidR="00A22053" w:rsidRPr="00756951">
        <w:rPr>
          <w:rFonts w:ascii="Arial" w:hAnsi="Arial" w:cs="Arial"/>
          <w:sz w:val="20"/>
        </w:rPr>
        <w:t>esearch organisations e</w:t>
      </w:r>
      <w:r w:rsidR="00A22053">
        <w:rPr>
          <w:rFonts w:ascii="Arial" w:hAnsi="Arial" w:cs="Arial"/>
          <w:sz w:val="20"/>
        </w:rPr>
        <w:t xml:space="preserve">xecuted </w:t>
      </w:r>
      <w:r w:rsidR="00654BBA">
        <w:rPr>
          <w:rFonts w:ascii="Arial" w:hAnsi="Arial" w:cs="Arial"/>
          <w:sz w:val="20"/>
        </w:rPr>
        <w:t xml:space="preserve">645 </w:t>
      </w:r>
      <w:r>
        <w:rPr>
          <w:rFonts w:ascii="Arial" w:hAnsi="Arial" w:cs="Arial"/>
          <w:sz w:val="20"/>
        </w:rPr>
        <w:t xml:space="preserve">LOAs, a </w:t>
      </w:r>
      <w:r w:rsidR="00654BBA">
        <w:rPr>
          <w:rFonts w:ascii="Arial" w:hAnsi="Arial" w:cs="Arial"/>
          <w:sz w:val="20"/>
        </w:rPr>
        <w:t>12</w:t>
      </w:r>
      <w:r w:rsidR="00A22053">
        <w:rPr>
          <w:rFonts w:ascii="Arial" w:hAnsi="Arial" w:cs="Arial"/>
          <w:sz w:val="20"/>
        </w:rPr>
        <w:t>%</w:t>
      </w:r>
      <w:r w:rsidR="00A22053" w:rsidRPr="00756951">
        <w:rPr>
          <w:rFonts w:ascii="Arial" w:hAnsi="Arial" w:cs="Arial"/>
          <w:sz w:val="20"/>
        </w:rPr>
        <w:t xml:space="preserve"> </w:t>
      </w:r>
      <w:r w:rsidR="00654BBA">
        <w:rPr>
          <w:rFonts w:ascii="Arial" w:hAnsi="Arial" w:cs="Arial"/>
          <w:sz w:val="20"/>
        </w:rPr>
        <w:t>de</w:t>
      </w:r>
      <w:r w:rsidR="00654BBA" w:rsidRPr="00756951">
        <w:rPr>
          <w:rFonts w:ascii="Arial" w:hAnsi="Arial" w:cs="Arial"/>
          <w:sz w:val="20"/>
        </w:rPr>
        <w:t xml:space="preserve">crease </w:t>
      </w:r>
      <w:r w:rsidR="00A22053">
        <w:rPr>
          <w:rFonts w:ascii="Arial" w:hAnsi="Arial" w:cs="Arial"/>
          <w:sz w:val="20"/>
        </w:rPr>
        <w:t>from the previous</w:t>
      </w:r>
      <w:r w:rsidR="00A22053" w:rsidRPr="00756951">
        <w:rPr>
          <w:rFonts w:ascii="Arial" w:hAnsi="Arial" w:cs="Arial"/>
          <w:sz w:val="20"/>
        </w:rPr>
        <w:t xml:space="preserve"> year.</w:t>
      </w:r>
    </w:p>
    <w:p w14:paraId="22034D77" w14:textId="0CEDC513" w:rsidR="00A22053" w:rsidRPr="00756951" w:rsidRDefault="006A2D5D" w:rsidP="004C21D3">
      <w:pPr>
        <w:pStyle w:val="ListParagraph"/>
        <w:numPr>
          <w:ilvl w:val="0"/>
          <w:numId w:val="23"/>
        </w:numPr>
        <w:spacing w:before="240"/>
        <w:rPr>
          <w:rFonts w:ascii="Arial" w:hAnsi="Arial" w:cs="Arial"/>
          <w:sz w:val="20"/>
        </w:rPr>
      </w:pPr>
      <w:r>
        <w:rPr>
          <w:rFonts w:ascii="Arial" w:hAnsi="Arial" w:cs="Arial"/>
          <w:sz w:val="20"/>
        </w:rPr>
        <w:t>T</w:t>
      </w:r>
      <w:r w:rsidR="008F28E4">
        <w:rPr>
          <w:rFonts w:ascii="Arial" w:hAnsi="Arial" w:cs="Arial"/>
          <w:sz w:val="20"/>
        </w:rPr>
        <w:t>he number of LOAs executed by</w:t>
      </w:r>
      <w:r>
        <w:rPr>
          <w:rFonts w:ascii="Arial" w:hAnsi="Arial" w:cs="Arial"/>
          <w:sz w:val="20"/>
        </w:rPr>
        <w:t xml:space="preserve"> PFRAs and MRIs increased</w:t>
      </w:r>
      <w:r w:rsidR="008F28E4">
        <w:rPr>
          <w:rFonts w:ascii="Arial" w:hAnsi="Arial" w:cs="Arial"/>
          <w:sz w:val="20"/>
        </w:rPr>
        <w:t xml:space="preserve"> 46% and 40% respectively </w:t>
      </w:r>
      <w:r>
        <w:rPr>
          <w:rFonts w:ascii="Arial" w:hAnsi="Arial" w:cs="Arial"/>
          <w:sz w:val="20"/>
        </w:rPr>
        <w:t>between 2014 and 2015</w:t>
      </w:r>
      <w:r w:rsidR="00A22053">
        <w:rPr>
          <w:rFonts w:ascii="Arial" w:hAnsi="Arial" w:cs="Arial"/>
          <w:sz w:val="20"/>
        </w:rPr>
        <w:t xml:space="preserve">. </w:t>
      </w:r>
      <w:r>
        <w:rPr>
          <w:rFonts w:ascii="Arial" w:hAnsi="Arial" w:cs="Arial"/>
          <w:sz w:val="20"/>
        </w:rPr>
        <w:t xml:space="preserve">By </w:t>
      </w:r>
      <w:r w:rsidR="00BD6230">
        <w:rPr>
          <w:rFonts w:ascii="Arial" w:hAnsi="Arial" w:cs="Arial"/>
          <w:sz w:val="20"/>
        </w:rPr>
        <w:t xml:space="preserve">contrast, </w:t>
      </w:r>
      <w:r w:rsidR="008F28E4">
        <w:rPr>
          <w:rFonts w:ascii="Arial" w:hAnsi="Arial" w:cs="Arial"/>
          <w:sz w:val="20"/>
        </w:rPr>
        <w:t>u</w:t>
      </w:r>
      <w:r w:rsidR="00654BBA" w:rsidRPr="00756951">
        <w:rPr>
          <w:rFonts w:ascii="Arial" w:hAnsi="Arial" w:cs="Arial"/>
          <w:sz w:val="20"/>
        </w:rPr>
        <w:t xml:space="preserve">niversities </w:t>
      </w:r>
      <w:r w:rsidR="00654BBA">
        <w:rPr>
          <w:rFonts w:ascii="Arial" w:hAnsi="Arial" w:cs="Arial"/>
          <w:sz w:val="20"/>
        </w:rPr>
        <w:t>reported</w:t>
      </w:r>
      <w:r w:rsidR="00654BBA" w:rsidRPr="00756951">
        <w:rPr>
          <w:rFonts w:ascii="Arial" w:hAnsi="Arial" w:cs="Arial"/>
          <w:sz w:val="20"/>
        </w:rPr>
        <w:t xml:space="preserve"> </w:t>
      </w:r>
      <w:r>
        <w:rPr>
          <w:rFonts w:ascii="Arial" w:hAnsi="Arial" w:cs="Arial"/>
          <w:sz w:val="20"/>
        </w:rPr>
        <w:t xml:space="preserve">a </w:t>
      </w:r>
      <w:r w:rsidR="00654BBA">
        <w:rPr>
          <w:rFonts w:ascii="Arial" w:hAnsi="Arial" w:cs="Arial"/>
          <w:sz w:val="20"/>
        </w:rPr>
        <w:t xml:space="preserve">22% decline </w:t>
      </w:r>
      <w:r w:rsidR="00654BBA" w:rsidRPr="00756951">
        <w:rPr>
          <w:rFonts w:ascii="Arial" w:hAnsi="Arial" w:cs="Arial"/>
          <w:sz w:val="20"/>
        </w:rPr>
        <w:t>in the</w:t>
      </w:r>
      <w:r w:rsidR="00654BBA">
        <w:rPr>
          <w:rFonts w:ascii="Arial" w:hAnsi="Arial" w:cs="Arial"/>
          <w:sz w:val="20"/>
        </w:rPr>
        <w:t xml:space="preserve"> number of LOAs executed</w:t>
      </w:r>
      <w:r>
        <w:rPr>
          <w:rFonts w:ascii="Arial" w:hAnsi="Arial" w:cs="Arial"/>
          <w:sz w:val="20"/>
        </w:rPr>
        <w:t xml:space="preserve"> in the same period</w:t>
      </w:r>
      <w:r w:rsidR="008F28E4">
        <w:rPr>
          <w:rFonts w:ascii="Arial" w:hAnsi="Arial" w:cs="Arial"/>
          <w:sz w:val="20"/>
        </w:rPr>
        <w:t>.</w:t>
      </w:r>
    </w:p>
    <w:p w14:paraId="73BF83CD" w14:textId="0EF3E01F" w:rsidR="00A22053" w:rsidRPr="007F1FE4" w:rsidRDefault="00A22053" w:rsidP="004C21D3">
      <w:pPr>
        <w:pStyle w:val="ListParagraph"/>
        <w:numPr>
          <w:ilvl w:val="0"/>
          <w:numId w:val="23"/>
        </w:numPr>
        <w:spacing w:before="240"/>
        <w:rPr>
          <w:rFonts w:ascii="Arial" w:hAnsi="Arial" w:cs="Arial"/>
          <w:sz w:val="20"/>
        </w:rPr>
      </w:pPr>
      <w:r w:rsidRPr="00756951">
        <w:rPr>
          <w:rFonts w:ascii="Arial" w:hAnsi="Arial" w:cs="Arial"/>
          <w:sz w:val="20"/>
        </w:rPr>
        <w:t xml:space="preserve">Universities </w:t>
      </w:r>
      <w:r w:rsidR="00BD6230">
        <w:rPr>
          <w:rFonts w:ascii="Arial" w:hAnsi="Arial" w:cs="Arial"/>
          <w:sz w:val="20"/>
        </w:rPr>
        <w:t xml:space="preserve">accounted for </w:t>
      </w:r>
      <w:r w:rsidR="008F28E4">
        <w:rPr>
          <w:rFonts w:ascii="Arial" w:hAnsi="Arial" w:cs="Arial"/>
          <w:sz w:val="20"/>
        </w:rPr>
        <w:t>74</w:t>
      </w:r>
      <w:r>
        <w:rPr>
          <w:rFonts w:ascii="Arial" w:hAnsi="Arial" w:cs="Arial"/>
          <w:sz w:val="20"/>
        </w:rPr>
        <w:t>%</w:t>
      </w:r>
      <w:r w:rsidRPr="00756951">
        <w:rPr>
          <w:rFonts w:ascii="Arial" w:hAnsi="Arial" w:cs="Arial"/>
          <w:sz w:val="20"/>
        </w:rPr>
        <w:t xml:space="preserve"> of </w:t>
      </w:r>
      <w:r>
        <w:rPr>
          <w:rFonts w:ascii="Arial" w:hAnsi="Arial" w:cs="Arial"/>
          <w:sz w:val="20"/>
        </w:rPr>
        <w:t xml:space="preserve">all LOAs executed by </w:t>
      </w:r>
      <w:r w:rsidRPr="00756951">
        <w:rPr>
          <w:rFonts w:ascii="Arial" w:hAnsi="Arial" w:cs="Arial"/>
          <w:sz w:val="20"/>
        </w:rPr>
        <w:t>research organisation</w:t>
      </w:r>
      <w:r>
        <w:rPr>
          <w:rFonts w:ascii="Arial" w:hAnsi="Arial" w:cs="Arial"/>
          <w:sz w:val="20"/>
        </w:rPr>
        <w:t>s</w:t>
      </w:r>
      <w:r w:rsidR="00BD6230">
        <w:rPr>
          <w:rFonts w:ascii="Arial" w:hAnsi="Arial" w:cs="Arial"/>
          <w:sz w:val="20"/>
        </w:rPr>
        <w:t xml:space="preserve"> in 2015</w:t>
      </w:r>
      <w:r w:rsidRPr="00756951">
        <w:rPr>
          <w:rFonts w:ascii="Arial" w:hAnsi="Arial" w:cs="Arial"/>
          <w:sz w:val="20"/>
        </w:rPr>
        <w:t>.</w:t>
      </w:r>
    </w:p>
    <w:p w14:paraId="2C40D5D8" w14:textId="77777777" w:rsidR="00EF6210" w:rsidRDefault="00EF6210" w:rsidP="009D79B3">
      <w:pPr>
        <w:pStyle w:val="Heading3"/>
        <w:rPr>
          <w:sz w:val="20"/>
          <w:szCs w:val="20"/>
        </w:rPr>
      </w:pPr>
    </w:p>
    <w:p w14:paraId="18AF7CC5" w14:textId="370FA63F" w:rsidR="009D79B3" w:rsidRPr="009D79B3" w:rsidRDefault="00A22053" w:rsidP="009D79B3">
      <w:pPr>
        <w:pStyle w:val="Heading3"/>
        <w:rPr>
          <w:sz w:val="20"/>
          <w:szCs w:val="20"/>
        </w:rPr>
      </w:pPr>
      <w:r w:rsidRPr="00A93922">
        <w:rPr>
          <w:sz w:val="20"/>
          <w:szCs w:val="20"/>
        </w:rPr>
        <w:t xml:space="preserve">Table </w:t>
      </w:r>
      <w:r w:rsidR="003D7DAD">
        <w:rPr>
          <w:sz w:val="20"/>
          <w:szCs w:val="20"/>
        </w:rPr>
        <w:t>4</w:t>
      </w:r>
      <w:r w:rsidRPr="00A93922">
        <w:rPr>
          <w:sz w:val="20"/>
          <w:szCs w:val="20"/>
        </w:rPr>
        <w:t>.1.1: Number of LOAs executed</w:t>
      </w:r>
    </w:p>
    <w:tbl>
      <w:tblPr>
        <w:tblW w:w="7343" w:type="dxa"/>
        <w:tblInd w:w="108" w:type="dxa"/>
        <w:tblLook w:val="04A0" w:firstRow="1" w:lastRow="0" w:firstColumn="1" w:lastColumn="0" w:noHBand="0" w:noVBand="1"/>
      </w:tblPr>
      <w:tblGrid>
        <w:gridCol w:w="1181"/>
        <w:gridCol w:w="2054"/>
        <w:gridCol w:w="2054"/>
        <w:gridCol w:w="2054"/>
      </w:tblGrid>
      <w:tr w:rsidR="00BD6230" w:rsidRPr="00E754A8" w14:paraId="283AA732" w14:textId="77777777" w:rsidTr="00327F87">
        <w:trPr>
          <w:trHeight w:val="460"/>
        </w:trPr>
        <w:tc>
          <w:tcPr>
            <w:tcW w:w="1181" w:type="dxa"/>
            <w:tcBorders>
              <w:top w:val="single" w:sz="4" w:space="0" w:color="auto"/>
              <w:left w:val="nil"/>
              <w:bottom w:val="single" w:sz="4" w:space="0" w:color="auto"/>
              <w:right w:val="nil"/>
            </w:tcBorders>
            <w:shd w:val="clear" w:color="000000" w:fill="C4D79B"/>
            <w:noWrap/>
            <w:vAlign w:val="center"/>
            <w:hideMark/>
          </w:tcPr>
          <w:p w14:paraId="78B299EC" w14:textId="77777777" w:rsidR="00BD6230" w:rsidRPr="00E754A8" w:rsidRDefault="00BD6230" w:rsidP="00BD6230">
            <w:pPr>
              <w:spacing w:after="0" w:line="240" w:lineRule="auto"/>
              <w:jc w:val="center"/>
              <w:rPr>
                <w:rFonts w:ascii="Arial" w:eastAsia="Times New Roman" w:hAnsi="Arial" w:cs="Arial"/>
                <w:color w:val="000000"/>
                <w:szCs w:val="20"/>
                <w:lang w:eastAsia="en-AU"/>
              </w:rPr>
            </w:pPr>
            <w:r w:rsidRPr="00E754A8">
              <w:rPr>
                <w:rFonts w:ascii="Arial" w:eastAsia="Times New Roman" w:hAnsi="Arial" w:cs="Arial"/>
                <w:color w:val="000000"/>
                <w:szCs w:val="20"/>
                <w:lang w:eastAsia="en-AU"/>
              </w:rPr>
              <w:t> </w:t>
            </w:r>
          </w:p>
        </w:tc>
        <w:tc>
          <w:tcPr>
            <w:tcW w:w="2054" w:type="dxa"/>
            <w:tcBorders>
              <w:top w:val="single" w:sz="4" w:space="0" w:color="auto"/>
              <w:left w:val="nil"/>
              <w:bottom w:val="single" w:sz="4" w:space="0" w:color="auto"/>
              <w:right w:val="nil"/>
            </w:tcBorders>
            <w:shd w:val="clear" w:color="000000" w:fill="C4D79B"/>
            <w:noWrap/>
            <w:vAlign w:val="bottom"/>
            <w:hideMark/>
          </w:tcPr>
          <w:p w14:paraId="76C7F1CF" w14:textId="6A016066" w:rsidR="00BD6230" w:rsidRPr="00E754A8" w:rsidRDefault="00BD6230" w:rsidP="00BD6230">
            <w:pPr>
              <w:spacing w:after="0" w:line="240" w:lineRule="auto"/>
              <w:jc w:val="center"/>
              <w:rPr>
                <w:rFonts w:ascii="Arial" w:eastAsia="Times New Roman" w:hAnsi="Arial" w:cs="Arial"/>
                <w:b/>
                <w:bCs/>
                <w:color w:val="000000"/>
                <w:szCs w:val="20"/>
                <w:lang w:eastAsia="en-AU"/>
              </w:rPr>
            </w:pPr>
            <w:r w:rsidRPr="00E754A8">
              <w:rPr>
                <w:rFonts w:ascii="Arial" w:eastAsia="Times New Roman" w:hAnsi="Arial" w:cs="Arial"/>
                <w:b/>
                <w:bCs/>
                <w:color w:val="000000"/>
                <w:szCs w:val="20"/>
                <w:lang w:eastAsia="en-AU"/>
              </w:rPr>
              <w:t>2013</w:t>
            </w:r>
          </w:p>
        </w:tc>
        <w:tc>
          <w:tcPr>
            <w:tcW w:w="2054" w:type="dxa"/>
            <w:tcBorders>
              <w:top w:val="single" w:sz="4" w:space="0" w:color="auto"/>
              <w:left w:val="nil"/>
              <w:bottom w:val="single" w:sz="4" w:space="0" w:color="auto"/>
              <w:right w:val="nil"/>
            </w:tcBorders>
            <w:shd w:val="clear" w:color="000000" w:fill="C4D79B"/>
            <w:noWrap/>
            <w:vAlign w:val="bottom"/>
            <w:hideMark/>
          </w:tcPr>
          <w:p w14:paraId="6F9494CC" w14:textId="036A3A35" w:rsidR="00BD6230" w:rsidRPr="00E754A8" w:rsidRDefault="00BD6230" w:rsidP="00BD6230">
            <w:pPr>
              <w:spacing w:after="0" w:line="240" w:lineRule="auto"/>
              <w:jc w:val="center"/>
              <w:rPr>
                <w:rFonts w:ascii="Arial" w:eastAsia="Times New Roman" w:hAnsi="Arial" w:cs="Arial"/>
                <w:b/>
                <w:bCs/>
                <w:color w:val="000000"/>
                <w:szCs w:val="20"/>
                <w:lang w:eastAsia="en-AU"/>
              </w:rPr>
            </w:pPr>
            <w:r w:rsidRPr="00E754A8">
              <w:rPr>
                <w:rFonts w:ascii="Arial" w:eastAsia="Times New Roman" w:hAnsi="Arial" w:cs="Arial"/>
                <w:b/>
                <w:bCs/>
                <w:color w:val="000000"/>
                <w:szCs w:val="20"/>
                <w:lang w:eastAsia="en-AU"/>
              </w:rPr>
              <w:t>2014</w:t>
            </w:r>
          </w:p>
        </w:tc>
        <w:tc>
          <w:tcPr>
            <w:tcW w:w="2054" w:type="dxa"/>
            <w:tcBorders>
              <w:top w:val="single" w:sz="4" w:space="0" w:color="auto"/>
              <w:left w:val="nil"/>
              <w:bottom w:val="single" w:sz="4" w:space="0" w:color="auto"/>
              <w:right w:val="nil"/>
            </w:tcBorders>
            <w:shd w:val="clear" w:color="000000" w:fill="C4D79B"/>
            <w:noWrap/>
            <w:vAlign w:val="bottom"/>
            <w:hideMark/>
          </w:tcPr>
          <w:p w14:paraId="321D4707" w14:textId="242C6AD9" w:rsidR="00BD6230" w:rsidRPr="00E754A8" w:rsidRDefault="00BD6230" w:rsidP="00BD6230">
            <w:pPr>
              <w:spacing w:after="0" w:line="240" w:lineRule="auto"/>
              <w:jc w:val="center"/>
              <w:rPr>
                <w:rFonts w:ascii="Arial" w:eastAsia="Times New Roman" w:hAnsi="Arial" w:cs="Arial"/>
                <w:b/>
                <w:bCs/>
                <w:color w:val="000000"/>
                <w:szCs w:val="20"/>
                <w:lang w:eastAsia="en-AU"/>
              </w:rPr>
            </w:pPr>
            <w:r>
              <w:rPr>
                <w:rFonts w:ascii="Arial" w:eastAsia="Times New Roman" w:hAnsi="Arial" w:cs="Arial"/>
                <w:b/>
                <w:bCs/>
                <w:color w:val="000000"/>
                <w:szCs w:val="20"/>
                <w:lang w:eastAsia="en-AU"/>
              </w:rPr>
              <w:t>2015</w:t>
            </w:r>
          </w:p>
        </w:tc>
      </w:tr>
      <w:tr w:rsidR="00BD6230" w:rsidRPr="00E754A8" w14:paraId="2087E338" w14:textId="77777777" w:rsidTr="00327F87">
        <w:trPr>
          <w:trHeight w:val="460"/>
        </w:trPr>
        <w:tc>
          <w:tcPr>
            <w:tcW w:w="1181" w:type="dxa"/>
            <w:tcBorders>
              <w:top w:val="nil"/>
              <w:left w:val="nil"/>
              <w:bottom w:val="nil"/>
              <w:right w:val="nil"/>
            </w:tcBorders>
            <w:shd w:val="clear" w:color="auto" w:fill="auto"/>
            <w:noWrap/>
            <w:vAlign w:val="bottom"/>
            <w:hideMark/>
          </w:tcPr>
          <w:p w14:paraId="6D2CDFDC" w14:textId="77777777" w:rsidR="00BD6230" w:rsidRPr="00E754A8" w:rsidRDefault="00BD6230" w:rsidP="00BD6230">
            <w:pPr>
              <w:spacing w:after="0" w:line="240" w:lineRule="auto"/>
              <w:rPr>
                <w:rFonts w:ascii="Arial" w:eastAsia="Times New Roman" w:hAnsi="Arial" w:cs="Arial"/>
                <w:color w:val="000000"/>
                <w:szCs w:val="20"/>
                <w:lang w:eastAsia="en-AU"/>
              </w:rPr>
            </w:pPr>
            <w:r w:rsidRPr="00E754A8">
              <w:rPr>
                <w:rFonts w:ascii="Arial" w:eastAsia="Times New Roman" w:hAnsi="Arial" w:cs="Arial"/>
                <w:color w:val="000000"/>
                <w:szCs w:val="20"/>
                <w:lang w:eastAsia="en-AU"/>
              </w:rPr>
              <w:t>PFRAs</w:t>
            </w:r>
          </w:p>
        </w:tc>
        <w:tc>
          <w:tcPr>
            <w:tcW w:w="2054" w:type="dxa"/>
            <w:tcBorders>
              <w:top w:val="nil"/>
              <w:left w:val="nil"/>
              <w:bottom w:val="nil"/>
              <w:right w:val="nil"/>
            </w:tcBorders>
            <w:shd w:val="clear" w:color="auto" w:fill="auto"/>
            <w:noWrap/>
            <w:vAlign w:val="bottom"/>
            <w:hideMark/>
          </w:tcPr>
          <w:p w14:paraId="6D94EBB0" w14:textId="6CE841C3" w:rsidR="00BD6230" w:rsidRPr="00E754A8" w:rsidRDefault="008F28E4" w:rsidP="00BD6230">
            <w:pPr>
              <w:spacing w:after="0" w:line="240" w:lineRule="auto"/>
              <w:jc w:val="center"/>
              <w:rPr>
                <w:rFonts w:ascii="Arial" w:eastAsia="Times New Roman" w:hAnsi="Arial" w:cs="Arial"/>
                <w:color w:val="000000"/>
                <w:szCs w:val="20"/>
                <w:lang w:eastAsia="en-AU"/>
              </w:rPr>
            </w:pPr>
            <w:r>
              <w:rPr>
                <w:rFonts w:ascii="Arial" w:eastAsia="Times New Roman" w:hAnsi="Arial" w:cs="Arial"/>
                <w:color w:val="000000"/>
                <w:szCs w:val="20"/>
                <w:lang w:eastAsia="en-AU"/>
              </w:rPr>
              <w:t>162</w:t>
            </w:r>
          </w:p>
        </w:tc>
        <w:tc>
          <w:tcPr>
            <w:tcW w:w="2054" w:type="dxa"/>
            <w:tcBorders>
              <w:top w:val="nil"/>
              <w:left w:val="nil"/>
              <w:bottom w:val="nil"/>
              <w:right w:val="nil"/>
            </w:tcBorders>
            <w:shd w:val="clear" w:color="auto" w:fill="auto"/>
            <w:noWrap/>
            <w:vAlign w:val="bottom"/>
            <w:hideMark/>
          </w:tcPr>
          <w:p w14:paraId="0522A704" w14:textId="252FC2DD" w:rsidR="00BD6230" w:rsidRPr="00E754A8" w:rsidRDefault="008F28E4" w:rsidP="00BD6230">
            <w:pPr>
              <w:spacing w:after="0" w:line="240" w:lineRule="auto"/>
              <w:jc w:val="center"/>
              <w:rPr>
                <w:rFonts w:ascii="Arial" w:eastAsia="Times New Roman" w:hAnsi="Arial" w:cs="Arial"/>
                <w:color w:val="000000"/>
                <w:szCs w:val="20"/>
                <w:lang w:eastAsia="en-AU"/>
              </w:rPr>
            </w:pPr>
            <w:r>
              <w:rPr>
                <w:rFonts w:ascii="Arial" w:eastAsia="Times New Roman" w:hAnsi="Arial" w:cs="Arial"/>
                <w:color w:val="000000"/>
                <w:szCs w:val="20"/>
                <w:lang w:eastAsia="en-AU"/>
              </w:rPr>
              <w:t>70</w:t>
            </w:r>
          </w:p>
        </w:tc>
        <w:tc>
          <w:tcPr>
            <w:tcW w:w="2054" w:type="dxa"/>
            <w:tcBorders>
              <w:top w:val="nil"/>
              <w:left w:val="nil"/>
              <w:bottom w:val="nil"/>
              <w:right w:val="nil"/>
            </w:tcBorders>
            <w:shd w:val="clear" w:color="auto" w:fill="auto"/>
            <w:noWrap/>
            <w:vAlign w:val="bottom"/>
            <w:hideMark/>
          </w:tcPr>
          <w:p w14:paraId="1D6E0378" w14:textId="345356DA" w:rsidR="00BD6230" w:rsidRPr="00E754A8" w:rsidRDefault="008F28E4" w:rsidP="00BD6230">
            <w:pPr>
              <w:spacing w:after="0" w:line="240" w:lineRule="auto"/>
              <w:jc w:val="center"/>
              <w:rPr>
                <w:rFonts w:ascii="Arial" w:eastAsia="Times New Roman" w:hAnsi="Arial" w:cs="Arial"/>
                <w:color w:val="000000"/>
                <w:szCs w:val="20"/>
                <w:lang w:eastAsia="en-AU"/>
              </w:rPr>
            </w:pPr>
            <w:r>
              <w:rPr>
                <w:rFonts w:ascii="Arial" w:eastAsia="Times New Roman" w:hAnsi="Arial" w:cs="Arial"/>
                <w:color w:val="000000"/>
                <w:szCs w:val="20"/>
                <w:lang w:eastAsia="en-AU"/>
              </w:rPr>
              <w:t>102</w:t>
            </w:r>
          </w:p>
        </w:tc>
      </w:tr>
      <w:tr w:rsidR="00BD6230" w:rsidRPr="00E754A8" w14:paraId="66233646" w14:textId="77777777" w:rsidTr="00327F87">
        <w:trPr>
          <w:trHeight w:val="460"/>
        </w:trPr>
        <w:tc>
          <w:tcPr>
            <w:tcW w:w="1181" w:type="dxa"/>
            <w:tcBorders>
              <w:top w:val="single" w:sz="4" w:space="0" w:color="auto"/>
              <w:left w:val="nil"/>
              <w:bottom w:val="single" w:sz="4" w:space="0" w:color="auto"/>
              <w:right w:val="nil"/>
            </w:tcBorders>
            <w:shd w:val="clear" w:color="auto" w:fill="auto"/>
            <w:noWrap/>
            <w:vAlign w:val="bottom"/>
            <w:hideMark/>
          </w:tcPr>
          <w:p w14:paraId="18249FE8" w14:textId="77777777" w:rsidR="00BD6230" w:rsidRPr="00E754A8" w:rsidRDefault="00BD6230" w:rsidP="00BD6230">
            <w:pPr>
              <w:spacing w:after="0" w:line="240" w:lineRule="auto"/>
              <w:rPr>
                <w:rFonts w:ascii="Arial" w:eastAsia="Times New Roman" w:hAnsi="Arial" w:cs="Arial"/>
                <w:color w:val="000000"/>
                <w:szCs w:val="20"/>
                <w:lang w:eastAsia="en-AU"/>
              </w:rPr>
            </w:pPr>
            <w:r w:rsidRPr="00E754A8">
              <w:rPr>
                <w:rFonts w:ascii="Arial" w:eastAsia="Times New Roman" w:hAnsi="Arial" w:cs="Arial"/>
                <w:color w:val="000000"/>
                <w:szCs w:val="20"/>
                <w:lang w:eastAsia="en-AU"/>
              </w:rPr>
              <w:t>UNIs</w:t>
            </w:r>
          </w:p>
        </w:tc>
        <w:tc>
          <w:tcPr>
            <w:tcW w:w="2054" w:type="dxa"/>
            <w:tcBorders>
              <w:top w:val="single" w:sz="4" w:space="0" w:color="auto"/>
              <w:left w:val="nil"/>
              <w:bottom w:val="single" w:sz="4" w:space="0" w:color="auto"/>
              <w:right w:val="nil"/>
            </w:tcBorders>
            <w:shd w:val="clear" w:color="auto" w:fill="auto"/>
            <w:noWrap/>
            <w:vAlign w:val="bottom"/>
            <w:hideMark/>
          </w:tcPr>
          <w:p w14:paraId="50174279" w14:textId="29CA1C96" w:rsidR="00BD6230" w:rsidRPr="00E754A8" w:rsidRDefault="00BD6230" w:rsidP="00BD6230">
            <w:pPr>
              <w:spacing w:after="0" w:line="240" w:lineRule="auto"/>
              <w:jc w:val="center"/>
              <w:rPr>
                <w:rFonts w:ascii="Arial" w:eastAsia="Times New Roman" w:hAnsi="Arial" w:cs="Arial"/>
                <w:color w:val="000000"/>
                <w:szCs w:val="20"/>
                <w:lang w:eastAsia="en-AU"/>
              </w:rPr>
            </w:pPr>
            <w:r w:rsidRPr="00E754A8">
              <w:rPr>
                <w:rFonts w:ascii="Arial" w:eastAsia="Times New Roman" w:hAnsi="Arial" w:cs="Arial"/>
                <w:color w:val="000000"/>
                <w:szCs w:val="20"/>
                <w:lang w:eastAsia="en-AU"/>
              </w:rPr>
              <w:t>431</w:t>
            </w:r>
          </w:p>
        </w:tc>
        <w:tc>
          <w:tcPr>
            <w:tcW w:w="2054" w:type="dxa"/>
            <w:tcBorders>
              <w:top w:val="single" w:sz="4" w:space="0" w:color="auto"/>
              <w:left w:val="nil"/>
              <w:bottom w:val="single" w:sz="4" w:space="0" w:color="auto"/>
              <w:right w:val="nil"/>
            </w:tcBorders>
            <w:shd w:val="clear" w:color="auto" w:fill="auto"/>
            <w:noWrap/>
            <w:vAlign w:val="bottom"/>
            <w:hideMark/>
          </w:tcPr>
          <w:p w14:paraId="275E08D4" w14:textId="1AF4C5E8" w:rsidR="00BD6230" w:rsidRPr="00E754A8" w:rsidRDefault="00BD6230" w:rsidP="00BD6230">
            <w:pPr>
              <w:spacing w:after="0" w:line="240" w:lineRule="auto"/>
              <w:jc w:val="center"/>
              <w:rPr>
                <w:rFonts w:ascii="Arial" w:eastAsia="Times New Roman" w:hAnsi="Arial" w:cs="Arial"/>
                <w:color w:val="000000"/>
                <w:szCs w:val="20"/>
                <w:lang w:eastAsia="en-AU"/>
              </w:rPr>
            </w:pPr>
            <w:r w:rsidRPr="00E754A8">
              <w:rPr>
                <w:rFonts w:ascii="Arial" w:eastAsia="Times New Roman" w:hAnsi="Arial" w:cs="Arial"/>
                <w:color w:val="000000"/>
                <w:szCs w:val="20"/>
                <w:lang w:eastAsia="en-AU"/>
              </w:rPr>
              <w:t>617</w:t>
            </w:r>
          </w:p>
        </w:tc>
        <w:tc>
          <w:tcPr>
            <w:tcW w:w="2054" w:type="dxa"/>
            <w:tcBorders>
              <w:top w:val="single" w:sz="4" w:space="0" w:color="auto"/>
              <w:left w:val="nil"/>
              <w:bottom w:val="single" w:sz="4" w:space="0" w:color="auto"/>
              <w:right w:val="nil"/>
            </w:tcBorders>
            <w:shd w:val="clear" w:color="auto" w:fill="auto"/>
            <w:noWrap/>
            <w:vAlign w:val="bottom"/>
            <w:hideMark/>
          </w:tcPr>
          <w:p w14:paraId="5D8583EE" w14:textId="7C37B65E" w:rsidR="00BD6230" w:rsidRPr="00E754A8" w:rsidRDefault="008F28E4" w:rsidP="00BD6230">
            <w:pPr>
              <w:spacing w:after="0" w:line="240" w:lineRule="auto"/>
              <w:jc w:val="center"/>
              <w:rPr>
                <w:rFonts w:ascii="Arial" w:eastAsia="Times New Roman" w:hAnsi="Arial" w:cs="Arial"/>
                <w:color w:val="000000"/>
                <w:szCs w:val="20"/>
                <w:lang w:eastAsia="en-AU"/>
              </w:rPr>
            </w:pPr>
            <w:r>
              <w:rPr>
                <w:rFonts w:ascii="Arial" w:eastAsia="Times New Roman" w:hAnsi="Arial" w:cs="Arial"/>
                <w:color w:val="000000"/>
                <w:szCs w:val="20"/>
                <w:lang w:eastAsia="en-AU"/>
              </w:rPr>
              <w:t>480</w:t>
            </w:r>
          </w:p>
        </w:tc>
      </w:tr>
      <w:tr w:rsidR="00BD6230" w:rsidRPr="00E754A8" w14:paraId="0D534781" w14:textId="77777777" w:rsidTr="00327F87">
        <w:trPr>
          <w:trHeight w:val="460"/>
        </w:trPr>
        <w:tc>
          <w:tcPr>
            <w:tcW w:w="1181" w:type="dxa"/>
            <w:tcBorders>
              <w:top w:val="nil"/>
              <w:left w:val="nil"/>
              <w:bottom w:val="nil"/>
              <w:right w:val="nil"/>
            </w:tcBorders>
            <w:shd w:val="clear" w:color="auto" w:fill="auto"/>
            <w:noWrap/>
            <w:vAlign w:val="bottom"/>
            <w:hideMark/>
          </w:tcPr>
          <w:p w14:paraId="6FE5FC16" w14:textId="77777777" w:rsidR="00BD6230" w:rsidRPr="00E754A8" w:rsidRDefault="00BD6230" w:rsidP="00BD6230">
            <w:pPr>
              <w:spacing w:after="0" w:line="240" w:lineRule="auto"/>
              <w:rPr>
                <w:rFonts w:ascii="Arial" w:eastAsia="Times New Roman" w:hAnsi="Arial" w:cs="Arial"/>
                <w:color w:val="000000"/>
                <w:szCs w:val="20"/>
                <w:lang w:eastAsia="en-AU"/>
              </w:rPr>
            </w:pPr>
            <w:r w:rsidRPr="00E754A8">
              <w:rPr>
                <w:rFonts w:ascii="Arial" w:eastAsia="Times New Roman" w:hAnsi="Arial" w:cs="Arial"/>
                <w:color w:val="000000"/>
                <w:szCs w:val="20"/>
                <w:lang w:eastAsia="en-AU"/>
              </w:rPr>
              <w:t>MRIs</w:t>
            </w:r>
          </w:p>
        </w:tc>
        <w:tc>
          <w:tcPr>
            <w:tcW w:w="2054" w:type="dxa"/>
            <w:tcBorders>
              <w:top w:val="nil"/>
              <w:left w:val="nil"/>
              <w:bottom w:val="nil"/>
              <w:right w:val="nil"/>
            </w:tcBorders>
            <w:shd w:val="clear" w:color="auto" w:fill="auto"/>
            <w:noWrap/>
            <w:vAlign w:val="bottom"/>
            <w:hideMark/>
          </w:tcPr>
          <w:p w14:paraId="6504BDF8" w14:textId="617E0E79" w:rsidR="00BD6230" w:rsidRPr="00E754A8" w:rsidRDefault="00BD6230" w:rsidP="00BD6230">
            <w:pPr>
              <w:spacing w:after="0" w:line="240" w:lineRule="auto"/>
              <w:jc w:val="center"/>
              <w:rPr>
                <w:rFonts w:ascii="Arial" w:eastAsia="Times New Roman" w:hAnsi="Arial" w:cs="Arial"/>
                <w:color w:val="000000"/>
                <w:szCs w:val="20"/>
                <w:lang w:eastAsia="en-AU"/>
              </w:rPr>
            </w:pPr>
            <w:r w:rsidRPr="00E754A8">
              <w:rPr>
                <w:rFonts w:ascii="Arial" w:eastAsia="Times New Roman" w:hAnsi="Arial" w:cs="Arial"/>
                <w:color w:val="000000"/>
                <w:szCs w:val="20"/>
                <w:lang w:eastAsia="en-AU"/>
              </w:rPr>
              <w:t>38</w:t>
            </w:r>
          </w:p>
        </w:tc>
        <w:tc>
          <w:tcPr>
            <w:tcW w:w="2054" w:type="dxa"/>
            <w:tcBorders>
              <w:top w:val="nil"/>
              <w:left w:val="nil"/>
              <w:bottom w:val="nil"/>
              <w:right w:val="nil"/>
            </w:tcBorders>
            <w:shd w:val="clear" w:color="auto" w:fill="auto"/>
            <w:noWrap/>
            <w:vAlign w:val="bottom"/>
            <w:hideMark/>
          </w:tcPr>
          <w:p w14:paraId="01F8B52E" w14:textId="224A53BE" w:rsidR="00BD6230" w:rsidRPr="00E754A8" w:rsidRDefault="00BD6230" w:rsidP="00BD6230">
            <w:pPr>
              <w:spacing w:after="0" w:line="240" w:lineRule="auto"/>
              <w:jc w:val="center"/>
              <w:rPr>
                <w:rFonts w:ascii="Arial" w:eastAsia="Times New Roman" w:hAnsi="Arial" w:cs="Arial"/>
                <w:color w:val="000000"/>
                <w:szCs w:val="20"/>
                <w:lang w:eastAsia="en-AU"/>
              </w:rPr>
            </w:pPr>
            <w:r w:rsidRPr="00E754A8">
              <w:rPr>
                <w:rFonts w:ascii="Arial" w:eastAsia="Times New Roman" w:hAnsi="Arial" w:cs="Arial"/>
                <w:color w:val="000000"/>
                <w:szCs w:val="20"/>
                <w:lang w:eastAsia="en-AU"/>
              </w:rPr>
              <w:t>45</w:t>
            </w:r>
          </w:p>
        </w:tc>
        <w:tc>
          <w:tcPr>
            <w:tcW w:w="2054" w:type="dxa"/>
            <w:tcBorders>
              <w:top w:val="nil"/>
              <w:left w:val="nil"/>
              <w:bottom w:val="nil"/>
              <w:right w:val="nil"/>
            </w:tcBorders>
            <w:shd w:val="clear" w:color="auto" w:fill="auto"/>
            <w:noWrap/>
            <w:vAlign w:val="bottom"/>
            <w:hideMark/>
          </w:tcPr>
          <w:p w14:paraId="3D4B5045" w14:textId="005C37CD" w:rsidR="00BD6230" w:rsidRPr="00E754A8" w:rsidRDefault="008F28E4" w:rsidP="00BD6230">
            <w:pPr>
              <w:spacing w:after="0" w:line="240" w:lineRule="auto"/>
              <w:jc w:val="center"/>
              <w:rPr>
                <w:rFonts w:ascii="Arial" w:eastAsia="Times New Roman" w:hAnsi="Arial" w:cs="Arial"/>
                <w:color w:val="000000"/>
                <w:szCs w:val="20"/>
                <w:lang w:eastAsia="en-AU"/>
              </w:rPr>
            </w:pPr>
            <w:r>
              <w:rPr>
                <w:rFonts w:ascii="Arial" w:eastAsia="Times New Roman" w:hAnsi="Arial" w:cs="Arial"/>
                <w:color w:val="000000"/>
                <w:szCs w:val="20"/>
                <w:lang w:eastAsia="en-AU"/>
              </w:rPr>
              <w:t>63</w:t>
            </w:r>
          </w:p>
        </w:tc>
      </w:tr>
      <w:tr w:rsidR="00BD6230" w:rsidRPr="00E754A8" w14:paraId="32D2B1D6" w14:textId="77777777" w:rsidTr="00327F87">
        <w:trPr>
          <w:trHeight w:val="460"/>
        </w:trPr>
        <w:tc>
          <w:tcPr>
            <w:tcW w:w="1181" w:type="dxa"/>
            <w:tcBorders>
              <w:top w:val="single" w:sz="4" w:space="0" w:color="auto"/>
              <w:left w:val="nil"/>
              <w:bottom w:val="single" w:sz="4" w:space="0" w:color="auto"/>
              <w:right w:val="nil"/>
            </w:tcBorders>
            <w:shd w:val="clear" w:color="auto" w:fill="auto"/>
            <w:noWrap/>
            <w:vAlign w:val="bottom"/>
            <w:hideMark/>
          </w:tcPr>
          <w:p w14:paraId="4EEAE193" w14:textId="5BC2A779" w:rsidR="00BD6230" w:rsidRPr="00E754A8" w:rsidRDefault="00BD6230" w:rsidP="00BC353A">
            <w:pPr>
              <w:spacing w:after="0" w:line="240" w:lineRule="auto"/>
              <w:rPr>
                <w:rFonts w:ascii="Arial" w:eastAsia="Times New Roman" w:hAnsi="Arial" w:cs="Arial"/>
                <w:b/>
                <w:bCs/>
                <w:color w:val="000000"/>
                <w:szCs w:val="20"/>
                <w:lang w:eastAsia="en-AU"/>
              </w:rPr>
            </w:pPr>
            <w:r w:rsidRPr="00E754A8">
              <w:rPr>
                <w:rFonts w:ascii="Arial" w:eastAsia="Times New Roman" w:hAnsi="Arial" w:cs="Arial"/>
                <w:b/>
                <w:bCs/>
                <w:color w:val="000000"/>
                <w:szCs w:val="20"/>
                <w:lang w:eastAsia="en-AU"/>
              </w:rPr>
              <w:t>Total</w:t>
            </w:r>
          </w:p>
        </w:tc>
        <w:tc>
          <w:tcPr>
            <w:tcW w:w="2054" w:type="dxa"/>
            <w:tcBorders>
              <w:top w:val="single" w:sz="4" w:space="0" w:color="auto"/>
              <w:left w:val="nil"/>
              <w:bottom w:val="single" w:sz="4" w:space="0" w:color="auto"/>
              <w:right w:val="nil"/>
            </w:tcBorders>
            <w:shd w:val="clear" w:color="auto" w:fill="auto"/>
            <w:noWrap/>
            <w:vAlign w:val="bottom"/>
            <w:hideMark/>
          </w:tcPr>
          <w:p w14:paraId="23DCA9B5" w14:textId="4FE2D44A" w:rsidR="00BD6230" w:rsidRPr="00E754A8" w:rsidRDefault="00BD6230" w:rsidP="00BD6230">
            <w:pPr>
              <w:spacing w:after="0" w:line="240" w:lineRule="auto"/>
              <w:jc w:val="center"/>
              <w:rPr>
                <w:rFonts w:ascii="Arial" w:eastAsia="Times New Roman" w:hAnsi="Arial" w:cs="Arial"/>
                <w:b/>
                <w:bCs/>
                <w:color w:val="000000"/>
                <w:szCs w:val="20"/>
                <w:lang w:eastAsia="en-AU"/>
              </w:rPr>
            </w:pPr>
            <w:r w:rsidRPr="00E754A8">
              <w:rPr>
                <w:rFonts w:ascii="Arial" w:eastAsia="Times New Roman" w:hAnsi="Arial" w:cs="Arial"/>
                <w:b/>
                <w:bCs/>
                <w:color w:val="000000"/>
                <w:szCs w:val="20"/>
                <w:lang w:eastAsia="en-AU"/>
              </w:rPr>
              <w:t>631</w:t>
            </w:r>
          </w:p>
        </w:tc>
        <w:tc>
          <w:tcPr>
            <w:tcW w:w="2054" w:type="dxa"/>
            <w:tcBorders>
              <w:top w:val="single" w:sz="4" w:space="0" w:color="auto"/>
              <w:left w:val="nil"/>
              <w:bottom w:val="single" w:sz="4" w:space="0" w:color="auto"/>
              <w:right w:val="nil"/>
            </w:tcBorders>
            <w:shd w:val="clear" w:color="auto" w:fill="auto"/>
            <w:noWrap/>
            <w:vAlign w:val="bottom"/>
            <w:hideMark/>
          </w:tcPr>
          <w:p w14:paraId="63674E68" w14:textId="5DD79AB4" w:rsidR="00BD6230" w:rsidRPr="00E754A8" w:rsidRDefault="00BD6230" w:rsidP="00BD6230">
            <w:pPr>
              <w:spacing w:after="0" w:line="240" w:lineRule="auto"/>
              <w:jc w:val="center"/>
              <w:rPr>
                <w:rFonts w:ascii="Arial" w:eastAsia="Times New Roman" w:hAnsi="Arial" w:cs="Arial"/>
                <w:b/>
                <w:bCs/>
                <w:color w:val="000000"/>
                <w:szCs w:val="20"/>
                <w:lang w:eastAsia="en-AU"/>
              </w:rPr>
            </w:pPr>
            <w:r w:rsidRPr="00E754A8">
              <w:rPr>
                <w:rFonts w:ascii="Arial" w:eastAsia="Times New Roman" w:hAnsi="Arial" w:cs="Arial"/>
                <w:b/>
                <w:bCs/>
                <w:color w:val="000000"/>
                <w:szCs w:val="20"/>
                <w:lang w:eastAsia="en-AU"/>
              </w:rPr>
              <w:t>732</w:t>
            </w:r>
          </w:p>
        </w:tc>
        <w:tc>
          <w:tcPr>
            <w:tcW w:w="2054" w:type="dxa"/>
            <w:tcBorders>
              <w:top w:val="single" w:sz="4" w:space="0" w:color="auto"/>
              <w:left w:val="nil"/>
              <w:bottom w:val="single" w:sz="4" w:space="0" w:color="auto"/>
              <w:right w:val="nil"/>
            </w:tcBorders>
            <w:shd w:val="clear" w:color="auto" w:fill="auto"/>
            <w:noWrap/>
            <w:vAlign w:val="bottom"/>
            <w:hideMark/>
          </w:tcPr>
          <w:p w14:paraId="0D37DAD4" w14:textId="6CD56C7E" w:rsidR="00BD6230" w:rsidRPr="00E754A8" w:rsidRDefault="008F28E4" w:rsidP="00BD6230">
            <w:pPr>
              <w:spacing w:after="0" w:line="240" w:lineRule="auto"/>
              <w:jc w:val="center"/>
              <w:rPr>
                <w:rFonts w:ascii="Arial" w:eastAsia="Times New Roman" w:hAnsi="Arial" w:cs="Arial"/>
                <w:b/>
                <w:bCs/>
                <w:color w:val="000000"/>
                <w:szCs w:val="20"/>
                <w:lang w:eastAsia="en-AU"/>
              </w:rPr>
            </w:pPr>
            <w:r>
              <w:rPr>
                <w:rFonts w:ascii="Arial" w:eastAsia="Times New Roman" w:hAnsi="Arial" w:cs="Arial"/>
                <w:b/>
                <w:bCs/>
                <w:color w:val="000000"/>
                <w:szCs w:val="20"/>
                <w:lang w:eastAsia="en-AU"/>
              </w:rPr>
              <w:t>645</w:t>
            </w:r>
          </w:p>
        </w:tc>
      </w:tr>
    </w:tbl>
    <w:p w14:paraId="57FD28C5" w14:textId="77777777" w:rsidR="00A22053" w:rsidRPr="00756951" w:rsidRDefault="00A22053" w:rsidP="00A22053">
      <w:pPr>
        <w:rPr>
          <w:rFonts w:ascii="Arial" w:hAnsi="Arial" w:cs="Arial"/>
        </w:rPr>
      </w:pPr>
    </w:p>
    <w:p w14:paraId="2611F917" w14:textId="559FAE23" w:rsidR="00A22053" w:rsidRPr="00327F87" w:rsidRDefault="00A22053" w:rsidP="00D05CB9">
      <w:pPr>
        <w:pStyle w:val="Heading3"/>
        <w:rPr>
          <w:sz w:val="20"/>
          <w:szCs w:val="20"/>
        </w:rPr>
      </w:pPr>
      <w:r w:rsidRPr="00A93922">
        <w:rPr>
          <w:sz w:val="20"/>
          <w:szCs w:val="20"/>
        </w:rPr>
        <w:t xml:space="preserve">Figure </w:t>
      </w:r>
      <w:r w:rsidR="003D7DAD">
        <w:rPr>
          <w:sz w:val="20"/>
          <w:szCs w:val="20"/>
        </w:rPr>
        <w:t>4</w:t>
      </w:r>
      <w:r w:rsidRPr="00A93922">
        <w:rPr>
          <w:sz w:val="20"/>
          <w:szCs w:val="20"/>
        </w:rPr>
        <w:t>.1.1: Number of LOAs executed</w:t>
      </w:r>
    </w:p>
    <w:p w14:paraId="5748C803" w14:textId="74C44694" w:rsidR="008F28E4" w:rsidRPr="008F28E4" w:rsidRDefault="008F28E4" w:rsidP="004C21D3"/>
    <w:p w14:paraId="25501955" w14:textId="3E798792" w:rsidR="009D79B3" w:rsidRPr="009D79B3" w:rsidRDefault="00DB04AE" w:rsidP="009D79B3">
      <w:r>
        <w:rPr>
          <w:noProof/>
          <w:lang w:eastAsia="en-AU"/>
        </w:rPr>
        <w:drawing>
          <wp:inline distT="0" distB="0" distL="0" distR="0" wp14:anchorId="5CBE63A7" wp14:editId="029F68E4">
            <wp:extent cx="4657725" cy="2861072"/>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4683421" cy="2876856"/>
                    </a:xfrm>
                    <a:prstGeom prst="rect">
                      <a:avLst/>
                    </a:prstGeom>
                    <a:noFill/>
                  </pic:spPr>
                </pic:pic>
              </a:graphicData>
            </a:graphic>
          </wp:inline>
        </w:drawing>
      </w:r>
    </w:p>
    <w:p w14:paraId="3661F07C" w14:textId="608A9A97" w:rsidR="00A22053" w:rsidRDefault="003D7DAD" w:rsidP="00D05CB9">
      <w:pPr>
        <w:pStyle w:val="Heading3"/>
      </w:pPr>
      <w:r>
        <w:t>4</w:t>
      </w:r>
      <w:r w:rsidR="00A22053">
        <w:t>.1.2</w:t>
      </w:r>
      <w:r w:rsidR="00A22053">
        <w:tab/>
        <w:t xml:space="preserve">Active LOAs </w:t>
      </w:r>
    </w:p>
    <w:p w14:paraId="66539DAF" w14:textId="537702F9" w:rsidR="00A22053" w:rsidRPr="00C413A0" w:rsidRDefault="00A22053" w:rsidP="00A22053">
      <w:pPr>
        <w:rPr>
          <w:rFonts w:ascii="Arial" w:hAnsi="Arial" w:cs="Arial"/>
        </w:rPr>
      </w:pPr>
      <w:r w:rsidRPr="00C413A0">
        <w:rPr>
          <w:rFonts w:ascii="Arial" w:hAnsi="Arial" w:cs="Arial"/>
        </w:rPr>
        <w:t xml:space="preserve">Active LOAs are 'legally enforceable' </w:t>
      </w:r>
      <w:r w:rsidRPr="00FD533E">
        <w:rPr>
          <w:rFonts w:ascii="Arial" w:hAnsi="Arial" w:cs="Arial"/>
        </w:rPr>
        <w:t>licences</w:t>
      </w:r>
      <w:r w:rsidR="00FD533E" w:rsidRPr="00241727">
        <w:rPr>
          <w:rFonts w:ascii="Arial" w:hAnsi="Arial" w:cs="Arial"/>
        </w:rPr>
        <w:t xml:space="preserve">, </w:t>
      </w:r>
      <w:r w:rsidRPr="00FD533E">
        <w:rPr>
          <w:rFonts w:ascii="Arial" w:hAnsi="Arial" w:cs="Arial"/>
        </w:rPr>
        <w:t>op</w:t>
      </w:r>
      <w:r w:rsidR="00BD6230" w:rsidRPr="00FD533E">
        <w:rPr>
          <w:rFonts w:ascii="Arial" w:hAnsi="Arial" w:cs="Arial"/>
        </w:rPr>
        <w:t>tions</w:t>
      </w:r>
      <w:r w:rsidR="00FD533E">
        <w:rPr>
          <w:rFonts w:ascii="Arial" w:hAnsi="Arial" w:cs="Arial"/>
        </w:rPr>
        <w:t xml:space="preserve"> and assignments</w:t>
      </w:r>
      <w:r w:rsidR="00BD6230">
        <w:rPr>
          <w:rFonts w:ascii="Arial" w:hAnsi="Arial" w:cs="Arial"/>
        </w:rPr>
        <w:t xml:space="preserve"> that earned income in 2015</w:t>
      </w:r>
      <w:r w:rsidRPr="00C413A0">
        <w:rPr>
          <w:rFonts w:ascii="Arial" w:hAnsi="Arial" w:cs="Arial"/>
        </w:rPr>
        <w:t>, or which are contracted to provide income in future years and for which there is a reasonable expectation that income will be paid.</w:t>
      </w:r>
    </w:p>
    <w:p w14:paraId="30D53E35" w14:textId="17B9F9BA" w:rsidR="00A22053" w:rsidRPr="00756951" w:rsidRDefault="00BD6230" w:rsidP="00EF6210">
      <w:pPr>
        <w:pStyle w:val="ListParagraph"/>
        <w:numPr>
          <w:ilvl w:val="0"/>
          <w:numId w:val="31"/>
        </w:numPr>
        <w:spacing w:before="240"/>
        <w:rPr>
          <w:rFonts w:ascii="Arial" w:hAnsi="Arial" w:cs="Arial"/>
          <w:sz w:val="20"/>
        </w:rPr>
      </w:pPr>
      <w:r>
        <w:rPr>
          <w:rFonts w:ascii="Arial" w:hAnsi="Arial" w:cs="Arial"/>
          <w:sz w:val="20"/>
        </w:rPr>
        <w:t>In 2015</w:t>
      </w:r>
      <w:r w:rsidR="00A22053">
        <w:rPr>
          <w:rFonts w:ascii="Arial" w:hAnsi="Arial" w:cs="Arial"/>
          <w:sz w:val="20"/>
        </w:rPr>
        <w:t>, resea</w:t>
      </w:r>
      <w:r>
        <w:rPr>
          <w:rFonts w:ascii="Arial" w:hAnsi="Arial" w:cs="Arial"/>
          <w:sz w:val="20"/>
        </w:rPr>
        <w:t>rch organisations reported</w:t>
      </w:r>
      <w:r w:rsidR="005F6171">
        <w:rPr>
          <w:rFonts w:ascii="Arial" w:hAnsi="Arial" w:cs="Arial"/>
          <w:sz w:val="20"/>
        </w:rPr>
        <w:t xml:space="preserve"> a total</w:t>
      </w:r>
      <w:r w:rsidR="00241727">
        <w:rPr>
          <w:rFonts w:ascii="Arial" w:hAnsi="Arial" w:cs="Arial"/>
          <w:sz w:val="20"/>
        </w:rPr>
        <w:t xml:space="preserve"> number</w:t>
      </w:r>
      <w:r w:rsidR="005F6171">
        <w:rPr>
          <w:rFonts w:ascii="Arial" w:hAnsi="Arial" w:cs="Arial"/>
          <w:sz w:val="20"/>
        </w:rPr>
        <w:t xml:space="preserve"> of</w:t>
      </w:r>
      <w:r>
        <w:rPr>
          <w:rFonts w:ascii="Arial" w:hAnsi="Arial" w:cs="Arial"/>
          <w:sz w:val="20"/>
        </w:rPr>
        <w:t xml:space="preserve"> </w:t>
      </w:r>
      <w:r w:rsidR="00AE2DD3">
        <w:rPr>
          <w:rFonts w:ascii="Arial" w:hAnsi="Arial" w:cs="Arial"/>
          <w:sz w:val="20"/>
        </w:rPr>
        <w:t>2</w:t>
      </w:r>
      <w:r w:rsidR="00B26C4E">
        <w:rPr>
          <w:rFonts w:ascii="Arial" w:hAnsi="Arial" w:cs="Arial"/>
          <w:sz w:val="20"/>
        </w:rPr>
        <w:t>,</w:t>
      </w:r>
      <w:r w:rsidR="007A6D69">
        <w:rPr>
          <w:rFonts w:ascii="Arial" w:hAnsi="Arial" w:cs="Arial"/>
          <w:sz w:val="20"/>
        </w:rPr>
        <w:t xml:space="preserve">790 </w:t>
      </w:r>
      <w:r w:rsidR="00A22053">
        <w:rPr>
          <w:rFonts w:ascii="Arial" w:hAnsi="Arial" w:cs="Arial"/>
          <w:sz w:val="20"/>
        </w:rPr>
        <w:t xml:space="preserve">active LOAs, </w:t>
      </w:r>
      <w:r w:rsidR="00A22053" w:rsidRPr="00756951">
        <w:rPr>
          <w:rFonts w:ascii="Arial" w:hAnsi="Arial" w:cs="Arial"/>
          <w:sz w:val="20"/>
        </w:rPr>
        <w:t xml:space="preserve">a </w:t>
      </w:r>
      <w:r w:rsidR="007A6D69">
        <w:rPr>
          <w:rFonts w:ascii="Arial" w:hAnsi="Arial" w:cs="Arial"/>
          <w:sz w:val="20"/>
        </w:rPr>
        <w:t>25</w:t>
      </w:r>
      <w:r w:rsidR="00A22053">
        <w:rPr>
          <w:rFonts w:ascii="Arial" w:hAnsi="Arial" w:cs="Arial"/>
          <w:sz w:val="20"/>
        </w:rPr>
        <w:t>%</w:t>
      </w:r>
      <w:r w:rsidR="00A22053" w:rsidRPr="00756951">
        <w:rPr>
          <w:rFonts w:ascii="Arial" w:hAnsi="Arial" w:cs="Arial"/>
          <w:sz w:val="20"/>
        </w:rPr>
        <w:t xml:space="preserve"> </w:t>
      </w:r>
      <w:r>
        <w:rPr>
          <w:rFonts w:ascii="Arial" w:hAnsi="Arial" w:cs="Arial"/>
          <w:sz w:val="20"/>
        </w:rPr>
        <w:t>increase</w:t>
      </w:r>
      <w:r w:rsidR="00A22053" w:rsidRPr="00756951">
        <w:rPr>
          <w:rFonts w:ascii="Arial" w:hAnsi="Arial" w:cs="Arial"/>
          <w:sz w:val="20"/>
        </w:rPr>
        <w:t xml:space="preserve"> </w:t>
      </w:r>
      <w:r w:rsidR="00A22053">
        <w:rPr>
          <w:rFonts w:ascii="Arial" w:hAnsi="Arial" w:cs="Arial"/>
          <w:sz w:val="20"/>
        </w:rPr>
        <w:t>from the previous</w:t>
      </w:r>
      <w:r w:rsidR="00A22053" w:rsidRPr="00756951">
        <w:rPr>
          <w:rFonts w:ascii="Arial" w:hAnsi="Arial" w:cs="Arial"/>
          <w:sz w:val="20"/>
        </w:rPr>
        <w:t xml:space="preserve"> year.</w:t>
      </w:r>
    </w:p>
    <w:p w14:paraId="7FC045DA" w14:textId="2CDA0168" w:rsidR="00A22053" w:rsidRDefault="00A22053" w:rsidP="00EF6210">
      <w:pPr>
        <w:pStyle w:val="ListParagraph"/>
        <w:numPr>
          <w:ilvl w:val="0"/>
          <w:numId w:val="31"/>
        </w:numPr>
        <w:spacing w:before="240"/>
        <w:rPr>
          <w:rFonts w:ascii="Arial" w:hAnsi="Arial" w:cs="Arial"/>
          <w:sz w:val="20"/>
        </w:rPr>
      </w:pPr>
      <w:r w:rsidRPr="0093795E">
        <w:rPr>
          <w:rFonts w:ascii="Arial" w:hAnsi="Arial" w:cs="Arial"/>
          <w:sz w:val="20"/>
        </w:rPr>
        <w:t xml:space="preserve">Active LOAs reported by universities </w:t>
      </w:r>
      <w:r w:rsidR="007A6D69">
        <w:rPr>
          <w:rFonts w:ascii="Arial" w:hAnsi="Arial" w:cs="Arial"/>
          <w:sz w:val="20"/>
        </w:rPr>
        <w:t xml:space="preserve">and </w:t>
      </w:r>
      <w:r w:rsidR="00B10480">
        <w:rPr>
          <w:rFonts w:ascii="Arial" w:hAnsi="Arial" w:cs="Arial"/>
          <w:sz w:val="20"/>
        </w:rPr>
        <w:t xml:space="preserve">MRIs </w:t>
      </w:r>
      <w:r w:rsidR="00BD6230">
        <w:rPr>
          <w:rFonts w:ascii="Arial" w:hAnsi="Arial" w:cs="Arial"/>
          <w:sz w:val="20"/>
        </w:rPr>
        <w:t>increased</w:t>
      </w:r>
      <w:r w:rsidRPr="0093795E">
        <w:rPr>
          <w:rFonts w:ascii="Arial" w:hAnsi="Arial" w:cs="Arial"/>
          <w:sz w:val="20"/>
        </w:rPr>
        <w:t xml:space="preserve"> by </w:t>
      </w:r>
      <w:r w:rsidR="00AE2DD3">
        <w:rPr>
          <w:rFonts w:ascii="Arial" w:hAnsi="Arial" w:cs="Arial"/>
          <w:sz w:val="20"/>
        </w:rPr>
        <w:t>29</w:t>
      </w:r>
      <w:r>
        <w:rPr>
          <w:rFonts w:ascii="Arial" w:hAnsi="Arial" w:cs="Arial"/>
          <w:sz w:val="20"/>
        </w:rPr>
        <w:t>%</w:t>
      </w:r>
      <w:r w:rsidR="007A6D69">
        <w:rPr>
          <w:rFonts w:ascii="Arial" w:hAnsi="Arial" w:cs="Arial"/>
          <w:sz w:val="20"/>
        </w:rPr>
        <w:t xml:space="preserve"> and 26% </w:t>
      </w:r>
      <w:r w:rsidR="003B6DBB">
        <w:rPr>
          <w:rFonts w:ascii="Arial" w:hAnsi="Arial" w:cs="Arial"/>
          <w:sz w:val="20"/>
        </w:rPr>
        <w:t>respectively compared</w:t>
      </w:r>
      <w:r w:rsidR="00B26C4E">
        <w:rPr>
          <w:rFonts w:ascii="Arial" w:hAnsi="Arial" w:cs="Arial"/>
          <w:sz w:val="20"/>
        </w:rPr>
        <w:t xml:space="preserve"> to</w:t>
      </w:r>
      <w:r w:rsidR="00B26C4E" w:rsidRPr="0093795E">
        <w:rPr>
          <w:rFonts w:ascii="Arial" w:hAnsi="Arial" w:cs="Arial"/>
          <w:sz w:val="20"/>
        </w:rPr>
        <w:t xml:space="preserve"> </w:t>
      </w:r>
      <w:r w:rsidR="005F6171">
        <w:rPr>
          <w:rFonts w:ascii="Arial" w:hAnsi="Arial" w:cs="Arial"/>
          <w:sz w:val="20"/>
        </w:rPr>
        <w:t>2014</w:t>
      </w:r>
      <w:r w:rsidRPr="0093795E">
        <w:rPr>
          <w:rFonts w:ascii="Arial" w:hAnsi="Arial" w:cs="Arial"/>
          <w:sz w:val="20"/>
        </w:rPr>
        <w:t xml:space="preserve">. </w:t>
      </w:r>
      <w:r w:rsidR="00AE2DD3">
        <w:rPr>
          <w:rFonts w:ascii="Arial" w:hAnsi="Arial" w:cs="Arial"/>
          <w:sz w:val="20"/>
        </w:rPr>
        <w:t>PFRAs</w:t>
      </w:r>
      <w:r w:rsidR="00BD6230">
        <w:rPr>
          <w:rFonts w:ascii="Arial" w:hAnsi="Arial" w:cs="Arial"/>
          <w:sz w:val="20"/>
        </w:rPr>
        <w:t xml:space="preserve"> </w:t>
      </w:r>
      <w:r w:rsidR="007A6D69">
        <w:rPr>
          <w:rFonts w:ascii="Arial" w:hAnsi="Arial" w:cs="Arial"/>
          <w:sz w:val="20"/>
        </w:rPr>
        <w:t xml:space="preserve">also </w:t>
      </w:r>
      <w:r w:rsidR="00BD6230">
        <w:rPr>
          <w:rFonts w:ascii="Arial" w:hAnsi="Arial" w:cs="Arial"/>
          <w:sz w:val="20"/>
        </w:rPr>
        <w:t xml:space="preserve">reported a </w:t>
      </w:r>
      <w:r w:rsidR="00AE2DD3">
        <w:rPr>
          <w:rFonts w:ascii="Arial" w:hAnsi="Arial" w:cs="Arial"/>
          <w:sz w:val="20"/>
        </w:rPr>
        <w:t>9</w:t>
      </w:r>
      <w:r>
        <w:rPr>
          <w:rFonts w:ascii="Arial" w:hAnsi="Arial" w:cs="Arial"/>
          <w:sz w:val="20"/>
        </w:rPr>
        <w:t>%</w:t>
      </w:r>
      <w:r w:rsidR="00BD6230">
        <w:rPr>
          <w:rFonts w:ascii="Arial" w:hAnsi="Arial" w:cs="Arial"/>
          <w:sz w:val="20"/>
        </w:rPr>
        <w:t xml:space="preserve"> </w:t>
      </w:r>
      <w:r w:rsidRPr="0093795E">
        <w:rPr>
          <w:rFonts w:ascii="Arial" w:hAnsi="Arial" w:cs="Arial"/>
          <w:sz w:val="20"/>
        </w:rPr>
        <w:t>increase in the number of active LOAs.</w:t>
      </w:r>
    </w:p>
    <w:p w14:paraId="0E44AACB" w14:textId="3ACD18A6" w:rsidR="00A22053" w:rsidRPr="0093795E" w:rsidRDefault="00BD6230" w:rsidP="00EF6210">
      <w:pPr>
        <w:pStyle w:val="ListParagraph"/>
        <w:numPr>
          <w:ilvl w:val="0"/>
          <w:numId w:val="31"/>
        </w:numPr>
        <w:spacing w:before="240"/>
        <w:rPr>
          <w:rFonts w:ascii="Arial" w:hAnsi="Arial" w:cs="Arial"/>
          <w:sz w:val="20"/>
        </w:rPr>
      </w:pPr>
      <w:r>
        <w:rPr>
          <w:rFonts w:ascii="Arial" w:hAnsi="Arial" w:cs="Arial"/>
          <w:sz w:val="20"/>
        </w:rPr>
        <w:t xml:space="preserve">Universities accounted for </w:t>
      </w:r>
      <w:r w:rsidR="007A6D69">
        <w:rPr>
          <w:rFonts w:ascii="Arial" w:hAnsi="Arial" w:cs="Arial"/>
          <w:sz w:val="20"/>
        </w:rPr>
        <w:t>74</w:t>
      </w:r>
      <w:r w:rsidR="00A22053">
        <w:rPr>
          <w:rFonts w:ascii="Arial" w:hAnsi="Arial" w:cs="Arial"/>
          <w:sz w:val="20"/>
        </w:rPr>
        <w:t>%</w:t>
      </w:r>
      <w:r>
        <w:rPr>
          <w:rFonts w:ascii="Arial" w:hAnsi="Arial" w:cs="Arial"/>
          <w:sz w:val="20"/>
        </w:rPr>
        <w:t xml:space="preserve"> of active LOAs in 2015</w:t>
      </w:r>
      <w:r w:rsidR="00A22053" w:rsidRPr="0093795E">
        <w:rPr>
          <w:rFonts w:ascii="Arial" w:hAnsi="Arial" w:cs="Arial"/>
          <w:sz w:val="20"/>
        </w:rPr>
        <w:t>.</w:t>
      </w:r>
    </w:p>
    <w:p w14:paraId="583B5489" w14:textId="77777777" w:rsidR="00D00356" w:rsidRDefault="00D00356" w:rsidP="00D05CB9">
      <w:pPr>
        <w:pStyle w:val="Heading3"/>
        <w:rPr>
          <w:sz w:val="20"/>
          <w:szCs w:val="20"/>
        </w:rPr>
      </w:pPr>
    </w:p>
    <w:p w14:paraId="671E6AC5" w14:textId="7282029A" w:rsidR="00724B0D" w:rsidRPr="00DD0349" w:rsidRDefault="00A22053" w:rsidP="00327F87">
      <w:pPr>
        <w:pStyle w:val="Heading3"/>
        <w:rPr>
          <w:szCs w:val="20"/>
        </w:rPr>
      </w:pPr>
      <w:r w:rsidRPr="00A93922">
        <w:rPr>
          <w:sz w:val="20"/>
          <w:szCs w:val="20"/>
        </w:rPr>
        <w:t xml:space="preserve">Table </w:t>
      </w:r>
      <w:r w:rsidR="003D7DAD">
        <w:rPr>
          <w:sz w:val="20"/>
          <w:szCs w:val="20"/>
        </w:rPr>
        <w:t>4</w:t>
      </w:r>
      <w:r w:rsidRPr="00A93922">
        <w:rPr>
          <w:sz w:val="20"/>
          <w:szCs w:val="20"/>
        </w:rPr>
        <w:t>.1.2: Number of active LOAs</w:t>
      </w:r>
    </w:p>
    <w:tbl>
      <w:tblPr>
        <w:tblW w:w="7043" w:type="dxa"/>
        <w:tblInd w:w="108" w:type="dxa"/>
        <w:tblLook w:val="04A0" w:firstRow="1" w:lastRow="0" w:firstColumn="1" w:lastColumn="0" w:noHBand="0" w:noVBand="1"/>
      </w:tblPr>
      <w:tblGrid>
        <w:gridCol w:w="1133"/>
        <w:gridCol w:w="1970"/>
        <w:gridCol w:w="1970"/>
        <w:gridCol w:w="1970"/>
      </w:tblGrid>
      <w:tr w:rsidR="00BD6230" w:rsidRPr="00E754A8" w14:paraId="626A5E15" w14:textId="77777777" w:rsidTr="00327F87">
        <w:trPr>
          <w:trHeight w:val="477"/>
        </w:trPr>
        <w:tc>
          <w:tcPr>
            <w:tcW w:w="1133" w:type="dxa"/>
            <w:tcBorders>
              <w:top w:val="single" w:sz="4" w:space="0" w:color="auto"/>
              <w:left w:val="nil"/>
              <w:bottom w:val="single" w:sz="4" w:space="0" w:color="auto"/>
              <w:right w:val="nil"/>
            </w:tcBorders>
            <w:shd w:val="clear" w:color="000000" w:fill="C4D79B"/>
            <w:noWrap/>
            <w:vAlign w:val="center"/>
            <w:hideMark/>
          </w:tcPr>
          <w:p w14:paraId="28597442" w14:textId="77777777" w:rsidR="00BD6230" w:rsidRPr="00E754A8" w:rsidRDefault="00BD6230" w:rsidP="00BD6230">
            <w:pPr>
              <w:spacing w:after="0" w:line="240" w:lineRule="auto"/>
              <w:jc w:val="center"/>
              <w:rPr>
                <w:rFonts w:ascii="Arial" w:eastAsia="Times New Roman" w:hAnsi="Arial" w:cs="Arial"/>
                <w:color w:val="000000"/>
                <w:szCs w:val="20"/>
                <w:lang w:eastAsia="en-AU"/>
              </w:rPr>
            </w:pPr>
            <w:r w:rsidRPr="00E754A8">
              <w:rPr>
                <w:rFonts w:ascii="Arial" w:eastAsia="Times New Roman" w:hAnsi="Arial" w:cs="Arial"/>
                <w:color w:val="000000"/>
                <w:szCs w:val="20"/>
                <w:lang w:eastAsia="en-AU"/>
              </w:rPr>
              <w:t> </w:t>
            </w:r>
          </w:p>
        </w:tc>
        <w:tc>
          <w:tcPr>
            <w:tcW w:w="1970" w:type="dxa"/>
            <w:tcBorders>
              <w:top w:val="single" w:sz="4" w:space="0" w:color="auto"/>
              <w:left w:val="nil"/>
              <w:bottom w:val="single" w:sz="4" w:space="0" w:color="auto"/>
              <w:right w:val="nil"/>
            </w:tcBorders>
            <w:shd w:val="clear" w:color="000000" w:fill="C4D79B"/>
            <w:noWrap/>
            <w:vAlign w:val="center"/>
            <w:hideMark/>
          </w:tcPr>
          <w:p w14:paraId="0ACDDC6D" w14:textId="5E8EFDF4" w:rsidR="00BD6230" w:rsidRPr="00E754A8" w:rsidRDefault="00BD6230" w:rsidP="00BD6230">
            <w:pPr>
              <w:spacing w:after="0" w:line="240" w:lineRule="auto"/>
              <w:jc w:val="center"/>
              <w:rPr>
                <w:rFonts w:ascii="Arial" w:eastAsia="Times New Roman" w:hAnsi="Arial" w:cs="Arial"/>
                <w:b/>
                <w:bCs/>
                <w:color w:val="000000"/>
                <w:szCs w:val="20"/>
                <w:lang w:eastAsia="en-AU"/>
              </w:rPr>
            </w:pPr>
            <w:r>
              <w:rPr>
                <w:rFonts w:ascii="Arial" w:eastAsia="Times New Roman" w:hAnsi="Arial" w:cs="Arial"/>
                <w:b/>
                <w:bCs/>
                <w:color w:val="000000"/>
                <w:szCs w:val="20"/>
                <w:lang w:eastAsia="en-AU"/>
              </w:rPr>
              <w:t xml:space="preserve"> </w:t>
            </w:r>
            <w:r w:rsidRPr="00E754A8">
              <w:rPr>
                <w:rFonts w:ascii="Arial" w:eastAsia="Times New Roman" w:hAnsi="Arial" w:cs="Arial"/>
                <w:b/>
                <w:bCs/>
                <w:color w:val="000000"/>
                <w:szCs w:val="20"/>
                <w:lang w:eastAsia="en-AU"/>
              </w:rPr>
              <w:t>2013</w:t>
            </w:r>
          </w:p>
        </w:tc>
        <w:tc>
          <w:tcPr>
            <w:tcW w:w="1970" w:type="dxa"/>
            <w:tcBorders>
              <w:top w:val="single" w:sz="4" w:space="0" w:color="auto"/>
              <w:left w:val="nil"/>
              <w:bottom w:val="single" w:sz="4" w:space="0" w:color="auto"/>
              <w:right w:val="nil"/>
            </w:tcBorders>
            <w:shd w:val="clear" w:color="000000" w:fill="C4D79B"/>
            <w:noWrap/>
            <w:vAlign w:val="center"/>
            <w:hideMark/>
          </w:tcPr>
          <w:p w14:paraId="168DE9E9" w14:textId="67577F43" w:rsidR="00BD6230" w:rsidRPr="00E754A8" w:rsidRDefault="00BD6230" w:rsidP="00BD6230">
            <w:pPr>
              <w:spacing w:after="0" w:line="240" w:lineRule="auto"/>
              <w:jc w:val="center"/>
              <w:rPr>
                <w:rFonts w:ascii="Arial" w:eastAsia="Times New Roman" w:hAnsi="Arial" w:cs="Arial"/>
                <w:b/>
                <w:bCs/>
                <w:color w:val="000000"/>
                <w:szCs w:val="20"/>
                <w:lang w:eastAsia="en-AU"/>
              </w:rPr>
            </w:pPr>
            <w:r w:rsidRPr="00E754A8">
              <w:rPr>
                <w:rFonts w:ascii="Arial" w:eastAsia="Times New Roman" w:hAnsi="Arial" w:cs="Arial"/>
                <w:b/>
                <w:bCs/>
                <w:color w:val="000000"/>
                <w:szCs w:val="20"/>
                <w:lang w:eastAsia="en-AU"/>
              </w:rPr>
              <w:t>2014</w:t>
            </w:r>
          </w:p>
        </w:tc>
        <w:tc>
          <w:tcPr>
            <w:tcW w:w="1970" w:type="dxa"/>
            <w:tcBorders>
              <w:top w:val="single" w:sz="4" w:space="0" w:color="auto"/>
              <w:left w:val="nil"/>
              <w:bottom w:val="single" w:sz="4" w:space="0" w:color="auto"/>
              <w:right w:val="nil"/>
            </w:tcBorders>
            <w:shd w:val="clear" w:color="000000" w:fill="C4D79B"/>
            <w:noWrap/>
            <w:vAlign w:val="center"/>
            <w:hideMark/>
          </w:tcPr>
          <w:p w14:paraId="5D535ED8" w14:textId="09D4A669" w:rsidR="00BD6230" w:rsidRPr="00E754A8" w:rsidRDefault="00BD6230" w:rsidP="00BD6230">
            <w:pPr>
              <w:spacing w:after="0" w:line="240" w:lineRule="auto"/>
              <w:jc w:val="center"/>
              <w:rPr>
                <w:rFonts w:ascii="Arial" w:eastAsia="Times New Roman" w:hAnsi="Arial" w:cs="Arial"/>
                <w:b/>
                <w:bCs/>
                <w:color w:val="000000"/>
                <w:szCs w:val="20"/>
                <w:lang w:eastAsia="en-AU"/>
              </w:rPr>
            </w:pPr>
            <w:r>
              <w:rPr>
                <w:rFonts w:ascii="Arial" w:eastAsia="Times New Roman" w:hAnsi="Arial" w:cs="Arial"/>
                <w:b/>
                <w:bCs/>
                <w:color w:val="000000"/>
                <w:szCs w:val="20"/>
                <w:lang w:eastAsia="en-AU"/>
              </w:rPr>
              <w:t>2015</w:t>
            </w:r>
          </w:p>
        </w:tc>
      </w:tr>
      <w:tr w:rsidR="00BD6230" w:rsidRPr="00E754A8" w14:paraId="66967F6C" w14:textId="77777777" w:rsidTr="00327F87">
        <w:trPr>
          <w:trHeight w:val="477"/>
        </w:trPr>
        <w:tc>
          <w:tcPr>
            <w:tcW w:w="1133" w:type="dxa"/>
            <w:tcBorders>
              <w:top w:val="nil"/>
              <w:left w:val="nil"/>
              <w:bottom w:val="nil"/>
              <w:right w:val="nil"/>
            </w:tcBorders>
            <w:shd w:val="clear" w:color="auto" w:fill="auto"/>
            <w:noWrap/>
            <w:vAlign w:val="bottom"/>
            <w:hideMark/>
          </w:tcPr>
          <w:p w14:paraId="25A82EC3" w14:textId="77777777" w:rsidR="00BD6230" w:rsidRPr="00E754A8" w:rsidRDefault="00BD6230" w:rsidP="00BD6230">
            <w:pPr>
              <w:spacing w:after="0" w:line="240" w:lineRule="auto"/>
              <w:rPr>
                <w:rFonts w:ascii="Arial" w:eastAsia="Times New Roman" w:hAnsi="Arial" w:cs="Arial"/>
                <w:color w:val="000000"/>
                <w:szCs w:val="20"/>
                <w:lang w:eastAsia="en-AU"/>
              </w:rPr>
            </w:pPr>
            <w:r w:rsidRPr="00E754A8">
              <w:rPr>
                <w:rFonts w:ascii="Arial" w:eastAsia="Times New Roman" w:hAnsi="Arial" w:cs="Arial"/>
                <w:color w:val="000000"/>
                <w:szCs w:val="20"/>
                <w:lang w:eastAsia="en-AU"/>
              </w:rPr>
              <w:t>PFRAs</w:t>
            </w:r>
          </w:p>
        </w:tc>
        <w:tc>
          <w:tcPr>
            <w:tcW w:w="1970" w:type="dxa"/>
            <w:tcBorders>
              <w:top w:val="nil"/>
              <w:left w:val="nil"/>
              <w:bottom w:val="nil"/>
              <w:right w:val="nil"/>
            </w:tcBorders>
            <w:shd w:val="clear" w:color="auto" w:fill="auto"/>
            <w:noWrap/>
            <w:vAlign w:val="bottom"/>
            <w:hideMark/>
          </w:tcPr>
          <w:p w14:paraId="4016AE3B" w14:textId="59A613DC" w:rsidR="00BD6230" w:rsidRPr="00E754A8" w:rsidRDefault="00BD6230" w:rsidP="00BD6230">
            <w:pPr>
              <w:spacing w:after="0" w:line="240" w:lineRule="auto"/>
              <w:jc w:val="center"/>
              <w:rPr>
                <w:rFonts w:ascii="Arial" w:eastAsia="Times New Roman" w:hAnsi="Arial" w:cs="Arial"/>
                <w:color w:val="000000"/>
                <w:szCs w:val="20"/>
                <w:lang w:eastAsia="en-AU"/>
              </w:rPr>
            </w:pPr>
            <w:r w:rsidRPr="00E754A8">
              <w:rPr>
                <w:rFonts w:ascii="Arial" w:eastAsia="Times New Roman" w:hAnsi="Arial" w:cs="Arial"/>
                <w:color w:val="000000"/>
                <w:szCs w:val="20"/>
                <w:lang w:eastAsia="en-AU"/>
              </w:rPr>
              <w:t>686</w:t>
            </w:r>
          </w:p>
        </w:tc>
        <w:tc>
          <w:tcPr>
            <w:tcW w:w="1970" w:type="dxa"/>
            <w:tcBorders>
              <w:top w:val="nil"/>
              <w:left w:val="nil"/>
              <w:bottom w:val="nil"/>
              <w:right w:val="nil"/>
            </w:tcBorders>
            <w:shd w:val="clear" w:color="auto" w:fill="auto"/>
            <w:noWrap/>
            <w:vAlign w:val="bottom"/>
            <w:hideMark/>
          </w:tcPr>
          <w:p w14:paraId="4126DA89" w14:textId="754396DF" w:rsidR="00BD6230" w:rsidRPr="00E754A8" w:rsidRDefault="00BD6230" w:rsidP="00BD6230">
            <w:pPr>
              <w:spacing w:after="0" w:line="240" w:lineRule="auto"/>
              <w:jc w:val="center"/>
              <w:rPr>
                <w:rFonts w:ascii="Arial" w:eastAsia="Times New Roman" w:hAnsi="Arial" w:cs="Arial"/>
                <w:color w:val="000000"/>
                <w:szCs w:val="20"/>
                <w:lang w:eastAsia="en-AU"/>
              </w:rPr>
            </w:pPr>
            <w:r w:rsidRPr="00E754A8">
              <w:rPr>
                <w:rFonts w:ascii="Arial" w:eastAsia="Times New Roman" w:hAnsi="Arial" w:cs="Arial"/>
                <w:color w:val="000000"/>
                <w:szCs w:val="20"/>
                <w:lang w:eastAsia="en-AU"/>
              </w:rPr>
              <w:t>429</w:t>
            </w:r>
          </w:p>
        </w:tc>
        <w:tc>
          <w:tcPr>
            <w:tcW w:w="1970" w:type="dxa"/>
            <w:tcBorders>
              <w:top w:val="nil"/>
              <w:left w:val="nil"/>
              <w:bottom w:val="nil"/>
              <w:right w:val="nil"/>
            </w:tcBorders>
            <w:shd w:val="clear" w:color="auto" w:fill="auto"/>
            <w:noWrap/>
            <w:vAlign w:val="bottom"/>
            <w:hideMark/>
          </w:tcPr>
          <w:p w14:paraId="0A9A9017" w14:textId="61196A57" w:rsidR="00BD6230" w:rsidRPr="00E754A8" w:rsidRDefault="00B93CE1" w:rsidP="00BD6230">
            <w:pPr>
              <w:spacing w:after="0" w:line="240" w:lineRule="auto"/>
              <w:jc w:val="center"/>
              <w:rPr>
                <w:rFonts w:ascii="Arial" w:eastAsia="Times New Roman" w:hAnsi="Arial" w:cs="Arial"/>
                <w:color w:val="000000"/>
                <w:szCs w:val="20"/>
                <w:lang w:eastAsia="en-AU"/>
              </w:rPr>
            </w:pPr>
            <w:r>
              <w:rPr>
                <w:rFonts w:ascii="Arial" w:eastAsia="Times New Roman" w:hAnsi="Arial" w:cs="Arial"/>
                <w:color w:val="000000"/>
                <w:szCs w:val="20"/>
                <w:lang w:eastAsia="en-AU"/>
              </w:rPr>
              <w:t>468</w:t>
            </w:r>
          </w:p>
        </w:tc>
      </w:tr>
      <w:tr w:rsidR="00BD6230" w:rsidRPr="00E754A8" w14:paraId="3416EB39" w14:textId="77777777" w:rsidTr="00327F87">
        <w:trPr>
          <w:trHeight w:val="477"/>
        </w:trPr>
        <w:tc>
          <w:tcPr>
            <w:tcW w:w="1133" w:type="dxa"/>
            <w:tcBorders>
              <w:top w:val="single" w:sz="4" w:space="0" w:color="auto"/>
              <w:left w:val="nil"/>
              <w:bottom w:val="single" w:sz="4" w:space="0" w:color="auto"/>
              <w:right w:val="nil"/>
            </w:tcBorders>
            <w:shd w:val="clear" w:color="auto" w:fill="auto"/>
            <w:noWrap/>
            <w:vAlign w:val="bottom"/>
            <w:hideMark/>
          </w:tcPr>
          <w:p w14:paraId="36A32D7F" w14:textId="77777777" w:rsidR="00BD6230" w:rsidRPr="00E754A8" w:rsidRDefault="00BD6230" w:rsidP="00BD6230">
            <w:pPr>
              <w:spacing w:after="0" w:line="240" w:lineRule="auto"/>
              <w:rPr>
                <w:rFonts w:ascii="Arial" w:eastAsia="Times New Roman" w:hAnsi="Arial" w:cs="Arial"/>
                <w:color w:val="000000"/>
                <w:szCs w:val="20"/>
                <w:lang w:eastAsia="en-AU"/>
              </w:rPr>
            </w:pPr>
            <w:r w:rsidRPr="00E754A8">
              <w:rPr>
                <w:rFonts w:ascii="Arial" w:eastAsia="Times New Roman" w:hAnsi="Arial" w:cs="Arial"/>
                <w:color w:val="000000"/>
                <w:szCs w:val="20"/>
                <w:lang w:eastAsia="en-AU"/>
              </w:rPr>
              <w:t>UNIs</w:t>
            </w:r>
          </w:p>
        </w:tc>
        <w:tc>
          <w:tcPr>
            <w:tcW w:w="1970" w:type="dxa"/>
            <w:tcBorders>
              <w:top w:val="single" w:sz="4" w:space="0" w:color="auto"/>
              <w:left w:val="nil"/>
              <w:bottom w:val="single" w:sz="4" w:space="0" w:color="auto"/>
              <w:right w:val="nil"/>
            </w:tcBorders>
            <w:shd w:val="clear" w:color="auto" w:fill="auto"/>
            <w:noWrap/>
            <w:vAlign w:val="bottom"/>
            <w:hideMark/>
          </w:tcPr>
          <w:p w14:paraId="2D15441E" w14:textId="0288C9CC" w:rsidR="00BD6230" w:rsidRPr="00E754A8" w:rsidRDefault="00BD6230" w:rsidP="00BD6230">
            <w:pPr>
              <w:spacing w:after="0" w:line="240" w:lineRule="auto"/>
              <w:jc w:val="center"/>
              <w:rPr>
                <w:rFonts w:ascii="Arial" w:eastAsia="Times New Roman" w:hAnsi="Arial" w:cs="Arial"/>
                <w:color w:val="000000"/>
                <w:szCs w:val="20"/>
                <w:lang w:eastAsia="en-AU"/>
              </w:rPr>
            </w:pPr>
            <w:r w:rsidRPr="00E754A8">
              <w:rPr>
                <w:rFonts w:ascii="Arial" w:eastAsia="Times New Roman" w:hAnsi="Arial" w:cs="Arial"/>
                <w:color w:val="000000"/>
                <w:szCs w:val="20"/>
                <w:lang w:eastAsia="en-AU"/>
              </w:rPr>
              <w:t>1</w:t>
            </w:r>
            <w:r w:rsidR="006F6B60">
              <w:rPr>
                <w:rFonts w:ascii="Arial" w:eastAsia="Times New Roman" w:hAnsi="Arial" w:cs="Arial"/>
                <w:color w:val="000000"/>
                <w:szCs w:val="20"/>
                <w:lang w:eastAsia="en-AU"/>
              </w:rPr>
              <w:t>,</w:t>
            </w:r>
            <w:r w:rsidRPr="00E754A8">
              <w:rPr>
                <w:rFonts w:ascii="Arial" w:eastAsia="Times New Roman" w:hAnsi="Arial" w:cs="Arial"/>
                <w:color w:val="000000"/>
                <w:szCs w:val="20"/>
                <w:lang w:eastAsia="en-AU"/>
              </w:rPr>
              <w:t>611</w:t>
            </w:r>
          </w:p>
        </w:tc>
        <w:tc>
          <w:tcPr>
            <w:tcW w:w="1970" w:type="dxa"/>
            <w:tcBorders>
              <w:top w:val="single" w:sz="4" w:space="0" w:color="auto"/>
              <w:left w:val="nil"/>
              <w:bottom w:val="single" w:sz="4" w:space="0" w:color="auto"/>
              <w:right w:val="nil"/>
            </w:tcBorders>
            <w:shd w:val="clear" w:color="auto" w:fill="auto"/>
            <w:noWrap/>
            <w:vAlign w:val="bottom"/>
            <w:hideMark/>
          </w:tcPr>
          <w:p w14:paraId="23E30AB7" w14:textId="2AB8F1C1" w:rsidR="00BD6230" w:rsidRPr="00E754A8" w:rsidRDefault="00BD6230" w:rsidP="00BD6230">
            <w:pPr>
              <w:spacing w:after="0" w:line="240" w:lineRule="auto"/>
              <w:jc w:val="center"/>
              <w:rPr>
                <w:rFonts w:ascii="Arial" w:eastAsia="Times New Roman" w:hAnsi="Arial" w:cs="Arial"/>
                <w:color w:val="000000"/>
                <w:szCs w:val="20"/>
                <w:lang w:eastAsia="en-AU"/>
              </w:rPr>
            </w:pPr>
            <w:r w:rsidRPr="00E754A8">
              <w:rPr>
                <w:rFonts w:ascii="Arial" w:eastAsia="Times New Roman" w:hAnsi="Arial" w:cs="Arial"/>
                <w:color w:val="000000"/>
                <w:szCs w:val="20"/>
                <w:lang w:eastAsia="en-AU"/>
              </w:rPr>
              <w:t>1</w:t>
            </w:r>
            <w:r w:rsidR="00214A25">
              <w:rPr>
                <w:rFonts w:ascii="Arial" w:eastAsia="Times New Roman" w:hAnsi="Arial" w:cs="Arial"/>
                <w:color w:val="000000"/>
                <w:szCs w:val="20"/>
                <w:lang w:eastAsia="en-AU"/>
              </w:rPr>
              <w:t>,</w:t>
            </w:r>
            <w:r w:rsidRPr="00E754A8">
              <w:rPr>
                <w:rFonts w:ascii="Arial" w:eastAsia="Times New Roman" w:hAnsi="Arial" w:cs="Arial"/>
                <w:color w:val="000000"/>
                <w:szCs w:val="20"/>
                <w:lang w:eastAsia="en-AU"/>
              </w:rPr>
              <w:t>609</w:t>
            </w:r>
          </w:p>
        </w:tc>
        <w:tc>
          <w:tcPr>
            <w:tcW w:w="1970" w:type="dxa"/>
            <w:tcBorders>
              <w:top w:val="single" w:sz="4" w:space="0" w:color="auto"/>
              <w:left w:val="nil"/>
              <w:bottom w:val="single" w:sz="4" w:space="0" w:color="auto"/>
              <w:right w:val="nil"/>
            </w:tcBorders>
            <w:shd w:val="clear" w:color="auto" w:fill="auto"/>
            <w:noWrap/>
            <w:vAlign w:val="bottom"/>
            <w:hideMark/>
          </w:tcPr>
          <w:p w14:paraId="581EE3D3" w14:textId="29F4E151" w:rsidR="00BD6230" w:rsidRPr="00E754A8" w:rsidRDefault="00B93CE1" w:rsidP="00BD6230">
            <w:pPr>
              <w:spacing w:after="0" w:line="240" w:lineRule="auto"/>
              <w:jc w:val="center"/>
              <w:rPr>
                <w:rFonts w:ascii="Arial" w:eastAsia="Times New Roman" w:hAnsi="Arial" w:cs="Arial"/>
                <w:color w:val="000000"/>
                <w:szCs w:val="20"/>
                <w:lang w:eastAsia="en-AU"/>
              </w:rPr>
            </w:pPr>
            <w:r>
              <w:rPr>
                <w:rFonts w:ascii="Arial" w:eastAsia="Times New Roman" w:hAnsi="Arial" w:cs="Arial"/>
                <w:color w:val="000000"/>
                <w:szCs w:val="20"/>
                <w:lang w:eastAsia="en-AU"/>
              </w:rPr>
              <w:t>2</w:t>
            </w:r>
            <w:r w:rsidR="006F6B60">
              <w:rPr>
                <w:rFonts w:ascii="Arial" w:eastAsia="Times New Roman" w:hAnsi="Arial" w:cs="Arial"/>
                <w:color w:val="000000"/>
                <w:szCs w:val="20"/>
                <w:lang w:eastAsia="en-AU"/>
              </w:rPr>
              <w:t>,</w:t>
            </w:r>
            <w:r>
              <w:rPr>
                <w:rFonts w:ascii="Arial" w:eastAsia="Times New Roman" w:hAnsi="Arial" w:cs="Arial"/>
                <w:color w:val="000000"/>
                <w:szCs w:val="20"/>
                <w:lang w:eastAsia="en-AU"/>
              </w:rPr>
              <w:t>073</w:t>
            </w:r>
          </w:p>
        </w:tc>
      </w:tr>
      <w:tr w:rsidR="00BD6230" w:rsidRPr="00E754A8" w14:paraId="15574EFD" w14:textId="77777777" w:rsidTr="00327F87">
        <w:trPr>
          <w:trHeight w:val="477"/>
        </w:trPr>
        <w:tc>
          <w:tcPr>
            <w:tcW w:w="1133" w:type="dxa"/>
            <w:tcBorders>
              <w:top w:val="nil"/>
              <w:left w:val="nil"/>
              <w:bottom w:val="nil"/>
              <w:right w:val="nil"/>
            </w:tcBorders>
            <w:shd w:val="clear" w:color="auto" w:fill="auto"/>
            <w:noWrap/>
            <w:vAlign w:val="bottom"/>
            <w:hideMark/>
          </w:tcPr>
          <w:p w14:paraId="6E4AADD0" w14:textId="77777777" w:rsidR="00BD6230" w:rsidRPr="00E754A8" w:rsidRDefault="00BD6230" w:rsidP="00BD6230">
            <w:pPr>
              <w:spacing w:after="0" w:line="240" w:lineRule="auto"/>
              <w:rPr>
                <w:rFonts w:ascii="Arial" w:eastAsia="Times New Roman" w:hAnsi="Arial" w:cs="Arial"/>
                <w:color w:val="000000"/>
                <w:szCs w:val="20"/>
                <w:lang w:eastAsia="en-AU"/>
              </w:rPr>
            </w:pPr>
            <w:r w:rsidRPr="00E754A8">
              <w:rPr>
                <w:rFonts w:ascii="Arial" w:eastAsia="Times New Roman" w:hAnsi="Arial" w:cs="Arial"/>
                <w:color w:val="000000"/>
                <w:szCs w:val="20"/>
                <w:lang w:eastAsia="en-AU"/>
              </w:rPr>
              <w:t>MRIs</w:t>
            </w:r>
          </w:p>
        </w:tc>
        <w:tc>
          <w:tcPr>
            <w:tcW w:w="1970" w:type="dxa"/>
            <w:tcBorders>
              <w:top w:val="nil"/>
              <w:left w:val="nil"/>
              <w:bottom w:val="nil"/>
              <w:right w:val="nil"/>
            </w:tcBorders>
            <w:shd w:val="clear" w:color="auto" w:fill="auto"/>
            <w:noWrap/>
            <w:vAlign w:val="bottom"/>
            <w:hideMark/>
          </w:tcPr>
          <w:p w14:paraId="41FB0909" w14:textId="5B8B24D9" w:rsidR="00BD6230" w:rsidRPr="00E754A8" w:rsidRDefault="00BD6230" w:rsidP="00BD6230">
            <w:pPr>
              <w:spacing w:after="0" w:line="240" w:lineRule="auto"/>
              <w:jc w:val="center"/>
              <w:rPr>
                <w:rFonts w:ascii="Arial" w:eastAsia="Times New Roman" w:hAnsi="Arial" w:cs="Arial"/>
                <w:color w:val="000000"/>
                <w:szCs w:val="20"/>
                <w:lang w:eastAsia="en-AU"/>
              </w:rPr>
            </w:pPr>
            <w:r w:rsidRPr="00E754A8">
              <w:rPr>
                <w:rFonts w:ascii="Arial" w:eastAsia="Times New Roman" w:hAnsi="Arial" w:cs="Arial"/>
                <w:color w:val="000000"/>
                <w:szCs w:val="20"/>
                <w:lang w:eastAsia="en-AU"/>
              </w:rPr>
              <w:t>157</w:t>
            </w:r>
          </w:p>
        </w:tc>
        <w:tc>
          <w:tcPr>
            <w:tcW w:w="1970" w:type="dxa"/>
            <w:tcBorders>
              <w:top w:val="nil"/>
              <w:left w:val="nil"/>
              <w:bottom w:val="nil"/>
              <w:right w:val="nil"/>
            </w:tcBorders>
            <w:shd w:val="clear" w:color="auto" w:fill="auto"/>
            <w:noWrap/>
            <w:vAlign w:val="bottom"/>
            <w:hideMark/>
          </w:tcPr>
          <w:p w14:paraId="56967D81" w14:textId="302BF6D5" w:rsidR="00BD6230" w:rsidRPr="00E754A8" w:rsidRDefault="00BD6230" w:rsidP="00BD6230">
            <w:pPr>
              <w:spacing w:after="0" w:line="240" w:lineRule="auto"/>
              <w:jc w:val="center"/>
              <w:rPr>
                <w:rFonts w:ascii="Arial" w:eastAsia="Times New Roman" w:hAnsi="Arial" w:cs="Arial"/>
                <w:color w:val="000000"/>
                <w:szCs w:val="20"/>
                <w:lang w:eastAsia="en-AU"/>
              </w:rPr>
            </w:pPr>
            <w:r w:rsidRPr="00E754A8">
              <w:rPr>
                <w:rFonts w:ascii="Arial" w:eastAsia="Times New Roman" w:hAnsi="Arial" w:cs="Arial"/>
                <w:color w:val="000000"/>
                <w:szCs w:val="20"/>
                <w:lang w:eastAsia="en-AU"/>
              </w:rPr>
              <w:t>198</w:t>
            </w:r>
          </w:p>
        </w:tc>
        <w:tc>
          <w:tcPr>
            <w:tcW w:w="1970" w:type="dxa"/>
            <w:tcBorders>
              <w:top w:val="nil"/>
              <w:left w:val="nil"/>
              <w:bottom w:val="nil"/>
              <w:right w:val="nil"/>
            </w:tcBorders>
            <w:shd w:val="clear" w:color="auto" w:fill="auto"/>
            <w:noWrap/>
            <w:vAlign w:val="bottom"/>
            <w:hideMark/>
          </w:tcPr>
          <w:p w14:paraId="66599288" w14:textId="077995FE" w:rsidR="00BD6230" w:rsidRPr="00E754A8" w:rsidRDefault="007A6D69" w:rsidP="007A6D69">
            <w:pPr>
              <w:spacing w:after="0" w:line="240" w:lineRule="auto"/>
              <w:jc w:val="center"/>
              <w:rPr>
                <w:rFonts w:ascii="Arial" w:eastAsia="Times New Roman" w:hAnsi="Arial" w:cs="Arial"/>
                <w:color w:val="000000"/>
                <w:szCs w:val="20"/>
                <w:lang w:eastAsia="en-AU"/>
              </w:rPr>
            </w:pPr>
            <w:r>
              <w:rPr>
                <w:rFonts w:ascii="Arial" w:eastAsia="Times New Roman" w:hAnsi="Arial" w:cs="Arial"/>
                <w:color w:val="000000"/>
                <w:szCs w:val="20"/>
                <w:lang w:eastAsia="en-AU"/>
              </w:rPr>
              <w:t>249</w:t>
            </w:r>
          </w:p>
        </w:tc>
      </w:tr>
      <w:tr w:rsidR="00BD6230" w:rsidRPr="00E754A8" w14:paraId="09C14E2B" w14:textId="77777777" w:rsidTr="00327F87">
        <w:trPr>
          <w:trHeight w:val="477"/>
        </w:trPr>
        <w:tc>
          <w:tcPr>
            <w:tcW w:w="1133" w:type="dxa"/>
            <w:tcBorders>
              <w:top w:val="single" w:sz="4" w:space="0" w:color="auto"/>
              <w:left w:val="nil"/>
              <w:bottom w:val="single" w:sz="4" w:space="0" w:color="auto"/>
              <w:right w:val="nil"/>
            </w:tcBorders>
            <w:shd w:val="clear" w:color="auto" w:fill="auto"/>
            <w:noWrap/>
            <w:vAlign w:val="bottom"/>
            <w:hideMark/>
          </w:tcPr>
          <w:p w14:paraId="517E02BF" w14:textId="00AAC2EA" w:rsidR="00BD6230" w:rsidRPr="00E754A8" w:rsidRDefault="00BD6230" w:rsidP="00BC353A">
            <w:pPr>
              <w:spacing w:after="0" w:line="240" w:lineRule="auto"/>
              <w:rPr>
                <w:rFonts w:ascii="Arial" w:eastAsia="Times New Roman" w:hAnsi="Arial" w:cs="Arial"/>
                <w:b/>
                <w:bCs/>
                <w:color w:val="000000"/>
                <w:szCs w:val="20"/>
                <w:lang w:eastAsia="en-AU"/>
              </w:rPr>
            </w:pPr>
            <w:r w:rsidRPr="00E754A8">
              <w:rPr>
                <w:rFonts w:ascii="Arial" w:eastAsia="Times New Roman" w:hAnsi="Arial" w:cs="Arial"/>
                <w:b/>
                <w:bCs/>
                <w:color w:val="000000"/>
                <w:szCs w:val="20"/>
                <w:lang w:eastAsia="en-AU"/>
              </w:rPr>
              <w:t>Total</w:t>
            </w:r>
          </w:p>
        </w:tc>
        <w:tc>
          <w:tcPr>
            <w:tcW w:w="1970" w:type="dxa"/>
            <w:tcBorders>
              <w:top w:val="single" w:sz="4" w:space="0" w:color="auto"/>
              <w:left w:val="nil"/>
              <w:bottom w:val="single" w:sz="4" w:space="0" w:color="auto"/>
              <w:right w:val="nil"/>
            </w:tcBorders>
            <w:shd w:val="clear" w:color="auto" w:fill="auto"/>
            <w:noWrap/>
            <w:vAlign w:val="bottom"/>
            <w:hideMark/>
          </w:tcPr>
          <w:p w14:paraId="6A3C341F" w14:textId="1057376F" w:rsidR="00BD6230" w:rsidRPr="00E754A8" w:rsidRDefault="00BD6230" w:rsidP="00BD6230">
            <w:pPr>
              <w:spacing w:after="0" w:line="240" w:lineRule="auto"/>
              <w:jc w:val="center"/>
              <w:rPr>
                <w:rFonts w:ascii="Arial" w:eastAsia="Times New Roman" w:hAnsi="Arial" w:cs="Arial"/>
                <w:b/>
                <w:bCs/>
                <w:color w:val="000000"/>
                <w:szCs w:val="20"/>
                <w:lang w:eastAsia="en-AU"/>
              </w:rPr>
            </w:pPr>
            <w:r w:rsidRPr="00E754A8">
              <w:rPr>
                <w:rFonts w:ascii="Arial" w:eastAsia="Times New Roman" w:hAnsi="Arial" w:cs="Arial"/>
                <w:b/>
                <w:bCs/>
                <w:color w:val="000000"/>
                <w:szCs w:val="20"/>
                <w:lang w:eastAsia="en-AU"/>
              </w:rPr>
              <w:t>2</w:t>
            </w:r>
            <w:r w:rsidR="00A46D1B">
              <w:rPr>
                <w:rFonts w:ascii="Arial" w:eastAsia="Times New Roman" w:hAnsi="Arial" w:cs="Arial"/>
                <w:b/>
                <w:bCs/>
                <w:color w:val="000000"/>
                <w:szCs w:val="20"/>
                <w:lang w:eastAsia="en-AU"/>
              </w:rPr>
              <w:t>,</w:t>
            </w:r>
            <w:r w:rsidRPr="00E754A8">
              <w:rPr>
                <w:rFonts w:ascii="Arial" w:eastAsia="Times New Roman" w:hAnsi="Arial" w:cs="Arial"/>
                <w:b/>
                <w:bCs/>
                <w:color w:val="000000"/>
                <w:szCs w:val="20"/>
                <w:lang w:eastAsia="en-AU"/>
              </w:rPr>
              <w:t>454</w:t>
            </w:r>
          </w:p>
        </w:tc>
        <w:tc>
          <w:tcPr>
            <w:tcW w:w="1970" w:type="dxa"/>
            <w:tcBorders>
              <w:top w:val="single" w:sz="4" w:space="0" w:color="auto"/>
              <w:left w:val="nil"/>
              <w:bottom w:val="single" w:sz="4" w:space="0" w:color="auto"/>
              <w:right w:val="nil"/>
            </w:tcBorders>
            <w:shd w:val="clear" w:color="auto" w:fill="auto"/>
            <w:noWrap/>
            <w:vAlign w:val="bottom"/>
            <w:hideMark/>
          </w:tcPr>
          <w:p w14:paraId="22A88831" w14:textId="0CD56E3D" w:rsidR="00BD6230" w:rsidRPr="00E754A8" w:rsidRDefault="00BD6230" w:rsidP="00BD6230">
            <w:pPr>
              <w:spacing w:after="0" w:line="240" w:lineRule="auto"/>
              <w:jc w:val="center"/>
              <w:rPr>
                <w:rFonts w:ascii="Arial" w:eastAsia="Times New Roman" w:hAnsi="Arial" w:cs="Arial"/>
                <w:b/>
                <w:bCs/>
                <w:color w:val="000000"/>
                <w:szCs w:val="20"/>
                <w:lang w:eastAsia="en-AU"/>
              </w:rPr>
            </w:pPr>
            <w:r w:rsidRPr="00E754A8">
              <w:rPr>
                <w:rFonts w:ascii="Arial" w:eastAsia="Times New Roman" w:hAnsi="Arial" w:cs="Arial"/>
                <w:b/>
                <w:bCs/>
                <w:color w:val="000000"/>
                <w:szCs w:val="20"/>
                <w:lang w:eastAsia="en-AU"/>
              </w:rPr>
              <w:t>2</w:t>
            </w:r>
            <w:r w:rsidR="00A46D1B">
              <w:rPr>
                <w:rFonts w:ascii="Arial" w:eastAsia="Times New Roman" w:hAnsi="Arial" w:cs="Arial"/>
                <w:b/>
                <w:bCs/>
                <w:color w:val="000000"/>
                <w:szCs w:val="20"/>
                <w:lang w:eastAsia="en-AU"/>
              </w:rPr>
              <w:t>,</w:t>
            </w:r>
            <w:r w:rsidRPr="00E754A8">
              <w:rPr>
                <w:rFonts w:ascii="Arial" w:eastAsia="Times New Roman" w:hAnsi="Arial" w:cs="Arial"/>
                <w:b/>
                <w:bCs/>
                <w:color w:val="000000"/>
                <w:szCs w:val="20"/>
                <w:lang w:eastAsia="en-AU"/>
              </w:rPr>
              <w:t>236</w:t>
            </w:r>
          </w:p>
        </w:tc>
        <w:tc>
          <w:tcPr>
            <w:tcW w:w="1970" w:type="dxa"/>
            <w:tcBorders>
              <w:top w:val="single" w:sz="4" w:space="0" w:color="auto"/>
              <w:left w:val="nil"/>
              <w:bottom w:val="single" w:sz="4" w:space="0" w:color="auto"/>
              <w:right w:val="nil"/>
            </w:tcBorders>
            <w:shd w:val="clear" w:color="auto" w:fill="auto"/>
            <w:noWrap/>
            <w:vAlign w:val="bottom"/>
            <w:hideMark/>
          </w:tcPr>
          <w:p w14:paraId="367D8E1A" w14:textId="4CA2A8D7" w:rsidR="00BD6230" w:rsidRPr="00E754A8" w:rsidRDefault="00A46D1B" w:rsidP="007A6D69">
            <w:pPr>
              <w:spacing w:after="0" w:line="240" w:lineRule="auto"/>
              <w:jc w:val="center"/>
              <w:rPr>
                <w:rFonts w:ascii="Arial" w:eastAsia="Times New Roman" w:hAnsi="Arial" w:cs="Arial"/>
                <w:b/>
                <w:bCs/>
                <w:color w:val="000000"/>
                <w:szCs w:val="20"/>
                <w:lang w:eastAsia="en-AU"/>
              </w:rPr>
            </w:pPr>
            <w:r>
              <w:rPr>
                <w:rFonts w:ascii="Arial" w:eastAsia="Times New Roman" w:hAnsi="Arial" w:cs="Arial"/>
                <w:b/>
                <w:bCs/>
                <w:color w:val="000000"/>
                <w:szCs w:val="20"/>
                <w:lang w:eastAsia="en-AU"/>
              </w:rPr>
              <w:t>2,</w:t>
            </w:r>
            <w:r w:rsidR="007A6D69">
              <w:rPr>
                <w:rFonts w:ascii="Arial" w:eastAsia="Times New Roman" w:hAnsi="Arial" w:cs="Arial"/>
                <w:b/>
                <w:bCs/>
                <w:color w:val="000000"/>
                <w:szCs w:val="20"/>
                <w:lang w:eastAsia="en-AU"/>
              </w:rPr>
              <w:t>790</w:t>
            </w:r>
          </w:p>
        </w:tc>
      </w:tr>
    </w:tbl>
    <w:p w14:paraId="57E08F7A" w14:textId="77777777" w:rsidR="00A22053" w:rsidRDefault="00A22053" w:rsidP="00A22053"/>
    <w:p w14:paraId="7B68AB00" w14:textId="682842F4" w:rsidR="00FC49E6" w:rsidRDefault="00FC49E6" w:rsidP="00A22053"/>
    <w:p w14:paraId="1D0FE4D3" w14:textId="0806F897" w:rsidR="00EC3D6B" w:rsidRPr="00327F87" w:rsidRDefault="00522B1C" w:rsidP="00327F87">
      <w:pPr>
        <w:pStyle w:val="Heading3"/>
        <w:rPr>
          <w:szCs w:val="20"/>
        </w:rPr>
      </w:pPr>
      <w:r w:rsidRPr="00E70B42">
        <w:rPr>
          <w:sz w:val="20"/>
          <w:szCs w:val="20"/>
        </w:rPr>
        <w:t xml:space="preserve">Figure </w:t>
      </w:r>
      <w:r w:rsidR="003D7DAD" w:rsidRPr="00E70B42">
        <w:rPr>
          <w:sz w:val="20"/>
          <w:szCs w:val="20"/>
        </w:rPr>
        <w:t>4</w:t>
      </w:r>
      <w:r w:rsidRPr="00E70B42">
        <w:rPr>
          <w:sz w:val="20"/>
          <w:szCs w:val="20"/>
        </w:rPr>
        <w:t>.1.2:  Number of active LOAs</w:t>
      </w:r>
    </w:p>
    <w:p w14:paraId="5BC9173B" w14:textId="2A40E4EA" w:rsidR="00A46D1B" w:rsidRDefault="00A46D1B" w:rsidP="00A22053"/>
    <w:p w14:paraId="7CC2DCB7" w14:textId="1A82F9E3" w:rsidR="007A6D69" w:rsidRDefault="007A6D69" w:rsidP="00A22053">
      <w:r>
        <w:rPr>
          <w:noProof/>
          <w:lang w:eastAsia="en-AU"/>
        </w:rPr>
        <w:drawing>
          <wp:inline distT="0" distB="0" distL="0" distR="0" wp14:anchorId="58C04B58" wp14:editId="428AC5ED">
            <wp:extent cx="4533900" cy="2803964"/>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4547248" cy="2812219"/>
                    </a:xfrm>
                    <a:prstGeom prst="rect">
                      <a:avLst/>
                    </a:prstGeom>
                    <a:noFill/>
                  </pic:spPr>
                </pic:pic>
              </a:graphicData>
            </a:graphic>
          </wp:inline>
        </w:drawing>
      </w:r>
    </w:p>
    <w:p w14:paraId="7B5C9805" w14:textId="57F265CF" w:rsidR="00A46D1B" w:rsidRDefault="00D00356">
      <w:pPr>
        <w:spacing w:after="200"/>
      </w:pPr>
      <w:r>
        <w:br w:type="page"/>
      </w:r>
    </w:p>
    <w:p w14:paraId="09389357" w14:textId="77777777" w:rsidR="00A46D1B" w:rsidRDefault="00A46D1B" w:rsidP="00A22053"/>
    <w:p w14:paraId="45B55955" w14:textId="7DFA1C70" w:rsidR="00724B0D" w:rsidRDefault="003D7DAD" w:rsidP="00DF1E5F">
      <w:pPr>
        <w:pStyle w:val="Heading3"/>
      </w:pPr>
      <w:r>
        <w:t>4</w:t>
      </w:r>
      <w:r w:rsidR="00C7541D">
        <w:t>.1.3 Adjusted i</w:t>
      </w:r>
      <w:r w:rsidR="00951FD3">
        <w:t>ncome yielded from active LOAs</w:t>
      </w:r>
    </w:p>
    <w:p w14:paraId="3B40F432" w14:textId="77777777" w:rsidR="00C7541D" w:rsidRDefault="00C7541D" w:rsidP="00327F87">
      <w:pPr>
        <w:spacing w:after="0" w:line="336" w:lineRule="atLeast"/>
        <w:rPr>
          <w:rFonts w:eastAsia="Times New Roman" w:cstheme="minorHAnsi"/>
          <w:szCs w:val="20"/>
          <w:lang w:val="en"/>
        </w:rPr>
      </w:pPr>
      <w:r>
        <w:rPr>
          <w:rFonts w:eastAsia="Times New Roman" w:cstheme="minorHAnsi"/>
          <w:szCs w:val="20"/>
          <w:lang w:val="en"/>
        </w:rPr>
        <w:t xml:space="preserve">Total LOA income is adjusted by </w:t>
      </w:r>
      <w:r w:rsidRPr="008B66B7">
        <w:rPr>
          <w:rFonts w:eastAsia="Times New Roman" w:cstheme="minorHAnsi"/>
          <w:b/>
          <w:szCs w:val="20"/>
          <w:lang w:val="en"/>
        </w:rPr>
        <w:t>excluding</w:t>
      </w:r>
      <w:r>
        <w:rPr>
          <w:rFonts w:eastAsia="Times New Roman" w:cstheme="minorHAnsi"/>
          <w:szCs w:val="20"/>
          <w:lang w:val="en"/>
        </w:rPr>
        <w:t xml:space="preserve"> the LOA income paid to other institutions. </w:t>
      </w:r>
    </w:p>
    <w:p w14:paraId="1779929D" w14:textId="73F1C63A" w:rsidR="00241727" w:rsidRDefault="00497D62" w:rsidP="00327F87">
      <w:pPr>
        <w:spacing w:after="0" w:line="336" w:lineRule="atLeast"/>
        <w:rPr>
          <w:rFonts w:eastAsia="Times New Roman" w:cstheme="minorHAnsi"/>
          <w:szCs w:val="20"/>
          <w:lang w:val="en"/>
        </w:rPr>
      </w:pPr>
      <w:r>
        <w:rPr>
          <w:rFonts w:eastAsia="Times New Roman" w:cstheme="minorHAnsi"/>
          <w:szCs w:val="20"/>
          <w:lang w:val="en"/>
        </w:rPr>
        <w:t>Aggregate LOA income includes all income yielded from active LOAs and</w:t>
      </w:r>
      <w:r w:rsidRPr="008B66B7">
        <w:rPr>
          <w:rFonts w:eastAsia="Times New Roman" w:cstheme="minorHAnsi"/>
          <w:b/>
          <w:szCs w:val="20"/>
          <w:lang w:val="en"/>
        </w:rPr>
        <w:t xml:space="preserve"> includes</w:t>
      </w:r>
      <w:r>
        <w:rPr>
          <w:rFonts w:eastAsia="Times New Roman" w:cstheme="minorHAnsi"/>
          <w:szCs w:val="20"/>
          <w:lang w:val="en"/>
        </w:rPr>
        <w:t xml:space="preserve"> the amount paid </w:t>
      </w:r>
      <w:r w:rsidRPr="001729C0">
        <w:rPr>
          <w:rFonts w:eastAsia="Times New Roman" w:cstheme="minorHAnsi"/>
          <w:szCs w:val="20"/>
          <w:lang w:val="en"/>
        </w:rPr>
        <w:t>to other institutions.</w:t>
      </w:r>
      <w:r>
        <w:rPr>
          <w:rFonts w:eastAsia="Times New Roman" w:cstheme="minorHAnsi"/>
          <w:szCs w:val="20"/>
          <w:lang w:val="en"/>
        </w:rPr>
        <w:t xml:space="preserve"> </w:t>
      </w:r>
    </w:p>
    <w:p w14:paraId="5E1F052D" w14:textId="43EC06FB" w:rsidR="00C7541D" w:rsidRDefault="00C7541D" w:rsidP="00C7541D">
      <w:pPr>
        <w:pStyle w:val="ListParagraph"/>
        <w:numPr>
          <w:ilvl w:val="0"/>
          <w:numId w:val="37"/>
        </w:numPr>
        <w:spacing w:before="240"/>
        <w:rPr>
          <w:rFonts w:ascii="Arial" w:hAnsi="Arial" w:cs="Arial"/>
          <w:sz w:val="20"/>
          <w:szCs w:val="20"/>
        </w:rPr>
      </w:pPr>
      <w:r>
        <w:rPr>
          <w:rFonts w:ascii="Arial" w:hAnsi="Arial" w:cs="Arial"/>
          <w:sz w:val="20"/>
          <w:szCs w:val="20"/>
        </w:rPr>
        <w:t>In 2015, t</w:t>
      </w:r>
      <w:r w:rsidRPr="001729C0">
        <w:rPr>
          <w:rFonts w:ascii="Arial" w:hAnsi="Arial" w:cs="Arial"/>
          <w:sz w:val="20"/>
          <w:szCs w:val="20"/>
        </w:rPr>
        <w:t xml:space="preserve">he total </w:t>
      </w:r>
      <w:r>
        <w:rPr>
          <w:rFonts w:ascii="Arial" w:hAnsi="Arial" w:cs="Arial"/>
          <w:sz w:val="20"/>
          <w:szCs w:val="20"/>
        </w:rPr>
        <w:t xml:space="preserve">adjusted </w:t>
      </w:r>
      <w:r w:rsidRPr="001729C0">
        <w:rPr>
          <w:rFonts w:ascii="Arial" w:hAnsi="Arial" w:cs="Arial"/>
          <w:sz w:val="20"/>
          <w:szCs w:val="20"/>
        </w:rPr>
        <w:t>value of income yielded from active LOAs was $182,915,105.</w:t>
      </w:r>
    </w:p>
    <w:p w14:paraId="4DA27626" w14:textId="1D4E8A98" w:rsidR="00C7541D" w:rsidRDefault="00C7541D" w:rsidP="00C7541D">
      <w:pPr>
        <w:pStyle w:val="ListParagraph"/>
        <w:numPr>
          <w:ilvl w:val="0"/>
          <w:numId w:val="37"/>
        </w:numPr>
        <w:spacing w:before="240"/>
        <w:rPr>
          <w:rFonts w:ascii="Arial" w:hAnsi="Arial" w:cs="Arial"/>
          <w:sz w:val="20"/>
          <w:szCs w:val="20"/>
        </w:rPr>
      </w:pPr>
      <w:r w:rsidRPr="001729C0">
        <w:rPr>
          <w:rFonts w:ascii="Arial" w:hAnsi="Arial" w:cs="Arial"/>
          <w:sz w:val="20"/>
          <w:szCs w:val="20"/>
        </w:rPr>
        <w:t>The value of income paid to other institutions was $8,706,395.</w:t>
      </w:r>
    </w:p>
    <w:p w14:paraId="61894097" w14:textId="1F58B9D6" w:rsidR="001729C0" w:rsidRDefault="00C7541D" w:rsidP="001729C0">
      <w:pPr>
        <w:pStyle w:val="ListParagraph"/>
        <w:numPr>
          <w:ilvl w:val="0"/>
          <w:numId w:val="37"/>
        </w:numPr>
        <w:spacing w:before="240"/>
        <w:rPr>
          <w:rFonts w:ascii="Arial" w:hAnsi="Arial" w:cs="Arial"/>
          <w:sz w:val="20"/>
          <w:szCs w:val="20"/>
        </w:rPr>
      </w:pPr>
      <w:r>
        <w:rPr>
          <w:rFonts w:ascii="Arial" w:hAnsi="Arial" w:cs="Arial"/>
          <w:sz w:val="20"/>
          <w:szCs w:val="20"/>
        </w:rPr>
        <w:t>T</w:t>
      </w:r>
      <w:r w:rsidR="00093803" w:rsidRPr="001729C0">
        <w:rPr>
          <w:rFonts w:ascii="Arial" w:hAnsi="Arial" w:cs="Arial"/>
          <w:sz w:val="20"/>
          <w:szCs w:val="20"/>
        </w:rPr>
        <w:t xml:space="preserve">he </w:t>
      </w:r>
      <w:r w:rsidR="00A043E9" w:rsidRPr="001729C0">
        <w:rPr>
          <w:rFonts w:ascii="Arial" w:hAnsi="Arial" w:cs="Arial"/>
          <w:sz w:val="20"/>
          <w:szCs w:val="20"/>
        </w:rPr>
        <w:t xml:space="preserve">aggregate </w:t>
      </w:r>
      <w:r w:rsidR="00093803" w:rsidRPr="001729C0">
        <w:rPr>
          <w:rFonts w:ascii="Arial" w:hAnsi="Arial" w:cs="Arial"/>
          <w:sz w:val="20"/>
          <w:szCs w:val="20"/>
        </w:rPr>
        <w:t>value of income yielded from active LOAs was</w:t>
      </w:r>
      <w:r w:rsidR="00D9404B" w:rsidRPr="001729C0">
        <w:rPr>
          <w:rFonts w:ascii="Arial" w:hAnsi="Arial" w:cs="Arial"/>
          <w:sz w:val="20"/>
          <w:szCs w:val="20"/>
        </w:rPr>
        <w:t xml:space="preserve"> </w:t>
      </w:r>
      <w:r w:rsidR="00093803" w:rsidRPr="001729C0">
        <w:rPr>
          <w:rFonts w:ascii="Arial" w:hAnsi="Arial" w:cs="Arial"/>
          <w:sz w:val="20"/>
          <w:szCs w:val="20"/>
        </w:rPr>
        <w:t>$191,621,50</w:t>
      </w:r>
      <w:r w:rsidR="00E06108" w:rsidRPr="001729C0">
        <w:rPr>
          <w:rFonts w:ascii="Arial" w:hAnsi="Arial" w:cs="Arial"/>
          <w:sz w:val="20"/>
          <w:szCs w:val="20"/>
        </w:rPr>
        <w:t>0</w:t>
      </w:r>
      <w:r w:rsidR="00093803" w:rsidRPr="001729C0">
        <w:rPr>
          <w:rFonts w:ascii="Arial" w:hAnsi="Arial" w:cs="Arial"/>
          <w:sz w:val="20"/>
          <w:szCs w:val="20"/>
        </w:rPr>
        <w:t xml:space="preserve">. </w:t>
      </w:r>
    </w:p>
    <w:p w14:paraId="6AD2187E" w14:textId="094757F8" w:rsidR="00EF6210" w:rsidRPr="001729C0" w:rsidRDefault="00A146EC" w:rsidP="001729C0">
      <w:pPr>
        <w:pStyle w:val="ListParagraph"/>
        <w:numPr>
          <w:ilvl w:val="0"/>
          <w:numId w:val="37"/>
        </w:numPr>
        <w:spacing w:before="240"/>
        <w:rPr>
          <w:rFonts w:ascii="Arial" w:hAnsi="Arial" w:cs="Arial"/>
          <w:sz w:val="20"/>
          <w:szCs w:val="20"/>
        </w:rPr>
      </w:pPr>
      <w:r w:rsidRPr="001729C0">
        <w:rPr>
          <w:rFonts w:ascii="Arial" w:hAnsi="Arial" w:cs="Arial"/>
          <w:sz w:val="20"/>
          <w:szCs w:val="20"/>
        </w:rPr>
        <w:t xml:space="preserve">The largest increase is represented in the PFRA sector with a </w:t>
      </w:r>
      <w:r w:rsidR="002403FA" w:rsidRPr="001729C0">
        <w:rPr>
          <w:rFonts w:ascii="Arial" w:hAnsi="Arial" w:cs="Arial"/>
          <w:sz w:val="20"/>
          <w:szCs w:val="20"/>
        </w:rPr>
        <w:t>10</w:t>
      </w:r>
      <w:r w:rsidR="002F3B00" w:rsidRPr="001729C0">
        <w:rPr>
          <w:rFonts w:ascii="Arial" w:hAnsi="Arial" w:cs="Arial"/>
          <w:sz w:val="20"/>
          <w:szCs w:val="20"/>
        </w:rPr>
        <w:t>3</w:t>
      </w:r>
      <w:r w:rsidRPr="001729C0">
        <w:rPr>
          <w:rFonts w:ascii="Arial" w:hAnsi="Arial" w:cs="Arial"/>
          <w:sz w:val="20"/>
          <w:szCs w:val="20"/>
        </w:rPr>
        <w:t>% increase in 2015 o</w:t>
      </w:r>
      <w:r w:rsidR="00B10480" w:rsidRPr="001729C0">
        <w:rPr>
          <w:rFonts w:ascii="Arial" w:hAnsi="Arial" w:cs="Arial"/>
          <w:sz w:val="20"/>
          <w:szCs w:val="20"/>
        </w:rPr>
        <w:t>ver</w:t>
      </w:r>
      <w:r w:rsidRPr="001729C0">
        <w:rPr>
          <w:rFonts w:ascii="Arial" w:hAnsi="Arial" w:cs="Arial"/>
          <w:sz w:val="20"/>
          <w:szCs w:val="20"/>
        </w:rPr>
        <w:t xml:space="preserve"> the previous year.</w:t>
      </w:r>
    </w:p>
    <w:p w14:paraId="40E459A0" w14:textId="35E02320" w:rsidR="00951FD3" w:rsidRPr="00DF1E5F" w:rsidRDefault="00951FD3" w:rsidP="00DF1E5F">
      <w:pPr>
        <w:pStyle w:val="Heading3"/>
        <w:rPr>
          <w:sz w:val="20"/>
          <w:szCs w:val="20"/>
        </w:rPr>
      </w:pPr>
      <w:r>
        <w:rPr>
          <w:sz w:val="20"/>
          <w:szCs w:val="20"/>
        </w:rPr>
        <w:t xml:space="preserve">Table </w:t>
      </w:r>
      <w:r w:rsidR="003D7DAD">
        <w:rPr>
          <w:sz w:val="20"/>
          <w:szCs w:val="20"/>
        </w:rPr>
        <w:t>4</w:t>
      </w:r>
      <w:r>
        <w:rPr>
          <w:sz w:val="20"/>
          <w:szCs w:val="20"/>
        </w:rPr>
        <w:t xml:space="preserve">.1.3: </w:t>
      </w:r>
      <w:r w:rsidR="00C7541D">
        <w:rPr>
          <w:sz w:val="20"/>
          <w:szCs w:val="20"/>
        </w:rPr>
        <w:t>Adjusted i</w:t>
      </w:r>
      <w:r>
        <w:rPr>
          <w:sz w:val="20"/>
          <w:szCs w:val="20"/>
        </w:rPr>
        <w:t>ncome yielded from active LOAs</w:t>
      </w:r>
      <w:r w:rsidR="0093357C">
        <w:rPr>
          <w:sz w:val="20"/>
          <w:szCs w:val="20"/>
        </w:rPr>
        <w:t xml:space="preserve"> </w:t>
      </w:r>
      <w:r w:rsidR="0093357C" w:rsidRPr="00A93922">
        <w:rPr>
          <w:sz w:val="20"/>
          <w:szCs w:val="20"/>
        </w:rPr>
        <w:t>($ Million</w:t>
      </w:r>
      <w:r w:rsidR="0093357C">
        <w:rPr>
          <w:sz w:val="20"/>
          <w:szCs w:val="20"/>
        </w:rPr>
        <w:t>)</w:t>
      </w:r>
      <w:r w:rsidR="0093357C" w:rsidDel="00A146EC">
        <w:rPr>
          <w:rStyle w:val="FootnoteReference"/>
          <w:sz w:val="20"/>
          <w:szCs w:val="20"/>
        </w:rPr>
        <w:t xml:space="preserve"> </w:t>
      </w:r>
    </w:p>
    <w:tbl>
      <w:tblPr>
        <w:tblW w:w="7404" w:type="dxa"/>
        <w:tblInd w:w="108" w:type="dxa"/>
        <w:tblLook w:val="04A0" w:firstRow="1" w:lastRow="0" w:firstColumn="1" w:lastColumn="0" w:noHBand="0" w:noVBand="1"/>
      </w:tblPr>
      <w:tblGrid>
        <w:gridCol w:w="1191"/>
        <w:gridCol w:w="2071"/>
        <w:gridCol w:w="2071"/>
        <w:gridCol w:w="2071"/>
      </w:tblGrid>
      <w:tr w:rsidR="00BD6230" w:rsidRPr="00E5755A" w14:paraId="611AE78A" w14:textId="77777777" w:rsidTr="00327F87">
        <w:trPr>
          <w:trHeight w:val="466"/>
        </w:trPr>
        <w:tc>
          <w:tcPr>
            <w:tcW w:w="1191" w:type="dxa"/>
            <w:tcBorders>
              <w:top w:val="single" w:sz="4" w:space="0" w:color="auto"/>
              <w:left w:val="nil"/>
              <w:bottom w:val="single" w:sz="4" w:space="0" w:color="auto"/>
              <w:right w:val="nil"/>
            </w:tcBorders>
            <w:shd w:val="clear" w:color="000000" w:fill="C4D79B"/>
            <w:noWrap/>
            <w:vAlign w:val="center"/>
            <w:hideMark/>
          </w:tcPr>
          <w:p w14:paraId="119ECE22" w14:textId="77777777" w:rsidR="00BD6230" w:rsidRPr="00E5755A" w:rsidRDefault="00BD6230" w:rsidP="00BD6230">
            <w:pPr>
              <w:spacing w:after="0" w:line="240" w:lineRule="auto"/>
              <w:jc w:val="center"/>
              <w:rPr>
                <w:rFonts w:ascii="Arial" w:eastAsia="Times New Roman" w:hAnsi="Arial" w:cs="Arial"/>
                <w:color w:val="000000"/>
                <w:szCs w:val="20"/>
                <w:lang w:eastAsia="en-AU"/>
              </w:rPr>
            </w:pPr>
            <w:r w:rsidRPr="00E5755A">
              <w:rPr>
                <w:rFonts w:ascii="Arial" w:eastAsia="Times New Roman" w:hAnsi="Arial" w:cs="Arial"/>
                <w:color w:val="000000"/>
                <w:szCs w:val="20"/>
                <w:lang w:eastAsia="en-AU"/>
              </w:rPr>
              <w:t> </w:t>
            </w:r>
          </w:p>
        </w:tc>
        <w:tc>
          <w:tcPr>
            <w:tcW w:w="2071" w:type="dxa"/>
            <w:tcBorders>
              <w:top w:val="single" w:sz="4" w:space="0" w:color="auto"/>
              <w:left w:val="nil"/>
              <w:bottom w:val="single" w:sz="4" w:space="0" w:color="auto"/>
              <w:right w:val="nil"/>
            </w:tcBorders>
            <w:shd w:val="clear" w:color="000000" w:fill="C4D79B"/>
            <w:noWrap/>
            <w:vAlign w:val="center"/>
            <w:hideMark/>
          </w:tcPr>
          <w:p w14:paraId="1456970A" w14:textId="5ED44BE4" w:rsidR="00BD6230" w:rsidRPr="00E5755A" w:rsidRDefault="00BD6230" w:rsidP="00BD6230">
            <w:pPr>
              <w:spacing w:after="0" w:line="240" w:lineRule="auto"/>
              <w:jc w:val="center"/>
              <w:rPr>
                <w:rFonts w:ascii="Arial" w:eastAsia="Times New Roman" w:hAnsi="Arial" w:cs="Arial"/>
                <w:b/>
                <w:bCs/>
                <w:color w:val="000000"/>
                <w:szCs w:val="20"/>
                <w:lang w:eastAsia="en-AU"/>
              </w:rPr>
            </w:pPr>
            <w:r w:rsidRPr="00E5755A">
              <w:rPr>
                <w:rFonts w:ascii="Arial" w:eastAsia="Times New Roman" w:hAnsi="Arial" w:cs="Arial"/>
                <w:b/>
                <w:bCs/>
                <w:color w:val="000000"/>
                <w:szCs w:val="20"/>
                <w:lang w:eastAsia="en-AU"/>
              </w:rPr>
              <w:t>2013</w:t>
            </w:r>
          </w:p>
        </w:tc>
        <w:tc>
          <w:tcPr>
            <w:tcW w:w="2071" w:type="dxa"/>
            <w:tcBorders>
              <w:top w:val="single" w:sz="4" w:space="0" w:color="auto"/>
              <w:left w:val="nil"/>
              <w:bottom w:val="single" w:sz="4" w:space="0" w:color="auto"/>
              <w:right w:val="nil"/>
            </w:tcBorders>
            <w:shd w:val="clear" w:color="000000" w:fill="C4D79B"/>
            <w:noWrap/>
            <w:vAlign w:val="center"/>
            <w:hideMark/>
          </w:tcPr>
          <w:p w14:paraId="58ED264F" w14:textId="1E282308" w:rsidR="00BD6230" w:rsidRPr="00E5755A" w:rsidRDefault="00BD6230" w:rsidP="00BD6230">
            <w:pPr>
              <w:spacing w:after="0" w:line="240" w:lineRule="auto"/>
              <w:jc w:val="center"/>
              <w:rPr>
                <w:rFonts w:ascii="Arial" w:eastAsia="Times New Roman" w:hAnsi="Arial" w:cs="Arial"/>
                <w:b/>
                <w:bCs/>
                <w:color w:val="000000"/>
                <w:szCs w:val="20"/>
                <w:lang w:eastAsia="en-AU"/>
              </w:rPr>
            </w:pPr>
            <w:r w:rsidRPr="00E5755A">
              <w:rPr>
                <w:rFonts w:ascii="Arial" w:eastAsia="Times New Roman" w:hAnsi="Arial" w:cs="Arial"/>
                <w:b/>
                <w:bCs/>
                <w:color w:val="000000"/>
                <w:szCs w:val="20"/>
                <w:lang w:eastAsia="en-AU"/>
              </w:rPr>
              <w:t>2014</w:t>
            </w:r>
          </w:p>
        </w:tc>
        <w:tc>
          <w:tcPr>
            <w:tcW w:w="2071" w:type="dxa"/>
            <w:tcBorders>
              <w:top w:val="single" w:sz="4" w:space="0" w:color="auto"/>
              <w:left w:val="nil"/>
              <w:bottom w:val="single" w:sz="4" w:space="0" w:color="auto"/>
              <w:right w:val="nil"/>
            </w:tcBorders>
            <w:shd w:val="clear" w:color="000000" w:fill="C4D79B"/>
            <w:noWrap/>
            <w:vAlign w:val="center"/>
            <w:hideMark/>
          </w:tcPr>
          <w:p w14:paraId="1CE39013" w14:textId="5A710074" w:rsidR="00BD6230" w:rsidRPr="00E5755A" w:rsidRDefault="00BD6230" w:rsidP="00BD6230">
            <w:pPr>
              <w:spacing w:after="0" w:line="240" w:lineRule="auto"/>
              <w:jc w:val="center"/>
              <w:rPr>
                <w:rFonts w:ascii="Arial" w:eastAsia="Times New Roman" w:hAnsi="Arial" w:cs="Arial"/>
                <w:b/>
                <w:bCs/>
                <w:color w:val="000000"/>
                <w:szCs w:val="20"/>
                <w:lang w:eastAsia="en-AU"/>
              </w:rPr>
            </w:pPr>
            <w:r>
              <w:rPr>
                <w:rFonts w:ascii="Arial" w:eastAsia="Times New Roman" w:hAnsi="Arial" w:cs="Arial"/>
                <w:b/>
                <w:bCs/>
                <w:color w:val="000000"/>
                <w:szCs w:val="20"/>
                <w:lang w:eastAsia="en-AU"/>
              </w:rPr>
              <w:t>2015</w:t>
            </w:r>
          </w:p>
        </w:tc>
      </w:tr>
      <w:tr w:rsidR="00BD6230" w:rsidRPr="00E5755A" w14:paraId="0B8427DE" w14:textId="77777777" w:rsidTr="00327F87">
        <w:trPr>
          <w:trHeight w:val="466"/>
        </w:trPr>
        <w:tc>
          <w:tcPr>
            <w:tcW w:w="1191" w:type="dxa"/>
            <w:tcBorders>
              <w:top w:val="nil"/>
              <w:left w:val="nil"/>
              <w:bottom w:val="nil"/>
              <w:right w:val="nil"/>
            </w:tcBorders>
            <w:shd w:val="clear" w:color="auto" w:fill="auto"/>
            <w:noWrap/>
            <w:vAlign w:val="bottom"/>
            <w:hideMark/>
          </w:tcPr>
          <w:p w14:paraId="603193A4" w14:textId="77777777" w:rsidR="00BD6230" w:rsidRPr="00E5755A" w:rsidRDefault="00BD6230" w:rsidP="00BD6230">
            <w:pPr>
              <w:spacing w:after="0" w:line="240" w:lineRule="auto"/>
              <w:rPr>
                <w:rFonts w:ascii="Arial" w:eastAsia="Times New Roman" w:hAnsi="Arial" w:cs="Arial"/>
                <w:color w:val="000000"/>
                <w:szCs w:val="20"/>
                <w:lang w:eastAsia="en-AU"/>
              </w:rPr>
            </w:pPr>
            <w:r w:rsidRPr="00E5755A">
              <w:rPr>
                <w:rFonts w:ascii="Arial" w:eastAsia="Times New Roman" w:hAnsi="Arial" w:cs="Arial"/>
                <w:color w:val="000000"/>
                <w:szCs w:val="20"/>
                <w:lang w:eastAsia="en-AU"/>
              </w:rPr>
              <w:t>PFRAs</w:t>
            </w:r>
          </w:p>
        </w:tc>
        <w:tc>
          <w:tcPr>
            <w:tcW w:w="2071" w:type="dxa"/>
            <w:tcBorders>
              <w:top w:val="nil"/>
              <w:left w:val="nil"/>
              <w:bottom w:val="nil"/>
              <w:right w:val="nil"/>
            </w:tcBorders>
            <w:shd w:val="clear" w:color="auto" w:fill="auto"/>
            <w:noWrap/>
            <w:vAlign w:val="bottom"/>
            <w:hideMark/>
          </w:tcPr>
          <w:p w14:paraId="68F9D3BE" w14:textId="4F8AF766" w:rsidR="00BD6230" w:rsidRPr="00E5755A" w:rsidRDefault="002403FA" w:rsidP="002403FA">
            <w:pPr>
              <w:spacing w:after="0" w:line="240" w:lineRule="auto"/>
              <w:jc w:val="center"/>
              <w:rPr>
                <w:rFonts w:ascii="Arial" w:eastAsia="Times New Roman" w:hAnsi="Arial" w:cs="Arial"/>
                <w:color w:val="000000"/>
                <w:szCs w:val="20"/>
                <w:lang w:eastAsia="en-AU"/>
              </w:rPr>
            </w:pPr>
            <w:r w:rsidRPr="00E5755A">
              <w:rPr>
                <w:rFonts w:ascii="Arial" w:eastAsia="Times New Roman" w:hAnsi="Arial" w:cs="Arial"/>
                <w:color w:val="000000"/>
                <w:szCs w:val="20"/>
                <w:lang w:eastAsia="en-AU"/>
              </w:rPr>
              <w:t>4</w:t>
            </w:r>
            <w:r>
              <w:rPr>
                <w:rFonts w:ascii="Arial" w:eastAsia="Times New Roman" w:hAnsi="Arial" w:cs="Arial"/>
                <w:color w:val="000000"/>
                <w:szCs w:val="20"/>
                <w:lang w:eastAsia="en-AU"/>
              </w:rPr>
              <w:t>2</w:t>
            </w:r>
          </w:p>
        </w:tc>
        <w:tc>
          <w:tcPr>
            <w:tcW w:w="2071" w:type="dxa"/>
            <w:tcBorders>
              <w:top w:val="nil"/>
              <w:left w:val="nil"/>
              <w:bottom w:val="nil"/>
              <w:right w:val="nil"/>
            </w:tcBorders>
            <w:shd w:val="clear" w:color="auto" w:fill="auto"/>
            <w:noWrap/>
            <w:vAlign w:val="bottom"/>
            <w:hideMark/>
          </w:tcPr>
          <w:p w14:paraId="533CFFB5" w14:textId="2141D5E1" w:rsidR="00BD6230" w:rsidRPr="00E5755A" w:rsidRDefault="002403FA" w:rsidP="00BD6230">
            <w:pPr>
              <w:spacing w:after="0" w:line="240" w:lineRule="auto"/>
              <w:jc w:val="center"/>
              <w:rPr>
                <w:rFonts w:ascii="Arial" w:eastAsia="Times New Roman" w:hAnsi="Arial" w:cs="Arial"/>
                <w:color w:val="000000"/>
                <w:szCs w:val="20"/>
                <w:lang w:eastAsia="en-AU"/>
              </w:rPr>
            </w:pPr>
            <w:r>
              <w:rPr>
                <w:rFonts w:ascii="Arial" w:eastAsia="Times New Roman" w:hAnsi="Arial" w:cs="Arial"/>
                <w:color w:val="000000"/>
                <w:szCs w:val="20"/>
                <w:lang w:eastAsia="en-AU"/>
              </w:rPr>
              <w:t>44</w:t>
            </w:r>
          </w:p>
        </w:tc>
        <w:tc>
          <w:tcPr>
            <w:tcW w:w="2071" w:type="dxa"/>
            <w:tcBorders>
              <w:top w:val="nil"/>
              <w:left w:val="nil"/>
              <w:bottom w:val="nil"/>
              <w:right w:val="nil"/>
            </w:tcBorders>
            <w:shd w:val="clear" w:color="auto" w:fill="auto"/>
            <w:noWrap/>
            <w:vAlign w:val="bottom"/>
            <w:hideMark/>
          </w:tcPr>
          <w:p w14:paraId="662A9ADE" w14:textId="66831DD6" w:rsidR="00BD6230" w:rsidRPr="00E5755A" w:rsidRDefault="00A46D1B" w:rsidP="00BD6230">
            <w:pPr>
              <w:spacing w:after="0" w:line="240" w:lineRule="auto"/>
              <w:jc w:val="center"/>
              <w:rPr>
                <w:rFonts w:ascii="Arial" w:eastAsia="Times New Roman" w:hAnsi="Arial" w:cs="Arial"/>
                <w:color w:val="000000"/>
                <w:szCs w:val="20"/>
                <w:lang w:eastAsia="en-AU"/>
              </w:rPr>
            </w:pPr>
            <w:r>
              <w:rPr>
                <w:rFonts w:ascii="Arial" w:eastAsia="Times New Roman" w:hAnsi="Arial" w:cs="Arial"/>
                <w:color w:val="000000"/>
                <w:szCs w:val="20"/>
                <w:lang w:eastAsia="en-AU"/>
              </w:rPr>
              <w:t>89</w:t>
            </w:r>
          </w:p>
        </w:tc>
      </w:tr>
      <w:tr w:rsidR="00BD6230" w:rsidRPr="00E5755A" w14:paraId="31528F8A" w14:textId="77777777" w:rsidTr="00327F87">
        <w:trPr>
          <w:trHeight w:val="466"/>
        </w:trPr>
        <w:tc>
          <w:tcPr>
            <w:tcW w:w="1191" w:type="dxa"/>
            <w:tcBorders>
              <w:top w:val="single" w:sz="4" w:space="0" w:color="auto"/>
              <w:left w:val="nil"/>
              <w:bottom w:val="single" w:sz="4" w:space="0" w:color="auto"/>
              <w:right w:val="nil"/>
            </w:tcBorders>
            <w:shd w:val="clear" w:color="auto" w:fill="auto"/>
            <w:noWrap/>
            <w:vAlign w:val="bottom"/>
            <w:hideMark/>
          </w:tcPr>
          <w:p w14:paraId="67FA34BB" w14:textId="77777777" w:rsidR="00BD6230" w:rsidRPr="00E5755A" w:rsidRDefault="00BD6230" w:rsidP="00BD6230">
            <w:pPr>
              <w:spacing w:after="0" w:line="240" w:lineRule="auto"/>
              <w:rPr>
                <w:rFonts w:ascii="Arial" w:eastAsia="Times New Roman" w:hAnsi="Arial" w:cs="Arial"/>
                <w:color w:val="000000"/>
                <w:szCs w:val="20"/>
                <w:lang w:eastAsia="en-AU"/>
              </w:rPr>
            </w:pPr>
            <w:r w:rsidRPr="00E5755A">
              <w:rPr>
                <w:rFonts w:ascii="Arial" w:eastAsia="Times New Roman" w:hAnsi="Arial" w:cs="Arial"/>
                <w:color w:val="000000"/>
                <w:szCs w:val="20"/>
                <w:lang w:eastAsia="en-AU"/>
              </w:rPr>
              <w:t>UNIs</w:t>
            </w:r>
          </w:p>
        </w:tc>
        <w:tc>
          <w:tcPr>
            <w:tcW w:w="2071" w:type="dxa"/>
            <w:tcBorders>
              <w:top w:val="single" w:sz="4" w:space="0" w:color="auto"/>
              <w:left w:val="nil"/>
              <w:bottom w:val="single" w:sz="4" w:space="0" w:color="auto"/>
              <w:right w:val="nil"/>
            </w:tcBorders>
            <w:shd w:val="clear" w:color="auto" w:fill="auto"/>
            <w:noWrap/>
            <w:vAlign w:val="bottom"/>
            <w:hideMark/>
          </w:tcPr>
          <w:p w14:paraId="04C5D5E9" w14:textId="02CA9461" w:rsidR="00BD6230" w:rsidRPr="00E5755A" w:rsidRDefault="002403FA" w:rsidP="002403FA">
            <w:pPr>
              <w:spacing w:after="0" w:line="240" w:lineRule="auto"/>
              <w:jc w:val="center"/>
              <w:rPr>
                <w:rFonts w:ascii="Arial" w:eastAsia="Times New Roman" w:hAnsi="Arial" w:cs="Arial"/>
                <w:color w:val="000000"/>
                <w:szCs w:val="20"/>
                <w:lang w:eastAsia="en-AU"/>
              </w:rPr>
            </w:pPr>
            <w:r w:rsidRPr="00E5755A">
              <w:rPr>
                <w:rFonts w:ascii="Arial" w:eastAsia="Times New Roman" w:hAnsi="Arial" w:cs="Arial"/>
                <w:color w:val="000000"/>
                <w:szCs w:val="20"/>
                <w:lang w:eastAsia="en-AU"/>
              </w:rPr>
              <w:t>7</w:t>
            </w:r>
            <w:r>
              <w:rPr>
                <w:rFonts w:ascii="Arial" w:eastAsia="Times New Roman" w:hAnsi="Arial" w:cs="Arial"/>
                <w:color w:val="000000"/>
                <w:szCs w:val="20"/>
                <w:lang w:eastAsia="en-AU"/>
              </w:rPr>
              <w:t>1</w:t>
            </w:r>
          </w:p>
        </w:tc>
        <w:tc>
          <w:tcPr>
            <w:tcW w:w="2071" w:type="dxa"/>
            <w:tcBorders>
              <w:top w:val="single" w:sz="4" w:space="0" w:color="auto"/>
              <w:left w:val="nil"/>
              <w:bottom w:val="single" w:sz="4" w:space="0" w:color="auto"/>
              <w:right w:val="nil"/>
            </w:tcBorders>
            <w:shd w:val="clear" w:color="auto" w:fill="auto"/>
            <w:noWrap/>
            <w:vAlign w:val="bottom"/>
            <w:hideMark/>
          </w:tcPr>
          <w:p w14:paraId="34ABF54E" w14:textId="294D54EB" w:rsidR="00BD6230" w:rsidRPr="00E5755A" w:rsidRDefault="002403FA" w:rsidP="003B217B">
            <w:pPr>
              <w:spacing w:after="0" w:line="240" w:lineRule="auto"/>
              <w:jc w:val="center"/>
              <w:rPr>
                <w:rFonts w:ascii="Arial" w:eastAsia="Times New Roman" w:hAnsi="Arial" w:cs="Arial"/>
                <w:color w:val="000000"/>
                <w:szCs w:val="20"/>
                <w:lang w:eastAsia="en-AU"/>
              </w:rPr>
            </w:pPr>
            <w:r>
              <w:rPr>
                <w:rFonts w:ascii="Arial" w:eastAsia="Times New Roman" w:hAnsi="Arial" w:cs="Arial"/>
                <w:color w:val="000000"/>
                <w:szCs w:val="20"/>
                <w:lang w:eastAsia="en-AU"/>
              </w:rPr>
              <w:t>58</w:t>
            </w:r>
          </w:p>
        </w:tc>
        <w:tc>
          <w:tcPr>
            <w:tcW w:w="2071" w:type="dxa"/>
            <w:tcBorders>
              <w:top w:val="single" w:sz="4" w:space="0" w:color="auto"/>
              <w:left w:val="nil"/>
              <w:bottom w:val="single" w:sz="4" w:space="0" w:color="auto"/>
              <w:right w:val="nil"/>
            </w:tcBorders>
            <w:shd w:val="clear" w:color="auto" w:fill="auto"/>
            <w:noWrap/>
            <w:vAlign w:val="bottom"/>
            <w:hideMark/>
          </w:tcPr>
          <w:p w14:paraId="43EE8AE0" w14:textId="16BF81CE" w:rsidR="00BD6230" w:rsidRPr="00E5755A" w:rsidRDefault="002403FA" w:rsidP="00BD6230">
            <w:pPr>
              <w:spacing w:after="0" w:line="240" w:lineRule="auto"/>
              <w:jc w:val="center"/>
              <w:rPr>
                <w:rFonts w:ascii="Arial" w:eastAsia="Times New Roman" w:hAnsi="Arial" w:cs="Arial"/>
                <w:color w:val="000000"/>
                <w:szCs w:val="20"/>
                <w:lang w:eastAsia="en-AU"/>
              </w:rPr>
            </w:pPr>
            <w:r>
              <w:rPr>
                <w:rFonts w:ascii="Arial" w:eastAsia="Times New Roman" w:hAnsi="Arial" w:cs="Arial"/>
                <w:color w:val="000000"/>
                <w:szCs w:val="20"/>
                <w:lang w:eastAsia="en-AU"/>
              </w:rPr>
              <w:t>60</w:t>
            </w:r>
          </w:p>
        </w:tc>
      </w:tr>
      <w:tr w:rsidR="00BD6230" w:rsidRPr="00E5755A" w14:paraId="5D412F05" w14:textId="77777777" w:rsidTr="00327F87">
        <w:trPr>
          <w:trHeight w:val="466"/>
        </w:trPr>
        <w:tc>
          <w:tcPr>
            <w:tcW w:w="1191" w:type="dxa"/>
            <w:tcBorders>
              <w:top w:val="nil"/>
              <w:left w:val="nil"/>
              <w:bottom w:val="nil"/>
              <w:right w:val="nil"/>
            </w:tcBorders>
            <w:shd w:val="clear" w:color="auto" w:fill="auto"/>
            <w:noWrap/>
            <w:vAlign w:val="bottom"/>
            <w:hideMark/>
          </w:tcPr>
          <w:p w14:paraId="475964A5" w14:textId="77777777" w:rsidR="00BD6230" w:rsidRPr="00E5755A" w:rsidRDefault="00BD6230" w:rsidP="00BD6230">
            <w:pPr>
              <w:spacing w:after="0" w:line="240" w:lineRule="auto"/>
              <w:rPr>
                <w:rFonts w:ascii="Arial" w:eastAsia="Times New Roman" w:hAnsi="Arial" w:cs="Arial"/>
                <w:color w:val="000000"/>
                <w:szCs w:val="20"/>
                <w:lang w:eastAsia="en-AU"/>
              </w:rPr>
            </w:pPr>
            <w:r w:rsidRPr="00E5755A">
              <w:rPr>
                <w:rFonts w:ascii="Arial" w:eastAsia="Times New Roman" w:hAnsi="Arial" w:cs="Arial"/>
                <w:color w:val="000000"/>
                <w:szCs w:val="20"/>
                <w:lang w:eastAsia="en-AU"/>
              </w:rPr>
              <w:t>MRIs</w:t>
            </w:r>
          </w:p>
        </w:tc>
        <w:tc>
          <w:tcPr>
            <w:tcW w:w="2071" w:type="dxa"/>
            <w:tcBorders>
              <w:top w:val="nil"/>
              <w:left w:val="nil"/>
              <w:bottom w:val="nil"/>
              <w:right w:val="nil"/>
            </w:tcBorders>
            <w:shd w:val="clear" w:color="auto" w:fill="auto"/>
            <w:noWrap/>
            <w:vAlign w:val="bottom"/>
            <w:hideMark/>
          </w:tcPr>
          <w:p w14:paraId="4B76DAAB" w14:textId="4BE38BC9" w:rsidR="00BD6230" w:rsidRPr="00E5755A" w:rsidRDefault="002403FA" w:rsidP="00BD6230">
            <w:pPr>
              <w:spacing w:after="0" w:line="240" w:lineRule="auto"/>
              <w:jc w:val="center"/>
              <w:rPr>
                <w:rFonts w:ascii="Arial" w:eastAsia="Times New Roman" w:hAnsi="Arial" w:cs="Arial"/>
                <w:color w:val="000000"/>
                <w:szCs w:val="20"/>
                <w:lang w:eastAsia="en-AU"/>
              </w:rPr>
            </w:pPr>
            <w:r>
              <w:rPr>
                <w:rFonts w:ascii="Arial" w:eastAsia="Times New Roman" w:hAnsi="Arial" w:cs="Arial"/>
                <w:color w:val="000000"/>
                <w:szCs w:val="20"/>
                <w:lang w:eastAsia="en-AU"/>
              </w:rPr>
              <w:t>8</w:t>
            </w:r>
          </w:p>
        </w:tc>
        <w:tc>
          <w:tcPr>
            <w:tcW w:w="2071" w:type="dxa"/>
            <w:tcBorders>
              <w:top w:val="nil"/>
              <w:left w:val="nil"/>
              <w:bottom w:val="nil"/>
              <w:right w:val="nil"/>
            </w:tcBorders>
            <w:shd w:val="clear" w:color="auto" w:fill="auto"/>
            <w:noWrap/>
            <w:vAlign w:val="bottom"/>
            <w:hideMark/>
          </w:tcPr>
          <w:p w14:paraId="29AFABF6" w14:textId="13F2A1AA" w:rsidR="00BD6230" w:rsidRPr="00E5755A" w:rsidRDefault="00BD6230" w:rsidP="00BD6230">
            <w:pPr>
              <w:spacing w:after="0" w:line="240" w:lineRule="auto"/>
              <w:jc w:val="center"/>
              <w:rPr>
                <w:rFonts w:ascii="Arial" w:eastAsia="Times New Roman" w:hAnsi="Arial" w:cs="Arial"/>
                <w:color w:val="000000"/>
                <w:szCs w:val="20"/>
                <w:lang w:eastAsia="en-AU"/>
              </w:rPr>
            </w:pPr>
            <w:r w:rsidRPr="00E5755A">
              <w:rPr>
                <w:rFonts w:ascii="Arial" w:eastAsia="Times New Roman" w:hAnsi="Arial" w:cs="Arial"/>
                <w:color w:val="000000"/>
                <w:szCs w:val="20"/>
                <w:lang w:eastAsia="en-AU"/>
              </w:rPr>
              <w:t>29</w:t>
            </w:r>
          </w:p>
        </w:tc>
        <w:tc>
          <w:tcPr>
            <w:tcW w:w="2071" w:type="dxa"/>
            <w:tcBorders>
              <w:top w:val="nil"/>
              <w:left w:val="nil"/>
              <w:bottom w:val="nil"/>
              <w:right w:val="nil"/>
            </w:tcBorders>
            <w:shd w:val="clear" w:color="auto" w:fill="auto"/>
            <w:noWrap/>
            <w:vAlign w:val="bottom"/>
            <w:hideMark/>
          </w:tcPr>
          <w:p w14:paraId="5364CE0A" w14:textId="73767096" w:rsidR="00BD6230" w:rsidRPr="00E5755A" w:rsidRDefault="002403FA" w:rsidP="00BD6230">
            <w:pPr>
              <w:spacing w:after="0" w:line="240" w:lineRule="auto"/>
              <w:jc w:val="center"/>
              <w:rPr>
                <w:rFonts w:ascii="Arial" w:eastAsia="Times New Roman" w:hAnsi="Arial" w:cs="Arial"/>
                <w:color w:val="000000"/>
                <w:szCs w:val="20"/>
                <w:lang w:eastAsia="en-AU"/>
              </w:rPr>
            </w:pPr>
            <w:r>
              <w:rPr>
                <w:rFonts w:ascii="Arial" w:eastAsia="Times New Roman" w:hAnsi="Arial" w:cs="Arial"/>
                <w:color w:val="000000"/>
                <w:szCs w:val="20"/>
                <w:lang w:eastAsia="en-AU"/>
              </w:rPr>
              <w:t>35</w:t>
            </w:r>
          </w:p>
        </w:tc>
      </w:tr>
      <w:tr w:rsidR="00BD6230" w:rsidRPr="00E5755A" w14:paraId="5C6A3296" w14:textId="77777777" w:rsidTr="00327F87">
        <w:trPr>
          <w:trHeight w:val="466"/>
        </w:trPr>
        <w:tc>
          <w:tcPr>
            <w:tcW w:w="1191" w:type="dxa"/>
            <w:tcBorders>
              <w:top w:val="single" w:sz="4" w:space="0" w:color="auto"/>
              <w:left w:val="nil"/>
              <w:bottom w:val="single" w:sz="4" w:space="0" w:color="auto"/>
              <w:right w:val="nil"/>
            </w:tcBorders>
            <w:shd w:val="clear" w:color="auto" w:fill="auto"/>
            <w:noWrap/>
            <w:vAlign w:val="bottom"/>
            <w:hideMark/>
          </w:tcPr>
          <w:p w14:paraId="28B5C768" w14:textId="14CE11EF" w:rsidR="00BD6230" w:rsidRPr="003B6DBB" w:rsidRDefault="00BD6230" w:rsidP="00BC353A">
            <w:pPr>
              <w:spacing w:after="0" w:line="240" w:lineRule="auto"/>
              <w:rPr>
                <w:rFonts w:ascii="Arial" w:eastAsia="Times New Roman" w:hAnsi="Arial" w:cs="Arial"/>
                <w:b/>
                <w:color w:val="000000"/>
                <w:szCs w:val="20"/>
                <w:lang w:eastAsia="en-AU"/>
              </w:rPr>
            </w:pPr>
            <w:r w:rsidRPr="003B6DBB">
              <w:rPr>
                <w:rFonts w:ascii="Arial" w:eastAsia="Times New Roman" w:hAnsi="Arial" w:cs="Arial"/>
                <w:b/>
                <w:color w:val="000000"/>
                <w:szCs w:val="20"/>
                <w:lang w:eastAsia="en-AU"/>
              </w:rPr>
              <w:t>Total</w:t>
            </w:r>
          </w:p>
        </w:tc>
        <w:tc>
          <w:tcPr>
            <w:tcW w:w="2071" w:type="dxa"/>
            <w:tcBorders>
              <w:top w:val="single" w:sz="4" w:space="0" w:color="auto"/>
              <w:left w:val="nil"/>
              <w:bottom w:val="single" w:sz="4" w:space="0" w:color="auto"/>
              <w:right w:val="nil"/>
            </w:tcBorders>
            <w:shd w:val="clear" w:color="auto" w:fill="auto"/>
            <w:noWrap/>
            <w:vAlign w:val="bottom"/>
            <w:hideMark/>
          </w:tcPr>
          <w:p w14:paraId="60AFAC88" w14:textId="64CBF549" w:rsidR="00BD6230" w:rsidRPr="003B6DBB" w:rsidRDefault="002403FA" w:rsidP="002D0F8E">
            <w:pPr>
              <w:spacing w:after="0" w:line="240" w:lineRule="auto"/>
              <w:jc w:val="center"/>
              <w:rPr>
                <w:rFonts w:ascii="Arial" w:eastAsia="Times New Roman" w:hAnsi="Arial" w:cs="Arial"/>
                <w:b/>
                <w:color w:val="000000"/>
                <w:szCs w:val="20"/>
                <w:lang w:eastAsia="en-AU"/>
              </w:rPr>
            </w:pPr>
            <w:r>
              <w:rPr>
                <w:rFonts w:ascii="Arial" w:eastAsia="Times New Roman" w:hAnsi="Arial" w:cs="Arial"/>
                <w:b/>
                <w:color w:val="000000"/>
                <w:szCs w:val="20"/>
                <w:lang w:eastAsia="en-AU"/>
              </w:rPr>
              <w:t>121</w:t>
            </w:r>
          </w:p>
        </w:tc>
        <w:tc>
          <w:tcPr>
            <w:tcW w:w="2071" w:type="dxa"/>
            <w:tcBorders>
              <w:top w:val="single" w:sz="4" w:space="0" w:color="auto"/>
              <w:left w:val="nil"/>
              <w:bottom w:val="single" w:sz="4" w:space="0" w:color="auto"/>
              <w:right w:val="nil"/>
            </w:tcBorders>
            <w:shd w:val="clear" w:color="auto" w:fill="auto"/>
            <w:noWrap/>
            <w:vAlign w:val="bottom"/>
            <w:hideMark/>
          </w:tcPr>
          <w:p w14:paraId="4E7ACFBF" w14:textId="031A7C69" w:rsidR="00BD6230" w:rsidRPr="003B6DBB" w:rsidRDefault="002403FA" w:rsidP="002F3B00">
            <w:pPr>
              <w:spacing w:after="0" w:line="240" w:lineRule="auto"/>
              <w:jc w:val="center"/>
              <w:rPr>
                <w:rFonts w:ascii="Arial" w:eastAsia="Times New Roman" w:hAnsi="Arial" w:cs="Arial"/>
                <w:b/>
                <w:color w:val="000000"/>
                <w:szCs w:val="20"/>
                <w:lang w:eastAsia="en-AU"/>
              </w:rPr>
            </w:pPr>
            <w:r w:rsidRPr="003B6DBB">
              <w:rPr>
                <w:rFonts w:ascii="Arial" w:eastAsia="Times New Roman" w:hAnsi="Arial" w:cs="Arial"/>
                <w:b/>
                <w:color w:val="000000"/>
                <w:szCs w:val="20"/>
                <w:lang w:eastAsia="en-AU"/>
              </w:rPr>
              <w:t>13</w:t>
            </w:r>
            <w:r w:rsidR="002F3B00">
              <w:rPr>
                <w:rFonts w:ascii="Arial" w:eastAsia="Times New Roman" w:hAnsi="Arial" w:cs="Arial"/>
                <w:b/>
                <w:color w:val="000000"/>
                <w:szCs w:val="20"/>
                <w:lang w:eastAsia="en-AU"/>
              </w:rPr>
              <w:t>0</w:t>
            </w:r>
          </w:p>
        </w:tc>
        <w:tc>
          <w:tcPr>
            <w:tcW w:w="2071" w:type="dxa"/>
            <w:tcBorders>
              <w:top w:val="single" w:sz="4" w:space="0" w:color="auto"/>
              <w:left w:val="nil"/>
              <w:bottom w:val="single" w:sz="4" w:space="0" w:color="auto"/>
              <w:right w:val="nil"/>
            </w:tcBorders>
            <w:shd w:val="clear" w:color="auto" w:fill="auto"/>
            <w:noWrap/>
            <w:vAlign w:val="bottom"/>
            <w:hideMark/>
          </w:tcPr>
          <w:p w14:paraId="5880B345" w14:textId="2A237208" w:rsidR="00BD6230" w:rsidRPr="003B6DBB" w:rsidRDefault="002403FA" w:rsidP="002F3B00">
            <w:pPr>
              <w:spacing w:after="0" w:line="240" w:lineRule="auto"/>
              <w:jc w:val="center"/>
              <w:rPr>
                <w:rFonts w:ascii="Arial" w:eastAsia="Times New Roman" w:hAnsi="Arial" w:cs="Arial"/>
                <w:b/>
                <w:color w:val="000000"/>
                <w:szCs w:val="20"/>
                <w:lang w:eastAsia="en-AU"/>
              </w:rPr>
            </w:pPr>
            <w:r w:rsidRPr="003B6DBB">
              <w:rPr>
                <w:rFonts w:ascii="Arial" w:eastAsia="Times New Roman" w:hAnsi="Arial" w:cs="Arial"/>
                <w:b/>
                <w:color w:val="000000"/>
                <w:szCs w:val="20"/>
                <w:lang w:eastAsia="en-AU"/>
              </w:rPr>
              <w:t>1</w:t>
            </w:r>
            <w:r>
              <w:rPr>
                <w:rFonts w:ascii="Arial" w:eastAsia="Times New Roman" w:hAnsi="Arial" w:cs="Arial"/>
                <w:b/>
                <w:color w:val="000000"/>
                <w:szCs w:val="20"/>
                <w:lang w:eastAsia="en-AU"/>
              </w:rPr>
              <w:t>8</w:t>
            </w:r>
            <w:r w:rsidR="002F3B00">
              <w:rPr>
                <w:rFonts w:ascii="Arial" w:eastAsia="Times New Roman" w:hAnsi="Arial" w:cs="Arial"/>
                <w:b/>
                <w:color w:val="000000"/>
                <w:szCs w:val="20"/>
                <w:lang w:eastAsia="en-AU"/>
              </w:rPr>
              <w:t>3</w:t>
            </w:r>
          </w:p>
        </w:tc>
      </w:tr>
    </w:tbl>
    <w:p w14:paraId="1FDDBFE6" w14:textId="0E7FDBBE" w:rsidR="008B66B7" w:rsidRPr="008B66B7" w:rsidRDefault="004F423B" w:rsidP="008B66B7">
      <w:r w:rsidRPr="004F423B">
        <w:rPr>
          <w:rFonts w:eastAsiaTheme="majorEastAsia" w:cstheme="minorHAnsi"/>
          <w:b/>
          <w:bCs/>
          <w:sz w:val="16"/>
          <w:szCs w:val="16"/>
        </w:rPr>
        <w:t xml:space="preserve">Note: </w:t>
      </w:r>
      <w:r w:rsidRPr="004F423B">
        <w:rPr>
          <w:rFonts w:eastAsiaTheme="majorEastAsia" w:cstheme="minorHAnsi"/>
          <w:b/>
          <w:bCs/>
          <w:sz w:val="16"/>
          <w:szCs w:val="16"/>
        </w:rPr>
        <w:tab/>
        <w:t>Figures are rounded to the nearest whole number. All dollar values have been adjusted to 2015 prices.</w:t>
      </w:r>
    </w:p>
    <w:p w14:paraId="14F2E7DA" w14:textId="30DFD21A" w:rsidR="00724B0D" w:rsidRPr="00327F87" w:rsidRDefault="00A22053" w:rsidP="00DF1E5F">
      <w:pPr>
        <w:pStyle w:val="Heading3"/>
        <w:rPr>
          <w:sz w:val="20"/>
          <w:szCs w:val="20"/>
        </w:rPr>
      </w:pPr>
      <w:r w:rsidRPr="00A93922">
        <w:rPr>
          <w:sz w:val="20"/>
          <w:szCs w:val="20"/>
        </w:rPr>
        <w:t xml:space="preserve">Figure </w:t>
      </w:r>
      <w:r w:rsidR="003D7DAD">
        <w:rPr>
          <w:sz w:val="20"/>
          <w:szCs w:val="20"/>
        </w:rPr>
        <w:t>4</w:t>
      </w:r>
      <w:r w:rsidRPr="00A93922">
        <w:rPr>
          <w:sz w:val="20"/>
          <w:szCs w:val="20"/>
        </w:rPr>
        <w:t>.1.</w:t>
      </w:r>
      <w:r w:rsidR="00951FD3">
        <w:rPr>
          <w:sz w:val="20"/>
          <w:szCs w:val="20"/>
        </w:rPr>
        <w:t>3</w:t>
      </w:r>
      <w:r w:rsidRPr="00A93922">
        <w:rPr>
          <w:sz w:val="20"/>
          <w:szCs w:val="20"/>
        </w:rPr>
        <w:t>:</w:t>
      </w:r>
      <w:r w:rsidR="00C7541D">
        <w:rPr>
          <w:sz w:val="20"/>
          <w:szCs w:val="20"/>
        </w:rPr>
        <w:t xml:space="preserve"> Adjusted</w:t>
      </w:r>
      <w:r w:rsidRPr="00A93922">
        <w:rPr>
          <w:sz w:val="20"/>
          <w:szCs w:val="20"/>
        </w:rPr>
        <w:t xml:space="preserve"> </w:t>
      </w:r>
      <w:r w:rsidR="00C7541D">
        <w:rPr>
          <w:sz w:val="20"/>
          <w:szCs w:val="20"/>
        </w:rPr>
        <w:t>i</w:t>
      </w:r>
      <w:r w:rsidRPr="00A93922">
        <w:rPr>
          <w:sz w:val="20"/>
          <w:szCs w:val="20"/>
        </w:rPr>
        <w:t xml:space="preserve">ncome yielded from active LOAs </w:t>
      </w:r>
      <w:r w:rsidR="0093357C">
        <w:rPr>
          <w:sz w:val="20"/>
          <w:szCs w:val="20"/>
        </w:rPr>
        <w:t>($Million)</w:t>
      </w:r>
    </w:p>
    <w:p w14:paraId="03AD0341" w14:textId="7D08F508" w:rsidR="00235954" w:rsidRDefault="00235954" w:rsidP="004C21D3"/>
    <w:p w14:paraId="2574F69F" w14:textId="760671CF" w:rsidR="002403FA" w:rsidRPr="00235954" w:rsidRDefault="002403FA" w:rsidP="004C21D3">
      <w:r>
        <w:rPr>
          <w:noProof/>
          <w:lang w:eastAsia="en-AU"/>
        </w:rPr>
        <w:drawing>
          <wp:inline distT="0" distB="0" distL="0" distR="0" wp14:anchorId="18107C31" wp14:editId="195892DA">
            <wp:extent cx="4578350" cy="2627630"/>
            <wp:effectExtent l="0" t="0" r="0" b="127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4578350" cy="2627630"/>
                    </a:xfrm>
                    <a:prstGeom prst="rect">
                      <a:avLst/>
                    </a:prstGeom>
                    <a:noFill/>
                  </pic:spPr>
                </pic:pic>
              </a:graphicData>
            </a:graphic>
          </wp:inline>
        </w:drawing>
      </w:r>
    </w:p>
    <w:p w14:paraId="0F6E2AC4" w14:textId="5AE119FB" w:rsidR="008A3849" w:rsidRDefault="008A3849">
      <w:pPr>
        <w:spacing w:after="200"/>
      </w:pPr>
      <w:r>
        <w:br w:type="page"/>
      </w:r>
    </w:p>
    <w:p w14:paraId="27FBCFDA" w14:textId="120E0A69" w:rsidR="00A22053" w:rsidRDefault="00B91C9E" w:rsidP="00D05CB9">
      <w:pPr>
        <w:pStyle w:val="Heading3"/>
      </w:pPr>
      <w:r>
        <w:t>4</w:t>
      </w:r>
      <w:r w:rsidR="00A22053">
        <w:t>.</w:t>
      </w:r>
      <w:r w:rsidR="008853D1">
        <w:t>2</w:t>
      </w:r>
      <w:r w:rsidR="00A22053" w:rsidRPr="00756951">
        <w:tab/>
      </w:r>
      <w:r w:rsidR="008853D1">
        <w:t>R</w:t>
      </w:r>
      <w:r w:rsidR="00A22053" w:rsidRPr="007D5343">
        <w:t>esearch commercialisation equity holding</w:t>
      </w:r>
      <w:r w:rsidR="00A22053">
        <w:t>s</w:t>
      </w:r>
    </w:p>
    <w:p w14:paraId="0261B125" w14:textId="77777777" w:rsidR="00A22053" w:rsidRPr="00267942" w:rsidRDefault="00A22053" w:rsidP="00A22053">
      <w:pPr>
        <w:rPr>
          <w:rFonts w:ascii="Arial" w:hAnsi="Arial" w:cs="Arial"/>
        </w:rPr>
      </w:pPr>
      <w:r w:rsidRPr="00267942">
        <w:rPr>
          <w:rFonts w:ascii="Arial" w:hAnsi="Arial" w:cs="Arial"/>
        </w:rPr>
        <w:t xml:space="preserve">The value of equity holdings refers to </w:t>
      </w:r>
      <w:r w:rsidRPr="00D97E01">
        <w:rPr>
          <w:rFonts w:ascii="Arial" w:hAnsi="Arial" w:cs="Arial"/>
        </w:rPr>
        <w:t>equity that is related to the licensing/intellectual property assignment activity of the institution</w:t>
      </w:r>
      <w:r>
        <w:rPr>
          <w:rFonts w:ascii="Arial" w:hAnsi="Arial" w:cs="Arial"/>
        </w:rPr>
        <w:t>.</w:t>
      </w:r>
    </w:p>
    <w:p w14:paraId="78D58ED6" w14:textId="61211303" w:rsidR="00A22053" w:rsidRDefault="00B20C5F" w:rsidP="00AF22C0">
      <w:pPr>
        <w:pStyle w:val="ListParagraph"/>
        <w:numPr>
          <w:ilvl w:val="0"/>
          <w:numId w:val="32"/>
        </w:numPr>
        <w:spacing w:before="240"/>
        <w:rPr>
          <w:rFonts w:ascii="Arial" w:hAnsi="Arial" w:cs="Arial"/>
          <w:sz w:val="20"/>
        </w:rPr>
      </w:pPr>
      <w:r>
        <w:rPr>
          <w:rFonts w:ascii="Arial" w:hAnsi="Arial" w:cs="Arial"/>
          <w:sz w:val="20"/>
        </w:rPr>
        <w:t xml:space="preserve">In 2015, </w:t>
      </w:r>
      <w:r w:rsidR="00A22053">
        <w:rPr>
          <w:rFonts w:ascii="Arial" w:hAnsi="Arial" w:cs="Arial"/>
          <w:sz w:val="20"/>
        </w:rPr>
        <w:t>the value of equity holdings by researc</w:t>
      </w:r>
      <w:r>
        <w:rPr>
          <w:rFonts w:ascii="Arial" w:hAnsi="Arial" w:cs="Arial"/>
          <w:sz w:val="20"/>
        </w:rPr>
        <w:t xml:space="preserve">h organisations </w:t>
      </w:r>
      <w:r w:rsidR="00ED56EB">
        <w:rPr>
          <w:rFonts w:ascii="Arial" w:hAnsi="Arial" w:cs="Arial"/>
          <w:sz w:val="20"/>
        </w:rPr>
        <w:t>reached $129</w:t>
      </w:r>
      <w:r w:rsidR="00871552">
        <w:rPr>
          <w:rFonts w:ascii="Arial" w:hAnsi="Arial" w:cs="Arial"/>
          <w:sz w:val="20"/>
        </w:rPr>
        <w:t xml:space="preserve"> million.</w:t>
      </w:r>
    </w:p>
    <w:p w14:paraId="33D5A301" w14:textId="48564D0E" w:rsidR="00A22053" w:rsidRDefault="00A22053" w:rsidP="00AF22C0">
      <w:pPr>
        <w:pStyle w:val="ListParagraph"/>
        <w:numPr>
          <w:ilvl w:val="0"/>
          <w:numId w:val="32"/>
        </w:numPr>
        <w:rPr>
          <w:rFonts w:ascii="Arial" w:hAnsi="Arial" w:cs="Arial"/>
          <w:sz w:val="20"/>
        </w:rPr>
      </w:pPr>
      <w:r w:rsidRPr="00B5348D">
        <w:rPr>
          <w:rFonts w:ascii="Arial" w:hAnsi="Arial" w:cs="Arial"/>
          <w:sz w:val="20"/>
        </w:rPr>
        <w:t xml:space="preserve">The university sector </w:t>
      </w:r>
      <w:r w:rsidR="008853D1">
        <w:rPr>
          <w:rFonts w:ascii="Arial" w:hAnsi="Arial" w:cs="Arial"/>
          <w:sz w:val="20"/>
        </w:rPr>
        <w:t>reported</w:t>
      </w:r>
      <w:r w:rsidR="008853D1" w:rsidRPr="00B5348D">
        <w:rPr>
          <w:rFonts w:ascii="Arial" w:hAnsi="Arial" w:cs="Arial"/>
          <w:sz w:val="20"/>
        </w:rPr>
        <w:t xml:space="preserve"> </w:t>
      </w:r>
      <w:r>
        <w:rPr>
          <w:rFonts w:ascii="Arial" w:hAnsi="Arial" w:cs="Arial"/>
          <w:sz w:val="20"/>
        </w:rPr>
        <w:t>$</w:t>
      </w:r>
      <w:r w:rsidR="00F3210C">
        <w:rPr>
          <w:rFonts w:ascii="Arial" w:hAnsi="Arial" w:cs="Arial"/>
          <w:sz w:val="20"/>
        </w:rPr>
        <w:t>89</w:t>
      </w:r>
      <w:r w:rsidR="00F3210C" w:rsidRPr="00B5348D">
        <w:rPr>
          <w:rFonts w:ascii="Arial" w:hAnsi="Arial" w:cs="Arial"/>
          <w:sz w:val="20"/>
        </w:rPr>
        <w:t xml:space="preserve"> </w:t>
      </w:r>
      <w:r w:rsidRPr="00B5348D">
        <w:rPr>
          <w:rFonts w:ascii="Arial" w:hAnsi="Arial" w:cs="Arial"/>
          <w:sz w:val="20"/>
        </w:rPr>
        <w:t>million</w:t>
      </w:r>
      <w:r w:rsidR="00B20C5F">
        <w:rPr>
          <w:rFonts w:ascii="Arial" w:hAnsi="Arial" w:cs="Arial"/>
          <w:sz w:val="20"/>
        </w:rPr>
        <w:t xml:space="preserve">, </w:t>
      </w:r>
      <w:r w:rsidR="00A146EC">
        <w:rPr>
          <w:rFonts w:ascii="Arial" w:hAnsi="Arial" w:cs="Arial"/>
          <w:sz w:val="20"/>
        </w:rPr>
        <w:t xml:space="preserve">representing </w:t>
      </w:r>
      <w:r w:rsidR="00ED56EB">
        <w:rPr>
          <w:rFonts w:ascii="Arial" w:hAnsi="Arial" w:cs="Arial"/>
          <w:sz w:val="20"/>
        </w:rPr>
        <w:t>6</w:t>
      </w:r>
      <w:r w:rsidR="00897A77">
        <w:rPr>
          <w:rFonts w:ascii="Arial" w:hAnsi="Arial" w:cs="Arial"/>
          <w:sz w:val="20"/>
        </w:rPr>
        <w:t>9</w:t>
      </w:r>
      <w:r w:rsidR="00BD5663">
        <w:rPr>
          <w:rFonts w:ascii="Arial" w:hAnsi="Arial" w:cs="Arial"/>
          <w:sz w:val="20"/>
        </w:rPr>
        <w:t>%</w:t>
      </w:r>
      <w:r w:rsidRPr="00B5348D">
        <w:rPr>
          <w:rFonts w:ascii="Arial" w:hAnsi="Arial" w:cs="Arial"/>
          <w:sz w:val="20"/>
        </w:rPr>
        <w:t xml:space="preserve"> of the total resea</w:t>
      </w:r>
      <w:r>
        <w:rPr>
          <w:rFonts w:ascii="Arial" w:hAnsi="Arial" w:cs="Arial"/>
          <w:sz w:val="20"/>
        </w:rPr>
        <w:t xml:space="preserve">rch commercialisation equity </w:t>
      </w:r>
      <w:r w:rsidR="00B20C5F">
        <w:rPr>
          <w:rFonts w:ascii="Arial" w:hAnsi="Arial" w:cs="Arial"/>
          <w:sz w:val="20"/>
        </w:rPr>
        <w:t>in 2015</w:t>
      </w:r>
      <w:r w:rsidRPr="00B5348D">
        <w:rPr>
          <w:rFonts w:ascii="Arial" w:hAnsi="Arial" w:cs="Arial"/>
          <w:sz w:val="20"/>
        </w:rPr>
        <w:t xml:space="preserve">. </w:t>
      </w:r>
    </w:p>
    <w:p w14:paraId="0CCCC355" w14:textId="198E6EBB" w:rsidR="007757FF" w:rsidRDefault="00897A77" w:rsidP="00AF22C0">
      <w:pPr>
        <w:pStyle w:val="ListParagraph"/>
        <w:numPr>
          <w:ilvl w:val="0"/>
          <w:numId w:val="32"/>
        </w:numPr>
        <w:rPr>
          <w:rFonts w:ascii="Arial" w:hAnsi="Arial" w:cs="Arial"/>
          <w:sz w:val="20"/>
        </w:rPr>
      </w:pPr>
      <w:r>
        <w:rPr>
          <w:rFonts w:ascii="Arial" w:hAnsi="Arial" w:cs="Arial"/>
          <w:sz w:val="20"/>
        </w:rPr>
        <w:t>PFRA</w:t>
      </w:r>
      <w:r w:rsidR="007757FF">
        <w:rPr>
          <w:rFonts w:ascii="Arial" w:hAnsi="Arial" w:cs="Arial"/>
          <w:sz w:val="20"/>
        </w:rPr>
        <w:t xml:space="preserve">s recorded an increase of </w:t>
      </w:r>
      <w:r w:rsidR="00D61B6D">
        <w:rPr>
          <w:rFonts w:ascii="Arial" w:hAnsi="Arial" w:cs="Arial"/>
          <w:sz w:val="20"/>
        </w:rPr>
        <w:t>67</w:t>
      </w:r>
      <w:r w:rsidR="007757FF">
        <w:rPr>
          <w:rFonts w:ascii="Arial" w:hAnsi="Arial" w:cs="Arial"/>
          <w:sz w:val="20"/>
        </w:rPr>
        <w:t>% in 2015</w:t>
      </w:r>
      <w:r w:rsidR="00E359BF">
        <w:rPr>
          <w:rFonts w:ascii="Arial" w:hAnsi="Arial" w:cs="Arial"/>
          <w:sz w:val="20"/>
        </w:rPr>
        <w:t>.</w:t>
      </w:r>
      <w:r>
        <w:rPr>
          <w:rFonts w:ascii="Arial" w:hAnsi="Arial" w:cs="Arial"/>
          <w:sz w:val="20"/>
        </w:rPr>
        <w:t xml:space="preserve"> </w:t>
      </w:r>
      <w:r w:rsidR="00BB2594">
        <w:rPr>
          <w:rFonts w:ascii="Arial" w:hAnsi="Arial" w:cs="Arial"/>
          <w:sz w:val="20"/>
        </w:rPr>
        <w:t>The u</w:t>
      </w:r>
      <w:r>
        <w:rPr>
          <w:rFonts w:ascii="Arial" w:hAnsi="Arial" w:cs="Arial"/>
          <w:sz w:val="20"/>
        </w:rPr>
        <w:t xml:space="preserve">niversity sector and MRIs also reported 31% and 7% increase respectively from </w:t>
      </w:r>
      <w:r w:rsidR="00E359BF">
        <w:rPr>
          <w:rFonts w:ascii="Arial" w:hAnsi="Arial" w:cs="Arial"/>
          <w:sz w:val="20"/>
        </w:rPr>
        <w:t>2014</w:t>
      </w:r>
      <w:r w:rsidR="007757FF">
        <w:rPr>
          <w:rFonts w:ascii="Arial" w:hAnsi="Arial" w:cs="Arial"/>
          <w:sz w:val="20"/>
        </w:rPr>
        <w:t>.</w:t>
      </w:r>
    </w:p>
    <w:p w14:paraId="216897F7" w14:textId="62986590" w:rsidR="008A3849" w:rsidRDefault="008A3849" w:rsidP="003B6DBB">
      <w:pPr>
        <w:pStyle w:val="ListParagraph"/>
        <w:ind w:left="360"/>
        <w:rPr>
          <w:rFonts w:ascii="Arial" w:hAnsi="Arial" w:cs="Arial"/>
          <w:sz w:val="20"/>
        </w:rPr>
      </w:pPr>
    </w:p>
    <w:p w14:paraId="25DB2020" w14:textId="4E1D383D" w:rsidR="00A22053" w:rsidRPr="00A93922" w:rsidRDefault="00A22053" w:rsidP="00327F87">
      <w:pPr>
        <w:pStyle w:val="Heading3"/>
        <w:rPr>
          <w:sz w:val="20"/>
          <w:szCs w:val="20"/>
        </w:rPr>
      </w:pPr>
      <w:r w:rsidRPr="00A93922">
        <w:rPr>
          <w:sz w:val="20"/>
          <w:szCs w:val="20"/>
        </w:rPr>
        <w:t xml:space="preserve">Table </w:t>
      </w:r>
      <w:r w:rsidR="00B91C9E">
        <w:rPr>
          <w:sz w:val="20"/>
          <w:szCs w:val="20"/>
        </w:rPr>
        <w:t>4</w:t>
      </w:r>
      <w:r w:rsidRPr="00A93922">
        <w:rPr>
          <w:sz w:val="20"/>
          <w:szCs w:val="20"/>
        </w:rPr>
        <w:t>.</w:t>
      </w:r>
      <w:r w:rsidR="008853D1">
        <w:rPr>
          <w:sz w:val="20"/>
          <w:szCs w:val="20"/>
        </w:rPr>
        <w:t>2</w:t>
      </w:r>
      <w:r w:rsidRPr="00A93922">
        <w:rPr>
          <w:sz w:val="20"/>
          <w:szCs w:val="20"/>
        </w:rPr>
        <w:t>: Value of research commercialisation equity holdings ($ Million)</w:t>
      </w:r>
    </w:p>
    <w:tbl>
      <w:tblPr>
        <w:tblW w:w="7297" w:type="dxa"/>
        <w:tblInd w:w="108" w:type="dxa"/>
        <w:tblLook w:val="04A0" w:firstRow="1" w:lastRow="0" w:firstColumn="1" w:lastColumn="0" w:noHBand="0" w:noVBand="1"/>
      </w:tblPr>
      <w:tblGrid>
        <w:gridCol w:w="1174"/>
        <w:gridCol w:w="2041"/>
        <w:gridCol w:w="2041"/>
        <w:gridCol w:w="2041"/>
      </w:tblGrid>
      <w:tr w:rsidR="00B20C5F" w:rsidRPr="00267942" w14:paraId="0427C0F7" w14:textId="77777777" w:rsidTr="00327F87">
        <w:trPr>
          <w:trHeight w:val="463"/>
        </w:trPr>
        <w:tc>
          <w:tcPr>
            <w:tcW w:w="1174" w:type="dxa"/>
            <w:tcBorders>
              <w:top w:val="single" w:sz="4" w:space="0" w:color="auto"/>
              <w:left w:val="nil"/>
              <w:bottom w:val="single" w:sz="4" w:space="0" w:color="auto"/>
              <w:right w:val="nil"/>
            </w:tcBorders>
            <w:shd w:val="clear" w:color="000000" w:fill="C4D79B"/>
            <w:noWrap/>
            <w:vAlign w:val="center"/>
            <w:hideMark/>
          </w:tcPr>
          <w:p w14:paraId="626C3F65" w14:textId="77777777" w:rsidR="00B20C5F" w:rsidRPr="00267942" w:rsidRDefault="00B20C5F" w:rsidP="00B20C5F">
            <w:pPr>
              <w:spacing w:after="0" w:line="240" w:lineRule="auto"/>
              <w:jc w:val="center"/>
              <w:rPr>
                <w:rFonts w:ascii="Arial" w:eastAsia="Times New Roman" w:hAnsi="Arial" w:cs="Arial"/>
                <w:color w:val="000000"/>
                <w:szCs w:val="20"/>
                <w:lang w:eastAsia="en-AU"/>
              </w:rPr>
            </w:pPr>
            <w:r w:rsidRPr="00267942">
              <w:rPr>
                <w:rFonts w:ascii="Arial" w:eastAsia="Times New Roman" w:hAnsi="Arial" w:cs="Arial"/>
                <w:color w:val="000000"/>
                <w:szCs w:val="20"/>
                <w:lang w:eastAsia="en-AU"/>
              </w:rPr>
              <w:t> </w:t>
            </w:r>
          </w:p>
        </w:tc>
        <w:tc>
          <w:tcPr>
            <w:tcW w:w="2041" w:type="dxa"/>
            <w:tcBorders>
              <w:top w:val="single" w:sz="4" w:space="0" w:color="auto"/>
              <w:left w:val="nil"/>
              <w:bottom w:val="single" w:sz="4" w:space="0" w:color="auto"/>
              <w:right w:val="nil"/>
            </w:tcBorders>
            <w:shd w:val="clear" w:color="000000" w:fill="C4D79B"/>
            <w:noWrap/>
            <w:vAlign w:val="center"/>
            <w:hideMark/>
          </w:tcPr>
          <w:p w14:paraId="6DC8E260" w14:textId="2CBDF680" w:rsidR="00B20C5F" w:rsidRPr="0093795E" w:rsidRDefault="00B20C5F" w:rsidP="00B20C5F">
            <w:pPr>
              <w:spacing w:after="0" w:line="240" w:lineRule="auto"/>
              <w:jc w:val="center"/>
              <w:rPr>
                <w:rFonts w:ascii="Arial" w:eastAsia="Times New Roman" w:hAnsi="Arial" w:cs="Arial"/>
                <w:b/>
                <w:color w:val="000000"/>
                <w:szCs w:val="20"/>
                <w:lang w:eastAsia="en-AU"/>
              </w:rPr>
            </w:pPr>
            <w:r w:rsidRPr="00267942">
              <w:rPr>
                <w:rFonts w:ascii="Arial" w:eastAsia="Times New Roman" w:hAnsi="Arial" w:cs="Arial"/>
                <w:b/>
                <w:bCs/>
                <w:color w:val="000000"/>
                <w:szCs w:val="20"/>
                <w:lang w:eastAsia="en-AU"/>
              </w:rPr>
              <w:t>2013</w:t>
            </w:r>
          </w:p>
        </w:tc>
        <w:tc>
          <w:tcPr>
            <w:tcW w:w="2041" w:type="dxa"/>
            <w:tcBorders>
              <w:top w:val="single" w:sz="4" w:space="0" w:color="auto"/>
              <w:left w:val="nil"/>
              <w:bottom w:val="single" w:sz="4" w:space="0" w:color="auto"/>
              <w:right w:val="nil"/>
            </w:tcBorders>
            <w:shd w:val="clear" w:color="000000" w:fill="C4D79B"/>
            <w:noWrap/>
            <w:vAlign w:val="center"/>
            <w:hideMark/>
          </w:tcPr>
          <w:p w14:paraId="4EA1712A" w14:textId="1DAE8BF0" w:rsidR="00B20C5F" w:rsidRPr="00267942" w:rsidRDefault="00B20C5F" w:rsidP="00B20C5F">
            <w:pPr>
              <w:spacing w:after="0" w:line="240" w:lineRule="auto"/>
              <w:jc w:val="center"/>
              <w:rPr>
                <w:rFonts w:ascii="Arial" w:eastAsia="Times New Roman" w:hAnsi="Arial" w:cs="Arial"/>
                <w:b/>
                <w:bCs/>
                <w:color w:val="000000"/>
                <w:szCs w:val="20"/>
                <w:lang w:eastAsia="en-AU"/>
              </w:rPr>
            </w:pPr>
            <w:r w:rsidRPr="00267942">
              <w:rPr>
                <w:rFonts w:ascii="Arial" w:eastAsia="Times New Roman" w:hAnsi="Arial" w:cs="Arial"/>
                <w:b/>
                <w:bCs/>
                <w:color w:val="000000"/>
                <w:szCs w:val="20"/>
                <w:lang w:eastAsia="en-AU"/>
              </w:rPr>
              <w:t>2014</w:t>
            </w:r>
          </w:p>
        </w:tc>
        <w:tc>
          <w:tcPr>
            <w:tcW w:w="2041" w:type="dxa"/>
            <w:tcBorders>
              <w:top w:val="single" w:sz="4" w:space="0" w:color="auto"/>
              <w:left w:val="nil"/>
              <w:bottom w:val="single" w:sz="4" w:space="0" w:color="auto"/>
              <w:right w:val="nil"/>
            </w:tcBorders>
            <w:shd w:val="clear" w:color="000000" w:fill="C4D79B"/>
            <w:noWrap/>
            <w:vAlign w:val="center"/>
            <w:hideMark/>
          </w:tcPr>
          <w:p w14:paraId="227F2E81" w14:textId="42BC38AC" w:rsidR="00B20C5F" w:rsidRPr="00267942" w:rsidRDefault="00B20C5F" w:rsidP="00B20C5F">
            <w:pPr>
              <w:spacing w:after="0" w:line="240" w:lineRule="auto"/>
              <w:jc w:val="center"/>
              <w:rPr>
                <w:rFonts w:ascii="Arial" w:eastAsia="Times New Roman" w:hAnsi="Arial" w:cs="Arial"/>
                <w:b/>
                <w:bCs/>
                <w:color w:val="000000"/>
                <w:szCs w:val="20"/>
                <w:lang w:eastAsia="en-AU"/>
              </w:rPr>
            </w:pPr>
            <w:r>
              <w:rPr>
                <w:rFonts w:ascii="Arial" w:eastAsia="Times New Roman" w:hAnsi="Arial" w:cs="Arial"/>
                <w:b/>
                <w:bCs/>
                <w:color w:val="000000"/>
                <w:szCs w:val="20"/>
                <w:lang w:eastAsia="en-AU"/>
              </w:rPr>
              <w:t>2015</w:t>
            </w:r>
          </w:p>
        </w:tc>
      </w:tr>
      <w:tr w:rsidR="005D0C20" w:rsidRPr="00267942" w14:paraId="7F5FBCD9" w14:textId="77777777" w:rsidTr="00327F87">
        <w:trPr>
          <w:trHeight w:val="463"/>
        </w:trPr>
        <w:tc>
          <w:tcPr>
            <w:tcW w:w="1174" w:type="dxa"/>
            <w:tcBorders>
              <w:top w:val="single" w:sz="4" w:space="0" w:color="auto"/>
              <w:left w:val="nil"/>
              <w:bottom w:val="single" w:sz="4" w:space="0" w:color="auto"/>
              <w:right w:val="nil"/>
            </w:tcBorders>
            <w:shd w:val="clear" w:color="auto" w:fill="auto"/>
            <w:noWrap/>
            <w:vAlign w:val="bottom"/>
          </w:tcPr>
          <w:p w14:paraId="303BB1D6" w14:textId="1A1DFB39" w:rsidR="005D0C20" w:rsidRPr="00267942" w:rsidRDefault="005D0C20" w:rsidP="00B20C5F">
            <w:pPr>
              <w:spacing w:after="0" w:line="240" w:lineRule="auto"/>
              <w:rPr>
                <w:rFonts w:ascii="Arial" w:eastAsia="Times New Roman" w:hAnsi="Arial" w:cs="Arial"/>
                <w:color w:val="000000"/>
                <w:szCs w:val="20"/>
                <w:lang w:eastAsia="en-AU"/>
              </w:rPr>
            </w:pPr>
            <w:r w:rsidRPr="00267942">
              <w:rPr>
                <w:rFonts w:ascii="Arial" w:eastAsia="Times New Roman" w:hAnsi="Arial" w:cs="Arial"/>
                <w:color w:val="000000"/>
                <w:szCs w:val="20"/>
                <w:lang w:eastAsia="en-AU"/>
              </w:rPr>
              <w:t>PFR</w:t>
            </w:r>
            <w:r>
              <w:rPr>
                <w:rFonts w:ascii="Arial" w:eastAsia="Times New Roman" w:hAnsi="Arial" w:cs="Arial"/>
                <w:color w:val="000000"/>
                <w:szCs w:val="20"/>
                <w:lang w:eastAsia="en-AU"/>
              </w:rPr>
              <w:t>A</w:t>
            </w:r>
            <w:r w:rsidRPr="00267942">
              <w:rPr>
                <w:rFonts w:ascii="Arial" w:eastAsia="Times New Roman" w:hAnsi="Arial" w:cs="Arial"/>
                <w:color w:val="000000"/>
                <w:szCs w:val="20"/>
                <w:lang w:eastAsia="en-AU"/>
              </w:rPr>
              <w:t>s</w:t>
            </w:r>
          </w:p>
        </w:tc>
        <w:tc>
          <w:tcPr>
            <w:tcW w:w="2041" w:type="dxa"/>
            <w:tcBorders>
              <w:top w:val="single" w:sz="4" w:space="0" w:color="auto"/>
              <w:left w:val="nil"/>
              <w:bottom w:val="single" w:sz="4" w:space="0" w:color="auto"/>
              <w:right w:val="nil"/>
            </w:tcBorders>
            <w:shd w:val="clear" w:color="auto" w:fill="auto"/>
            <w:noWrap/>
            <w:vAlign w:val="bottom"/>
          </w:tcPr>
          <w:p w14:paraId="7D222C24" w14:textId="16DCCC3E" w:rsidR="005D0C20" w:rsidRPr="00267942" w:rsidRDefault="005D0C20" w:rsidP="003B217B">
            <w:pPr>
              <w:spacing w:after="0" w:line="240" w:lineRule="auto"/>
              <w:jc w:val="center"/>
              <w:rPr>
                <w:rFonts w:ascii="Arial" w:eastAsia="Times New Roman" w:hAnsi="Arial" w:cs="Arial"/>
                <w:color w:val="000000"/>
                <w:szCs w:val="20"/>
                <w:lang w:eastAsia="en-AU"/>
              </w:rPr>
            </w:pPr>
            <w:r>
              <w:rPr>
                <w:rFonts w:ascii="Arial" w:eastAsia="Times New Roman" w:hAnsi="Arial" w:cs="Arial"/>
                <w:color w:val="000000"/>
                <w:szCs w:val="20"/>
                <w:lang w:eastAsia="en-AU"/>
              </w:rPr>
              <w:t>17</w:t>
            </w:r>
          </w:p>
        </w:tc>
        <w:tc>
          <w:tcPr>
            <w:tcW w:w="2041" w:type="dxa"/>
            <w:tcBorders>
              <w:top w:val="single" w:sz="4" w:space="0" w:color="auto"/>
              <w:left w:val="nil"/>
              <w:bottom w:val="single" w:sz="4" w:space="0" w:color="auto"/>
              <w:right w:val="nil"/>
            </w:tcBorders>
            <w:shd w:val="clear" w:color="auto" w:fill="auto"/>
            <w:noWrap/>
            <w:vAlign w:val="bottom"/>
          </w:tcPr>
          <w:p w14:paraId="23045345" w14:textId="2F94204B" w:rsidR="005D0C20" w:rsidRDefault="005D0C20" w:rsidP="003B217B">
            <w:pPr>
              <w:spacing w:after="0" w:line="240" w:lineRule="auto"/>
              <w:jc w:val="center"/>
              <w:rPr>
                <w:rFonts w:ascii="Arial" w:eastAsia="Times New Roman" w:hAnsi="Arial" w:cs="Arial"/>
                <w:color w:val="000000"/>
                <w:szCs w:val="20"/>
                <w:lang w:eastAsia="en-AU"/>
              </w:rPr>
            </w:pPr>
            <w:r>
              <w:rPr>
                <w:rFonts w:ascii="Arial" w:eastAsia="Times New Roman" w:hAnsi="Arial" w:cs="Arial"/>
                <w:color w:val="000000"/>
                <w:szCs w:val="20"/>
                <w:lang w:eastAsia="en-AU"/>
              </w:rPr>
              <w:t>15</w:t>
            </w:r>
          </w:p>
        </w:tc>
        <w:tc>
          <w:tcPr>
            <w:tcW w:w="2041" w:type="dxa"/>
            <w:tcBorders>
              <w:top w:val="single" w:sz="4" w:space="0" w:color="auto"/>
              <w:left w:val="nil"/>
              <w:bottom w:val="single" w:sz="4" w:space="0" w:color="auto"/>
              <w:right w:val="nil"/>
            </w:tcBorders>
            <w:shd w:val="clear" w:color="auto" w:fill="auto"/>
            <w:noWrap/>
            <w:vAlign w:val="bottom"/>
          </w:tcPr>
          <w:p w14:paraId="77FB5102" w14:textId="60A7B8CF" w:rsidR="005D0C20" w:rsidRDefault="005D0C20" w:rsidP="00B20C5F">
            <w:pPr>
              <w:spacing w:after="0" w:line="240" w:lineRule="auto"/>
              <w:jc w:val="center"/>
              <w:rPr>
                <w:rFonts w:ascii="Arial" w:eastAsia="Times New Roman" w:hAnsi="Arial" w:cs="Arial"/>
                <w:color w:val="000000"/>
                <w:szCs w:val="20"/>
                <w:lang w:eastAsia="en-AU"/>
              </w:rPr>
            </w:pPr>
            <w:r>
              <w:rPr>
                <w:rFonts w:ascii="Arial" w:eastAsia="Times New Roman" w:hAnsi="Arial" w:cs="Arial"/>
                <w:color w:val="000000"/>
                <w:szCs w:val="20"/>
                <w:lang w:eastAsia="en-AU"/>
              </w:rPr>
              <w:t>25</w:t>
            </w:r>
          </w:p>
        </w:tc>
      </w:tr>
      <w:tr w:rsidR="00B20C5F" w:rsidRPr="00267942" w14:paraId="5B4A1CBC" w14:textId="77777777" w:rsidTr="00327F87">
        <w:trPr>
          <w:trHeight w:val="463"/>
        </w:trPr>
        <w:tc>
          <w:tcPr>
            <w:tcW w:w="1174" w:type="dxa"/>
            <w:tcBorders>
              <w:top w:val="single" w:sz="4" w:space="0" w:color="auto"/>
              <w:left w:val="nil"/>
              <w:bottom w:val="single" w:sz="4" w:space="0" w:color="auto"/>
              <w:right w:val="nil"/>
            </w:tcBorders>
            <w:shd w:val="clear" w:color="auto" w:fill="auto"/>
            <w:noWrap/>
            <w:vAlign w:val="bottom"/>
            <w:hideMark/>
          </w:tcPr>
          <w:p w14:paraId="69649425" w14:textId="77777777" w:rsidR="00B20C5F" w:rsidRPr="00267942" w:rsidRDefault="00B20C5F" w:rsidP="00B20C5F">
            <w:pPr>
              <w:spacing w:after="0" w:line="240" w:lineRule="auto"/>
              <w:rPr>
                <w:rFonts w:ascii="Arial" w:eastAsia="Times New Roman" w:hAnsi="Arial" w:cs="Arial"/>
                <w:color w:val="000000"/>
                <w:szCs w:val="20"/>
                <w:lang w:eastAsia="en-AU"/>
              </w:rPr>
            </w:pPr>
            <w:r w:rsidRPr="00267942">
              <w:rPr>
                <w:rFonts w:ascii="Arial" w:eastAsia="Times New Roman" w:hAnsi="Arial" w:cs="Arial"/>
                <w:color w:val="000000"/>
                <w:szCs w:val="20"/>
                <w:lang w:eastAsia="en-AU"/>
              </w:rPr>
              <w:t>UNIs</w:t>
            </w:r>
          </w:p>
        </w:tc>
        <w:tc>
          <w:tcPr>
            <w:tcW w:w="2041" w:type="dxa"/>
            <w:tcBorders>
              <w:top w:val="single" w:sz="4" w:space="0" w:color="auto"/>
              <w:left w:val="nil"/>
              <w:bottom w:val="single" w:sz="4" w:space="0" w:color="auto"/>
              <w:right w:val="nil"/>
            </w:tcBorders>
            <w:shd w:val="clear" w:color="auto" w:fill="auto"/>
            <w:noWrap/>
            <w:vAlign w:val="bottom"/>
            <w:hideMark/>
          </w:tcPr>
          <w:p w14:paraId="529447DA" w14:textId="1A05A99D" w:rsidR="00B20C5F" w:rsidRPr="00267942" w:rsidRDefault="003B217B" w:rsidP="003B217B">
            <w:pPr>
              <w:spacing w:after="0" w:line="240" w:lineRule="auto"/>
              <w:jc w:val="center"/>
              <w:rPr>
                <w:rFonts w:ascii="Arial" w:eastAsia="Times New Roman" w:hAnsi="Arial" w:cs="Arial"/>
                <w:color w:val="000000"/>
                <w:szCs w:val="20"/>
                <w:lang w:eastAsia="en-AU"/>
              </w:rPr>
            </w:pPr>
            <w:r w:rsidRPr="00267942">
              <w:rPr>
                <w:rFonts w:ascii="Arial" w:eastAsia="Times New Roman" w:hAnsi="Arial" w:cs="Arial"/>
                <w:color w:val="000000"/>
                <w:szCs w:val="20"/>
                <w:lang w:eastAsia="en-AU"/>
              </w:rPr>
              <w:t>11</w:t>
            </w:r>
            <w:r>
              <w:rPr>
                <w:rFonts w:ascii="Arial" w:eastAsia="Times New Roman" w:hAnsi="Arial" w:cs="Arial"/>
                <w:color w:val="000000"/>
                <w:szCs w:val="20"/>
                <w:lang w:eastAsia="en-AU"/>
              </w:rPr>
              <w:t>2</w:t>
            </w:r>
          </w:p>
        </w:tc>
        <w:tc>
          <w:tcPr>
            <w:tcW w:w="2041" w:type="dxa"/>
            <w:tcBorders>
              <w:top w:val="single" w:sz="4" w:space="0" w:color="auto"/>
              <w:left w:val="nil"/>
              <w:bottom w:val="single" w:sz="4" w:space="0" w:color="auto"/>
              <w:right w:val="nil"/>
            </w:tcBorders>
            <w:shd w:val="clear" w:color="auto" w:fill="auto"/>
            <w:noWrap/>
            <w:vAlign w:val="bottom"/>
            <w:hideMark/>
          </w:tcPr>
          <w:p w14:paraId="1D954C11" w14:textId="4DCBDF1C" w:rsidR="00B20C5F" w:rsidRPr="00267942" w:rsidRDefault="003B217B" w:rsidP="003B217B">
            <w:pPr>
              <w:spacing w:after="0" w:line="240" w:lineRule="auto"/>
              <w:jc w:val="center"/>
              <w:rPr>
                <w:rFonts w:ascii="Arial" w:eastAsia="Times New Roman" w:hAnsi="Arial" w:cs="Arial"/>
                <w:color w:val="000000"/>
                <w:szCs w:val="20"/>
                <w:lang w:eastAsia="en-AU"/>
              </w:rPr>
            </w:pPr>
            <w:r>
              <w:rPr>
                <w:rFonts w:ascii="Arial" w:eastAsia="Times New Roman" w:hAnsi="Arial" w:cs="Arial"/>
                <w:color w:val="000000"/>
                <w:szCs w:val="20"/>
                <w:lang w:eastAsia="en-AU"/>
              </w:rPr>
              <w:t>68</w:t>
            </w:r>
          </w:p>
        </w:tc>
        <w:tc>
          <w:tcPr>
            <w:tcW w:w="2041" w:type="dxa"/>
            <w:tcBorders>
              <w:top w:val="single" w:sz="4" w:space="0" w:color="auto"/>
              <w:left w:val="nil"/>
              <w:bottom w:val="single" w:sz="4" w:space="0" w:color="auto"/>
              <w:right w:val="nil"/>
            </w:tcBorders>
            <w:shd w:val="clear" w:color="auto" w:fill="auto"/>
            <w:noWrap/>
            <w:vAlign w:val="bottom"/>
            <w:hideMark/>
          </w:tcPr>
          <w:p w14:paraId="0393E1CD" w14:textId="0AF76848" w:rsidR="00B20C5F" w:rsidRPr="00267942" w:rsidRDefault="00F3210C" w:rsidP="00B20C5F">
            <w:pPr>
              <w:spacing w:after="0" w:line="240" w:lineRule="auto"/>
              <w:jc w:val="center"/>
              <w:rPr>
                <w:rFonts w:ascii="Arial" w:eastAsia="Times New Roman" w:hAnsi="Arial" w:cs="Arial"/>
                <w:color w:val="000000"/>
                <w:szCs w:val="20"/>
                <w:lang w:eastAsia="en-AU"/>
              </w:rPr>
            </w:pPr>
            <w:r>
              <w:rPr>
                <w:rFonts w:ascii="Arial" w:eastAsia="Times New Roman" w:hAnsi="Arial" w:cs="Arial"/>
                <w:color w:val="000000"/>
                <w:szCs w:val="20"/>
                <w:lang w:eastAsia="en-AU"/>
              </w:rPr>
              <w:t>89</w:t>
            </w:r>
          </w:p>
        </w:tc>
      </w:tr>
      <w:tr w:rsidR="00B20C5F" w:rsidRPr="00267942" w14:paraId="4623B838" w14:textId="77777777" w:rsidTr="00327F87">
        <w:trPr>
          <w:trHeight w:val="463"/>
        </w:trPr>
        <w:tc>
          <w:tcPr>
            <w:tcW w:w="1174" w:type="dxa"/>
            <w:tcBorders>
              <w:top w:val="nil"/>
              <w:left w:val="nil"/>
              <w:bottom w:val="nil"/>
              <w:right w:val="nil"/>
            </w:tcBorders>
            <w:shd w:val="clear" w:color="auto" w:fill="auto"/>
            <w:noWrap/>
            <w:vAlign w:val="bottom"/>
            <w:hideMark/>
          </w:tcPr>
          <w:p w14:paraId="453D3908" w14:textId="77777777" w:rsidR="00B20C5F" w:rsidRPr="00267942" w:rsidRDefault="00B20C5F" w:rsidP="00B20C5F">
            <w:pPr>
              <w:spacing w:after="0" w:line="240" w:lineRule="auto"/>
              <w:rPr>
                <w:rFonts w:ascii="Arial" w:eastAsia="Times New Roman" w:hAnsi="Arial" w:cs="Arial"/>
                <w:color w:val="000000"/>
                <w:szCs w:val="20"/>
                <w:lang w:eastAsia="en-AU"/>
              </w:rPr>
            </w:pPr>
            <w:r w:rsidRPr="00267942">
              <w:rPr>
                <w:rFonts w:ascii="Arial" w:eastAsia="Times New Roman" w:hAnsi="Arial" w:cs="Arial"/>
                <w:color w:val="000000"/>
                <w:szCs w:val="20"/>
                <w:lang w:eastAsia="en-AU"/>
              </w:rPr>
              <w:t>MRIs</w:t>
            </w:r>
          </w:p>
        </w:tc>
        <w:tc>
          <w:tcPr>
            <w:tcW w:w="2041" w:type="dxa"/>
            <w:tcBorders>
              <w:top w:val="nil"/>
              <w:left w:val="nil"/>
              <w:bottom w:val="nil"/>
              <w:right w:val="nil"/>
            </w:tcBorders>
            <w:shd w:val="clear" w:color="auto" w:fill="auto"/>
            <w:noWrap/>
            <w:vAlign w:val="bottom"/>
            <w:hideMark/>
          </w:tcPr>
          <w:p w14:paraId="58C1AE7D" w14:textId="63E87559" w:rsidR="00B20C5F" w:rsidRPr="00267942" w:rsidRDefault="003B217B" w:rsidP="003B217B">
            <w:pPr>
              <w:spacing w:after="0" w:line="240" w:lineRule="auto"/>
              <w:jc w:val="center"/>
              <w:rPr>
                <w:rFonts w:ascii="Arial" w:eastAsia="Times New Roman" w:hAnsi="Arial" w:cs="Arial"/>
                <w:color w:val="000000"/>
                <w:szCs w:val="20"/>
                <w:lang w:eastAsia="en-AU"/>
              </w:rPr>
            </w:pPr>
            <w:r w:rsidRPr="00267942">
              <w:rPr>
                <w:rFonts w:ascii="Arial" w:eastAsia="Times New Roman" w:hAnsi="Arial" w:cs="Arial"/>
                <w:color w:val="000000"/>
                <w:szCs w:val="20"/>
                <w:lang w:eastAsia="en-AU"/>
              </w:rPr>
              <w:t>1</w:t>
            </w:r>
            <w:r>
              <w:rPr>
                <w:rFonts w:ascii="Arial" w:eastAsia="Times New Roman" w:hAnsi="Arial" w:cs="Arial"/>
                <w:color w:val="000000"/>
                <w:szCs w:val="20"/>
                <w:lang w:eastAsia="en-AU"/>
              </w:rPr>
              <w:t>7</w:t>
            </w:r>
          </w:p>
        </w:tc>
        <w:tc>
          <w:tcPr>
            <w:tcW w:w="2041" w:type="dxa"/>
            <w:tcBorders>
              <w:top w:val="nil"/>
              <w:left w:val="nil"/>
              <w:bottom w:val="nil"/>
              <w:right w:val="nil"/>
            </w:tcBorders>
            <w:shd w:val="clear" w:color="auto" w:fill="auto"/>
            <w:noWrap/>
            <w:vAlign w:val="bottom"/>
            <w:hideMark/>
          </w:tcPr>
          <w:p w14:paraId="194FCF4C" w14:textId="144C9DA0" w:rsidR="00B20C5F" w:rsidRPr="00267942" w:rsidRDefault="00B20C5F" w:rsidP="00B20C5F">
            <w:pPr>
              <w:spacing w:after="0" w:line="240" w:lineRule="auto"/>
              <w:jc w:val="center"/>
              <w:rPr>
                <w:rFonts w:ascii="Arial" w:eastAsia="Times New Roman" w:hAnsi="Arial" w:cs="Arial"/>
                <w:color w:val="000000"/>
                <w:szCs w:val="20"/>
                <w:lang w:eastAsia="en-AU"/>
              </w:rPr>
            </w:pPr>
            <w:r w:rsidRPr="00267942">
              <w:rPr>
                <w:rFonts w:ascii="Arial" w:eastAsia="Times New Roman" w:hAnsi="Arial" w:cs="Arial"/>
                <w:color w:val="000000"/>
                <w:szCs w:val="20"/>
                <w:lang w:eastAsia="en-AU"/>
              </w:rPr>
              <w:t>14</w:t>
            </w:r>
          </w:p>
        </w:tc>
        <w:tc>
          <w:tcPr>
            <w:tcW w:w="2041" w:type="dxa"/>
            <w:tcBorders>
              <w:top w:val="nil"/>
              <w:left w:val="nil"/>
              <w:bottom w:val="nil"/>
              <w:right w:val="nil"/>
            </w:tcBorders>
            <w:shd w:val="clear" w:color="auto" w:fill="auto"/>
            <w:noWrap/>
            <w:vAlign w:val="bottom"/>
            <w:hideMark/>
          </w:tcPr>
          <w:p w14:paraId="25D060F1" w14:textId="635DA2CF" w:rsidR="00B20C5F" w:rsidRPr="00267942" w:rsidRDefault="00897A77" w:rsidP="00B20C5F">
            <w:pPr>
              <w:spacing w:after="0" w:line="240" w:lineRule="auto"/>
              <w:jc w:val="center"/>
              <w:rPr>
                <w:rFonts w:ascii="Arial" w:eastAsia="Times New Roman" w:hAnsi="Arial" w:cs="Arial"/>
                <w:color w:val="000000"/>
                <w:szCs w:val="20"/>
                <w:lang w:eastAsia="en-AU"/>
              </w:rPr>
            </w:pPr>
            <w:r>
              <w:rPr>
                <w:rFonts w:ascii="Arial" w:eastAsia="Times New Roman" w:hAnsi="Arial" w:cs="Arial"/>
                <w:color w:val="000000"/>
                <w:szCs w:val="20"/>
                <w:lang w:eastAsia="en-AU"/>
              </w:rPr>
              <w:t>15</w:t>
            </w:r>
          </w:p>
        </w:tc>
      </w:tr>
      <w:tr w:rsidR="00B20C5F" w:rsidRPr="00267942" w14:paraId="42831381" w14:textId="77777777" w:rsidTr="00327F87">
        <w:trPr>
          <w:trHeight w:val="463"/>
        </w:trPr>
        <w:tc>
          <w:tcPr>
            <w:tcW w:w="1174" w:type="dxa"/>
            <w:tcBorders>
              <w:top w:val="single" w:sz="4" w:space="0" w:color="auto"/>
              <w:left w:val="nil"/>
              <w:bottom w:val="single" w:sz="4" w:space="0" w:color="auto"/>
              <w:right w:val="nil"/>
            </w:tcBorders>
            <w:shd w:val="clear" w:color="auto" w:fill="auto"/>
            <w:noWrap/>
            <w:vAlign w:val="bottom"/>
            <w:hideMark/>
          </w:tcPr>
          <w:p w14:paraId="635F1ECC" w14:textId="77777777" w:rsidR="00B20C5F" w:rsidRPr="00267942" w:rsidRDefault="00B20C5F" w:rsidP="00B20C5F">
            <w:pPr>
              <w:spacing w:after="0" w:line="240" w:lineRule="auto"/>
              <w:rPr>
                <w:rFonts w:ascii="Arial" w:eastAsia="Times New Roman" w:hAnsi="Arial" w:cs="Arial"/>
                <w:b/>
                <w:bCs/>
                <w:color w:val="000000"/>
                <w:szCs w:val="20"/>
                <w:lang w:eastAsia="en-AU"/>
              </w:rPr>
            </w:pPr>
            <w:r w:rsidRPr="00267942">
              <w:rPr>
                <w:rFonts w:ascii="Arial" w:eastAsia="Times New Roman" w:hAnsi="Arial" w:cs="Arial"/>
                <w:b/>
                <w:bCs/>
                <w:color w:val="000000"/>
                <w:szCs w:val="20"/>
                <w:lang w:eastAsia="en-AU"/>
              </w:rPr>
              <w:t>Total</w:t>
            </w:r>
          </w:p>
        </w:tc>
        <w:tc>
          <w:tcPr>
            <w:tcW w:w="2041" w:type="dxa"/>
            <w:tcBorders>
              <w:top w:val="single" w:sz="4" w:space="0" w:color="auto"/>
              <w:left w:val="nil"/>
              <w:bottom w:val="single" w:sz="4" w:space="0" w:color="auto"/>
              <w:right w:val="nil"/>
            </w:tcBorders>
            <w:shd w:val="clear" w:color="auto" w:fill="auto"/>
            <w:noWrap/>
            <w:vAlign w:val="bottom"/>
            <w:hideMark/>
          </w:tcPr>
          <w:p w14:paraId="532D6BDF" w14:textId="55D7398E" w:rsidR="00B20C5F" w:rsidRPr="00267942" w:rsidRDefault="002D0F8E" w:rsidP="002D0F8E">
            <w:pPr>
              <w:spacing w:after="0" w:line="240" w:lineRule="auto"/>
              <w:jc w:val="center"/>
              <w:rPr>
                <w:rFonts w:ascii="Arial" w:eastAsia="Times New Roman" w:hAnsi="Arial" w:cs="Arial"/>
                <w:b/>
                <w:bCs/>
                <w:color w:val="000000"/>
                <w:szCs w:val="20"/>
                <w:lang w:eastAsia="en-AU"/>
              </w:rPr>
            </w:pPr>
            <w:r w:rsidRPr="00267942">
              <w:rPr>
                <w:rFonts w:ascii="Arial" w:eastAsia="Times New Roman" w:hAnsi="Arial" w:cs="Arial"/>
                <w:b/>
                <w:bCs/>
                <w:color w:val="000000"/>
                <w:szCs w:val="20"/>
                <w:lang w:eastAsia="en-AU"/>
              </w:rPr>
              <w:t>14</w:t>
            </w:r>
            <w:r>
              <w:rPr>
                <w:rFonts w:ascii="Arial" w:eastAsia="Times New Roman" w:hAnsi="Arial" w:cs="Arial"/>
                <w:b/>
                <w:bCs/>
                <w:color w:val="000000"/>
                <w:szCs w:val="20"/>
                <w:lang w:eastAsia="en-AU"/>
              </w:rPr>
              <w:t>5</w:t>
            </w:r>
          </w:p>
        </w:tc>
        <w:tc>
          <w:tcPr>
            <w:tcW w:w="2041" w:type="dxa"/>
            <w:tcBorders>
              <w:top w:val="single" w:sz="4" w:space="0" w:color="auto"/>
              <w:left w:val="nil"/>
              <w:bottom w:val="single" w:sz="4" w:space="0" w:color="auto"/>
              <w:right w:val="nil"/>
            </w:tcBorders>
            <w:shd w:val="clear" w:color="auto" w:fill="auto"/>
            <w:noWrap/>
            <w:vAlign w:val="bottom"/>
            <w:hideMark/>
          </w:tcPr>
          <w:p w14:paraId="10903C35" w14:textId="02E0C8B8" w:rsidR="00B20C5F" w:rsidRPr="00267942" w:rsidRDefault="00ED56EB" w:rsidP="002D0F8E">
            <w:pPr>
              <w:spacing w:after="0" w:line="240" w:lineRule="auto"/>
              <w:jc w:val="center"/>
              <w:rPr>
                <w:rFonts w:ascii="Arial" w:eastAsia="Times New Roman" w:hAnsi="Arial" w:cs="Arial"/>
                <w:b/>
                <w:bCs/>
                <w:color w:val="000000"/>
                <w:szCs w:val="20"/>
                <w:lang w:eastAsia="en-AU"/>
              </w:rPr>
            </w:pPr>
            <w:r>
              <w:rPr>
                <w:rFonts w:ascii="Arial" w:eastAsia="Times New Roman" w:hAnsi="Arial" w:cs="Arial"/>
                <w:b/>
                <w:bCs/>
                <w:color w:val="000000"/>
                <w:szCs w:val="20"/>
                <w:lang w:eastAsia="en-AU"/>
              </w:rPr>
              <w:t>96</w:t>
            </w:r>
          </w:p>
        </w:tc>
        <w:tc>
          <w:tcPr>
            <w:tcW w:w="2041" w:type="dxa"/>
            <w:tcBorders>
              <w:top w:val="single" w:sz="4" w:space="0" w:color="auto"/>
              <w:left w:val="nil"/>
              <w:bottom w:val="single" w:sz="4" w:space="0" w:color="auto"/>
              <w:right w:val="nil"/>
            </w:tcBorders>
            <w:shd w:val="clear" w:color="auto" w:fill="auto"/>
            <w:noWrap/>
            <w:vAlign w:val="bottom"/>
            <w:hideMark/>
          </w:tcPr>
          <w:p w14:paraId="086269D7" w14:textId="1C098E1B" w:rsidR="00B20C5F" w:rsidRPr="00267942" w:rsidRDefault="00ED56EB" w:rsidP="00B20C5F">
            <w:pPr>
              <w:spacing w:after="0" w:line="240" w:lineRule="auto"/>
              <w:jc w:val="center"/>
              <w:rPr>
                <w:rFonts w:ascii="Arial" w:eastAsia="Times New Roman" w:hAnsi="Arial" w:cs="Arial"/>
                <w:b/>
                <w:bCs/>
                <w:color w:val="000000"/>
                <w:szCs w:val="20"/>
                <w:lang w:eastAsia="en-AU"/>
              </w:rPr>
            </w:pPr>
            <w:r>
              <w:rPr>
                <w:rFonts w:ascii="Arial" w:eastAsia="Times New Roman" w:hAnsi="Arial" w:cs="Arial"/>
                <w:b/>
                <w:bCs/>
                <w:color w:val="000000"/>
                <w:szCs w:val="20"/>
                <w:lang w:eastAsia="en-AU"/>
              </w:rPr>
              <w:t>129</w:t>
            </w:r>
          </w:p>
        </w:tc>
      </w:tr>
    </w:tbl>
    <w:p w14:paraId="5A11C949" w14:textId="18EA1461" w:rsidR="001729C0" w:rsidRPr="001729C0" w:rsidRDefault="001729C0" w:rsidP="004F423B">
      <w:pPr>
        <w:pStyle w:val="Heading3"/>
        <w:spacing w:before="0" w:line="240" w:lineRule="auto"/>
        <w:rPr>
          <w:rFonts w:asciiTheme="minorHAnsi" w:hAnsiTheme="minorHAnsi" w:cstheme="minorHAnsi"/>
          <w:color w:val="auto"/>
          <w:sz w:val="16"/>
          <w:szCs w:val="16"/>
        </w:rPr>
      </w:pPr>
      <w:r w:rsidRPr="001729C0">
        <w:rPr>
          <w:rFonts w:asciiTheme="minorHAnsi" w:hAnsiTheme="minorHAnsi" w:cstheme="minorHAnsi"/>
          <w:color w:val="auto"/>
          <w:sz w:val="16"/>
          <w:szCs w:val="16"/>
        </w:rPr>
        <w:t xml:space="preserve">Note: </w:t>
      </w:r>
      <w:r>
        <w:rPr>
          <w:rFonts w:asciiTheme="minorHAnsi" w:hAnsiTheme="minorHAnsi" w:cstheme="minorHAnsi"/>
          <w:color w:val="auto"/>
          <w:sz w:val="16"/>
          <w:szCs w:val="16"/>
        </w:rPr>
        <w:tab/>
      </w:r>
      <w:r w:rsidRPr="001729C0">
        <w:rPr>
          <w:rFonts w:asciiTheme="minorHAnsi" w:hAnsiTheme="minorHAnsi" w:cstheme="minorHAnsi"/>
          <w:color w:val="auto"/>
          <w:sz w:val="16"/>
          <w:szCs w:val="16"/>
        </w:rPr>
        <w:t>Figures are rounded to the nearest whole number.</w:t>
      </w:r>
      <w:r>
        <w:rPr>
          <w:rFonts w:asciiTheme="minorHAnsi" w:hAnsiTheme="minorHAnsi" w:cstheme="minorHAnsi"/>
          <w:color w:val="auto"/>
          <w:sz w:val="16"/>
          <w:szCs w:val="16"/>
        </w:rPr>
        <w:t xml:space="preserve"> </w:t>
      </w:r>
      <w:r w:rsidR="00F15104">
        <w:rPr>
          <w:rFonts w:asciiTheme="minorHAnsi" w:hAnsiTheme="minorHAnsi" w:cstheme="minorHAnsi"/>
          <w:color w:val="auto"/>
          <w:sz w:val="16"/>
          <w:szCs w:val="16"/>
        </w:rPr>
        <w:t xml:space="preserve">Total may not add up due to rounding. </w:t>
      </w:r>
      <w:r w:rsidRPr="008B66B7">
        <w:rPr>
          <w:rFonts w:asciiTheme="minorHAnsi" w:eastAsia="Times New Roman" w:hAnsiTheme="minorHAnsi" w:cstheme="minorHAnsi"/>
          <w:color w:val="auto"/>
          <w:sz w:val="16"/>
          <w:szCs w:val="16"/>
          <w:lang w:val="en-US"/>
        </w:rPr>
        <w:t>All dollar values have been adjusted to 2015 prices</w:t>
      </w:r>
      <w:r>
        <w:rPr>
          <w:rFonts w:asciiTheme="minorHAnsi" w:eastAsia="Times New Roman" w:hAnsiTheme="minorHAnsi" w:cstheme="minorHAnsi"/>
          <w:color w:val="auto"/>
          <w:sz w:val="16"/>
          <w:szCs w:val="16"/>
          <w:lang w:val="en-US"/>
        </w:rPr>
        <w:t>.</w:t>
      </w:r>
    </w:p>
    <w:p w14:paraId="002271B7" w14:textId="77777777" w:rsidR="00030E1F" w:rsidRDefault="00030E1F" w:rsidP="00A22053"/>
    <w:p w14:paraId="62A10782" w14:textId="6A075762" w:rsidR="00A22053" w:rsidRPr="00327F87" w:rsidRDefault="00A22053" w:rsidP="00327F87">
      <w:pPr>
        <w:pStyle w:val="Heading3"/>
        <w:rPr>
          <w:sz w:val="20"/>
          <w:szCs w:val="20"/>
        </w:rPr>
      </w:pPr>
      <w:r w:rsidRPr="00A93922">
        <w:rPr>
          <w:sz w:val="20"/>
          <w:szCs w:val="20"/>
        </w:rPr>
        <w:t xml:space="preserve">Figure </w:t>
      </w:r>
      <w:r w:rsidR="00B91C9E">
        <w:rPr>
          <w:sz w:val="20"/>
          <w:szCs w:val="20"/>
        </w:rPr>
        <w:t>4</w:t>
      </w:r>
      <w:r w:rsidRPr="00A93922">
        <w:rPr>
          <w:sz w:val="20"/>
          <w:szCs w:val="20"/>
        </w:rPr>
        <w:t>.</w:t>
      </w:r>
      <w:r w:rsidR="008853D1">
        <w:rPr>
          <w:sz w:val="20"/>
          <w:szCs w:val="20"/>
        </w:rPr>
        <w:t>2</w:t>
      </w:r>
      <w:r w:rsidRPr="00A93922">
        <w:rPr>
          <w:sz w:val="20"/>
          <w:szCs w:val="20"/>
        </w:rPr>
        <w:t xml:space="preserve">: Value of research commercialisation equity holdings </w:t>
      </w:r>
      <w:r w:rsidR="0093357C">
        <w:rPr>
          <w:sz w:val="20"/>
          <w:szCs w:val="20"/>
        </w:rPr>
        <w:t>($Million)</w:t>
      </w:r>
    </w:p>
    <w:p w14:paraId="62DFAF47" w14:textId="2F139221" w:rsidR="00F3210C" w:rsidRDefault="00F3210C" w:rsidP="004C21D3"/>
    <w:p w14:paraId="5E21C4EA" w14:textId="36B042CA" w:rsidR="00F3210C" w:rsidRDefault="00F3210C" w:rsidP="004C21D3"/>
    <w:p w14:paraId="2DD2D2CF" w14:textId="12E05564" w:rsidR="002D0F8E" w:rsidRDefault="00D61B6D" w:rsidP="004C21D3">
      <w:r>
        <w:rPr>
          <w:noProof/>
          <w:lang w:eastAsia="en-AU"/>
        </w:rPr>
        <w:drawing>
          <wp:inline distT="0" distB="0" distL="0" distR="0" wp14:anchorId="4338A14A" wp14:editId="10F043A2">
            <wp:extent cx="4572000" cy="2552700"/>
            <wp:effectExtent l="0" t="0" r="0" b="0"/>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p>
    <w:p w14:paraId="04101B11" w14:textId="63571E12" w:rsidR="00C062AF" w:rsidRDefault="00C062AF">
      <w:pPr>
        <w:spacing w:after="200"/>
      </w:pPr>
      <w:r>
        <w:br w:type="page"/>
      </w:r>
    </w:p>
    <w:p w14:paraId="202983D7" w14:textId="77777777" w:rsidR="00030E1F" w:rsidRPr="00F3210C" w:rsidRDefault="00030E1F" w:rsidP="004C21D3"/>
    <w:p w14:paraId="557F5D5B" w14:textId="5A25162D" w:rsidR="008853D1" w:rsidRDefault="008853D1" w:rsidP="008853D1">
      <w:pPr>
        <w:pStyle w:val="Heading3"/>
      </w:pPr>
      <w:r>
        <w:t>4.3</w:t>
      </w:r>
      <w:r w:rsidRPr="00756951">
        <w:tab/>
      </w:r>
      <w:r>
        <w:t>Start-up companies</w:t>
      </w:r>
    </w:p>
    <w:p w14:paraId="5DD2C8C6" w14:textId="67672509" w:rsidR="00D00356" w:rsidRPr="00327F87" w:rsidRDefault="008853D1" w:rsidP="00327F87">
      <w:pPr>
        <w:rPr>
          <w:rFonts w:ascii="Arial" w:hAnsi="Arial" w:cs="Arial"/>
        </w:rPr>
      </w:pPr>
      <w:r w:rsidRPr="00327F87">
        <w:rPr>
          <w:rFonts w:ascii="Arial" w:hAnsi="Arial" w:cs="Arial"/>
        </w:rPr>
        <w:t xml:space="preserve">Start-up company formation is an indicator of research commercialisation activity as start-up companies are partially or entirely dependent on the licensing or assignment of an institution’s technology for initiation. </w:t>
      </w:r>
      <w:r w:rsidR="00D00356" w:rsidRPr="00327F87">
        <w:rPr>
          <w:rFonts w:ascii="Arial" w:hAnsi="Arial" w:cs="Arial"/>
        </w:rPr>
        <w:t>The number of start-up companies reported in 2015 is substantially higher compared to previous years</w:t>
      </w:r>
      <w:r w:rsidR="00497D62">
        <w:rPr>
          <w:rFonts w:ascii="Arial" w:hAnsi="Arial" w:cs="Arial"/>
        </w:rPr>
        <w:t xml:space="preserve">. This may be due to the 2014 data on start-up company activity being </w:t>
      </w:r>
      <w:r w:rsidR="00497D62" w:rsidRPr="00DC233B">
        <w:rPr>
          <w:rFonts w:ascii="Arial" w:hAnsi="Arial" w:cs="Arial"/>
        </w:rPr>
        <w:t xml:space="preserve">collected </w:t>
      </w:r>
      <w:r w:rsidR="00497D62">
        <w:rPr>
          <w:rFonts w:ascii="Arial" w:hAnsi="Arial" w:cs="Arial"/>
        </w:rPr>
        <w:t>through an administrative process</w:t>
      </w:r>
      <w:r w:rsidR="00BD5663">
        <w:rPr>
          <w:rFonts w:ascii="Arial" w:hAnsi="Arial" w:cs="Arial"/>
        </w:rPr>
        <w:t xml:space="preserve"> outside of the NSRC instrument, this</w:t>
      </w:r>
      <w:r w:rsidR="00497D62">
        <w:rPr>
          <w:rFonts w:ascii="Arial" w:hAnsi="Arial" w:cs="Arial"/>
        </w:rPr>
        <w:t xml:space="preserve"> collection method </w:t>
      </w:r>
      <w:r w:rsidR="00497D62" w:rsidRPr="00DC233B">
        <w:rPr>
          <w:rFonts w:ascii="Arial" w:hAnsi="Arial" w:cs="Arial"/>
        </w:rPr>
        <w:t xml:space="preserve">may have </w:t>
      </w:r>
      <w:r w:rsidR="00497D62">
        <w:rPr>
          <w:rFonts w:ascii="Arial" w:hAnsi="Arial" w:cs="Arial"/>
        </w:rPr>
        <w:t>impacted on the data results</w:t>
      </w:r>
      <w:r w:rsidR="00497D62" w:rsidRPr="00DC233B">
        <w:rPr>
          <w:rFonts w:ascii="Arial" w:hAnsi="Arial" w:cs="Arial"/>
        </w:rPr>
        <w:t>.</w:t>
      </w:r>
    </w:p>
    <w:p w14:paraId="587022CB" w14:textId="77777777" w:rsidR="00497D62" w:rsidRDefault="008853D1" w:rsidP="008853D1">
      <w:pPr>
        <w:pStyle w:val="ListParagraph"/>
        <w:numPr>
          <w:ilvl w:val="0"/>
          <w:numId w:val="25"/>
        </w:numPr>
        <w:spacing w:before="240"/>
        <w:rPr>
          <w:rFonts w:ascii="Arial" w:hAnsi="Arial" w:cs="Arial"/>
          <w:sz w:val="20"/>
        </w:rPr>
      </w:pPr>
      <w:r>
        <w:rPr>
          <w:rFonts w:ascii="Arial" w:hAnsi="Arial" w:cs="Arial"/>
          <w:sz w:val="20"/>
        </w:rPr>
        <w:t xml:space="preserve">In 2015, </w:t>
      </w:r>
      <w:r w:rsidR="00497D62">
        <w:rPr>
          <w:rFonts w:ascii="Arial" w:hAnsi="Arial" w:cs="Arial"/>
          <w:sz w:val="20"/>
        </w:rPr>
        <w:t xml:space="preserve">a total of </w:t>
      </w:r>
      <w:r>
        <w:rPr>
          <w:rFonts w:ascii="Arial" w:hAnsi="Arial" w:cs="Arial"/>
          <w:sz w:val="20"/>
        </w:rPr>
        <w:t>42 start-up companies were reported including 29 by universities, 9 by MRIs and 4 by PFRAs.</w:t>
      </w:r>
      <w:r w:rsidR="00C819D7">
        <w:rPr>
          <w:rFonts w:ascii="Arial" w:hAnsi="Arial" w:cs="Arial"/>
          <w:sz w:val="20"/>
        </w:rPr>
        <w:t xml:space="preserve"> </w:t>
      </w:r>
    </w:p>
    <w:p w14:paraId="11E3F07D" w14:textId="60F39CD0" w:rsidR="00030E1F" w:rsidRPr="00791322" w:rsidRDefault="00030E1F" w:rsidP="008853D1">
      <w:pPr>
        <w:pStyle w:val="ListParagraph"/>
        <w:numPr>
          <w:ilvl w:val="0"/>
          <w:numId w:val="25"/>
        </w:numPr>
        <w:spacing w:before="240"/>
        <w:rPr>
          <w:rFonts w:ascii="Arial" w:hAnsi="Arial" w:cs="Arial"/>
          <w:sz w:val="20"/>
        </w:rPr>
      </w:pPr>
      <w:r w:rsidRPr="00C819D7">
        <w:rPr>
          <w:rFonts w:ascii="Arial" w:hAnsi="Arial" w:cs="Arial"/>
          <w:sz w:val="20"/>
          <w:szCs w:val="20"/>
        </w:rPr>
        <w:t>Universities reported the greatest number of start-up companies for 2015</w:t>
      </w:r>
      <w:r w:rsidR="00543125">
        <w:rPr>
          <w:rFonts w:ascii="Arial" w:hAnsi="Arial" w:cs="Arial"/>
          <w:sz w:val="20"/>
          <w:szCs w:val="20"/>
        </w:rPr>
        <w:t xml:space="preserve"> representing</w:t>
      </w:r>
      <w:r w:rsidR="00DC714D">
        <w:rPr>
          <w:rFonts w:ascii="Arial" w:hAnsi="Arial" w:cs="Arial"/>
          <w:sz w:val="20"/>
          <w:szCs w:val="20"/>
        </w:rPr>
        <w:t xml:space="preserve"> 69%, with MRIs and PFRAs representing 21% and 10% respectively</w:t>
      </w:r>
      <w:r w:rsidRPr="00C819D7">
        <w:rPr>
          <w:rFonts w:ascii="Arial" w:hAnsi="Arial" w:cs="Arial"/>
          <w:sz w:val="20"/>
          <w:szCs w:val="20"/>
        </w:rPr>
        <w:t>.</w:t>
      </w:r>
    </w:p>
    <w:p w14:paraId="3F799E3A" w14:textId="271A49B8" w:rsidR="00D00356" w:rsidRDefault="00D00356" w:rsidP="008853D1">
      <w:pPr>
        <w:pStyle w:val="ListParagraph"/>
        <w:numPr>
          <w:ilvl w:val="0"/>
          <w:numId w:val="25"/>
        </w:numPr>
        <w:spacing w:before="240"/>
        <w:rPr>
          <w:rFonts w:ascii="Arial" w:hAnsi="Arial" w:cs="Arial"/>
          <w:sz w:val="20"/>
          <w:szCs w:val="20"/>
        </w:rPr>
      </w:pPr>
      <w:r>
        <w:rPr>
          <w:rFonts w:ascii="Arial" w:hAnsi="Arial" w:cs="Arial"/>
          <w:sz w:val="20"/>
          <w:szCs w:val="20"/>
        </w:rPr>
        <w:t xml:space="preserve">Each sector reported an increase in start-up companies in 2015 compared to </w:t>
      </w:r>
      <w:r w:rsidR="00DC714D">
        <w:rPr>
          <w:rFonts w:ascii="Arial" w:hAnsi="Arial" w:cs="Arial"/>
          <w:sz w:val="20"/>
          <w:szCs w:val="20"/>
        </w:rPr>
        <w:t xml:space="preserve">both </w:t>
      </w:r>
      <w:r w:rsidR="00C819D7">
        <w:rPr>
          <w:rFonts w:ascii="Arial" w:hAnsi="Arial" w:cs="Arial"/>
          <w:sz w:val="20"/>
          <w:szCs w:val="20"/>
        </w:rPr>
        <w:t>2014</w:t>
      </w:r>
      <w:r w:rsidR="00DC714D">
        <w:rPr>
          <w:rFonts w:ascii="Arial" w:hAnsi="Arial" w:cs="Arial"/>
          <w:sz w:val="20"/>
          <w:szCs w:val="20"/>
        </w:rPr>
        <w:t xml:space="preserve"> and 2013</w:t>
      </w:r>
      <w:r w:rsidR="00C819D7">
        <w:rPr>
          <w:rFonts w:ascii="Arial" w:hAnsi="Arial" w:cs="Arial"/>
          <w:sz w:val="20"/>
          <w:szCs w:val="20"/>
        </w:rPr>
        <w:t xml:space="preserve">. </w:t>
      </w:r>
    </w:p>
    <w:p w14:paraId="22D2F576" w14:textId="274DD9F4" w:rsidR="00C819D7" w:rsidRPr="00D00356" w:rsidRDefault="00C819D7" w:rsidP="008853D1">
      <w:pPr>
        <w:pStyle w:val="ListParagraph"/>
        <w:numPr>
          <w:ilvl w:val="0"/>
          <w:numId w:val="25"/>
        </w:numPr>
        <w:spacing w:before="240"/>
        <w:rPr>
          <w:rFonts w:ascii="Arial" w:hAnsi="Arial" w:cs="Arial"/>
          <w:sz w:val="20"/>
          <w:szCs w:val="20"/>
        </w:rPr>
      </w:pPr>
      <w:r>
        <w:rPr>
          <w:rFonts w:ascii="Arial" w:hAnsi="Arial" w:cs="Arial"/>
          <w:sz w:val="20"/>
          <w:szCs w:val="20"/>
        </w:rPr>
        <w:t>The</w:t>
      </w:r>
      <w:r w:rsidR="00DC714D">
        <w:rPr>
          <w:rFonts w:ascii="Arial" w:hAnsi="Arial" w:cs="Arial"/>
          <w:sz w:val="20"/>
          <w:szCs w:val="20"/>
        </w:rPr>
        <w:t xml:space="preserve"> MRI sector represents the</w:t>
      </w:r>
      <w:r>
        <w:rPr>
          <w:rFonts w:ascii="Arial" w:hAnsi="Arial" w:cs="Arial"/>
          <w:sz w:val="20"/>
          <w:szCs w:val="20"/>
        </w:rPr>
        <w:t xml:space="preserve"> largest increase </w:t>
      </w:r>
      <w:r w:rsidR="00DC714D">
        <w:rPr>
          <w:rFonts w:ascii="Arial" w:hAnsi="Arial" w:cs="Arial"/>
          <w:sz w:val="20"/>
          <w:szCs w:val="20"/>
        </w:rPr>
        <w:t xml:space="preserve">in the number of start-up companies </w:t>
      </w:r>
      <w:r>
        <w:rPr>
          <w:rFonts w:ascii="Arial" w:hAnsi="Arial" w:cs="Arial"/>
          <w:sz w:val="20"/>
          <w:szCs w:val="20"/>
        </w:rPr>
        <w:t>between 2013 and 2015.</w:t>
      </w:r>
    </w:p>
    <w:p w14:paraId="0972D2DE" w14:textId="77777777" w:rsidR="008853D1" w:rsidRDefault="008853D1" w:rsidP="008853D1">
      <w:pPr>
        <w:pStyle w:val="ListParagraph"/>
        <w:spacing w:before="240"/>
        <w:ind w:left="360"/>
        <w:rPr>
          <w:rFonts w:ascii="Arial" w:hAnsi="Arial" w:cs="Arial"/>
          <w:sz w:val="20"/>
        </w:rPr>
      </w:pPr>
    </w:p>
    <w:p w14:paraId="15103EC1" w14:textId="4876EED6" w:rsidR="008853D1" w:rsidRPr="00724B0D" w:rsidRDefault="008853D1" w:rsidP="00327F87">
      <w:pPr>
        <w:pStyle w:val="Heading3"/>
        <w:rPr>
          <w:sz w:val="20"/>
          <w:szCs w:val="20"/>
        </w:rPr>
      </w:pPr>
      <w:r w:rsidRPr="00A93922">
        <w:rPr>
          <w:sz w:val="20"/>
          <w:szCs w:val="20"/>
        </w:rPr>
        <w:t xml:space="preserve">Table </w:t>
      </w:r>
      <w:r>
        <w:rPr>
          <w:sz w:val="20"/>
          <w:szCs w:val="20"/>
        </w:rPr>
        <w:t>4</w:t>
      </w:r>
      <w:r w:rsidRPr="00A93922">
        <w:rPr>
          <w:sz w:val="20"/>
          <w:szCs w:val="20"/>
        </w:rPr>
        <w:t>.</w:t>
      </w:r>
      <w:r>
        <w:rPr>
          <w:sz w:val="20"/>
          <w:szCs w:val="20"/>
        </w:rPr>
        <w:t>3</w:t>
      </w:r>
      <w:r w:rsidRPr="00A93922">
        <w:rPr>
          <w:sz w:val="20"/>
          <w:szCs w:val="20"/>
        </w:rPr>
        <w:t>: Number of start-up companies</w:t>
      </w:r>
      <w:r w:rsidRPr="00327F87">
        <w:rPr>
          <w:sz w:val="20"/>
          <w:szCs w:val="20"/>
        </w:rPr>
        <w:t xml:space="preserve"> </w:t>
      </w:r>
    </w:p>
    <w:tbl>
      <w:tblPr>
        <w:tblW w:w="7404" w:type="dxa"/>
        <w:tblInd w:w="108" w:type="dxa"/>
        <w:tblLook w:val="04A0" w:firstRow="1" w:lastRow="0" w:firstColumn="1" w:lastColumn="0" w:noHBand="0" w:noVBand="1"/>
      </w:tblPr>
      <w:tblGrid>
        <w:gridCol w:w="1191"/>
        <w:gridCol w:w="2071"/>
        <w:gridCol w:w="2071"/>
        <w:gridCol w:w="2071"/>
      </w:tblGrid>
      <w:tr w:rsidR="008853D1" w:rsidRPr="00B40BB4" w14:paraId="25C1C9B6" w14:textId="77777777" w:rsidTr="00327F87">
        <w:trPr>
          <w:trHeight w:val="498"/>
        </w:trPr>
        <w:tc>
          <w:tcPr>
            <w:tcW w:w="1191" w:type="dxa"/>
            <w:tcBorders>
              <w:top w:val="single" w:sz="4" w:space="0" w:color="auto"/>
              <w:left w:val="nil"/>
              <w:bottom w:val="single" w:sz="4" w:space="0" w:color="auto"/>
              <w:right w:val="nil"/>
            </w:tcBorders>
            <w:shd w:val="clear" w:color="000000" w:fill="C4D79B"/>
            <w:noWrap/>
            <w:vAlign w:val="center"/>
            <w:hideMark/>
          </w:tcPr>
          <w:p w14:paraId="2B443D1E" w14:textId="77777777" w:rsidR="008853D1" w:rsidRPr="00B40BB4" w:rsidRDefault="008853D1" w:rsidP="00FF7848">
            <w:pPr>
              <w:spacing w:after="0" w:line="240" w:lineRule="auto"/>
              <w:jc w:val="center"/>
              <w:rPr>
                <w:rFonts w:ascii="Arial" w:eastAsia="Times New Roman" w:hAnsi="Arial" w:cs="Arial"/>
                <w:color w:val="000000"/>
                <w:szCs w:val="20"/>
                <w:lang w:eastAsia="en-AU"/>
              </w:rPr>
            </w:pPr>
            <w:r w:rsidRPr="00B40BB4">
              <w:rPr>
                <w:rFonts w:ascii="Arial" w:eastAsia="Times New Roman" w:hAnsi="Arial" w:cs="Arial"/>
                <w:color w:val="000000"/>
                <w:szCs w:val="20"/>
                <w:lang w:eastAsia="en-AU"/>
              </w:rPr>
              <w:t> </w:t>
            </w:r>
          </w:p>
        </w:tc>
        <w:tc>
          <w:tcPr>
            <w:tcW w:w="2071" w:type="dxa"/>
            <w:tcBorders>
              <w:top w:val="single" w:sz="4" w:space="0" w:color="auto"/>
              <w:left w:val="nil"/>
              <w:bottom w:val="single" w:sz="4" w:space="0" w:color="auto"/>
              <w:right w:val="nil"/>
            </w:tcBorders>
            <w:shd w:val="clear" w:color="000000" w:fill="C4D79B"/>
            <w:noWrap/>
            <w:vAlign w:val="center"/>
            <w:hideMark/>
          </w:tcPr>
          <w:p w14:paraId="73E97AEB" w14:textId="77777777" w:rsidR="008853D1" w:rsidRPr="00B40BB4" w:rsidRDefault="008853D1" w:rsidP="00FF7848">
            <w:pPr>
              <w:spacing w:after="0" w:line="240" w:lineRule="auto"/>
              <w:jc w:val="center"/>
              <w:rPr>
                <w:rFonts w:ascii="Arial" w:eastAsia="Times New Roman" w:hAnsi="Arial" w:cs="Arial"/>
                <w:b/>
                <w:bCs/>
                <w:color w:val="000000"/>
                <w:szCs w:val="20"/>
                <w:lang w:eastAsia="en-AU"/>
              </w:rPr>
            </w:pPr>
            <w:r w:rsidRPr="00B40BB4">
              <w:rPr>
                <w:rFonts w:ascii="Arial" w:eastAsia="Times New Roman" w:hAnsi="Arial" w:cs="Arial"/>
                <w:b/>
                <w:bCs/>
                <w:color w:val="000000"/>
                <w:szCs w:val="20"/>
                <w:lang w:eastAsia="en-AU"/>
              </w:rPr>
              <w:t>2013</w:t>
            </w:r>
          </w:p>
        </w:tc>
        <w:tc>
          <w:tcPr>
            <w:tcW w:w="2071" w:type="dxa"/>
            <w:tcBorders>
              <w:top w:val="single" w:sz="4" w:space="0" w:color="auto"/>
              <w:left w:val="nil"/>
              <w:bottom w:val="single" w:sz="4" w:space="0" w:color="auto"/>
              <w:right w:val="nil"/>
            </w:tcBorders>
            <w:shd w:val="clear" w:color="000000" w:fill="C4D79B"/>
            <w:noWrap/>
            <w:vAlign w:val="center"/>
            <w:hideMark/>
          </w:tcPr>
          <w:p w14:paraId="5F1D6D19" w14:textId="77777777" w:rsidR="008853D1" w:rsidRPr="00B40BB4" w:rsidRDefault="008853D1" w:rsidP="00FF7848">
            <w:pPr>
              <w:spacing w:after="0" w:line="240" w:lineRule="auto"/>
              <w:jc w:val="center"/>
              <w:rPr>
                <w:rFonts w:ascii="Arial" w:eastAsia="Times New Roman" w:hAnsi="Arial" w:cs="Arial"/>
                <w:b/>
                <w:bCs/>
                <w:color w:val="000000"/>
                <w:szCs w:val="20"/>
                <w:lang w:eastAsia="en-AU"/>
              </w:rPr>
            </w:pPr>
            <w:r w:rsidRPr="00B40BB4">
              <w:rPr>
                <w:rFonts w:ascii="Arial" w:eastAsia="Times New Roman" w:hAnsi="Arial" w:cs="Arial"/>
                <w:b/>
                <w:bCs/>
                <w:color w:val="000000"/>
                <w:szCs w:val="20"/>
                <w:lang w:eastAsia="en-AU"/>
              </w:rPr>
              <w:t>2014</w:t>
            </w:r>
          </w:p>
        </w:tc>
        <w:tc>
          <w:tcPr>
            <w:tcW w:w="2071" w:type="dxa"/>
            <w:tcBorders>
              <w:top w:val="single" w:sz="4" w:space="0" w:color="auto"/>
              <w:left w:val="nil"/>
              <w:bottom w:val="single" w:sz="4" w:space="0" w:color="auto"/>
              <w:right w:val="nil"/>
            </w:tcBorders>
            <w:shd w:val="clear" w:color="000000" w:fill="C4D79B"/>
            <w:noWrap/>
            <w:vAlign w:val="center"/>
            <w:hideMark/>
          </w:tcPr>
          <w:p w14:paraId="06EF4F4C" w14:textId="77777777" w:rsidR="008853D1" w:rsidRPr="00B40BB4" w:rsidRDefault="008853D1" w:rsidP="00FF7848">
            <w:pPr>
              <w:spacing w:after="0" w:line="240" w:lineRule="auto"/>
              <w:jc w:val="center"/>
              <w:rPr>
                <w:rFonts w:ascii="Arial" w:eastAsia="Times New Roman" w:hAnsi="Arial" w:cs="Arial"/>
                <w:b/>
                <w:bCs/>
                <w:color w:val="000000"/>
                <w:szCs w:val="20"/>
                <w:lang w:eastAsia="en-AU"/>
              </w:rPr>
            </w:pPr>
            <w:r>
              <w:rPr>
                <w:rFonts w:ascii="Arial" w:eastAsia="Times New Roman" w:hAnsi="Arial" w:cs="Arial"/>
                <w:b/>
                <w:bCs/>
                <w:color w:val="000000"/>
                <w:szCs w:val="20"/>
                <w:lang w:eastAsia="en-AU"/>
              </w:rPr>
              <w:t>2015</w:t>
            </w:r>
          </w:p>
        </w:tc>
      </w:tr>
      <w:tr w:rsidR="008853D1" w:rsidRPr="00B40BB4" w14:paraId="2920E4D8" w14:textId="77777777" w:rsidTr="00327F87">
        <w:trPr>
          <w:trHeight w:val="498"/>
        </w:trPr>
        <w:tc>
          <w:tcPr>
            <w:tcW w:w="1191" w:type="dxa"/>
            <w:tcBorders>
              <w:top w:val="nil"/>
              <w:left w:val="nil"/>
              <w:bottom w:val="nil"/>
              <w:right w:val="nil"/>
            </w:tcBorders>
            <w:shd w:val="clear" w:color="auto" w:fill="auto"/>
            <w:noWrap/>
            <w:vAlign w:val="bottom"/>
            <w:hideMark/>
          </w:tcPr>
          <w:p w14:paraId="16642050" w14:textId="77777777" w:rsidR="008853D1" w:rsidRPr="00B40BB4" w:rsidRDefault="008853D1" w:rsidP="00FF7848">
            <w:pPr>
              <w:spacing w:after="0" w:line="240" w:lineRule="auto"/>
              <w:rPr>
                <w:rFonts w:ascii="Arial" w:eastAsia="Times New Roman" w:hAnsi="Arial" w:cs="Arial"/>
                <w:color w:val="000000"/>
                <w:szCs w:val="20"/>
                <w:lang w:eastAsia="en-AU"/>
              </w:rPr>
            </w:pPr>
            <w:r w:rsidRPr="00B40BB4">
              <w:rPr>
                <w:rFonts w:ascii="Arial" w:eastAsia="Times New Roman" w:hAnsi="Arial" w:cs="Arial"/>
                <w:color w:val="000000"/>
                <w:szCs w:val="20"/>
                <w:lang w:eastAsia="en-AU"/>
              </w:rPr>
              <w:t>PFR</w:t>
            </w:r>
            <w:r>
              <w:rPr>
                <w:rFonts w:ascii="Arial" w:eastAsia="Times New Roman" w:hAnsi="Arial" w:cs="Arial"/>
                <w:color w:val="000000"/>
                <w:szCs w:val="20"/>
                <w:lang w:eastAsia="en-AU"/>
              </w:rPr>
              <w:t>A</w:t>
            </w:r>
            <w:r w:rsidRPr="00B40BB4">
              <w:rPr>
                <w:rFonts w:ascii="Arial" w:eastAsia="Times New Roman" w:hAnsi="Arial" w:cs="Arial"/>
                <w:color w:val="000000"/>
                <w:szCs w:val="20"/>
                <w:lang w:eastAsia="en-AU"/>
              </w:rPr>
              <w:t>s</w:t>
            </w:r>
          </w:p>
        </w:tc>
        <w:tc>
          <w:tcPr>
            <w:tcW w:w="2071" w:type="dxa"/>
            <w:tcBorders>
              <w:top w:val="nil"/>
              <w:left w:val="nil"/>
              <w:bottom w:val="nil"/>
              <w:right w:val="nil"/>
            </w:tcBorders>
            <w:shd w:val="clear" w:color="auto" w:fill="auto"/>
            <w:noWrap/>
            <w:vAlign w:val="bottom"/>
            <w:hideMark/>
          </w:tcPr>
          <w:p w14:paraId="1A3864B2" w14:textId="77777777" w:rsidR="008853D1" w:rsidRPr="00B40BB4" w:rsidRDefault="008853D1" w:rsidP="00FF7848">
            <w:pPr>
              <w:spacing w:after="0" w:line="240" w:lineRule="auto"/>
              <w:jc w:val="center"/>
              <w:rPr>
                <w:rFonts w:ascii="Arial" w:eastAsia="Times New Roman" w:hAnsi="Arial" w:cs="Arial"/>
                <w:color w:val="000000"/>
                <w:szCs w:val="20"/>
                <w:lang w:eastAsia="en-AU"/>
              </w:rPr>
            </w:pPr>
            <w:r w:rsidRPr="00B40BB4">
              <w:rPr>
                <w:rFonts w:ascii="Arial" w:eastAsia="Times New Roman" w:hAnsi="Arial" w:cs="Arial"/>
                <w:color w:val="000000"/>
                <w:szCs w:val="20"/>
                <w:lang w:eastAsia="en-AU"/>
              </w:rPr>
              <w:t>3</w:t>
            </w:r>
          </w:p>
        </w:tc>
        <w:tc>
          <w:tcPr>
            <w:tcW w:w="2071" w:type="dxa"/>
            <w:tcBorders>
              <w:top w:val="nil"/>
              <w:left w:val="nil"/>
              <w:bottom w:val="nil"/>
              <w:right w:val="nil"/>
            </w:tcBorders>
            <w:shd w:val="clear" w:color="auto" w:fill="auto"/>
            <w:noWrap/>
            <w:vAlign w:val="bottom"/>
            <w:hideMark/>
          </w:tcPr>
          <w:p w14:paraId="007BCD05" w14:textId="77777777" w:rsidR="008853D1" w:rsidRPr="00B40BB4" w:rsidRDefault="008853D1" w:rsidP="00FF7848">
            <w:pPr>
              <w:spacing w:after="0" w:line="240" w:lineRule="auto"/>
              <w:jc w:val="center"/>
              <w:rPr>
                <w:rFonts w:ascii="Arial" w:eastAsia="Times New Roman" w:hAnsi="Arial" w:cs="Arial"/>
                <w:color w:val="000000"/>
                <w:szCs w:val="20"/>
                <w:lang w:eastAsia="en-AU"/>
              </w:rPr>
            </w:pPr>
            <w:r>
              <w:rPr>
                <w:rFonts w:ascii="Arial" w:eastAsia="Times New Roman" w:hAnsi="Arial" w:cs="Arial"/>
                <w:color w:val="000000"/>
                <w:szCs w:val="20"/>
                <w:lang w:eastAsia="en-AU"/>
              </w:rPr>
              <w:t>2</w:t>
            </w:r>
          </w:p>
        </w:tc>
        <w:tc>
          <w:tcPr>
            <w:tcW w:w="2071" w:type="dxa"/>
            <w:tcBorders>
              <w:top w:val="nil"/>
              <w:left w:val="nil"/>
              <w:bottom w:val="nil"/>
              <w:right w:val="nil"/>
            </w:tcBorders>
            <w:shd w:val="clear" w:color="auto" w:fill="auto"/>
            <w:noWrap/>
            <w:vAlign w:val="bottom"/>
            <w:hideMark/>
          </w:tcPr>
          <w:p w14:paraId="2874EFD1" w14:textId="77777777" w:rsidR="008853D1" w:rsidRPr="00B40BB4" w:rsidRDefault="008853D1" w:rsidP="00FF7848">
            <w:pPr>
              <w:spacing w:after="0" w:line="240" w:lineRule="auto"/>
              <w:jc w:val="center"/>
              <w:rPr>
                <w:rFonts w:ascii="Arial" w:eastAsia="Times New Roman" w:hAnsi="Arial" w:cs="Arial"/>
                <w:color w:val="000000"/>
                <w:szCs w:val="20"/>
                <w:lang w:eastAsia="en-AU"/>
              </w:rPr>
            </w:pPr>
            <w:r>
              <w:rPr>
                <w:rFonts w:ascii="Arial" w:eastAsia="Times New Roman" w:hAnsi="Arial" w:cs="Arial"/>
                <w:color w:val="000000"/>
                <w:szCs w:val="20"/>
                <w:lang w:eastAsia="en-AU"/>
              </w:rPr>
              <w:t>4</w:t>
            </w:r>
          </w:p>
        </w:tc>
      </w:tr>
      <w:tr w:rsidR="008853D1" w:rsidRPr="00B40BB4" w14:paraId="5DDC14CE" w14:textId="77777777" w:rsidTr="00327F87">
        <w:trPr>
          <w:trHeight w:val="498"/>
        </w:trPr>
        <w:tc>
          <w:tcPr>
            <w:tcW w:w="1191" w:type="dxa"/>
            <w:tcBorders>
              <w:top w:val="single" w:sz="4" w:space="0" w:color="auto"/>
              <w:left w:val="nil"/>
              <w:bottom w:val="single" w:sz="4" w:space="0" w:color="auto"/>
              <w:right w:val="nil"/>
            </w:tcBorders>
            <w:shd w:val="clear" w:color="auto" w:fill="auto"/>
            <w:noWrap/>
            <w:vAlign w:val="bottom"/>
            <w:hideMark/>
          </w:tcPr>
          <w:p w14:paraId="6DF7EF1F" w14:textId="77777777" w:rsidR="008853D1" w:rsidRPr="00B40BB4" w:rsidRDefault="008853D1" w:rsidP="00FF7848">
            <w:pPr>
              <w:spacing w:after="0" w:line="240" w:lineRule="auto"/>
              <w:rPr>
                <w:rFonts w:ascii="Arial" w:eastAsia="Times New Roman" w:hAnsi="Arial" w:cs="Arial"/>
                <w:color w:val="000000"/>
                <w:szCs w:val="20"/>
                <w:lang w:eastAsia="en-AU"/>
              </w:rPr>
            </w:pPr>
            <w:r w:rsidRPr="00B40BB4">
              <w:rPr>
                <w:rFonts w:ascii="Arial" w:eastAsia="Times New Roman" w:hAnsi="Arial" w:cs="Arial"/>
                <w:color w:val="000000"/>
                <w:szCs w:val="20"/>
                <w:lang w:eastAsia="en-AU"/>
              </w:rPr>
              <w:t>UNIs</w:t>
            </w:r>
          </w:p>
        </w:tc>
        <w:tc>
          <w:tcPr>
            <w:tcW w:w="2071" w:type="dxa"/>
            <w:tcBorders>
              <w:top w:val="single" w:sz="4" w:space="0" w:color="auto"/>
              <w:left w:val="nil"/>
              <w:bottom w:val="single" w:sz="4" w:space="0" w:color="auto"/>
              <w:right w:val="nil"/>
            </w:tcBorders>
            <w:shd w:val="clear" w:color="auto" w:fill="auto"/>
            <w:noWrap/>
            <w:vAlign w:val="bottom"/>
            <w:hideMark/>
          </w:tcPr>
          <w:p w14:paraId="5B9D66BE" w14:textId="77777777" w:rsidR="008853D1" w:rsidRPr="00B40BB4" w:rsidRDefault="008853D1" w:rsidP="00FF7848">
            <w:pPr>
              <w:spacing w:after="0" w:line="240" w:lineRule="auto"/>
              <w:jc w:val="center"/>
              <w:rPr>
                <w:rFonts w:ascii="Arial" w:eastAsia="Times New Roman" w:hAnsi="Arial" w:cs="Arial"/>
                <w:color w:val="000000"/>
                <w:szCs w:val="20"/>
                <w:lang w:eastAsia="en-AU"/>
              </w:rPr>
            </w:pPr>
            <w:r w:rsidRPr="00B40BB4">
              <w:rPr>
                <w:rFonts w:ascii="Arial" w:eastAsia="Times New Roman" w:hAnsi="Arial" w:cs="Arial"/>
                <w:color w:val="000000"/>
                <w:szCs w:val="20"/>
                <w:lang w:eastAsia="en-AU"/>
              </w:rPr>
              <w:t>21</w:t>
            </w:r>
          </w:p>
        </w:tc>
        <w:tc>
          <w:tcPr>
            <w:tcW w:w="2071" w:type="dxa"/>
            <w:tcBorders>
              <w:top w:val="single" w:sz="4" w:space="0" w:color="auto"/>
              <w:left w:val="nil"/>
              <w:bottom w:val="single" w:sz="4" w:space="0" w:color="auto"/>
              <w:right w:val="nil"/>
            </w:tcBorders>
            <w:shd w:val="clear" w:color="auto" w:fill="auto"/>
            <w:noWrap/>
            <w:vAlign w:val="bottom"/>
            <w:hideMark/>
          </w:tcPr>
          <w:p w14:paraId="407B6D9A" w14:textId="77777777" w:rsidR="008853D1" w:rsidRPr="00B40BB4" w:rsidRDefault="008853D1" w:rsidP="00FF7848">
            <w:pPr>
              <w:spacing w:after="0" w:line="240" w:lineRule="auto"/>
              <w:jc w:val="center"/>
              <w:rPr>
                <w:rFonts w:ascii="Arial" w:eastAsia="Times New Roman" w:hAnsi="Arial" w:cs="Arial"/>
                <w:color w:val="000000"/>
                <w:szCs w:val="20"/>
                <w:lang w:eastAsia="en-AU"/>
              </w:rPr>
            </w:pPr>
            <w:r w:rsidRPr="00B40BB4">
              <w:rPr>
                <w:rFonts w:ascii="Arial" w:eastAsia="Times New Roman" w:hAnsi="Arial" w:cs="Arial"/>
                <w:color w:val="000000"/>
                <w:szCs w:val="20"/>
                <w:lang w:eastAsia="en-AU"/>
              </w:rPr>
              <w:t>5</w:t>
            </w:r>
          </w:p>
        </w:tc>
        <w:tc>
          <w:tcPr>
            <w:tcW w:w="2071" w:type="dxa"/>
            <w:tcBorders>
              <w:top w:val="single" w:sz="4" w:space="0" w:color="auto"/>
              <w:left w:val="nil"/>
              <w:bottom w:val="single" w:sz="4" w:space="0" w:color="auto"/>
              <w:right w:val="nil"/>
            </w:tcBorders>
            <w:shd w:val="clear" w:color="auto" w:fill="auto"/>
            <w:noWrap/>
            <w:vAlign w:val="bottom"/>
            <w:hideMark/>
          </w:tcPr>
          <w:p w14:paraId="5A2879F8" w14:textId="77777777" w:rsidR="008853D1" w:rsidRPr="00B40BB4" w:rsidRDefault="008853D1" w:rsidP="00FF7848">
            <w:pPr>
              <w:spacing w:after="0" w:line="240" w:lineRule="auto"/>
              <w:jc w:val="center"/>
              <w:rPr>
                <w:rFonts w:ascii="Arial" w:eastAsia="Times New Roman" w:hAnsi="Arial" w:cs="Arial"/>
                <w:color w:val="000000"/>
                <w:szCs w:val="20"/>
                <w:lang w:eastAsia="en-AU"/>
              </w:rPr>
            </w:pPr>
            <w:r>
              <w:rPr>
                <w:rFonts w:ascii="Arial" w:eastAsia="Times New Roman" w:hAnsi="Arial" w:cs="Arial"/>
                <w:color w:val="000000"/>
                <w:szCs w:val="20"/>
                <w:lang w:eastAsia="en-AU"/>
              </w:rPr>
              <w:t>29</w:t>
            </w:r>
          </w:p>
        </w:tc>
      </w:tr>
      <w:tr w:rsidR="008853D1" w:rsidRPr="00B40BB4" w14:paraId="62DC2776" w14:textId="77777777" w:rsidTr="00327F87">
        <w:trPr>
          <w:trHeight w:val="498"/>
        </w:trPr>
        <w:tc>
          <w:tcPr>
            <w:tcW w:w="1191" w:type="dxa"/>
            <w:tcBorders>
              <w:top w:val="nil"/>
              <w:left w:val="nil"/>
              <w:bottom w:val="nil"/>
              <w:right w:val="nil"/>
            </w:tcBorders>
            <w:shd w:val="clear" w:color="auto" w:fill="auto"/>
            <w:noWrap/>
            <w:vAlign w:val="bottom"/>
            <w:hideMark/>
          </w:tcPr>
          <w:p w14:paraId="5F170A63" w14:textId="77777777" w:rsidR="008853D1" w:rsidRPr="00B40BB4" w:rsidRDefault="008853D1" w:rsidP="00FF7848">
            <w:pPr>
              <w:spacing w:after="0" w:line="240" w:lineRule="auto"/>
              <w:rPr>
                <w:rFonts w:ascii="Arial" w:eastAsia="Times New Roman" w:hAnsi="Arial" w:cs="Arial"/>
                <w:color w:val="000000"/>
                <w:szCs w:val="20"/>
                <w:lang w:eastAsia="en-AU"/>
              </w:rPr>
            </w:pPr>
            <w:r w:rsidRPr="00B40BB4">
              <w:rPr>
                <w:rFonts w:ascii="Arial" w:eastAsia="Times New Roman" w:hAnsi="Arial" w:cs="Arial"/>
                <w:color w:val="000000"/>
                <w:szCs w:val="20"/>
                <w:lang w:eastAsia="en-AU"/>
              </w:rPr>
              <w:t>MRIs</w:t>
            </w:r>
          </w:p>
        </w:tc>
        <w:tc>
          <w:tcPr>
            <w:tcW w:w="2071" w:type="dxa"/>
            <w:tcBorders>
              <w:top w:val="nil"/>
              <w:left w:val="nil"/>
              <w:bottom w:val="nil"/>
              <w:right w:val="nil"/>
            </w:tcBorders>
            <w:shd w:val="clear" w:color="auto" w:fill="auto"/>
            <w:noWrap/>
            <w:vAlign w:val="bottom"/>
            <w:hideMark/>
          </w:tcPr>
          <w:p w14:paraId="11F652DB" w14:textId="77777777" w:rsidR="008853D1" w:rsidRPr="00B40BB4" w:rsidRDefault="008853D1" w:rsidP="00FF7848">
            <w:pPr>
              <w:spacing w:after="0" w:line="240" w:lineRule="auto"/>
              <w:jc w:val="center"/>
              <w:rPr>
                <w:rFonts w:ascii="Arial" w:eastAsia="Times New Roman" w:hAnsi="Arial" w:cs="Arial"/>
                <w:color w:val="000000"/>
                <w:szCs w:val="20"/>
                <w:lang w:eastAsia="en-AU"/>
              </w:rPr>
            </w:pPr>
            <w:r w:rsidRPr="00B40BB4">
              <w:rPr>
                <w:rFonts w:ascii="Arial" w:eastAsia="Times New Roman" w:hAnsi="Arial" w:cs="Arial"/>
                <w:color w:val="000000"/>
                <w:szCs w:val="20"/>
                <w:lang w:eastAsia="en-AU"/>
              </w:rPr>
              <w:t>2</w:t>
            </w:r>
          </w:p>
        </w:tc>
        <w:tc>
          <w:tcPr>
            <w:tcW w:w="2071" w:type="dxa"/>
            <w:tcBorders>
              <w:top w:val="nil"/>
              <w:left w:val="nil"/>
              <w:bottom w:val="nil"/>
              <w:right w:val="nil"/>
            </w:tcBorders>
            <w:shd w:val="clear" w:color="auto" w:fill="auto"/>
            <w:noWrap/>
            <w:vAlign w:val="bottom"/>
            <w:hideMark/>
          </w:tcPr>
          <w:p w14:paraId="31D55BB3" w14:textId="77777777" w:rsidR="008853D1" w:rsidRPr="00B40BB4" w:rsidRDefault="008853D1" w:rsidP="00FF7848">
            <w:pPr>
              <w:spacing w:after="0" w:line="240" w:lineRule="auto"/>
              <w:jc w:val="center"/>
              <w:rPr>
                <w:rFonts w:ascii="Arial" w:eastAsia="Times New Roman" w:hAnsi="Arial" w:cs="Arial"/>
                <w:color w:val="000000"/>
                <w:szCs w:val="20"/>
                <w:lang w:eastAsia="en-AU"/>
              </w:rPr>
            </w:pPr>
            <w:r>
              <w:rPr>
                <w:rFonts w:ascii="Arial" w:eastAsia="Times New Roman" w:hAnsi="Arial" w:cs="Arial"/>
                <w:color w:val="000000"/>
                <w:szCs w:val="20"/>
                <w:lang w:eastAsia="en-AU"/>
              </w:rPr>
              <w:t>3</w:t>
            </w:r>
          </w:p>
        </w:tc>
        <w:tc>
          <w:tcPr>
            <w:tcW w:w="2071" w:type="dxa"/>
            <w:tcBorders>
              <w:top w:val="nil"/>
              <w:left w:val="nil"/>
              <w:bottom w:val="nil"/>
              <w:right w:val="nil"/>
            </w:tcBorders>
            <w:shd w:val="clear" w:color="auto" w:fill="auto"/>
            <w:noWrap/>
            <w:vAlign w:val="bottom"/>
            <w:hideMark/>
          </w:tcPr>
          <w:p w14:paraId="612BA815" w14:textId="77777777" w:rsidR="008853D1" w:rsidRPr="00B40BB4" w:rsidRDefault="008853D1" w:rsidP="00FF7848">
            <w:pPr>
              <w:spacing w:after="0" w:line="240" w:lineRule="auto"/>
              <w:jc w:val="center"/>
              <w:rPr>
                <w:rFonts w:ascii="Arial" w:eastAsia="Times New Roman" w:hAnsi="Arial" w:cs="Arial"/>
                <w:color w:val="000000"/>
                <w:szCs w:val="20"/>
                <w:lang w:eastAsia="en-AU"/>
              </w:rPr>
            </w:pPr>
            <w:r>
              <w:rPr>
                <w:rFonts w:ascii="Arial" w:eastAsia="Times New Roman" w:hAnsi="Arial" w:cs="Arial"/>
                <w:color w:val="000000"/>
                <w:szCs w:val="20"/>
                <w:lang w:eastAsia="en-AU"/>
              </w:rPr>
              <w:t>9</w:t>
            </w:r>
          </w:p>
        </w:tc>
      </w:tr>
      <w:tr w:rsidR="008853D1" w:rsidRPr="00B40BB4" w14:paraId="46AC984C" w14:textId="77777777" w:rsidTr="00327F87">
        <w:trPr>
          <w:trHeight w:val="498"/>
        </w:trPr>
        <w:tc>
          <w:tcPr>
            <w:tcW w:w="1191" w:type="dxa"/>
            <w:tcBorders>
              <w:top w:val="single" w:sz="4" w:space="0" w:color="auto"/>
              <w:left w:val="nil"/>
              <w:bottom w:val="single" w:sz="4" w:space="0" w:color="auto"/>
              <w:right w:val="nil"/>
            </w:tcBorders>
            <w:shd w:val="clear" w:color="auto" w:fill="auto"/>
            <w:noWrap/>
            <w:vAlign w:val="bottom"/>
            <w:hideMark/>
          </w:tcPr>
          <w:p w14:paraId="32E2C10B" w14:textId="77777777" w:rsidR="008853D1" w:rsidRPr="00B40BB4" w:rsidRDefault="008853D1" w:rsidP="00FF7848">
            <w:pPr>
              <w:spacing w:after="0" w:line="240" w:lineRule="auto"/>
              <w:rPr>
                <w:rFonts w:ascii="Arial" w:eastAsia="Times New Roman" w:hAnsi="Arial" w:cs="Arial"/>
                <w:b/>
                <w:bCs/>
                <w:color w:val="000000"/>
                <w:szCs w:val="20"/>
                <w:lang w:eastAsia="en-AU"/>
              </w:rPr>
            </w:pPr>
            <w:r w:rsidRPr="00B40BB4">
              <w:rPr>
                <w:rFonts w:ascii="Arial" w:eastAsia="Times New Roman" w:hAnsi="Arial" w:cs="Arial"/>
                <w:b/>
                <w:bCs/>
                <w:color w:val="000000"/>
                <w:szCs w:val="20"/>
                <w:lang w:eastAsia="en-AU"/>
              </w:rPr>
              <w:t>Total</w:t>
            </w:r>
          </w:p>
        </w:tc>
        <w:tc>
          <w:tcPr>
            <w:tcW w:w="2071" w:type="dxa"/>
            <w:tcBorders>
              <w:top w:val="single" w:sz="4" w:space="0" w:color="auto"/>
              <w:left w:val="nil"/>
              <w:bottom w:val="single" w:sz="4" w:space="0" w:color="auto"/>
              <w:right w:val="nil"/>
            </w:tcBorders>
            <w:shd w:val="clear" w:color="auto" w:fill="auto"/>
            <w:noWrap/>
            <w:vAlign w:val="bottom"/>
            <w:hideMark/>
          </w:tcPr>
          <w:p w14:paraId="4014A168" w14:textId="77777777" w:rsidR="008853D1" w:rsidRPr="00B40BB4" w:rsidRDefault="008853D1" w:rsidP="00FF7848">
            <w:pPr>
              <w:spacing w:after="0" w:line="240" w:lineRule="auto"/>
              <w:jc w:val="center"/>
              <w:rPr>
                <w:rFonts w:ascii="Arial" w:eastAsia="Times New Roman" w:hAnsi="Arial" w:cs="Arial"/>
                <w:b/>
                <w:bCs/>
                <w:color w:val="000000"/>
                <w:szCs w:val="20"/>
                <w:lang w:eastAsia="en-AU"/>
              </w:rPr>
            </w:pPr>
            <w:r w:rsidRPr="00B40BB4">
              <w:rPr>
                <w:rFonts w:ascii="Arial" w:eastAsia="Times New Roman" w:hAnsi="Arial" w:cs="Arial"/>
                <w:b/>
                <w:bCs/>
                <w:color w:val="000000"/>
                <w:szCs w:val="20"/>
                <w:lang w:eastAsia="en-AU"/>
              </w:rPr>
              <w:t>26</w:t>
            </w:r>
          </w:p>
        </w:tc>
        <w:tc>
          <w:tcPr>
            <w:tcW w:w="2071" w:type="dxa"/>
            <w:tcBorders>
              <w:top w:val="single" w:sz="4" w:space="0" w:color="auto"/>
              <w:left w:val="nil"/>
              <w:bottom w:val="single" w:sz="4" w:space="0" w:color="auto"/>
              <w:right w:val="nil"/>
            </w:tcBorders>
            <w:shd w:val="clear" w:color="auto" w:fill="auto"/>
            <w:noWrap/>
            <w:vAlign w:val="bottom"/>
            <w:hideMark/>
          </w:tcPr>
          <w:p w14:paraId="7280E786" w14:textId="77777777" w:rsidR="008853D1" w:rsidRPr="00B40BB4" w:rsidRDefault="008853D1" w:rsidP="00FF7848">
            <w:pPr>
              <w:spacing w:after="0" w:line="240" w:lineRule="auto"/>
              <w:jc w:val="center"/>
              <w:rPr>
                <w:rFonts w:ascii="Arial" w:eastAsia="Times New Roman" w:hAnsi="Arial" w:cs="Arial"/>
                <w:b/>
                <w:bCs/>
                <w:color w:val="000000"/>
                <w:szCs w:val="20"/>
                <w:lang w:eastAsia="en-AU"/>
              </w:rPr>
            </w:pPr>
            <w:r w:rsidRPr="00B40BB4">
              <w:rPr>
                <w:rFonts w:ascii="Arial" w:eastAsia="Times New Roman" w:hAnsi="Arial" w:cs="Arial"/>
                <w:b/>
                <w:bCs/>
                <w:color w:val="000000"/>
                <w:szCs w:val="20"/>
                <w:lang w:eastAsia="en-AU"/>
              </w:rPr>
              <w:t>10</w:t>
            </w:r>
          </w:p>
        </w:tc>
        <w:tc>
          <w:tcPr>
            <w:tcW w:w="2071" w:type="dxa"/>
            <w:tcBorders>
              <w:top w:val="single" w:sz="4" w:space="0" w:color="auto"/>
              <w:left w:val="nil"/>
              <w:bottom w:val="single" w:sz="4" w:space="0" w:color="auto"/>
              <w:right w:val="nil"/>
            </w:tcBorders>
            <w:shd w:val="clear" w:color="auto" w:fill="auto"/>
            <w:noWrap/>
            <w:vAlign w:val="bottom"/>
            <w:hideMark/>
          </w:tcPr>
          <w:p w14:paraId="563EEA3A" w14:textId="77777777" w:rsidR="008853D1" w:rsidRPr="00B40BB4" w:rsidRDefault="008853D1" w:rsidP="00FF7848">
            <w:pPr>
              <w:spacing w:after="0" w:line="240" w:lineRule="auto"/>
              <w:jc w:val="center"/>
              <w:rPr>
                <w:rFonts w:ascii="Arial" w:eastAsia="Times New Roman" w:hAnsi="Arial" w:cs="Arial"/>
                <w:b/>
                <w:bCs/>
                <w:color w:val="000000"/>
                <w:szCs w:val="20"/>
                <w:lang w:eastAsia="en-AU"/>
              </w:rPr>
            </w:pPr>
            <w:r>
              <w:rPr>
                <w:rFonts w:ascii="Arial" w:eastAsia="Times New Roman" w:hAnsi="Arial" w:cs="Arial"/>
                <w:b/>
                <w:bCs/>
                <w:color w:val="000000"/>
                <w:szCs w:val="20"/>
                <w:lang w:eastAsia="en-AU"/>
              </w:rPr>
              <w:t>42</w:t>
            </w:r>
          </w:p>
        </w:tc>
      </w:tr>
    </w:tbl>
    <w:p w14:paraId="6EED5CD7" w14:textId="1F7B0BC8" w:rsidR="00497D62" w:rsidRPr="00497D62" w:rsidRDefault="00497D62" w:rsidP="00497D62">
      <w:pPr>
        <w:pStyle w:val="FootnoteText"/>
        <w:rPr>
          <w:rFonts w:ascii="Arial" w:hAnsi="Arial" w:cs="Arial"/>
          <w:b/>
        </w:rPr>
      </w:pPr>
      <w:r w:rsidRPr="00497D62">
        <w:rPr>
          <w:b/>
        </w:rPr>
        <w:t>Note:</w:t>
      </w:r>
      <w:r w:rsidRPr="00497D62">
        <w:rPr>
          <w:rFonts w:ascii="Arial" w:hAnsi="Arial" w:cs="Arial"/>
          <w:b/>
        </w:rPr>
        <w:t xml:space="preserve">   In 2014, data on start-up company activity was collected through an administrative process outside of the NSRC instrument and the collection method may have impacted on the data results. </w:t>
      </w:r>
    </w:p>
    <w:p w14:paraId="665B84A8" w14:textId="5E333E64" w:rsidR="008853D1" w:rsidRDefault="008853D1" w:rsidP="008853D1"/>
    <w:p w14:paraId="4FBAFD11" w14:textId="527F4A28" w:rsidR="00FF7848" w:rsidRPr="00DD0349" w:rsidRDefault="00FF7848" w:rsidP="00327F87">
      <w:pPr>
        <w:pStyle w:val="Heading3"/>
        <w:rPr>
          <w:szCs w:val="20"/>
        </w:rPr>
      </w:pPr>
      <w:r w:rsidRPr="00327F87">
        <w:rPr>
          <w:sz w:val="20"/>
          <w:szCs w:val="20"/>
        </w:rPr>
        <w:t>Figure 4.3: Number of start-up companies</w:t>
      </w:r>
    </w:p>
    <w:p w14:paraId="409C97FB" w14:textId="77777777" w:rsidR="00FF7848" w:rsidRDefault="00FF7848" w:rsidP="008853D1"/>
    <w:p w14:paraId="4DE928DF" w14:textId="7DB461F7" w:rsidR="00FF7848" w:rsidRDefault="00FF7848" w:rsidP="008853D1">
      <w:r>
        <w:rPr>
          <w:noProof/>
          <w:lang w:eastAsia="en-AU"/>
        </w:rPr>
        <w:drawing>
          <wp:inline distT="0" distB="0" distL="0" distR="0" wp14:anchorId="62B909EC" wp14:editId="42A23D4C">
            <wp:extent cx="4533900" cy="2689829"/>
            <wp:effectExtent l="0" t="0" r="0" b="0"/>
            <wp:docPr id="16" name="Picture 16" descr="cid:image001.png@01D2716C.D0185D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hart 1" descr="cid:image001.png@01D2716C.D0185D30"/>
                    <pic:cNvPicPr>
                      <a:picLocks noChangeAspect="1" noChangeArrowheads="1"/>
                    </pic:cNvPicPr>
                  </pic:nvPicPr>
                  <pic:blipFill>
                    <a:blip r:embed="rId23" r:link="rId24">
                      <a:extLst>
                        <a:ext uri="{28A0092B-C50C-407E-A947-70E740481C1C}">
                          <a14:useLocalDpi xmlns:a14="http://schemas.microsoft.com/office/drawing/2010/main" val="0"/>
                        </a:ext>
                      </a:extLst>
                    </a:blip>
                    <a:srcRect/>
                    <a:stretch>
                      <a:fillRect/>
                    </a:stretch>
                  </pic:blipFill>
                  <pic:spPr bwMode="auto">
                    <a:xfrm>
                      <a:off x="0" y="0"/>
                      <a:ext cx="4550884" cy="2699905"/>
                    </a:xfrm>
                    <a:prstGeom prst="rect">
                      <a:avLst/>
                    </a:prstGeom>
                    <a:noFill/>
                    <a:ln>
                      <a:noFill/>
                    </a:ln>
                  </pic:spPr>
                </pic:pic>
              </a:graphicData>
            </a:graphic>
          </wp:inline>
        </w:drawing>
      </w:r>
    </w:p>
    <w:p w14:paraId="52B9EC4C" w14:textId="79BCD365" w:rsidR="00A22053" w:rsidRDefault="00A66E47" w:rsidP="00380620">
      <w:pPr>
        <w:pStyle w:val="Heading3"/>
      </w:pPr>
      <w:r>
        <w:t xml:space="preserve">4.4 </w:t>
      </w:r>
      <w:r w:rsidR="00A22053">
        <w:t xml:space="preserve">Research </w:t>
      </w:r>
      <w:r w:rsidR="00A22053" w:rsidRPr="00B16BA1">
        <w:t>Contracts</w:t>
      </w:r>
      <w:r w:rsidR="00A22053">
        <w:t>, C</w:t>
      </w:r>
      <w:r w:rsidR="00A22053" w:rsidRPr="00B16BA1">
        <w:t>onsultanc</w:t>
      </w:r>
      <w:r w:rsidR="00A22053">
        <w:t>ies and Collaborations</w:t>
      </w:r>
    </w:p>
    <w:p w14:paraId="41AAFCD2" w14:textId="5E0858C8" w:rsidR="00A22053" w:rsidRDefault="00A22053" w:rsidP="00A22053">
      <w:pPr>
        <w:rPr>
          <w:rFonts w:ascii="Arial" w:hAnsi="Arial" w:cs="Arial"/>
        </w:rPr>
      </w:pPr>
      <w:r w:rsidRPr="00306107">
        <w:rPr>
          <w:rFonts w:ascii="Arial" w:hAnsi="Arial" w:cs="Arial"/>
        </w:rPr>
        <w:t>The number of research contracts</w:t>
      </w:r>
      <w:r>
        <w:rPr>
          <w:rFonts w:ascii="Arial" w:hAnsi="Arial" w:cs="Arial"/>
        </w:rPr>
        <w:t>,</w:t>
      </w:r>
      <w:r w:rsidRPr="00306107">
        <w:rPr>
          <w:rFonts w:ascii="Arial" w:hAnsi="Arial" w:cs="Arial"/>
        </w:rPr>
        <w:t xml:space="preserve"> consultancies </w:t>
      </w:r>
      <w:r>
        <w:rPr>
          <w:rFonts w:ascii="Arial" w:hAnsi="Arial" w:cs="Arial"/>
        </w:rPr>
        <w:t xml:space="preserve">and collaborations </w:t>
      </w:r>
      <w:r w:rsidRPr="00306107">
        <w:rPr>
          <w:rFonts w:ascii="Arial" w:hAnsi="Arial" w:cs="Arial"/>
        </w:rPr>
        <w:t>provide</w:t>
      </w:r>
      <w:r w:rsidR="007171F2">
        <w:rPr>
          <w:rFonts w:ascii="Arial" w:hAnsi="Arial" w:cs="Arial"/>
        </w:rPr>
        <w:t>s</w:t>
      </w:r>
      <w:r w:rsidRPr="00306107">
        <w:rPr>
          <w:rFonts w:ascii="Arial" w:hAnsi="Arial" w:cs="Arial"/>
        </w:rPr>
        <w:t xml:space="preserve"> useful insights on </w:t>
      </w:r>
      <w:r>
        <w:rPr>
          <w:rFonts w:ascii="Arial" w:hAnsi="Arial" w:cs="Arial"/>
        </w:rPr>
        <w:t>levels of engagement between research organisations and end users</w:t>
      </w:r>
      <w:r w:rsidR="00556633">
        <w:rPr>
          <w:rFonts w:ascii="Arial" w:hAnsi="Arial" w:cs="Arial"/>
        </w:rPr>
        <w:t>,</w:t>
      </w:r>
      <w:r>
        <w:rPr>
          <w:rFonts w:ascii="Arial" w:hAnsi="Arial" w:cs="Arial"/>
        </w:rPr>
        <w:t xml:space="preserve"> particularly industry partners at an early stage in the commercialisation pipeline. </w:t>
      </w:r>
    </w:p>
    <w:p w14:paraId="57B1E818" w14:textId="4BB7DA4F" w:rsidR="00A22053" w:rsidRPr="00CF3F57" w:rsidRDefault="00FF7848" w:rsidP="00AF22C0">
      <w:pPr>
        <w:pStyle w:val="ListParagraph"/>
        <w:numPr>
          <w:ilvl w:val="0"/>
          <w:numId w:val="33"/>
        </w:numPr>
        <w:rPr>
          <w:rFonts w:ascii="Arial" w:hAnsi="Arial" w:cs="Arial"/>
          <w:sz w:val="20"/>
        </w:rPr>
      </w:pPr>
      <w:r>
        <w:rPr>
          <w:rFonts w:ascii="Arial" w:hAnsi="Arial" w:cs="Arial"/>
          <w:sz w:val="20"/>
        </w:rPr>
        <w:t>R</w:t>
      </w:r>
      <w:r w:rsidR="00A22053" w:rsidRPr="00CF3F57">
        <w:rPr>
          <w:rFonts w:ascii="Arial" w:hAnsi="Arial" w:cs="Arial"/>
          <w:sz w:val="20"/>
        </w:rPr>
        <w:t xml:space="preserve">esearch organisations entered into </w:t>
      </w:r>
      <w:r w:rsidR="00D553D6">
        <w:rPr>
          <w:rFonts w:ascii="Arial" w:hAnsi="Arial" w:cs="Arial"/>
          <w:sz w:val="20"/>
        </w:rPr>
        <w:t>18,076</w:t>
      </w:r>
      <w:r w:rsidR="005E0A23">
        <w:rPr>
          <w:rFonts w:ascii="Arial" w:hAnsi="Arial" w:cs="Arial"/>
          <w:sz w:val="20"/>
        </w:rPr>
        <w:t xml:space="preserve"> </w:t>
      </w:r>
      <w:r w:rsidR="00A22053" w:rsidRPr="00CF3F57">
        <w:rPr>
          <w:rFonts w:ascii="Arial" w:hAnsi="Arial" w:cs="Arial"/>
          <w:sz w:val="20"/>
        </w:rPr>
        <w:t>research contracts, consultancies and collaborations</w:t>
      </w:r>
      <w:r w:rsidR="008853D1">
        <w:rPr>
          <w:rFonts w:ascii="Arial" w:hAnsi="Arial" w:cs="Arial"/>
          <w:sz w:val="20"/>
        </w:rPr>
        <w:t xml:space="preserve"> in 2015</w:t>
      </w:r>
      <w:r w:rsidR="00556633">
        <w:rPr>
          <w:rFonts w:ascii="Arial" w:hAnsi="Arial" w:cs="Arial"/>
          <w:sz w:val="20"/>
        </w:rPr>
        <w:t>.</w:t>
      </w:r>
      <w:r w:rsidR="00A22053">
        <w:rPr>
          <w:rFonts w:ascii="Arial" w:hAnsi="Arial" w:cs="Arial"/>
          <w:sz w:val="20"/>
        </w:rPr>
        <w:t xml:space="preserve"> </w:t>
      </w:r>
      <w:r w:rsidR="00556633">
        <w:rPr>
          <w:rFonts w:ascii="Arial" w:hAnsi="Arial" w:cs="Arial"/>
          <w:sz w:val="20"/>
        </w:rPr>
        <w:t>This represents</w:t>
      </w:r>
      <w:r w:rsidR="00556633" w:rsidRPr="00CF3F57">
        <w:rPr>
          <w:rFonts w:ascii="Arial" w:hAnsi="Arial" w:cs="Arial"/>
          <w:sz w:val="20"/>
        </w:rPr>
        <w:t xml:space="preserve"> </w:t>
      </w:r>
      <w:r w:rsidR="00A22053" w:rsidRPr="00CF3F57">
        <w:rPr>
          <w:rFonts w:ascii="Arial" w:hAnsi="Arial" w:cs="Arial"/>
          <w:sz w:val="20"/>
        </w:rPr>
        <w:t xml:space="preserve">a </w:t>
      </w:r>
      <w:r w:rsidR="00D553D6">
        <w:rPr>
          <w:rFonts w:ascii="Arial" w:hAnsi="Arial" w:cs="Arial"/>
          <w:sz w:val="20"/>
        </w:rPr>
        <w:t>17</w:t>
      </w:r>
      <w:r w:rsidR="00B20C5F">
        <w:rPr>
          <w:rFonts w:ascii="Arial" w:hAnsi="Arial" w:cs="Arial"/>
          <w:sz w:val="20"/>
        </w:rPr>
        <w:t>%</w:t>
      </w:r>
      <w:r w:rsidR="00A22053">
        <w:rPr>
          <w:rFonts w:ascii="Arial" w:hAnsi="Arial" w:cs="Arial"/>
          <w:sz w:val="20"/>
        </w:rPr>
        <w:t xml:space="preserve"> </w:t>
      </w:r>
      <w:r w:rsidR="00A22053" w:rsidRPr="00CF3F57">
        <w:rPr>
          <w:rFonts w:ascii="Arial" w:hAnsi="Arial" w:cs="Arial"/>
          <w:sz w:val="20"/>
        </w:rPr>
        <w:t>increase from the previous year</w:t>
      </w:r>
      <w:r w:rsidR="00AF22C0">
        <w:rPr>
          <w:rStyle w:val="FootnoteReference"/>
          <w:rFonts w:ascii="Arial" w:hAnsi="Arial" w:cs="Arial"/>
          <w:sz w:val="20"/>
        </w:rPr>
        <w:footnoteReference w:id="2"/>
      </w:r>
      <w:r w:rsidR="00A22053" w:rsidRPr="00CF3F57">
        <w:rPr>
          <w:rFonts w:ascii="Arial" w:hAnsi="Arial" w:cs="Arial"/>
          <w:sz w:val="20"/>
        </w:rPr>
        <w:t xml:space="preserve">. </w:t>
      </w:r>
    </w:p>
    <w:p w14:paraId="73CDEFA1" w14:textId="6987F005" w:rsidR="00556633" w:rsidRDefault="00B20C5F" w:rsidP="00AF22C0">
      <w:pPr>
        <w:pStyle w:val="ListParagraph"/>
        <w:numPr>
          <w:ilvl w:val="0"/>
          <w:numId w:val="33"/>
        </w:numPr>
        <w:spacing w:before="240"/>
        <w:rPr>
          <w:rFonts w:ascii="Arial" w:hAnsi="Arial" w:cs="Arial"/>
          <w:sz w:val="20"/>
        </w:rPr>
      </w:pPr>
      <w:r>
        <w:rPr>
          <w:rFonts w:ascii="Arial" w:hAnsi="Arial" w:cs="Arial"/>
          <w:sz w:val="20"/>
        </w:rPr>
        <w:t>In 2015</w:t>
      </w:r>
      <w:r w:rsidR="00A22053" w:rsidRPr="008E38AC">
        <w:rPr>
          <w:rFonts w:ascii="Arial" w:hAnsi="Arial" w:cs="Arial"/>
          <w:sz w:val="20"/>
        </w:rPr>
        <w:t xml:space="preserve">, </w:t>
      </w:r>
      <w:r w:rsidR="00D553D6">
        <w:rPr>
          <w:rFonts w:ascii="Arial" w:hAnsi="Arial" w:cs="Arial"/>
          <w:sz w:val="20"/>
        </w:rPr>
        <w:t xml:space="preserve">PFRAs, </w:t>
      </w:r>
      <w:r w:rsidR="00A22053" w:rsidRPr="008E38AC">
        <w:rPr>
          <w:rFonts w:ascii="Arial" w:hAnsi="Arial" w:cs="Arial"/>
          <w:sz w:val="20"/>
        </w:rPr>
        <w:t xml:space="preserve">MRIs and </w:t>
      </w:r>
      <w:r w:rsidR="005E0A23">
        <w:rPr>
          <w:rFonts w:ascii="Arial" w:hAnsi="Arial" w:cs="Arial"/>
          <w:sz w:val="20"/>
        </w:rPr>
        <w:t>Universities</w:t>
      </w:r>
      <w:r w:rsidR="005E0A23" w:rsidRPr="008E38AC">
        <w:rPr>
          <w:rFonts w:ascii="Arial" w:hAnsi="Arial" w:cs="Arial"/>
          <w:sz w:val="20"/>
        </w:rPr>
        <w:t xml:space="preserve"> </w:t>
      </w:r>
      <w:r w:rsidR="00D553D6">
        <w:rPr>
          <w:rFonts w:ascii="Arial" w:hAnsi="Arial" w:cs="Arial"/>
          <w:sz w:val="20"/>
        </w:rPr>
        <w:t xml:space="preserve">all </w:t>
      </w:r>
      <w:r w:rsidR="00A22053" w:rsidRPr="008E38AC">
        <w:rPr>
          <w:rFonts w:ascii="Arial" w:hAnsi="Arial" w:cs="Arial"/>
          <w:sz w:val="20"/>
        </w:rPr>
        <w:t>reported growth</w:t>
      </w:r>
      <w:r w:rsidR="005E0A23" w:rsidDel="00325B7A">
        <w:rPr>
          <w:rFonts w:ascii="Arial" w:hAnsi="Arial" w:cs="Arial"/>
          <w:sz w:val="20"/>
        </w:rPr>
        <w:t xml:space="preserve"> </w:t>
      </w:r>
      <w:r w:rsidR="00A22053" w:rsidRPr="008E38AC">
        <w:rPr>
          <w:rFonts w:ascii="Arial" w:hAnsi="Arial" w:cs="Arial"/>
          <w:sz w:val="20"/>
        </w:rPr>
        <w:t xml:space="preserve">in the number of research contracts, consultancies </w:t>
      </w:r>
      <w:r w:rsidR="00A22053" w:rsidRPr="007607AF">
        <w:rPr>
          <w:rFonts w:ascii="Arial" w:hAnsi="Arial" w:cs="Arial"/>
          <w:sz w:val="20"/>
        </w:rPr>
        <w:t>and collaborations</w:t>
      </w:r>
      <w:r w:rsidR="00D553D6">
        <w:rPr>
          <w:rFonts w:ascii="Arial" w:hAnsi="Arial" w:cs="Arial"/>
          <w:sz w:val="20"/>
        </w:rPr>
        <w:t>.</w:t>
      </w:r>
    </w:p>
    <w:p w14:paraId="5F21B875" w14:textId="40BA2107" w:rsidR="00A22053" w:rsidRDefault="00B20C5F" w:rsidP="00AF22C0">
      <w:pPr>
        <w:pStyle w:val="ListParagraph"/>
        <w:numPr>
          <w:ilvl w:val="0"/>
          <w:numId w:val="33"/>
        </w:numPr>
        <w:spacing w:before="240"/>
        <w:rPr>
          <w:rFonts w:ascii="Arial" w:hAnsi="Arial" w:cs="Arial"/>
          <w:sz w:val="20"/>
        </w:rPr>
      </w:pPr>
      <w:r>
        <w:rPr>
          <w:rFonts w:ascii="Arial" w:hAnsi="Arial" w:cs="Arial"/>
          <w:sz w:val="20"/>
        </w:rPr>
        <w:t xml:space="preserve">Universities held </w:t>
      </w:r>
      <w:r w:rsidR="005E0A23">
        <w:rPr>
          <w:rFonts w:ascii="Arial" w:hAnsi="Arial" w:cs="Arial"/>
          <w:sz w:val="20"/>
        </w:rPr>
        <w:t>13</w:t>
      </w:r>
      <w:r w:rsidR="00BD275A">
        <w:rPr>
          <w:rFonts w:ascii="Arial" w:hAnsi="Arial" w:cs="Arial"/>
          <w:sz w:val="20"/>
        </w:rPr>
        <w:t>,</w:t>
      </w:r>
      <w:r w:rsidR="005E0A23">
        <w:rPr>
          <w:rFonts w:ascii="Arial" w:hAnsi="Arial" w:cs="Arial"/>
          <w:sz w:val="20"/>
        </w:rPr>
        <w:t>391</w:t>
      </w:r>
      <w:r w:rsidR="005E0A23" w:rsidRPr="008E38AC">
        <w:rPr>
          <w:rFonts w:ascii="Arial" w:hAnsi="Arial" w:cs="Arial"/>
          <w:sz w:val="20"/>
        </w:rPr>
        <w:t xml:space="preserve"> </w:t>
      </w:r>
      <w:r w:rsidR="00A22053" w:rsidRPr="008E38AC">
        <w:rPr>
          <w:rFonts w:ascii="Arial" w:hAnsi="Arial" w:cs="Arial"/>
          <w:sz w:val="20"/>
        </w:rPr>
        <w:t xml:space="preserve">research contracts, consultancies and collaborations, </w:t>
      </w:r>
      <w:r w:rsidR="008853D1">
        <w:rPr>
          <w:rFonts w:ascii="Arial" w:hAnsi="Arial" w:cs="Arial"/>
          <w:sz w:val="20"/>
        </w:rPr>
        <w:t xml:space="preserve">representing </w:t>
      </w:r>
      <w:r w:rsidR="00D553D6">
        <w:rPr>
          <w:rFonts w:ascii="Arial" w:hAnsi="Arial" w:cs="Arial"/>
          <w:sz w:val="20"/>
        </w:rPr>
        <w:t>74</w:t>
      </w:r>
      <w:r w:rsidR="00A22053">
        <w:rPr>
          <w:rFonts w:ascii="Arial" w:hAnsi="Arial" w:cs="Arial"/>
          <w:sz w:val="20"/>
        </w:rPr>
        <w:t>%</w:t>
      </w:r>
      <w:r>
        <w:rPr>
          <w:rFonts w:ascii="Arial" w:hAnsi="Arial" w:cs="Arial"/>
          <w:sz w:val="20"/>
        </w:rPr>
        <w:t xml:space="preserve"> of the total in 2015</w:t>
      </w:r>
      <w:r w:rsidR="00A22053" w:rsidRPr="008E38AC">
        <w:rPr>
          <w:rFonts w:ascii="Arial" w:hAnsi="Arial" w:cs="Arial"/>
          <w:sz w:val="20"/>
        </w:rPr>
        <w:t>.</w:t>
      </w:r>
    </w:p>
    <w:p w14:paraId="2E496765" w14:textId="7BDDC88E" w:rsidR="00030E1F" w:rsidRPr="00A004A4" w:rsidRDefault="00030E1F" w:rsidP="00A004A4">
      <w:pPr>
        <w:spacing w:before="240"/>
        <w:rPr>
          <w:rFonts w:ascii="Arial" w:hAnsi="Arial" w:cs="Arial"/>
        </w:rPr>
      </w:pPr>
    </w:p>
    <w:p w14:paraId="2BAE553E" w14:textId="487B3602" w:rsidR="00A22053" w:rsidRPr="00A93922" w:rsidRDefault="00A22053" w:rsidP="00327F87">
      <w:pPr>
        <w:pStyle w:val="Heading3"/>
        <w:rPr>
          <w:sz w:val="20"/>
          <w:szCs w:val="20"/>
        </w:rPr>
      </w:pPr>
      <w:r w:rsidRPr="00A93922">
        <w:rPr>
          <w:sz w:val="20"/>
          <w:szCs w:val="20"/>
        </w:rPr>
        <w:t xml:space="preserve">Table </w:t>
      </w:r>
      <w:r w:rsidR="00A66E47">
        <w:rPr>
          <w:sz w:val="20"/>
          <w:szCs w:val="20"/>
        </w:rPr>
        <w:t>4</w:t>
      </w:r>
      <w:r w:rsidRPr="00A93922">
        <w:rPr>
          <w:sz w:val="20"/>
          <w:szCs w:val="20"/>
        </w:rPr>
        <w:t xml:space="preserve">.4: Number of </w:t>
      </w:r>
      <w:r w:rsidR="008853D1">
        <w:rPr>
          <w:sz w:val="20"/>
          <w:szCs w:val="20"/>
        </w:rPr>
        <w:t xml:space="preserve">research </w:t>
      </w:r>
      <w:r w:rsidRPr="00A93922">
        <w:rPr>
          <w:sz w:val="20"/>
          <w:szCs w:val="20"/>
        </w:rPr>
        <w:t xml:space="preserve">contracts, consultancies and collaborations </w:t>
      </w:r>
    </w:p>
    <w:tbl>
      <w:tblPr>
        <w:tblW w:w="7464" w:type="dxa"/>
        <w:tblInd w:w="108" w:type="dxa"/>
        <w:tblLook w:val="04A0" w:firstRow="1" w:lastRow="0" w:firstColumn="1" w:lastColumn="0" w:noHBand="0" w:noVBand="1"/>
      </w:tblPr>
      <w:tblGrid>
        <w:gridCol w:w="1200"/>
        <w:gridCol w:w="2088"/>
        <w:gridCol w:w="2088"/>
        <w:gridCol w:w="2088"/>
      </w:tblGrid>
      <w:tr w:rsidR="00B20C5F" w:rsidRPr="00133504" w14:paraId="47B86BE3" w14:textId="77777777" w:rsidTr="00240EA8">
        <w:trPr>
          <w:trHeight w:val="522"/>
        </w:trPr>
        <w:tc>
          <w:tcPr>
            <w:tcW w:w="1200" w:type="dxa"/>
            <w:tcBorders>
              <w:top w:val="single" w:sz="4" w:space="0" w:color="auto"/>
              <w:left w:val="nil"/>
              <w:bottom w:val="single" w:sz="4" w:space="0" w:color="auto"/>
              <w:right w:val="nil"/>
            </w:tcBorders>
            <w:shd w:val="clear" w:color="000000" w:fill="C4D79B"/>
            <w:noWrap/>
            <w:vAlign w:val="center"/>
            <w:hideMark/>
          </w:tcPr>
          <w:p w14:paraId="5A090536" w14:textId="77777777" w:rsidR="00B20C5F" w:rsidRPr="00133504" w:rsidRDefault="00B20C5F" w:rsidP="00B20C5F">
            <w:pPr>
              <w:spacing w:after="0" w:line="240" w:lineRule="auto"/>
              <w:jc w:val="center"/>
              <w:rPr>
                <w:rFonts w:ascii="Arial" w:eastAsia="Times New Roman" w:hAnsi="Arial" w:cs="Arial"/>
                <w:color w:val="000000"/>
                <w:szCs w:val="20"/>
                <w:lang w:eastAsia="en-AU"/>
              </w:rPr>
            </w:pPr>
            <w:r w:rsidRPr="00133504">
              <w:rPr>
                <w:rFonts w:ascii="Arial" w:eastAsia="Times New Roman" w:hAnsi="Arial" w:cs="Arial"/>
                <w:color w:val="000000"/>
                <w:szCs w:val="20"/>
                <w:lang w:eastAsia="en-AU"/>
              </w:rPr>
              <w:t> </w:t>
            </w:r>
          </w:p>
        </w:tc>
        <w:tc>
          <w:tcPr>
            <w:tcW w:w="2088" w:type="dxa"/>
            <w:tcBorders>
              <w:top w:val="single" w:sz="4" w:space="0" w:color="auto"/>
              <w:left w:val="nil"/>
              <w:bottom w:val="single" w:sz="4" w:space="0" w:color="auto"/>
              <w:right w:val="nil"/>
            </w:tcBorders>
            <w:shd w:val="clear" w:color="000000" w:fill="C4D79B"/>
            <w:noWrap/>
            <w:vAlign w:val="center"/>
            <w:hideMark/>
          </w:tcPr>
          <w:p w14:paraId="2719D2B8" w14:textId="06608F0A" w:rsidR="00B20C5F" w:rsidRPr="00133504" w:rsidRDefault="00B20C5F" w:rsidP="00B20C5F">
            <w:pPr>
              <w:spacing w:after="0" w:line="240" w:lineRule="auto"/>
              <w:jc w:val="center"/>
              <w:rPr>
                <w:rFonts w:ascii="Arial" w:eastAsia="Times New Roman" w:hAnsi="Arial" w:cs="Arial"/>
                <w:b/>
                <w:bCs/>
                <w:color w:val="000000"/>
                <w:szCs w:val="20"/>
                <w:lang w:eastAsia="en-AU"/>
              </w:rPr>
            </w:pPr>
            <w:r w:rsidRPr="00133504">
              <w:rPr>
                <w:rFonts w:ascii="Arial" w:eastAsia="Times New Roman" w:hAnsi="Arial" w:cs="Arial"/>
                <w:b/>
                <w:bCs/>
                <w:color w:val="000000"/>
                <w:szCs w:val="20"/>
                <w:lang w:eastAsia="en-AU"/>
              </w:rPr>
              <w:t>2013</w:t>
            </w:r>
          </w:p>
        </w:tc>
        <w:tc>
          <w:tcPr>
            <w:tcW w:w="2088" w:type="dxa"/>
            <w:tcBorders>
              <w:top w:val="single" w:sz="4" w:space="0" w:color="auto"/>
              <w:left w:val="nil"/>
              <w:bottom w:val="single" w:sz="4" w:space="0" w:color="auto"/>
              <w:right w:val="nil"/>
            </w:tcBorders>
            <w:shd w:val="clear" w:color="000000" w:fill="C4D79B"/>
            <w:noWrap/>
            <w:vAlign w:val="center"/>
            <w:hideMark/>
          </w:tcPr>
          <w:p w14:paraId="24B5981D" w14:textId="054627D5" w:rsidR="00B20C5F" w:rsidRPr="00133504" w:rsidRDefault="00B20C5F" w:rsidP="00B20C5F">
            <w:pPr>
              <w:spacing w:after="0" w:line="240" w:lineRule="auto"/>
              <w:jc w:val="center"/>
              <w:rPr>
                <w:rFonts w:ascii="Arial" w:eastAsia="Times New Roman" w:hAnsi="Arial" w:cs="Arial"/>
                <w:b/>
                <w:bCs/>
                <w:color w:val="000000"/>
                <w:szCs w:val="20"/>
                <w:lang w:eastAsia="en-AU"/>
              </w:rPr>
            </w:pPr>
            <w:r w:rsidRPr="00133504">
              <w:rPr>
                <w:rFonts w:ascii="Arial" w:eastAsia="Times New Roman" w:hAnsi="Arial" w:cs="Arial"/>
                <w:b/>
                <w:bCs/>
                <w:color w:val="000000"/>
                <w:szCs w:val="20"/>
                <w:lang w:eastAsia="en-AU"/>
              </w:rPr>
              <w:t>2014</w:t>
            </w:r>
          </w:p>
        </w:tc>
        <w:tc>
          <w:tcPr>
            <w:tcW w:w="2088" w:type="dxa"/>
            <w:tcBorders>
              <w:top w:val="single" w:sz="4" w:space="0" w:color="auto"/>
              <w:left w:val="nil"/>
              <w:bottom w:val="single" w:sz="4" w:space="0" w:color="auto"/>
              <w:right w:val="nil"/>
            </w:tcBorders>
            <w:shd w:val="clear" w:color="000000" w:fill="C4D79B"/>
            <w:noWrap/>
            <w:vAlign w:val="center"/>
            <w:hideMark/>
          </w:tcPr>
          <w:p w14:paraId="65995E02" w14:textId="4D76A584" w:rsidR="00B20C5F" w:rsidRPr="00133504" w:rsidRDefault="00B20C5F" w:rsidP="00B20C5F">
            <w:pPr>
              <w:spacing w:after="0" w:line="240" w:lineRule="auto"/>
              <w:jc w:val="center"/>
              <w:rPr>
                <w:rFonts w:ascii="Arial" w:eastAsia="Times New Roman" w:hAnsi="Arial" w:cs="Arial"/>
                <w:b/>
                <w:bCs/>
                <w:color w:val="000000"/>
                <w:szCs w:val="20"/>
                <w:lang w:eastAsia="en-AU"/>
              </w:rPr>
            </w:pPr>
            <w:r>
              <w:rPr>
                <w:rFonts w:ascii="Arial" w:eastAsia="Times New Roman" w:hAnsi="Arial" w:cs="Arial"/>
                <w:b/>
                <w:bCs/>
                <w:color w:val="000000"/>
                <w:szCs w:val="20"/>
                <w:lang w:eastAsia="en-AU"/>
              </w:rPr>
              <w:t>2015</w:t>
            </w:r>
          </w:p>
        </w:tc>
      </w:tr>
      <w:tr w:rsidR="00240EA8" w:rsidRPr="00133504" w14:paraId="59B30993" w14:textId="77777777" w:rsidTr="00240EA8">
        <w:trPr>
          <w:trHeight w:val="503"/>
        </w:trPr>
        <w:tc>
          <w:tcPr>
            <w:tcW w:w="1200" w:type="dxa"/>
            <w:tcBorders>
              <w:top w:val="single" w:sz="4" w:space="0" w:color="auto"/>
              <w:left w:val="nil"/>
              <w:bottom w:val="single" w:sz="4" w:space="0" w:color="auto"/>
              <w:right w:val="nil"/>
            </w:tcBorders>
            <w:shd w:val="clear" w:color="auto" w:fill="auto"/>
            <w:noWrap/>
            <w:vAlign w:val="bottom"/>
          </w:tcPr>
          <w:p w14:paraId="57458D5C" w14:textId="7503C683" w:rsidR="00240EA8" w:rsidRPr="00133504" w:rsidRDefault="00240EA8" w:rsidP="00240EA8">
            <w:pPr>
              <w:spacing w:after="0" w:line="240" w:lineRule="auto"/>
              <w:rPr>
                <w:rFonts w:ascii="Arial" w:eastAsia="Times New Roman" w:hAnsi="Arial" w:cs="Arial"/>
                <w:color w:val="000000"/>
                <w:szCs w:val="20"/>
                <w:lang w:eastAsia="en-AU"/>
              </w:rPr>
            </w:pPr>
            <w:r w:rsidRPr="00B44C37">
              <w:rPr>
                <w:rFonts w:ascii="Arial" w:eastAsia="Times New Roman" w:hAnsi="Arial" w:cs="Arial"/>
                <w:color w:val="000000"/>
                <w:szCs w:val="20"/>
                <w:lang w:eastAsia="en-AU"/>
              </w:rPr>
              <w:t>PFRAs</w:t>
            </w:r>
          </w:p>
        </w:tc>
        <w:tc>
          <w:tcPr>
            <w:tcW w:w="2088" w:type="dxa"/>
            <w:tcBorders>
              <w:top w:val="single" w:sz="4" w:space="0" w:color="auto"/>
              <w:left w:val="nil"/>
              <w:bottom w:val="single" w:sz="4" w:space="0" w:color="auto"/>
              <w:right w:val="nil"/>
            </w:tcBorders>
            <w:shd w:val="clear" w:color="auto" w:fill="auto"/>
            <w:noWrap/>
            <w:vAlign w:val="bottom"/>
          </w:tcPr>
          <w:p w14:paraId="224CF716" w14:textId="47D0F5AF" w:rsidR="00240EA8" w:rsidRPr="00133504" w:rsidRDefault="00240EA8" w:rsidP="00240EA8">
            <w:pPr>
              <w:spacing w:after="0" w:line="240" w:lineRule="auto"/>
              <w:jc w:val="center"/>
              <w:rPr>
                <w:rFonts w:ascii="Arial" w:eastAsia="Times New Roman" w:hAnsi="Arial" w:cs="Arial"/>
                <w:color w:val="000000"/>
                <w:szCs w:val="20"/>
                <w:lang w:eastAsia="en-AU"/>
              </w:rPr>
            </w:pPr>
            <w:r w:rsidRPr="00B44C37">
              <w:rPr>
                <w:rFonts w:ascii="Arial" w:eastAsia="Times New Roman" w:hAnsi="Arial" w:cs="Arial"/>
                <w:color w:val="000000"/>
                <w:szCs w:val="20"/>
                <w:lang w:eastAsia="en-AU"/>
              </w:rPr>
              <w:t>1,965</w:t>
            </w:r>
          </w:p>
        </w:tc>
        <w:tc>
          <w:tcPr>
            <w:tcW w:w="2088" w:type="dxa"/>
            <w:tcBorders>
              <w:top w:val="single" w:sz="4" w:space="0" w:color="auto"/>
              <w:left w:val="nil"/>
              <w:bottom w:val="single" w:sz="4" w:space="0" w:color="auto"/>
              <w:right w:val="nil"/>
            </w:tcBorders>
            <w:shd w:val="clear" w:color="auto" w:fill="auto"/>
            <w:noWrap/>
            <w:vAlign w:val="bottom"/>
          </w:tcPr>
          <w:p w14:paraId="7DAFD9B6" w14:textId="0B511F0E" w:rsidR="00240EA8" w:rsidRPr="00133504" w:rsidRDefault="00240EA8" w:rsidP="00240EA8">
            <w:pPr>
              <w:spacing w:after="0" w:line="240" w:lineRule="auto"/>
              <w:jc w:val="center"/>
              <w:rPr>
                <w:rFonts w:ascii="Arial" w:eastAsia="Times New Roman" w:hAnsi="Arial" w:cs="Arial"/>
                <w:color w:val="000000"/>
                <w:szCs w:val="20"/>
                <w:lang w:eastAsia="en-AU"/>
              </w:rPr>
            </w:pPr>
            <w:r w:rsidRPr="00B44C37">
              <w:rPr>
                <w:rFonts w:ascii="Arial" w:eastAsia="Times New Roman" w:hAnsi="Arial" w:cs="Arial"/>
                <w:color w:val="000000"/>
                <w:szCs w:val="20"/>
                <w:lang w:eastAsia="en-AU"/>
              </w:rPr>
              <w:t>2,224</w:t>
            </w:r>
          </w:p>
        </w:tc>
        <w:tc>
          <w:tcPr>
            <w:tcW w:w="2088" w:type="dxa"/>
            <w:tcBorders>
              <w:top w:val="single" w:sz="4" w:space="0" w:color="auto"/>
              <w:left w:val="nil"/>
              <w:bottom w:val="single" w:sz="4" w:space="0" w:color="auto"/>
              <w:right w:val="nil"/>
            </w:tcBorders>
            <w:shd w:val="clear" w:color="auto" w:fill="auto"/>
            <w:noWrap/>
            <w:vAlign w:val="bottom"/>
          </w:tcPr>
          <w:p w14:paraId="5E400956" w14:textId="524F2506" w:rsidR="00240EA8" w:rsidRDefault="00240EA8" w:rsidP="00240EA8">
            <w:pPr>
              <w:spacing w:after="0" w:line="240" w:lineRule="auto"/>
              <w:jc w:val="center"/>
              <w:rPr>
                <w:rFonts w:ascii="Arial" w:eastAsia="Times New Roman" w:hAnsi="Arial" w:cs="Arial"/>
                <w:color w:val="000000"/>
                <w:szCs w:val="20"/>
                <w:lang w:eastAsia="en-AU"/>
              </w:rPr>
            </w:pPr>
            <w:r w:rsidRPr="00B44C37">
              <w:rPr>
                <w:rFonts w:ascii="Arial" w:eastAsia="Times New Roman" w:hAnsi="Arial" w:cs="Arial"/>
                <w:color w:val="000000"/>
                <w:szCs w:val="20"/>
                <w:lang w:eastAsia="en-AU"/>
              </w:rPr>
              <w:t>3,139</w:t>
            </w:r>
          </w:p>
        </w:tc>
      </w:tr>
      <w:tr w:rsidR="00240EA8" w:rsidRPr="00133504" w14:paraId="49B9F028" w14:textId="77777777" w:rsidTr="00240EA8">
        <w:trPr>
          <w:trHeight w:val="503"/>
        </w:trPr>
        <w:tc>
          <w:tcPr>
            <w:tcW w:w="1200" w:type="dxa"/>
            <w:tcBorders>
              <w:top w:val="single" w:sz="4" w:space="0" w:color="auto"/>
              <w:left w:val="nil"/>
              <w:bottom w:val="single" w:sz="4" w:space="0" w:color="auto"/>
              <w:right w:val="nil"/>
            </w:tcBorders>
            <w:shd w:val="clear" w:color="auto" w:fill="auto"/>
            <w:noWrap/>
            <w:vAlign w:val="bottom"/>
            <w:hideMark/>
          </w:tcPr>
          <w:p w14:paraId="363F29F9" w14:textId="77777777" w:rsidR="00240EA8" w:rsidRPr="00133504" w:rsidRDefault="00240EA8" w:rsidP="00240EA8">
            <w:pPr>
              <w:spacing w:after="0" w:line="240" w:lineRule="auto"/>
              <w:rPr>
                <w:rFonts w:ascii="Arial" w:eastAsia="Times New Roman" w:hAnsi="Arial" w:cs="Arial"/>
                <w:color w:val="000000"/>
                <w:szCs w:val="20"/>
                <w:lang w:eastAsia="en-AU"/>
              </w:rPr>
            </w:pPr>
            <w:r w:rsidRPr="00133504">
              <w:rPr>
                <w:rFonts w:ascii="Arial" w:eastAsia="Times New Roman" w:hAnsi="Arial" w:cs="Arial"/>
                <w:color w:val="000000"/>
                <w:szCs w:val="20"/>
                <w:lang w:eastAsia="en-AU"/>
              </w:rPr>
              <w:t>UNIs</w:t>
            </w:r>
          </w:p>
        </w:tc>
        <w:tc>
          <w:tcPr>
            <w:tcW w:w="2088" w:type="dxa"/>
            <w:tcBorders>
              <w:top w:val="single" w:sz="4" w:space="0" w:color="auto"/>
              <w:left w:val="nil"/>
              <w:bottom w:val="single" w:sz="4" w:space="0" w:color="auto"/>
              <w:right w:val="nil"/>
            </w:tcBorders>
            <w:shd w:val="clear" w:color="auto" w:fill="auto"/>
            <w:noWrap/>
            <w:vAlign w:val="bottom"/>
            <w:hideMark/>
          </w:tcPr>
          <w:p w14:paraId="303A0675" w14:textId="5E71BD41" w:rsidR="00240EA8" w:rsidRPr="00133504" w:rsidRDefault="00240EA8" w:rsidP="00240EA8">
            <w:pPr>
              <w:spacing w:after="0" w:line="240" w:lineRule="auto"/>
              <w:jc w:val="center"/>
              <w:rPr>
                <w:rFonts w:ascii="Arial" w:eastAsia="Times New Roman" w:hAnsi="Arial" w:cs="Arial"/>
                <w:color w:val="000000"/>
                <w:szCs w:val="20"/>
                <w:lang w:eastAsia="en-AU"/>
              </w:rPr>
            </w:pPr>
            <w:r w:rsidRPr="00133504">
              <w:rPr>
                <w:rFonts w:ascii="Arial" w:eastAsia="Times New Roman" w:hAnsi="Arial" w:cs="Arial"/>
                <w:color w:val="000000"/>
                <w:szCs w:val="20"/>
                <w:lang w:eastAsia="en-AU"/>
              </w:rPr>
              <w:t xml:space="preserve">10,046 </w:t>
            </w:r>
          </w:p>
        </w:tc>
        <w:tc>
          <w:tcPr>
            <w:tcW w:w="2088" w:type="dxa"/>
            <w:tcBorders>
              <w:top w:val="single" w:sz="4" w:space="0" w:color="auto"/>
              <w:left w:val="nil"/>
              <w:bottom w:val="single" w:sz="4" w:space="0" w:color="auto"/>
              <w:right w:val="nil"/>
            </w:tcBorders>
            <w:shd w:val="clear" w:color="auto" w:fill="auto"/>
            <w:noWrap/>
            <w:vAlign w:val="bottom"/>
            <w:hideMark/>
          </w:tcPr>
          <w:p w14:paraId="3D16778B" w14:textId="720EB73B" w:rsidR="00240EA8" w:rsidRPr="00133504" w:rsidRDefault="00240EA8" w:rsidP="00240EA8">
            <w:pPr>
              <w:spacing w:after="0" w:line="240" w:lineRule="auto"/>
              <w:jc w:val="center"/>
              <w:rPr>
                <w:rFonts w:ascii="Arial" w:eastAsia="Times New Roman" w:hAnsi="Arial" w:cs="Arial"/>
                <w:color w:val="000000"/>
                <w:szCs w:val="20"/>
                <w:lang w:eastAsia="en-AU"/>
              </w:rPr>
            </w:pPr>
            <w:r w:rsidRPr="00133504">
              <w:rPr>
                <w:rFonts w:ascii="Arial" w:eastAsia="Times New Roman" w:hAnsi="Arial" w:cs="Arial"/>
                <w:color w:val="000000"/>
                <w:szCs w:val="20"/>
                <w:lang w:eastAsia="en-AU"/>
              </w:rPr>
              <w:t xml:space="preserve">11,966 </w:t>
            </w:r>
          </w:p>
        </w:tc>
        <w:tc>
          <w:tcPr>
            <w:tcW w:w="2088" w:type="dxa"/>
            <w:tcBorders>
              <w:top w:val="single" w:sz="4" w:space="0" w:color="auto"/>
              <w:left w:val="nil"/>
              <w:bottom w:val="single" w:sz="4" w:space="0" w:color="auto"/>
              <w:right w:val="nil"/>
            </w:tcBorders>
            <w:shd w:val="clear" w:color="auto" w:fill="auto"/>
            <w:noWrap/>
            <w:vAlign w:val="bottom"/>
            <w:hideMark/>
          </w:tcPr>
          <w:p w14:paraId="21F4DC73" w14:textId="7A2658CE" w:rsidR="00240EA8" w:rsidRPr="00133504" w:rsidRDefault="00240EA8" w:rsidP="00240EA8">
            <w:pPr>
              <w:spacing w:after="0" w:line="240" w:lineRule="auto"/>
              <w:jc w:val="center"/>
              <w:rPr>
                <w:rFonts w:ascii="Arial" w:eastAsia="Times New Roman" w:hAnsi="Arial" w:cs="Arial"/>
                <w:color w:val="000000"/>
                <w:szCs w:val="20"/>
                <w:lang w:eastAsia="en-AU"/>
              </w:rPr>
            </w:pPr>
            <w:r>
              <w:rPr>
                <w:rFonts w:ascii="Arial" w:eastAsia="Times New Roman" w:hAnsi="Arial" w:cs="Arial"/>
                <w:color w:val="000000"/>
                <w:szCs w:val="20"/>
                <w:lang w:eastAsia="en-AU"/>
              </w:rPr>
              <w:t>13,391</w:t>
            </w:r>
            <w:r w:rsidRPr="00133504">
              <w:rPr>
                <w:rFonts w:ascii="Arial" w:eastAsia="Times New Roman" w:hAnsi="Arial" w:cs="Arial"/>
                <w:color w:val="000000"/>
                <w:szCs w:val="20"/>
                <w:lang w:eastAsia="en-AU"/>
              </w:rPr>
              <w:t xml:space="preserve"> </w:t>
            </w:r>
          </w:p>
        </w:tc>
      </w:tr>
      <w:tr w:rsidR="00240EA8" w:rsidRPr="00133504" w14:paraId="0A1376F4" w14:textId="77777777" w:rsidTr="00240EA8">
        <w:trPr>
          <w:trHeight w:val="503"/>
        </w:trPr>
        <w:tc>
          <w:tcPr>
            <w:tcW w:w="1200" w:type="dxa"/>
            <w:tcBorders>
              <w:top w:val="nil"/>
              <w:left w:val="nil"/>
              <w:bottom w:val="nil"/>
              <w:right w:val="nil"/>
            </w:tcBorders>
            <w:shd w:val="clear" w:color="auto" w:fill="auto"/>
            <w:noWrap/>
            <w:vAlign w:val="bottom"/>
            <w:hideMark/>
          </w:tcPr>
          <w:p w14:paraId="7D3F1A33" w14:textId="77777777" w:rsidR="00240EA8" w:rsidRPr="00133504" w:rsidRDefault="00240EA8" w:rsidP="00240EA8">
            <w:pPr>
              <w:spacing w:after="0" w:line="240" w:lineRule="auto"/>
              <w:rPr>
                <w:rFonts w:ascii="Arial" w:eastAsia="Times New Roman" w:hAnsi="Arial" w:cs="Arial"/>
                <w:color w:val="000000"/>
                <w:szCs w:val="20"/>
                <w:lang w:eastAsia="en-AU"/>
              </w:rPr>
            </w:pPr>
            <w:r w:rsidRPr="00133504">
              <w:rPr>
                <w:rFonts w:ascii="Arial" w:eastAsia="Times New Roman" w:hAnsi="Arial" w:cs="Arial"/>
                <w:color w:val="000000"/>
                <w:szCs w:val="20"/>
                <w:lang w:eastAsia="en-AU"/>
              </w:rPr>
              <w:t>MRIs</w:t>
            </w:r>
          </w:p>
        </w:tc>
        <w:tc>
          <w:tcPr>
            <w:tcW w:w="2088" w:type="dxa"/>
            <w:tcBorders>
              <w:top w:val="nil"/>
              <w:left w:val="nil"/>
              <w:bottom w:val="nil"/>
              <w:right w:val="nil"/>
            </w:tcBorders>
            <w:shd w:val="clear" w:color="auto" w:fill="auto"/>
            <w:noWrap/>
            <w:vAlign w:val="bottom"/>
            <w:hideMark/>
          </w:tcPr>
          <w:p w14:paraId="78DD1767" w14:textId="1F545AD4" w:rsidR="00240EA8" w:rsidRPr="00133504" w:rsidRDefault="00240EA8" w:rsidP="00240EA8">
            <w:pPr>
              <w:spacing w:after="0" w:line="240" w:lineRule="auto"/>
              <w:jc w:val="center"/>
              <w:rPr>
                <w:rFonts w:ascii="Arial" w:eastAsia="Times New Roman" w:hAnsi="Arial" w:cs="Arial"/>
                <w:color w:val="000000"/>
                <w:szCs w:val="20"/>
                <w:lang w:eastAsia="en-AU"/>
              </w:rPr>
            </w:pPr>
            <w:r w:rsidRPr="00133504">
              <w:rPr>
                <w:rFonts w:ascii="Arial" w:eastAsia="Times New Roman" w:hAnsi="Arial" w:cs="Arial"/>
                <w:color w:val="000000"/>
                <w:szCs w:val="20"/>
                <w:lang w:eastAsia="en-AU"/>
              </w:rPr>
              <w:t>217</w:t>
            </w:r>
          </w:p>
        </w:tc>
        <w:tc>
          <w:tcPr>
            <w:tcW w:w="2088" w:type="dxa"/>
            <w:tcBorders>
              <w:top w:val="nil"/>
              <w:left w:val="nil"/>
              <w:bottom w:val="nil"/>
              <w:right w:val="nil"/>
            </w:tcBorders>
            <w:shd w:val="clear" w:color="auto" w:fill="auto"/>
            <w:noWrap/>
            <w:vAlign w:val="bottom"/>
            <w:hideMark/>
          </w:tcPr>
          <w:p w14:paraId="54D7B471" w14:textId="1DD76681" w:rsidR="00240EA8" w:rsidRPr="00133504" w:rsidRDefault="00240EA8" w:rsidP="00240EA8">
            <w:pPr>
              <w:spacing w:after="0" w:line="240" w:lineRule="auto"/>
              <w:jc w:val="center"/>
              <w:rPr>
                <w:rFonts w:ascii="Arial" w:eastAsia="Times New Roman" w:hAnsi="Arial" w:cs="Arial"/>
                <w:color w:val="000000"/>
                <w:szCs w:val="20"/>
                <w:lang w:eastAsia="en-AU"/>
              </w:rPr>
            </w:pPr>
            <w:r w:rsidRPr="00133504">
              <w:rPr>
                <w:rFonts w:ascii="Arial" w:eastAsia="Times New Roman" w:hAnsi="Arial" w:cs="Arial"/>
                <w:color w:val="000000"/>
                <w:szCs w:val="20"/>
                <w:lang w:eastAsia="en-AU"/>
              </w:rPr>
              <w:t xml:space="preserve">1,198 </w:t>
            </w:r>
          </w:p>
        </w:tc>
        <w:tc>
          <w:tcPr>
            <w:tcW w:w="2088" w:type="dxa"/>
            <w:tcBorders>
              <w:top w:val="nil"/>
              <w:left w:val="nil"/>
              <w:bottom w:val="nil"/>
              <w:right w:val="nil"/>
            </w:tcBorders>
            <w:shd w:val="clear" w:color="auto" w:fill="auto"/>
            <w:noWrap/>
            <w:vAlign w:val="bottom"/>
            <w:hideMark/>
          </w:tcPr>
          <w:p w14:paraId="72322DC9" w14:textId="5D0022CF" w:rsidR="00240EA8" w:rsidRPr="00133504" w:rsidRDefault="00240EA8" w:rsidP="00240EA8">
            <w:pPr>
              <w:spacing w:after="0" w:line="240" w:lineRule="auto"/>
              <w:jc w:val="center"/>
              <w:rPr>
                <w:rFonts w:ascii="Arial" w:eastAsia="Times New Roman" w:hAnsi="Arial" w:cs="Arial"/>
                <w:color w:val="000000"/>
                <w:szCs w:val="20"/>
                <w:lang w:eastAsia="en-AU"/>
              </w:rPr>
            </w:pPr>
            <w:r>
              <w:rPr>
                <w:rFonts w:ascii="Arial" w:eastAsia="Times New Roman" w:hAnsi="Arial" w:cs="Arial"/>
                <w:color w:val="000000"/>
                <w:szCs w:val="20"/>
                <w:lang w:eastAsia="en-AU"/>
              </w:rPr>
              <w:t>1,546</w:t>
            </w:r>
          </w:p>
        </w:tc>
      </w:tr>
      <w:tr w:rsidR="00240EA8" w:rsidRPr="00133504" w14:paraId="5E9FAC5D" w14:textId="77777777" w:rsidTr="00240EA8">
        <w:trPr>
          <w:trHeight w:val="503"/>
        </w:trPr>
        <w:tc>
          <w:tcPr>
            <w:tcW w:w="1200" w:type="dxa"/>
            <w:tcBorders>
              <w:top w:val="single" w:sz="4" w:space="0" w:color="auto"/>
              <w:left w:val="nil"/>
              <w:bottom w:val="single" w:sz="4" w:space="0" w:color="auto"/>
              <w:right w:val="nil"/>
            </w:tcBorders>
            <w:shd w:val="clear" w:color="auto" w:fill="auto"/>
            <w:noWrap/>
            <w:vAlign w:val="bottom"/>
            <w:hideMark/>
          </w:tcPr>
          <w:p w14:paraId="27C71694" w14:textId="77777777" w:rsidR="00240EA8" w:rsidRPr="00133504" w:rsidRDefault="00240EA8" w:rsidP="00240EA8">
            <w:pPr>
              <w:spacing w:after="0" w:line="240" w:lineRule="auto"/>
              <w:rPr>
                <w:rFonts w:ascii="Arial" w:eastAsia="Times New Roman" w:hAnsi="Arial" w:cs="Arial"/>
                <w:b/>
                <w:bCs/>
                <w:color w:val="000000"/>
                <w:szCs w:val="20"/>
                <w:lang w:eastAsia="en-AU"/>
              </w:rPr>
            </w:pPr>
            <w:r w:rsidRPr="00133504">
              <w:rPr>
                <w:rFonts w:ascii="Arial" w:eastAsia="Times New Roman" w:hAnsi="Arial" w:cs="Arial"/>
                <w:b/>
                <w:bCs/>
                <w:color w:val="000000"/>
                <w:szCs w:val="20"/>
                <w:lang w:eastAsia="en-AU"/>
              </w:rPr>
              <w:t>Total</w:t>
            </w:r>
          </w:p>
        </w:tc>
        <w:tc>
          <w:tcPr>
            <w:tcW w:w="2088" w:type="dxa"/>
            <w:tcBorders>
              <w:top w:val="single" w:sz="4" w:space="0" w:color="auto"/>
              <w:left w:val="nil"/>
              <w:bottom w:val="single" w:sz="4" w:space="0" w:color="auto"/>
              <w:right w:val="nil"/>
            </w:tcBorders>
            <w:shd w:val="clear" w:color="auto" w:fill="auto"/>
            <w:noWrap/>
            <w:vAlign w:val="bottom"/>
            <w:hideMark/>
          </w:tcPr>
          <w:p w14:paraId="1BB9FE7D" w14:textId="455150AB" w:rsidR="00240EA8" w:rsidRPr="00133504" w:rsidRDefault="00240EA8" w:rsidP="00240EA8">
            <w:pPr>
              <w:spacing w:after="0" w:line="240" w:lineRule="auto"/>
              <w:jc w:val="center"/>
              <w:rPr>
                <w:rFonts w:ascii="Arial" w:eastAsia="Times New Roman" w:hAnsi="Arial" w:cs="Arial"/>
                <w:b/>
                <w:bCs/>
                <w:color w:val="000000"/>
                <w:szCs w:val="20"/>
                <w:lang w:eastAsia="en-AU"/>
              </w:rPr>
            </w:pPr>
            <w:r w:rsidRPr="00133504">
              <w:rPr>
                <w:rFonts w:ascii="Arial" w:eastAsia="Times New Roman" w:hAnsi="Arial" w:cs="Arial"/>
                <w:b/>
                <w:bCs/>
                <w:color w:val="000000"/>
                <w:szCs w:val="20"/>
                <w:lang w:eastAsia="en-AU"/>
              </w:rPr>
              <w:t xml:space="preserve">12,228 </w:t>
            </w:r>
          </w:p>
        </w:tc>
        <w:tc>
          <w:tcPr>
            <w:tcW w:w="2088" w:type="dxa"/>
            <w:tcBorders>
              <w:top w:val="single" w:sz="4" w:space="0" w:color="auto"/>
              <w:left w:val="nil"/>
              <w:bottom w:val="single" w:sz="4" w:space="0" w:color="auto"/>
              <w:right w:val="nil"/>
            </w:tcBorders>
            <w:shd w:val="clear" w:color="auto" w:fill="auto"/>
            <w:noWrap/>
            <w:vAlign w:val="bottom"/>
            <w:hideMark/>
          </w:tcPr>
          <w:p w14:paraId="4964C944" w14:textId="040EE547" w:rsidR="00240EA8" w:rsidRPr="00133504" w:rsidRDefault="00240EA8" w:rsidP="00240EA8">
            <w:pPr>
              <w:spacing w:after="0" w:line="240" w:lineRule="auto"/>
              <w:jc w:val="center"/>
              <w:rPr>
                <w:rFonts w:ascii="Arial" w:eastAsia="Times New Roman" w:hAnsi="Arial" w:cs="Arial"/>
                <w:b/>
                <w:bCs/>
                <w:color w:val="000000"/>
                <w:szCs w:val="20"/>
                <w:lang w:eastAsia="en-AU"/>
              </w:rPr>
            </w:pPr>
            <w:r>
              <w:rPr>
                <w:rFonts w:ascii="Arial" w:eastAsia="Times New Roman" w:hAnsi="Arial" w:cs="Arial"/>
                <w:b/>
                <w:bCs/>
                <w:color w:val="000000"/>
                <w:szCs w:val="20"/>
                <w:lang w:eastAsia="en-AU"/>
              </w:rPr>
              <w:t>15,388</w:t>
            </w:r>
          </w:p>
        </w:tc>
        <w:tc>
          <w:tcPr>
            <w:tcW w:w="2088" w:type="dxa"/>
            <w:tcBorders>
              <w:top w:val="single" w:sz="4" w:space="0" w:color="auto"/>
              <w:left w:val="nil"/>
              <w:bottom w:val="single" w:sz="4" w:space="0" w:color="auto"/>
              <w:right w:val="nil"/>
            </w:tcBorders>
            <w:shd w:val="clear" w:color="auto" w:fill="auto"/>
            <w:noWrap/>
            <w:vAlign w:val="bottom"/>
            <w:hideMark/>
          </w:tcPr>
          <w:p w14:paraId="3A8A16F6" w14:textId="1838833C" w:rsidR="00240EA8" w:rsidRPr="00133504" w:rsidRDefault="00240EA8" w:rsidP="00240EA8">
            <w:pPr>
              <w:spacing w:after="0" w:line="240" w:lineRule="auto"/>
              <w:jc w:val="center"/>
              <w:rPr>
                <w:rFonts w:ascii="Arial" w:eastAsia="Times New Roman" w:hAnsi="Arial" w:cs="Arial"/>
                <w:b/>
                <w:bCs/>
                <w:color w:val="000000"/>
                <w:szCs w:val="20"/>
                <w:lang w:eastAsia="en-AU"/>
              </w:rPr>
            </w:pPr>
            <w:r>
              <w:rPr>
                <w:rFonts w:ascii="Arial" w:eastAsia="Times New Roman" w:hAnsi="Arial" w:cs="Arial"/>
                <w:b/>
                <w:bCs/>
                <w:color w:val="000000"/>
                <w:szCs w:val="20"/>
                <w:lang w:eastAsia="en-AU"/>
              </w:rPr>
              <w:t>18,076</w:t>
            </w:r>
          </w:p>
        </w:tc>
      </w:tr>
    </w:tbl>
    <w:p w14:paraId="2EA45330" w14:textId="77777777" w:rsidR="00A22053" w:rsidRDefault="00A22053" w:rsidP="00A22053"/>
    <w:p w14:paraId="71182563" w14:textId="6E0C8FA7" w:rsidR="00A22053" w:rsidRDefault="00A22053" w:rsidP="00327F87">
      <w:pPr>
        <w:pStyle w:val="Heading3"/>
        <w:rPr>
          <w:sz w:val="20"/>
          <w:szCs w:val="20"/>
        </w:rPr>
      </w:pPr>
      <w:r w:rsidRPr="00A93922">
        <w:rPr>
          <w:sz w:val="20"/>
          <w:szCs w:val="20"/>
        </w:rPr>
        <w:t xml:space="preserve">Figure </w:t>
      </w:r>
      <w:r w:rsidR="00A66E47">
        <w:rPr>
          <w:sz w:val="20"/>
          <w:szCs w:val="20"/>
        </w:rPr>
        <w:t>4</w:t>
      </w:r>
      <w:r w:rsidRPr="00A93922">
        <w:rPr>
          <w:sz w:val="20"/>
          <w:szCs w:val="20"/>
        </w:rPr>
        <w:t xml:space="preserve">.4: Number of </w:t>
      </w:r>
      <w:r w:rsidR="008853D1">
        <w:rPr>
          <w:sz w:val="20"/>
          <w:szCs w:val="20"/>
        </w:rPr>
        <w:t xml:space="preserve">research </w:t>
      </w:r>
      <w:r w:rsidRPr="00A93922">
        <w:rPr>
          <w:sz w:val="20"/>
          <w:szCs w:val="20"/>
        </w:rPr>
        <w:t>contracts, consultancies and collaborations</w:t>
      </w:r>
    </w:p>
    <w:p w14:paraId="465F35B5" w14:textId="1C9D42C3" w:rsidR="00A22053" w:rsidRPr="0093795E" w:rsidRDefault="00A22053" w:rsidP="00A22053">
      <w:pPr>
        <w:rPr>
          <w:rFonts w:ascii="Arial" w:hAnsi="Arial" w:cs="Arial"/>
          <w:b/>
        </w:rPr>
      </w:pPr>
    </w:p>
    <w:p w14:paraId="002CCC1E" w14:textId="0630CE7B" w:rsidR="00A22053" w:rsidRDefault="00D553D6" w:rsidP="00A93922">
      <w:pPr>
        <w:rPr>
          <w:rFonts w:ascii="Arial" w:hAnsi="Arial" w:cs="Arial"/>
          <w:b/>
        </w:rPr>
      </w:pPr>
      <w:r>
        <w:rPr>
          <w:noProof/>
          <w:lang w:eastAsia="en-AU"/>
        </w:rPr>
        <w:drawing>
          <wp:inline distT="0" distB="0" distL="0" distR="0" wp14:anchorId="196DE7C1" wp14:editId="6C5F470F">
            <wp:extent cx="4572000" cy="2590800"/>
            <wp:effectExtent l="0" t="0" r="0" b="0"/>
            <wp:docPr id="7" name="Chart 7"/>
            <wp:cNvGraphicFramePr/>
            <a:graphic xmlns:a="http://schemas.openxmlformats.org/drawingml/2006/main">
              <a:graphicData uri="http://schemas.openxmlformats.org/drawingml/2006/chart">
                <c:chart xmlns:c="http://schemas.openxmlformats.org/drawingml/2006/chart" xmlns:r="http://schemas.openxmlformats.org/officeDocument/2006/relationships" r:id="rId25"/>
              </a:graphicData>
            </a:graphic>
          </wp:inline>
        </w:drawing>
      </w:r>
    </w:p>
    <w:p w14:paraId="52618BC3" w14:textId="62436FCB" w:rsidR="00BD275A" w:rsidRDefault="00C819D7">
      <w:pPr>
        <w:spacing w:after="200"/>
        <w:rPr>
          <w:rFonts w:ascii="Arial" w:hAnsi="Arial" w:cs="Arial"/>
          <w:b/>
        </w:rPr>
      </w:pPr>
      <w:r>
        <w:rPr>
          <w:rFonts w:ascii="Arial" w:hAnsi="Arial" w:cs="Arial"/>
          <w:b/>
        </w:rPr>
        <w:br w:type="page"/>
      </w:r>
    </w:p>
    <w:p w14:paraId="519F3832" w14:textId="240F1151" w:rsidR="00A22053" w:rsidRDefault="00A66E47" w:rsidP="00D05CB9">
      <w:pPr>
        <w:pStyle w:val="Heading3"/>
      </w:pPr>
      <w:r>
        <w:t>4</w:t>
      </w:r>
      <w:r w:rsidR="00A22053" w:rsidRPr="006124DA">
        <w:t>.</w:t>
      </w:r>
      <w:r w:rsidR="00A22053">
        <w:t>5</w:t>
      </w:r>
      <w:r w:rsidR="00A22053">
        <w:tab/>
        <w:t xml:space="preserve">Value </w:t>
      </w:r>
      <w:r w:rsidR="00A22053" w:rsidRPr="00B16BA1">
        <w:t>of</w:t>
      </w:r>
      <w:r w:rsidR="00A22053">
        <w:t xml:space="preserve"> Research </w:t>
      </w:r>
      <w:r w:rsidR="00A22053" w:rsidRPr="00B16BA1">
        <w:t>Contracts</w:t>
      </w:r>
      <w:r w:rsidR="00A22053">
        <w:t>, C</w:t>
      </w:r>
      <w:r w:rsidR="00A22053" w:rsidRPr="00B16BA1">
        <w:t>onsultanc</w:t>
      </w:r>
      <w:r w:rsidR="00A22053">
        <w:t>ies and Collaborations</w:t>
      </w:r>
    </w:p>
    <w:p w14:paraId="643BB0D4" w14:textId="77777777" w:rsidR="00A22053" w:rsidRDefault="00A22053" w:rsidP="00A22053">
      <w:pPr>
        <w:rPr>
          <w:rFonts w:ascii="Arial" w:hAnsi="Arial" w:cs="Arial"/>
        </w:rPr>
      </w:pPr>
      <w:r w:rsidRPr="00306107">
        <w:rPr>
          <w:rFonts w:ascii="Arial" w:hAnsi="Arial" w:cs="Arial"/>
        </w:rPr>
        <w:t>The value of research contracts</w:t>
      </w:r>
      <w:r>
        <w:rPr>
          <w:rFonts w:ascii="Arial" w:hAnsi="Arial" w:cs="Arial"/>
        </w:rPr>
        <w:t>,</w:t>
      </w:r>
      <w:r w:rsidRPr="00306107">
        <w:rPr>
          <w:rFonts w:ascii="Arial" w:hAnsi="Arial" w:cs="Arial"/>
        </w:rPr>
        <w:t xml:space="preserve"> consultancies</w:t>
      </w:r>
      <w:r>
        <w:rPr>
          <w:rFonts w:ascii="Arial" w:hAnsi="Arial" w:cs="Arial"/>
        </w:rPr>
        <w:t xml:space="preserve"> and collaborations shows the income generated by research organisations from end users particularly industry partners.</w:t>
      </w:r>
    </w:p>
    <w:p w14:paraId="0CB64585" w14:textId="72C957E4" w:rsidR="00C0483C" w:rsidRDefault="00A22053" w:rsidP="00AF22C0">
      <w:pPr>
        <w:pStyle w:val="ListParagraph"/>
        <w:numPr>
          <w:ilvl w:val="0"/>
          <w:numId w:val="34"/>
        </w:numPr>
        <w:spacing w:before="240"/>
        <w:rPr>
          <w:rFonts w:ascii="Arial" w:hAnsi="Arial" w:cs="Arial"/>
          <w:sz w:val="20"/>
        </w:rPr>
      </w:pPr>
      <w:r>
        <w:rPr>
          <w:rFonts w:ascii="Arial" w:hAnsi="Arial" w:cs="Arial"/>
          <w:sz w:val="20"/>
        </w:rPr>
        <w:t>T</w:t>
      </w:r>
      <w:r w:rsidRPr="00EB5B3D">
        <w:rPr>
          <w:rFonts w:ascii="Arial" w:hAnsi="Arial" w:cs="Arial"/>
          <w:sz w:val="20"/>
        </w:rPr>
        <w:t>he total value of the research contracts, consultancies and collaborations</w:t>
      </w:r>
      <w:r w:rsidR="00F84A38">
        <w:rPr>
          <w:rFonts w:ascii="Arial" w:hAnsi="Arial" w:cs="Arial"/>
          <w:sz w:val="20"/>
        </w:rPr>
        <w:t xml:space="preserve"> in 2015</w:t>
      </w:r>
      <w:r w:rsidR="00B20C5F">
        <w:rPr>
          <w:rFonts w:ascii="Arial" w:hAnsi="Arial" w:cs="Arial"/>
          <w:sz w:val="20"/>
        </w:rPr>
        <w:t xml:space="preserve"> </w:t>
      </w:r>
      <w:r w:rsidR="00E87123">
        <w:rPr>
          <w:rFonts w:ascii="Arial" w:hAnsi="Arial" w:cs="Arial"/>
          <w:sz w:val="20"/>
        </w:rPr>
        <w:t xml:space="preserve">is </w:t>
      </w:r>
      <w:r w:rsidR="00B20C5F">
        <w:rPr>
          <w:rFonts w:ascii="Arial" w:hAnsi="Arial" w:cs="Arial"/>
          <w:sz w:val="20"/>
        </w:rPr>
        <w:t>$</w:t>
      </w:r>
      <w:r w:rsidR="005E0A23">
        <w:rPr>
          <w:rFonts w:ascii="Arial" w:hAnsi="Arial" w:cs="Arial"/>
          <w:sz w:val="20"/>
        </w:rPr>
        <w:t>1</w:t>
      </w:r>
      <w:r w:rsidR="008838D2">
        <w:rPr>
          <w:rFonts w:ascii="Arial" w:hAnsi="Arial" w:cs="Arial"/>
          <w:sz w:val="20"/>
        </w:rPr>
        <w:t>,783</w:t>
      </w:r>
      <w:r w:rsidR="007171F2">
        <w:rPr>
          <w:rFonts w:ascii="Arial" w:hAnsi="Arial" w:cs="Arial"/>
          <w:sz w:val="20"/>
        </w:rPr>
        <w:t xml:space="preserve"> </w:t>
      </w:r>
      <w:r w:rsidR="00B20C5F">
        <w:rPr>
          <w:rFonts w:ascii="Arial" w:hAnsi="Arial" w:cs="Arial"/>
          <w:sz w:val="20"/>
        </w:rPr>
        <w:t>million</w:t>
      </w:r>
      <w:r w:rsidR="00E87123">
        <w:rPr>
          <w:rFonts w:ascii="Arial" w:hAnsi="Arial" w:cs="Arial"/>
          <w:sz w:val="20"/>
        </w:rPr>
        <w:t xml:space="preserve">, </w:t>
      </w:r>
      <w:r w:rsidR="00C0483C">
        <w:rPr>
          <w:rFonts w:ascii="Arial" w:hAnsi="Arial" w:cs="Arial"/>
          <w:sz w:val="20"/>
        </w:rPr>
        <w:t xml:space="preserve">this represents </w:t>
      </w:r>
      <w:r w:rsidR="008838D2">
        <w:rPr>
          <w:rFonts w:ascii="Arial" w:hAnsi="Arial" w:cs="Arial"/>
          <w:sz w:val="20"/>
        </w:rPr>
        <w:t xml:space="preserve">a 1% increase </w:t>
      </w:r>
      <w:r w:rsidR="00F84A38">
        <w:rPr>
          <w:rFonts w:ascii="Arial" w:hAnsi="Arial" w:cs="Arial"/>
          <w:sz w:val="20"/>
        </w:rPr>
        <w:t xml:space="preserve">from </w:t>
      </w:r>
      <w:r w:rsidR="00E87123">
        <w:rPr>
          <w:rFonts w:ascii="Arial" w:hAnsi="Arial" w:cs="Arial"/>
          <w:sz w:val="20"/>
        </w:rPr>
        <w:t>2014.</w:t>
      </w:r>
      <w:r w:rsidR="00134CF5">
        <w:rPr>
          <w:rFonts w:ascii="Arial" w:hAnsi="Arial" w:cs="Arial"/>
          <w:sz w:val="20"/>
        </w:rPr>
        <w:t xml:space="preserve"> </w:t>
      </w:r>
    </w:p>
    <w:p w14:paraId="2E8FEEA1" w14:textId="4C65D3EF" w:rsidR="00A22053" w:rsidRDefault="00556633" w:rsidP="00AF22C0">
      <w:pPr>
        <w:pStyle w:val="ListParagraph"/>
        <w:numPr>
          <w:ilvl w:val="0"/>
          <w:numId w:val="34"/>
        </w:numPr>
        <w:spacing w:before="240"/>
        <w:rPr>
          <w:rFonts w:ascii="Arial" w:hAnsi="Arial" w:cs="Arial"/>
          <w:sz w:val="20"/>
        </w:rPr>
      </w:pPr>
      <w:r>
        <w:rPr>
          <w:rFonts w:ascii="Arial" w:hAnsi="Arial" w:cs="Arial"/>
          <w:sz w:val="20"/>
        </w:rPr>
        <w:t xml:space="preserve">By </w:t>
      </w:r>
      <w:r w:rsidR="00E87123">
        <w:rPr>
          <w:rFonts w:ascii="Arial" w:hAnsi="Arial" w:cs="Arial"/>
          <w:sz w:val="20"/>
        </w:rPr>
        <w:t xml:space="preserve">contrast, </w:t>
      </w:r>
      <w:r w:rsidR="00A22053" w:rsidRPr="004C21D3">
        <w:rPr>
          <w:rFonts w:ascii="Arial" w:hAnsi="Arial" w:cs="Arial"/>
          <w:sz w:val="20"/>
        </w:rPr>
        <w:t>MRIs</w:t>
      </w:r>
      <w:r w:rsidR="00E87123">
        <w:rPr>
          <w:rFonts w:ascii="Arial" w:hAnsi="Arial" w:cs="Arial"/>
          <w:sz w:val="20"/>
        </w:rPr>
        <w:t xml:space="preserve"> </w:t>
      </w:r>
      <w:r>
        <w:rPr>
          <w:rFonts w:ascii="Arial" w:hAnsi="Arial" w:cs="Arial"/>
          <w:sz w:val="20"/>
        </w:rPr>
        <w:t xml:space="preserve">reported </w:t>
      </w:r>
      <w:r w:rsidR="00E87123">
        <w:rPr>
          <w:rFonts w:ascii="Arial" w:hAnsi="Arial" w:cs="Arial"/>
          <w:sz w:val="20"/>
        </w:rPr>
        <w:t xml:space="preserve">an increase </w:t>
      </w:r>
      <w:r w:rsidR="002B5CD2">
        <w:rPr>
          <w:rFonts w:ascii="Arial" w:hAnsi="Arial" w:cs="Arial"/>
          <w:sz w:val="20"/>
        </w:rPr>
        <w:t xml:space="preserve">of </w:t>
      </w:r>
      <w:r w:rsidR="007171F2">
        <w:rPr>
          <w:rFonts w:ascii="Arial" w:hAnsi="Arial" w:cs="Arial"/>
          <w:sz w:val="20"/>
        </w:rPr>
        <w:t>8</w:t>
      </w:r>
      <w:r w:rsidR="00F15104">
        <w:rPr>
          <w:rFonts w:ascii="Arial" w:hAnsi="Arial" w:cs="Arial"/>
          <w:sz w:val="20"/>
        </w:rPr>
        <w:t>1%</w:t>
      </w:r>
      <w:r w:rsidR="002B5CD2">
        <w:rPr>
          <w:rFonts w:ascii="Arial" w:hAnsi="Arial" w:cs="Arial"/>
          <w:sz w:val="20"/>
        </w:rPr>
        <w:t xml:space="preserve"> </w:t>
      </w:r>
      <w:r w:rsidR="00A22053" w:rsidRPr="004C21D3">
        <w:rPr>
          <w:rFonts w:ascii="Arial" w:hAnsi="Arial" w:cs="Arial"/>
          <w:sz w:val="20"/>
        </w:rPr>
        <w:t>from $</w:t>
      </w:r>
      <w:r w:rsidR="00E87123">
        <w:rPr>
          <w:rFonts w:ascii="Arial" w:hAnsi="Arial" w:cs="Arial"/>
          <w:sz w:val="20"/>
        </w:rPr>
        <w:t>7</w:t>
      </w:r>
      <w:r w:rsidR="008838D2">
        <w:rPr>
          <w:rFonts w:ascii="Arial" w:hAnsi="Arial" w:cs="Arial"/>
          <w:sz w:val="20"/>
        </w:rPr>
        <w:t>2</w:t>
      </w:r>
      <w:r w:rsidR="00E87123" w:rsidRPr="004C21D3">
        <w:rPr>
          <w:rFonts w:ascii="Arial" w:hAnsi="Arial" w:cs="Arial"/>
          <w:sz w:val="20"/>
        </w:rPr>
        <w:t xml:space="preserve"> </w:t>
      </w:r>
      <w:r w:rsidR="00A22053" w:rsidRPr="004C21D3">
        <w:rPr>
          <w:rFonts w:ascii="Arial" w:hAnsi="Arial" w:cs="Arial"/>
          <w:sz w:val="20"/>
        </w:rPr>
        <w:t xml:space="preserve">million </w:t>
      </w:r>
      <w:r w:rsidR="004A699D" w:rsidRPr="004C21D3">
        <w:rPr>
          <w:rFonts w:ascii="Arial" w:hAnsi="Arial" w:cs="Arial"/>
          <w:sz w:val="20"/>
        </w:rPr>
        <w:t>in 201</w:t>
      </w:r>
      <w:r w:rsidR="00E87123">
        <w:rPr>
          <w:rFonts w:ascii="Arial" w:hAnsi="Arial" w:cs="Arial"/>
          <w:sz w:val="20"/>
        </w:rPr>
        <w:t>4</w:t>
      </w:r>
      <w:r w:rsidR="004A699D" w:rsidRPr="004C21D3">
        <w:rPr>
          <w:rFonts w:ascii="Arial" w:hAnsi="Arial" w:cs="Arial"/>
          <w:sz w:val="20"/>
        </w:rPr>
        <w:t xml:space="preserve"> to $</w:t>
      </w:r>
      <w:r w:rsidR="00E87123">
        <w:rPr>
          <w:rFonts w:ascii="Arial" w:hAnsi="Arial" w:cs="Arial"/>
          <w:sz w:val="20"/>
        </w:rPr>
        <w:t>130</w:t>
      </w:r>
      <w:r w:rsidR="004A699D" w:rsidRPr="004C21D3">
        <w:rPr>
          <w:rFonts w:ascii="Arial" w:hAnsi="Arial" w:cs="Arial"/>
          <w:sz w:val="20"/>
        </w:rPr>
        <w:t xml:space="preserve"> million in 201</w:t>
      </w:r>
      <w:r w:rsidR="00E87123">
        <w:rPr>
          <w:rFonts w:ascii="Arial" w:hAnsi="Arial" w:cs="Arial"/>
          <w:sz w:val="20"/>
        </w:rPr>
        <w:t>5</w:t>
      </w:r>
      <w:r w:rsidR="004A699D" w:rsidRPr="004C21D3">
        <w:rPr>
          <w:rFonts w:ascii="Arial" w:hAnsi="Arial" w:cs="Arial"/>
          <w:sz w:val="20"/>
        </w:rPr>
        <w:t>.</w:t>
      </w:r>
    </w:p>
    <w:p w14:paraId="7C371DE8" w14:textId="28B77F46" w:rsidR="00F84A38" w:rsidRPr="00204B80" w:rsidRDefault="007240F4" w:rsidP="00204B80">
      <w:pPr>
        <w:pStyle w:val="ListParagraph"/>
        <w:numPr>
          <w:ilvl w:val="0"/>
          <w:numId w:val="34"/>
        </w:numPr>
        <w:spacing w:before="240"/>
        <w:rPr>
          <w:rFonts w:ascii="Arial" w:hAnsi="Arial" w:cs="Arial"/>
          <w:sz w:val="20"/>
        </w:rPr>
      </w:pPr>
      <w:r>
        <w:rPr>
          <w:rFonts w:ascii="Arial" w:hAnsi="Arial" w:cs="Arial"/>
          <w:sz w:val="20"/>
        </w:rPr>
        <w:t>Universities</w:t>
      </w:r>
      <w:r w:rsidR="00F84A38">
        <w:rPr>
          <w:rFonts w:ascii="Arial" w:hAnsi="Arial" w:cs="Arial"/>
          <w:sz w:val="20"/>
        </w:rPr>
        <w:t xml:space="preserve"> reported </w:t>
      </w:r>
      <w:r w:rsidR="00F84A38" w:rsidRPr="00204B80">
        <w:rPr>
          <w:rFonts w:ascii="Arial" w:hAnsi="Arial" w:cs="Arial"/>
          <w:sz w:val="20"/>
        </w:rPr>
        <w:t>a</w:t>
      </w:r>
      <w:r w:rsidR="00782A83">
        <w:rPr>
          <w:rFonts w:ascii="Arial" w:hAnsi="Arial" w:cs="Arial"/>
          <w:sz w:val="20"/>
        </w:rPr>
        <w:t>n 8% decrease</w:t>
      </w:r>
      <w:r w:rsidR="00F84A38" w:rsidRPr="00204B80">
        <w:rPr>
          <w:rFonts w:ascii="Arial" w:hAnsi="Arial" w:cs="Arial"/>
          <w:sz w:val="20"/>
        </w:rPr>
        <w:t>.</w:t>
      </w:r>
    </w:p>
    <w:p w14:paraId="62C250DB" w14:textId="17DF5F63" w:rsidR="00D05CB9" w:rsidRPr="00327F87" w:rsidRDefault="00A22053" w:rsidP="00327F87">
      <w:pPr>
        <w:pStyle w:val="Heading3"/>
        <w:rPr>
          <w:sz w:val="20"/>
          <w:szCs w:val="20"/>
        </w:rPr>
      </w:pPr>
      <w:r w:rsidRPr="00327F87">
        <w:rPr>
          <w:sz w:val="20"/>
          <w:szCs w:val="20"/>
        </w:rPr>
        <w:t xml:space="preserve">Table </w:t>
      </w:r>
      <w:r w:rsidR="00A66E47" w:rsidRPr="00327F87">
        <w:rPr>
          <w:sz w:val="20"/>
          <w:szCs w:val="20"/>
        </w:rPr>
        <w:t>4</w:t>
      </w:r>
      <w:r w:rsidRPr="00327F87">
        <w:rPr>
          <w:sz w:val="20"/>
          <w:szCs w:val="20"/>
        </w:rPr>
        <w:t>.5: Value of contracts, consultancies and collaborations ($ Millions)</w:t>
      </w:r>
    </w:p>
    <w:tbl>
      <w:tblPr>
        <w:tblW w:w="7314" w:type="dxa"/>
        <w:tblInd w:w="108" w:type="dxa"/>
        <w:tblLook w:val="04A0" w:firstRow="1" w:lastRow="0" w:firstColumn="1" w:lastColumn="0" w:noHBand="0" w:noVBand="1"/>
      </w:tblPr>
      <w:tblGrid>
        <w:gridCol w:w="1176"/>
        <w:gridCol w:w="2046"/>
        <w:gridCol w:w="2046"/>
        <w:gridCol w:w="2046"/>
      </w:tblGrid>
      <w:tr w:rsidR="004A699D" w:rsidRPr="00133504" w14:paraId="29ACFF94" w14:textId="77777777" w:rsidTr="00327F87">
        <w:trPr>
          <w:trHeight w:val="483"/>
        </w:trPr>
        <w:tc>
          <w:tcPr>
            <w:tcW w:w="1176" w:type="dxa"/>
            <w:tcBorders>
              <w:top w:val="single" w:sz="4" w:space="0" w:color="auto"/>
              <w:left w:val="nil"/>
              <w:bottom w:val="single" w:sz="4" w:space="0" w:color="auto"/>
              <w:right w:val="nil"/>
            </w:tcBorders>
            <w:shd w:val="clear" w:color="000000" w:fill="C4D79B"/>
            <w:noWrap/>
            <w:vAlign w:val="center"/>
            <w:hideMark/>
          </w:tcPr>
          <w:p w14:paraId="749308BF" w14:textId="77777777" w:rsidR="004A699D" w:rsidRPr="00133504" w:rsidRDefault="004A699D" w:rsidP="004A699D">
            <w:pPr>
              <w:spacing w:after="0" w:line="240" w:lineRule="auto"/>
              <w:jc w:val="center"/>
              <w:rPr>
                <w:rFonts w:ascii="Arial" w:eastAsia="Times New Roman" w:hAnsi="Arial" w:cs="Arial"/>
                <w:color w:val="000000"/>
                <w:szCs w:val="20"/>
                <w:lang w:eastAsia="en-AU"/>
              </w:rPr>
            </w:pPr>
            <w:r w:rsidRPr="00133504">
              <w:rPr>
                <w:rFonts w:ascii="Arial" w:eastAsia="Times New Roman" w:hAnsi="Arial" w:cs="Arial"/>
                <w:color w:val="000000"/>
                <w:szCs w:val="20"/>
                <w:lang w:eastAsia="en-AU"/>
              </w:rPr>
              <w:t> </w:t>
            </w:r>
          </w:p>
        </w:tc>
        <w:tc>
          <w:tcPr>
            <w:tcW w:w="2046" w:type="dxa"/>
            <w:tcBorders>
              <w:top w:val="single" w:sz="4" w:space="0" w:color="auto"/>
              <w:left w:val="nil"/>
              <w:bottom w:val="single" w:sz="4" w:space="0" w:color="auto"/>
              <w:right w:val="nil"/>
            </w:tcBorders>
            <w:shd w:val="clear" w:color="000000" w:fill="C4D79B"/>
            <w:noWrap/>
            <w:vAlign w:val="center"/>
            <w:hideMark/>
          </w:tcPr>
          <w:p w14:paraId="47C37814" w14:textId="763CADE7" w:rsidR="004A699D" w:rsidRPr="00133504" w:rsidRDefault="004A699D" w:rsidP="004A699D">
            <w:pPr>
              <w:spacing w:after="0" w:line="240" w:lineRule="auto"/>
              <w:jc w:val="center"/>
              <w:rPr>
                <w:rFonts w:ascii="Arial" w:eastAsia="Times New Roman" w:hAnsi="Arial" w:cs="Arial"/>
                <w:b/>
                <w:bCs/>
                <w:color w:val="000000"/>
                <w:szCs w:val="20"/>
                <w:lang w:eastAsia="en-AU"/>
              </w:rPr>
            </w:pPr>
            <w:r w:rsidRPr="00133504">
              <w:rPr>
                <w:rFonts w:ascii="Arial" w:eastAsia="Times New Roman" w:hAnsi="Arial" w:cs="Arial"/>
                <w:b/>
                <w:bCs/>
                <w:color w:val="000000"/>
                <w:szCs w:val="20"/>
                <w:lang w:eastAsia="en-AU"/>
              </w:rPr>
              <w:t>2013</w:t>
            </w:r>
          </w:p>
        </w:tc>
        <w:tc>
          <w:tcPr>
            <w:tcW w:w="2046" w:type="dxa"/>
            <w:tcBorders>
              <w:top w:val="single" w:sz="4" w:space="0" w:color="auto"/>
              <w:left w:val="nil"/>
              <w:bottom w:val="single" w:sz="4" w:space="0" w:color="auto"/>
              <w:right w:val="nil"/>
            </w:tcBorders>
            <w:shd w:val="clear" w:color="000000" w:fill="C4D79B"/>
            <w:noWrap/>
            <w:vAlign w:val="center"/>
            <w:hideMark/>
          </w:tcPr>
          <w:p w14:paraId="30E2784D" w14:textId="3ED5ED1D" w:rsidR="004A699D" w:rsidRPr="00133504" w:rsidRDefault="004A699D" w:rsidP="004A699D">
            <w:pPr>
              <w:spacing w:after="0" w:line="240" w:lineRule="auto"/>
              <w:jc w:val="center"/>
              <w:rPr>
                <w:rFonts w:ascii="Arial" w:eastAsia="Times New Roman" w:hAnsi="Arial" w:cs="Arial"/>
                <w:b/>
                <w:bCs/>
                <w:color w:val="000000"/>
                <w:szCs w:val="20"/>
                <w:lang w:eastAsia="en-AU"/>
              </w:rPr>
            </w:pPr>
            <w:r w:rsidRPr="00133504">
              <w:rPr>
                <w:rFonts w:ascii="Arial" w:eastAsia="Times New Roman" w:hAnsi="Arial" w:cs="Arial"/>
                <w:b/>
                <w:bCs/>
                <w:color w:val="000000"/>
                <w:szCs w:val="20"/>
                <w:lang w:eastAsia="en-AU"/>
              </w:rPr>
              <w:t>2014</w:t>
            </w:r>
          </w:p>
        </w:tc>
        <w:tc>
          <w:tcPr>
            <w:tcW w:w="2046" w:type="dxa"/>
            <w:tcBorders>
              <w:top w:val="single" w:sz="4" w:space="0" w:color="auto"/>
              <w:left w:val="nil"/>
              <w:bottom w:val="single" w:sz="4" w:space="0" w:color="auto"/>
              <w:right w:val="nil"/>
            </w:tcBorders>
            <w:shd w:val="clear" w:color="000000" w:fill="C4D79B"/>
            <w:noWrap/>
            <w:vAlign w:val="center"/>
            <w:hideMark/>
          </w:tcPr>
          <w:p w14:paraId="7B2DDE10" w14:textId="3128C283" w:rsidR="004A699D" w:rsidRPr="00133504" w:rsidRDefault="004A699D" w:rsidP="004A699D">
            <w:pPr>
              <w:spacing w:after="0" w:line="240" w:lineRule="auto"/>
              <w:jc w:val="center"/>
              <w:rPr>
                <w:rFonts w:ascii="Arial" w:eastAsia="Times New Roman" w:hAnsi="Arial" w:cs="Arial"/>
                <w:b/>
                <w:bCs/>
                <w:color w:val="000000"/>
                <w:szCs w:val="20"/>
                <w:lang w:eastAsia="en-AU"/>
              </w:rPr>
            </w:pPr>
            <w:r>
              <w:rPr>
                <w:rFonts w:ascii="Arial" w:eastAsia="Times New Roman" w:hAnsi="Arial" w:cs="Arial"/>
                <w:b/>
                <w:bCs/>
                <w:color w:val="000000"/>
                <w:szCs w:val="20"/>
                <w:lang w:eastAsia="en-AU"/>
              </w:rPr>
              <w:t>2015</w:t>
            </w:r>
          </w:p>
        </w:tc>
      </w:tr>
      <w:tr w:rsidR="00240EA8" w:rsidRPr="00133504" w14:paraId="55CF09DA" w14:textId="77777777" w:rsidTr="00327F87">
        <w:trPr>
          <w:trHeight w:val="483"/>
        </w:trPr>
        <w:tc>
          <w:tcPr>
            <w:tcW w:w="1176" w:type="dxa"/>
            <w:tcBorders>
              <w:top w:val="single" w:sz="4" w:space="0" w:color="auto"/>
              <w:left w:val="nil"/>
              <w:bottom w:val="single" w:sz="4" w:space="0" w:color="auto"/>
              <w:right w:val="nil"/>
            </w:tcBorders>
            <w:shd w:val="clear" w:color="auto" w:fill="auto"/>
            <w:noWrap/>
            <w:vAlign w:val="bottom"/>
          </w:tcPr>
          <w:p w14:paraId="3DB6F68D" w14:textId="2DC96FA3" w:rsidR="00240EA8" w:rsidRPr="00133504" w:rsidRDefault="00240EA8" w:rsidP="004A699D">
            <w:pPr>
              <w:spacing w:after="0" w:line="240" w:lineRule="auto"/>
              <w:rPr>
                <w:rFonts w:ascii="Arial" w:eastAsia="Times New Roman" w:hAnsi="Arial" w:cs="Arial"/>
                <w:color w:val="000000"/>
                <w:szCs w:val="20"/>
                <w:lang w:eastAsia="en-AU"/>
              </w:rPr>
            </w:pPr>
            <w:r w:rsidRPr="00133504">
              <w:rPr>
                <w:rFonts w:ascii="Arial" w:eastAsia="Times New Roman" w:hAnsi="Arial" w:cs="Arial"/>
                <w:color w:val="000000"/>
                <w:szCs w:val="20"/>
                <w:lang w:eastAsia="en-AU"/>
              </w:rPr>
              <w:t>PFRAs</w:t>
            </w:r>
          </w:p>
        </w:tc>
        <w:tc>
          <w:tcPr>
            <w:tcW w:w="2046" w:type="dxa"/>
            <w:tcBorders>
              <w:top w:val="single" w:sz="4" w:space="0" w:color="auto"/>
              <w:left w:val="nil"/>
              <w:bottom w:val="single" w:sz="4" w:space="0" w:color="auto"/>
              <w:right w:val="nil"/>
            </w:tcBorders>
            <w:shd w:val="clear" w:color="auto" w:fill="auto"/>
            <w:noWrap/>
            <w:vAlign w:val="bottom"/>
          </w:tcPr>
          <w:p w14:paraId="2F1D41C3" w14:textId="5D36C944" w:rsidR="00240EA8" w:rsidRPr="00133504" w:rsidRDefault="0035312A" w:rsidP="002D0F8E">
            <w:pPr>
              <w:spacing w:after="0" w:line="240" w:lineRule="auto"/>
              <w:jc w:val="center"/>
              <w:rPr>
                <w:rFonts w:ascii="Arial" w:eastAsia="Times New Roman" w:hAnsi="Arial" w:cs="Arial"/>
                <w:color w:val="000000"/>
                <w:szCs w:val="20"/>
                <w:lang w:eastAsia="en-AU"/>
              </w:rPr>
            </w:pPr>
            <w:r>
              <w:rPr>
                <w:rFonts w:ascii="Arial" w:eastAsia="Times New Roman" w:hAnsi="Arial" w:cs="Arial"/>
                <w:color w:val="000000"/>
                <w:szCs w:val="20"/>
                <w:lang w:eastAsia="en-AU"/>
              </w:rPr>
              <w:t xml:space="preserve">   </w:t>
            </w:r>
            <w:r w:rsidR="00240EA8">
              <w:rPr>
                <w:rFonts w:ascii="Arial" w:eastAsia="Times New Roman" w:hAnsi="Arial" w:cs="Arial"/>
                <w:color w:val="000000"/>
                <w:szCs w:val="20"/>
                <w:lang w:eastAsia="en-AU"/>
              </w:rPr>
              <w:t>388</w:t>
            </w:r>
          </w:p>
        </w:tc>
        <w:tc>
          <w:tcPr>
            <w:tcW w:w="2046" w:type="dxa"/>
            <w:tcBorders>
              <w:top w:val="single" w:sz="4" w:space="0" w:color="auto"/>
              <w:left w:val="nil"/>
              <w:bottom w:val="single" w:sz="4" w:space="0" w:color="auto"/>
              <w:right w:val="nil"/>
            </w:tcBorders>
            <w:shd w:val="clear" w:color="auto" w:fill="auto"/>
            <w:noWrap/>
            <w:vAlign w:val="bottom"/>
          </w:tcPr>
          <w:p w14:paraId="107094B5" w14:textId="18BB0ABB" w:rsidR="00240EA8" w:rsidRPr="00133504" w:rsidRDefault="0035312A" w:rsidP="003B217B">
            <w:pPr>
              <w:spacing w:after="0" w:line="240" w:lineRule="auto"/>
              <w:jc w:val="center"/>
              <w:rPr>
                <w:rFonts w:ascii="Arial" w:eastAsia="Times New Roman" w:hAnsi="Arial" w:cs="Arial"/>
                <w:color w:val="000000"/>
                <w:szCs w:val="20"/>
                <w:lang w:eastAsia="en-AU"/>
              </w:rPr>
            </w:pPr>
            <w:r>
              <w:rPr>
                <w:rFonts w:ascii="Arial" w:eastAsia="Times New Roman" w:hAnsi="Arial" w:cs="Arial"/>
                <w:color w:val="000000"/>
                <w:szCs w:val="20"/>
                <w:lang w:eastAsia="en-AU"/>
              </w:rPr>
              <w:t xml:space="preserve">   </w:t>
            </w:r>
            <w:r w:rsidR="00240EA8">
              <w:rPr>
                <w:rFonts w:ascii="Arial" w:eastAsia="Times New Roman" w:hAnsi="Arial" w:cs="Arial"/>
                <w:color w:val="000000"/>
                <w:szCs w:val="20"/>
                <w:lang w:eastAsia="en-AU"/>
              </w:rPr>
              <w:t>382</w:t>
            </w:r>
          </w:p>
        </w:tc>
        <w:tc>
          <w:tcPr>
            <w:tcW w:w="2046" w:type="dxa"/>
            <w:tcBorders>
              <w:top w:val="single" w:sz="4" w:space="0" w:color="auto"/>
              <w:left w:val="nil"/>
              <w:bottom w:val="single" w:sz="4" w:space="0" w:color="auto"/>
              <w:right w:val="nil"/>
            </w:tcBorders>
            <w:shd w:val="clear" w:color="auto" w:fill="auto"/>
            <w:noWrap/>
            <w:vAlign w:val="bottom"/>
          </w:tcPr>
          <w:p w14:paraId="4A05A671" w14:textId="19D4134B" w:rsidR="00240EA8" w:rsidRDefault="0035312A" w:rsidP="004A699D">
            <w:pPr>
              <w:spacing w:after="0" w:line="240" w:lineRule="auto"/>
              <w:jc w:val="center"/>
              <w:rPr>
                <w:rFonts w:ascii="Arial" w:eastAsia="Times New Roman" w:hAnsi="Arial" w:cs="Arial"/>
                <w:color w:val="000000"/>
                <w:szCs w:val="20"/>
                <w:lang w:eastAsia="en-AU"/>
              </w:rPr>
            </w:pPr>
            <w:r>
              <w:rPr>
                <w:rFonts w:ascii="Arial" w:eastAsia="Times New Roman" w:hAnsi="Arial" w:cs="Arial"/>
                <w:color w:val="000000"/>
                <w:szCs w:val="20"/>
                <w:lang w:eastAsia="en-AU"/>
              </w:rPr>
              <w:t xml:space="preserve">  </w:t>
            </w:r>
            <w:r w:rsidR="00240EA8">
              <w:rPr>
                <w:rFonts w:ascii="Arial" w:eastAsia="Times New Roman" w:hAnsi="Arial" w:cs="Arial"/>
                <w:color w:val="000000"/>
                <w:szCs w:val="20"/>
                <w:lang w:eastAsia="en-AU"/>
              </w:rPr>
              <w:t>448</w:t>
            </w:r>
          </w:p>
        </w:tc>
      </w:tr>
      <w:tr w:rsidR="004A699D" w:rsidRPr="00133504" w14:paraId="6DF519EE" w14:textId="77777777" w:rsidTr="00327F87">
        <w:trPr>
          <w:trHeight w:val="483"/>
        </w:trPr>
        <w:tc>
          <w:tcPr>
            <w:tcW w:w="1176" w:type="dxa"/>
            <w:tcBorders>
              <w:top w:val="single" w:sz="4" w:space="0" w:color="auto"/>
              <w:left w:val="nil"/>
              <w:bottom w:val="single" w:sz="4" w:space="0" w:color="auto"/>
              <w:right w:val="nil"/>
            </w:tcBorders>
            <w:shd w:val="clear" w:color="auto" w:fill="auto"/>
            <w:noWrap/>
            <w:vAlign w:val="bottom"/>
            <w:hideMark/>
          </w:tcPr>
          <w:p w14:paraId="3E821DE7" w14:textId="77777777" w:rsidR="004A699D" w:rsidRPr="00133504" w:rsidRDefault="004A699D" w:rsidP="004A699D">
            <w:pPr>
              <w:spacing w:after="0" w:line="240" w:lineRule="auto"/>
              <w:rPr>
                <w:rFonts w:ascii="Arial" w:eastAsia="Times New Roman" w:hAnsi="Arial" w:cs="Arial"/>
                <w:color w:val="000000"/>
                <w:szCs w:val="20"/>
                <w:lang w:eastAsia="en-AU"/>
              </w:rPr>
            </w:pPr>
            <w:r w:rsidRPr="00133504">
              <w:rPr>
                <w:rFonts w:ascii="Arial" w:eastAsia="Times New Roman" w:hAnsi="Arial" w:cs="Arial"/>
                <w:color w:val="000000"/>
                <w:szCs w:val="20"/>
                <w:lang w:eastAsia="en-AU"/>
              </w:rPr>
              <w:t>UNIs</w:t>
            </w:r>
          </w:p>
        </w:tc>
        <w:tc>
          <w:tcPr>
            <w:tcW w:w="2046" w:type="dxa"/>
            <w:tcBorders>
              <w:top w:val="single" w:sz="4" w:space="0" w:color="auto"/>
              <w:left w:val="nil"/>
              <w:bottom w:val="single" w:sz="4" w:space="0" w:color="auto"/>
              <w:right w:val="nil"/>
            </w:tcBorders>
            <w:shd w:val="clear" w:color="auto" w:fill="auto"/>
            <w:noWrap/>
            <w:vAlign w:val="bottom"/>
            <w:hideMark/>
          </w:tcPr>
          <w:p w14:paraId="20C204A8" w14:textId="663A580E" w:rsidR="004A699D" w:rsidRPr="00133504" w:rsidRDefault="004A699D" w:rsidP="002D0F8E">
            <w:pPr>
              <w:spacing w:after="0" w:line="240" w:lineRule="auto"/>
              <w:jc w:val="center"/>
              <w:rPr>
                <w:rFonts w:ascii="Arial" w:eastAsia="Times New Roman" w:hAnsi="Arial" w:cs="Arial"/>
                <w:color w:val="000000"/>
                <w:szCs w:val="20"/>
                <w:lang w:eastAsia="en-AU"/>
              </w:rPr>
            </w:pPr>
            <w:r w:rsidRPr="00133504">
              <w:rPr>
                <w:rFonts w:ascii="Arial" w:eastAsia="Times New Roman" w:hAnsi="Arial" w:cs="Arial"/>
                <w:color w:val="000000"/>
                <w:szCs w:val="20"/>
                <w:lang w:eastAsia="en-AU"/>
              </w:rPr>
              <w:t>1,</w:t>
            </w:r>
            <w:r w:rsidR="002D0F8E" w:rsidRPr="00133504">
              <w:rPr>
                <w:rFonts w:ascii="Arial" w:eastAsia="Times New Roman" w:hAnsi="Arial" w:cs="Arial"/>
                <w:color w:val="000000"/>
                <w:szCs w:val="20"/>
                <w:lang w:eastAsia="en-AU"/>
              </w:rPr>
              <w:t>1</w:t>
            </w:r>
            <w:r w:rsidR="002D0F8E">
              <w:rPr>
                <w:rFonts w:ascii="Arial" w:eastAsia="Times New Roman" w:hAnsi="Arial" w:cs="Arial"/>
                <w:color w:val="000000"/>
                <w:szCs w:val="20"/>
                <w:lang w:eastAsia="en-AU"/>
              </w:rPr>
              <w:t>60</w:t>
            </w:r>
          </w:p>
        </w:tc>
        <w:tc>
          <w:tcPr>
            <w:tcW w:w="2046" w:type="dxa"/>
            <w:tcBorders>
              <w:top w:val="single" w:sz="4" w:space="0" w:color="auto"/>
              <w:left w:val="nil"/>
              <w:bottom w:val="single" w:sz="4" w:space="0" w:color="auto"/>
              <w:right w:val="nil"/>
            </w:tcBorders>
            <w:shd w:val="clear" w:color="auto" w:fill="auto"/>
            <w:noWrap/>
            <w:vAlign w:val="bottom"/>
            <w:hideMark/>
          </w:tcPr>
          <w:p w14:paraId="4E395D6C" w14:textId="12742EF9" w:rsidR="004A699D" w:rsidRPr="00133504" w:rsidRDefault="004A699D" w:rsidP="003B217B">
            <w:pPr>
              <w:spacing w:after="0" w:line="240" w:lineRule="auto"/>
              <w:jc w:val="center"/>
              <w:rPr>
                <w:rFonts w:ascii="Arial" w:eastAsia="Times New Roman" w:hAnsi="Arial" w:cs="Arial"/>
                <w:color w:val="000000"/>
                <w:szCs w:val="20"/>
                <w:lang w:eastAsia="en-AU"/>
              </w:rPr>
            </w:pPr>
            <w:r w:rsidRPr="00133504">
              <w:rPr>
                <w:rFonts w:ascii="Arial" w:eastAsia="Times New Roman" w:hAnsi="Arial" w:cs="Arial"/>
                <w:color w:val="000000"/>
                <w:szCs w:val="20"/>
                <w:lang w:eastAsia="en-AU"/>
              </w:rPr>
              <w:t>1,</w:t>
            </w:r>
            <w:r w:rsidR="003B217B" w:rsidRPr="00133504">
              <w:rPr>
                <w:rFonts w:ascii="Arial" w:eastAsia="Times New Roman" w:hAnsi="Arial" w:cs="Arial"/>
                <w:color w:val="000000"/>
                <w:szCs w:val="20"/>
                <w:lang w:eastAsia="en-AU"/>
              </w:rPr>
              <w:t>3</w:t>
            </w:r>
            <w:r w:rsidR="0035312A">
              <w:rPr>
                <w:rFonts w:ascii="Arial" w:eastAsia="Times New Roman" w:hAnsi="Arial" w:cs="Arial"/>
                <w:color w:val="000000"/>
                <w:szCs w:val="20"/>
                <w:lang w:eastAsia="en-AU"/>
              </w:rPr>
              <w:t>10</w:t>
            </w:r>
          </w:p>
        </w:tc>
        <w:tc>
          <w:tcPr>
            <w:tcW w:w="2046" w:type="dxa"/>
            <w:tcBorders>
              <w:top w:val="single" w:sz="4" w:space="0" w:color="auto"/>
              <w:left w:val="nil"/>
              <w:bottom w:val="single" w:sz="4" w:space="0" w:color="auto"/>
              <w:right w:val="nil"/>
            </w:tcBorders>
            <w:shd w:val="clear" w:color="auto" w:fill="auto"/>
            <w:noWrap/>
            <w:vAlign w:val="bottom"/>
            <w:hideMark/>
          </w:tcPr>
          <w:p w14:paraId="09C1E183" w14:textId="4C14C895" w:rsidR="004A699D" w:rsidRPr="00133504" w:rsidRDefault="00E87123" w:rsidP="004A699D">
            <w:pPr>
              <w:spacing w:after="0" w:line="240" w:lineRule="auto"/>
              <w:jc w:val="center"/>
              <w:rPr>
                <w:rFonts w:ascii="Arial" w:eastAsia="Times New Roman" w:hAnsi="Arial" w:cs="Arial"/>
                <w:color w:val="000000"/>
                <w:szCs w:val="20"/>
                <w:lang w:eastAsia="en-AU"/>
              </w:rPr>
            </w:pPr>
            <w:r>
              <w:rPr>
                <w:rFonts w:ascii="Arial" w:eastAsia="Times New Roman" w:hAnsi="Arial" w:cs="Arial"/>
                <w:color w:val="000000"/>
                <w:szCs w:val="20"/>
                <w:lang w:eastAsia="en-AU"/>
              </w:rPr>
              <w:t>1</w:t>
            </w:r>
            <w:r w:rsidR="00556633">
              <w:rPr>
                <w:rFonts w:ascii="Arial" w:eastAsia="Times New Roman" w:hAnsi="Arial" w:cs="Arial"/>
                <w:color w:val="000000"/>
                <w:szCs w:val="20"/>
                <w:lang w:eastAsia="en-AU"/>
              </w:rPr>
              <w:t>,</w:t>
            </w:r>
            <w:r>
              <w:rPr>
                <w:rFonts w:ascii="Arial" w:eastAsia="Times New Roman" w:hAnsi="Arial" w:cs="Arial"/>
                <w:color w:val="000000"/>
                <w:szCs w:val="20"/>
                <w:lang w:eastAsia="en-AU"/>
              </w:rPr>
              <w:t>205</w:t>
            </w:r>
            <w:r w:rsidRPr="00133504">
              <w:rPr>
                <w:rFonts w:ascii="Arial" w:eastAsia="Times New Roman" w:hAnsi="Arial" w:cs="Arial"/>
                <w:color w:val="000000"/>
                <w:szCs w:val="20"/>
                <w:lang w:eastAsia="en-AU"/>
              </w:rPr>
              <w:t xml:space="preserve"> </w:t>
            </w:r>
          </w:p>
        </w:tc>
      </w:tr>
      <w:tr w:rsidR="004A699D" w:rsidRPr="00133504" w14:paraId="5E945603" w14:textId="77777777" w:rsidTr="00327F87">
        <w:trPr>
          <w:trHeight w:val="483"/>
        </w:trPr>
        <w:tc>
          <w:tcPr>
            <w:tcW w:w="1176" w:type="dxa"/>
            <w:tcBorders>
              <w:top w:val="nil"/>
              <w:left w:val="nil"/>
              <w:bottom w:val="nil"/>
              <w:right w:val="nil"/>
            </w:tcBorders>
            <w:shd w:val="clear" w:color="auto" w:fill="auto"/>
            <w:noWrap/>
            <w:vAlign w:val="bottom"/>
            <w:hideMark/>
          </w:tcPr>
          <w:p w14:paraId="6EF0BA44" w14:textId="77777777" w:rsidR="004A699D" w:rsidRPr="00133504" w:rsidRDefault="004A699D" w:rsidP="004A699D">
            <w:pPr>
              <w:spacing w:after="0" w:line="240" w:lineRule="auto"/>
              <w:rPr>
                <w:rFonts w:ascii="Arial" w:eastAsia="Times New Roman" w:hAnsi="Arial" w:cs="Arial"/>
                <w:color w:val="000000"/>
                <w:szCs w:val="20"/>
                <w:lang w:eastAsia="en-AU"/>
              </w:rPr>
            </w:pPr>
            <w:r w:rsidRPr="00133504">
              <w:rPr>
                <w:rFonts w:ascii="Arial" w:eastAsia="Times New Roman" w:hAnsi="Arial" w:cs="Arial"/>
                <w:color w:val="000000"/>
                <w:szCs w:val="20"/>
                <w:lang w:eastAsia="en-AU"/>
              </w:rPr>
              <w:t>MRIs</w:t>
            </w:r>
          </w:p>
        </w:tc>
        <w:tc>
          <w:tcPr>
            <w:tcW w:w="2046" w:type="dxa"/>
            <w:tcBorders>
              <w:top w:val="nil"/>
              <w:left w:val="nil"/>
              <w:bottom w:val="nil"/>
              <w:right w:val="nil"/>
            </w:tcBorders>
            <w:shd w:val="clear" w:color="auto" w:fill="auto"/>
            <w:noWrap/>
            <w:vAlign w:val="bottom"/>
            <w:hideMark/>
          </w:tcPr>
          <w:p w14:paraId="2426B7D1" w14:textId="7F82EFCF" w:rsidR="004A699D" w:rsidRPr="00133504" w:rsidRDefault="0035312A" w:rsidP="004A699D">
            <w:pPr>
              <w:spacing w:after="0" w:line="240" w:lineRule="auto"/>
              <w:jc w:val="center"/>
              <w:rPr>
                <w:rFonts w:ascii="Arial" w:eastAsia="Times New Roman" w:hAnsi="Arial" w:cs="Arial"/>
                <w:color w:val="000000"/>
                <w:szCs w:val="20"/>
                <w:lang w:eastAsia="en-AU"/>
              </w:rPr>
            </w:pPr>
            <w:r>
              <w:rPr>
                <w:rFonts w:ascii="Arial" w:eastAsia="Times New Roman" w:hAnsi="Arial" w:cs="Arial"/>
                <w:color w:val="000000"/>
                <w:szCs w:val="20"/>
                <w:lang w:eastAsia="en-AU"/>
              </w:rPr>
              <w:t xml:space="preserve">      </w:t>
            </w:r>
            <w:r w:rsidR="004A699D" w:rsidRPr="00133504">
              <w:rPr>
                <w:rFonts w:ascii="Arial" w:eastAsia="Times New Roman" w:hAnsi="Arial" w:cs="Arial"/>
                <w:color w:val="000000"/>
                <w:szCs w:val="20"/>
                <w:lang w:eastAsia="en-AU"/>
              </w:rPr>
              <w:t>39</w:t>
            </w:r>
          </w:p>
        </w:tc>
        <w:tc>
          <w:tcPr>
            <w:tcW w:w="2046" w:type="dxa"/>
            <w:tcBorders>
              <w:top w:val="nil"/>
              <w:left w:val="nil"/>
              <w:bottom w:val="nil"/>
              <w:right w:val="nil"/>
            </w:tcBorders>
            <w:shd w:val="clear" w:color="auto" w:fill="auto"/>
            <w:noWrap/>
            <w:vAlign w:val="bottom"/>
            <w:hideMark/>
          </w:tcPr>
          <w:p w14:paraId="7C66A32A" w14:textId="5A97757C" w:rsidR="004A699D" w:rsidRPr="00133504" w:rsidRDefault="0035312A" w:rsidP="00243E8A">
            <w:pPr>
              <w:spacing w:after="0" w:line="240" w:lineRule="auto"/>
              <w:jc w:val="center"/>
              <w:rPr>
                <w:rFonts w:ascii="Arial" w:eastAsia="Times New Roman" w:hAnsi="Arial" w:cs="Arial"/>
                <w:color w:val="000000"/>
                <w:szCs w:val="20"/>
                <w:lang w:eastAsia="en-AU"/>
              </w:rPr>
            </w:pPr>
            <w:r>
              <w:rPr>
                <w:rFonts w:ascii="Arial" w:eastAsia="Times New Roman" w:hAnsi="Arial" w:cs="Arial"/>
                <w:color w:val="000000"/>
                <w:szCs w:val="20"/>
                <w:lang w:eastAsia="en-AU"/>
              </w:rPr>
              <w:t xml:space="preserve">     </w:t>
            </w:r>
            <w:r w:rsidR="00243E8A" w:rsidRPr="00133504">
              <w:rPr>
                <w:rFonts w:ascii="Arial" w:eastAsia="Times New Roman" w:hAnsi="Arial" w:cs="Arial"/>
                <w:color w:val="000000"/>
                <w:szCs w:val="20"/>
                <w:lang w:eastAsia="en-AU"/>
              </w:rPr>
              <w:t>7</w:t>
            </w:r>
            <w:r w:rsidR="00243E8A">
              <w:rPr>
                <w:rFonts w:ascii="Arial" w:eastAsia="Times New Roman" w:hAnsi="Arial" w:cs="Arial"/>
                <w:color w:val="000000"/>
                <w:szCs w:val="20"/>
                <w:lang w:eastAsia="en-AU"/>
              </w:rPr>
              <w:t>2</w:t>
            </w:r>
          </w:p>
        </w:tc>
        <w:tc>
          <w:tcPr>
            <w:tcW w:w="2046" w:type="dxa"/>
            <w:tcBorders>
              <w:top w:val="nil"/>
              <w:left w:val="nil"/>
              <w:bottom w:val="nil"/>
              <w:right w:val="nil"/>
            </w:tcBorders>
            <w:shd w:val="clear" w:color="auto" w:fill="auto"/>
            <w:noWrap/>
            <w:vAlign w:val="bottom"/>
            <w:hideMark/>
          </w:tcPr>
          <w:p w14:paraId="088E8516" w14:textId="7BEECB86" w:rsidR="004A699D" w:rsidRPr="00133504" w:rsidRDefault="0035312A" w:rsidP="004A699D">
            <w:pPr>
              <w:spacing w:after="0" w:line="240" w:lineRule="auto"/>
              <w:jc w:val="center"/>
              <w:rPr>
                <w:rFonts w:ascii="Arial" w:eastAsia="Times New Roman" w:hAnsi="Arial" w:cs="Arial"/>
                <w:color w:val="000000"/>
                <w:szCs w:val="20"/>
                <w:lang w:eastAsia="en-AU"/>
              </w:rPr>
            </w:pPr>
            <w:r>
              <w:rPr>
                <w:rFonts w:ascii="Arial" w:eastAsia="Times New Roman" w:hAnsi="Arial" w:cs="Arial"/>
                <w:color w:val="000000"/>
                <w:szCs w:val="20"/>
                <w:lang w:eastAsia="en-AU"/>
              </w:rPr>
              <w:t xml:space="preserve">   </w:t>
            </w:r>
            <w:r w:rsidR="00E87123">
              <w:rPr>
                <w:rFonts w:ascii="Arial" w:eastAsia="Times New Roman" w:hAnsi="Arial" w:cs="Arial"/>
                <w:color w:val="000000"/>
                <w:szCs w:val="20"/>
                <w:lang w:eastAsia="en-AU"/>
              </w:rPr>
              <w:t>130</w:t>
            </w:r>
          </w:p>
        </w:tc>
      </w:tr>
      <w:tr w:rsidR="004A699D" w:rsidRPr="00133504" w14:paraId="5D285510" w14:textId="77777777" w:rsidTr="00327F87">
        <w:trPr>
          <w:trHeight w:val="483"/>
        </w:trPr>
        <w:tc>
          <w:tcPr>
            <w:tcW w:w="1176" w:type="dxa"/>
            <w:tcBorders>
              <w:top w:val="single" w:sz="4" w:space="0" w:color="auto"/>
              <w:left w:val="nil"/>
              <w:bottom w:val="single" w:sz="4" w:space="0" w:color="auto"/>
              <w:right w:val="nil"/>
            </w:tcBorders>
            <w:shd w:val="clear" w:color="auto" w:fill="auto"/>
            <w:noWrap/>
            <w:vAlign w:val="bottom"/>
            <w:hideMark/>
          </w:tcPr>
          <w:p w14:paraId="7BB493B1" w14:textId="77777777" w:rsidR="004A699D" w:rsidRPr="00133504" w:rsidRDefault="004A699D" w:rsidP="004A699D">
            <w:pPr>
              <w:spacing w:after="0" w:line="240" w:lineRule="auto"/>
              <w:rPr>
                <w:rFonts w:ascii="Arial" w:eastAsia="Times New Roman" w:hAnsi="Arial" w:cs="Arial"/>
                <w:b/>
                <w:bCs/>
                <w:color w:val="000000"/>
                <w:szCs w:val="20"/>
                <w:lang w:eastAsia="en-AU"/>
              </w:rPr>
            </w:pPr>
            <w:r w:rsidRPr="00133504">
              <w:rPr>
                <w:rFonts w:ascii="Arial" w:eastAsia="Times New Roman" w:hAnsi="Arial" w:cs="Arial"/>
                <w:b/>
                <w:bCs/>
                <w:color w:val="000000"/>
                <w:szCs w:val="20"/>
                <w:lang w:eastAsia="en-AU"/>
              </w:rPr>
              <w:t>Total</w:t>
            </w:r>
          </w:p>
        </w:tc>
        <w:tc>
          <w:tcPr>
            <w:tcW w:w="2046" w:type="dxa"/>
            <w:tcBorders>
              <w:top w:val="single" w:sz="4" w:space="0" w:color="auto"/>
              <w:left w:val="nil"/>
              <w:bottom w:val="single" w:sz="4" w:space="0" w:color="auto"/>
              <w:right w:val="nil"/>
            </w:tcBorders>
            <w:shd w:val="clear" w:color="auto" w:fill="auto"/>
            <w:noWrap/>
            <w:vAlign w:val="bottom"/>
            <w:hideMark/>
          </w:tcPr>
          <w:p w14:paraId="5992EF00" w14:textId="4BA8F4AE" w:rsidR="004A699D" w:rsidRPr="00133504" w:rsidRDefault="004A699D" w:rsidP="002D0F8E">
            <w:pPr>
              <w:spacing w:after="0" w:line="240" w:lineRule="auto"/>
              <w:jc w:val="center"/>
              <w:rPr>
                <w:rFonts w:ascii="Arial" w:eastAsia="Times New Roman" w:hAnsi="Arial" w:cs="Arial"/>
                <w:b/>
                <w:bCs/>
                <w:color w:val="000000"/>
                <w:szCs w:val="20"/>
                <w:lang w:eastAsia="en-AU"/>
              </w:rPr>
            </w:pPr>
            <w:r>
              <w:rPr>
                <w:rFonts w:ascii="Arial" w:eastAsia="Times New Roman" w:hAnsi="Arial" w:cs="Arial"/>
                <w:b/>
                <w:bCs/>
                <w:color w:val="000000"/>
                <w:szCs w:val="20"/>
                <w:lang w:eastAsia="en-AU"/>
              </w:rPr>
              <w:t>1,</w:t>
            </w:r>
            <w:r w:rsidR="002D0F8E">
              <w:rPr>
                <w:rFonts w:ascii="Arial" w:eastAsia="Times New Roman" w:hAnsi="Arial" w:cs="Arial"/>
                <w:b/>
                <w:bCs/>
                <w:color w:val="000000"/>
                <w:szCs w:val="20"/>
                <w:lang w:eastAsia="en-AU"/>
              </w:rPr>
              <w:t>587</w:t>
            </w:r>
          </w:p>
        </w:tc>
        <w:tc>
          <w:tcPr>
            <w:tcW w:w="2046" w:type="dxa"/>
            <w:tcBorders>
              <w:top w:val="single" w:sz="4" w:space="0" w:color="auto"/>
              <w:left w:val="nil"/>
              <w:bottom w:val="single" w:sz="4" w:space="0" w:color="auto"/>
              <w:right w:val="nil"/>
            </w:tcBorders>
            <w:shd w:val="clear" w:color="auto" w:fill="auto"/>
            <w:noWrap/>
            <w:vAlign w:val="bottom"/>
            <w:hideMark/>
          </w:tcPr>
          <w:p w14:paraId="74E7BD05" w14:textId="55E7D8F9" w:rsidR="004A699D" w:rsidRPr="00133504" w:rsidRDefault="004A699D" w:rsidP="002D0F8E">
            <w:pPr>
              <w:spacing w:after="0" w:line="240" w:lineRule="auto"/>
              <w:jc w:val="center"/>
              <w:rPr>
                <w:rFonts w:ascii="Arial" w:eastAsia="Times New Roman" w:hAnsi="Arial" w:cs="Arial"/>
                <w:b/>
                <w:bCs/>
                <w:color w:val="000000"/>
                <w:szCs w:val="20"/>
                <w:lang w:eastAsia="en-AU"/>
              </w:rPr>
            </w:pPr>
            <w:r>
              <w:rPr>
                <w:rFonts w:ascii="Arial" w:eastAsia="Times New Roman" w:hAnsi="Arial" w:cs="Arial"/>
                <w:b/>
                <w:bCs/>
                <w:color w:val="000000"/>
                <w:szCs w:val="20"/>
                <w:lang w:eastAsia="en-AU"/>
              </w:rPr>
              <w:t>1,</w:t>
            </w:r>
            <w:r w:rsidR="008838D2">
              <w:rPr>
                <w:rFonts w:ascii="Arial" w:eastAsia="Times New Roman" w:hAnsi="Arial" w:cs="Arial"/>
                <w:b/>
                <w:bCs/>
                <w:color w:val="000000"/>
                <w:szCs w:val="20"/>
                <w:lang w:eastAsia="en-AU"/>
              </w:rPr>
              <w:t>76</w:t>
            </w:r>
            <w:r w:rsidR="0035312A">
              <w:rPr>
                <w:rFonts w:ascii="Arial" w:eastAsia="Times New Roman" w:hAnsi="Arial" w:cs="Arial"/>
                <w:b/>
                <w:bCs/>
                <w:color w:val="000000"/>
                <w:szCs w:val="20"/>
                <w:lang w:eastAsia="en-AU"/>
              </w:rPr>
              <w:t>4</w:t>
            </w:r>
          </w:p>
        </w:tc>
        <w:tc>
          <w:tcPr>
            <w:tcW w:w="2046" w:type="dxa"/>
            <w:tcBorders>
              <w:top w:val="single" w:sz="4" w:space="0" w:color="auto"/>
              <w:left w:val="nil"/>
              <w:bottom w:val="single" w:sz="4" w:space="0" w:color="auto"/>
              <w:right w:val="nil"/>
            </w:tcBorders>
            <w:shd w:val="clear" w:color="auto" w:fill="auto"/>
            <w:noWrap/>
            <w:vAlign w:val="bottom"/>
            <w:hideMark/>
          </w:tcPr>
          <w:p w14:paraId="794B69D7" w14:textId="1302DC80" w:rsidR="004A699D" w:rsidRPr="00133504" w:rsidRDefault="0035312A" w:rsidP="004A699D">
            <w:pPr>
              <w:spacing w:after="0" w:line="240" w:lineRule="auto"/>
              <w:jc w:val="center"/>
              <w:rPr>
                <w:rFonts w:ascii="Arial" w:eastAsia="Times New Roman" w:hAnsi="Arial" w:cs="Arial"/>
                <w:b/>
                <w:bCs/>
                <w:color w:val="000000"/>
                <w:szCs w:val="20"/>
                <w:lang w:eastAsia="en-AU"/>
              </w:rPr>
            </w:pPr>
            <w:r>
              <w:rPr>
                <w:rFonts w:ascii="Arial" w:eastAsia="Times New Roman" w:hAnsi="Arial" w:cs="Arial"/>
                <w:b/>
                <w:bCs/>
                <w:color w:val="000000"/>
                <w:szCs w:val="20"/>
                <w:lang w:eastAsia="en-AU"/>
              </w:rPr>
              <w:t xml:space="preserve">  </w:t>
            </w:r>
            <w:r w:rsidR="008838D2">
              <w:rPr>
                <w:rFonts w:ascii="Arial" w:eastAsia="Times New Roman" w:hAnsi="Arial" w:cs="Arial"/>
                <w:b/>
                <w:bCs/>
                <w:color w:val="000000"/>
                <w:szCs w:val="20"/>
                <w:lang w:eastAsia="en-AU"/>
              </w:rPr>
              <w:t>1,783</w:t>
            </w:r>
          </w:p>
        </w:tc>
      </w:tr>
    </w:tbl>
    <w:p w14:paraId="0C79DA18" w14:textId="77777777" w:rsidR="004F423B" w:rsidRPr="001729C0" w:rsidRDefault="004F423B" w:rsidP="004F423B">
      <w:pPr>
        <w:pStyle w:val="Heading3"/>
        <w:spacing w:before="0" w:line="240" w:lineRule="auto"/>
        <w:rPr>
          <w:rFonts w:asciiTheme="minorHAnsi" w:hAnsiTheme="minorHAnsi" w:cstheme="minorHAnsi"/>
          <w:color w:val="auto"/>
          <w:sz w:val="16"/>
          <w:szCs w:val="16"/>
        </w:rPr>
      </w:pPr>
      <w:r w:rsidRPr="001729C0">
        <w:rPr>
          <w:rFonts w:asciiTheme="minorHAnsi" w:hAnsiTheme="minorHAnsi" w:cstheme="minorHAnsi"/>
          <w:color w:val="auto"/>
          <w:sz w:val="16"/>
          <w:szCs w:val="16"/>
        </w:rPr>
        <w:t xml:space="preserve">Note: </w:t>
      </w:r>
      <w:r>
        <w:rPr>
          <w:rFonts w:asciiTheme="minorHAnsi" w:hAnsiTheme="minorHAnsi" w:cstheme="minorHAnsi"/>
          <w:color w:val="auto"/>
          <w:sz w:val="16"/>
          <w:szCs w:val="16"/>
        </w:rPr>
        <w:tab/>
      </w:r>
      <w:r w:rsidRPr="001729C0">
        <w:rPr>
          <w:rFonts w:asciiTheme="minorHAnsi" w:hAnsiTheme="minorHAnsi" w:cstheme="minorHAnsi"/>
          <w:color w:val="auto"/>
          <w:sz w:val="16"/>
          <w:szCs w:val="16"/>
        </w:rPr>
        <w:t>Figures are rounded to the nearest whole number.</w:t>
      </w:r>
      <w:r>
        <w:rPr>
          <w:rFonts w:asciiTheme="minorHAnsi" w:hAnsiTheme="minorHAnsi" w:cstheme="minorHAnsi"/>
          <w:color w:val="auto"/>
          <w:sz w:val="16"/>
          <w:szCs w:val="16"/>
        </w:rPr>
        <w:t xml:space="preserve"> </w:t>
      </w:r>
      <w:r w:rsidRPr="008B66B7">
        <w:rPr>
          <w:rFonts w:asciiTheme="minorHAnsi" w:eastAsia="Times New Roman" w:hAnsiTheme="minorHAnsi" w:cstheme="minorHAnsi"/>
          <w:color w:val="auto"/>
          <w:sz w:val="16"/>
          <w:szCs w:val="16"/>
          <w:lang w:val="en-US"/>
        </w:rPr>
        <w:t>All dollar values have been adjusted to 2015 prices</w:t>
      </w:r>
      <w:r>
        <w:rPr>
          <w:rFonts w:asciiTheme="minorHAnsi" w:eastAsia="Times New Roman" w:hAnsiTheme="minorHAnsi" w:cstheme="minorHAnsi"/>
          <w:color w:val="auto"/>
          <w:sz w:val="16"/>
          <w:szCs w:val="16"/>
          <w:lang w:val="en-US"/>
        </w:rPr>
        <w:t>.</w:t>
      </w:r>
    </w:p>
    <w:p w14:paraId="39B07E92" w14:textId="77777777" w:rsidR="004F423B" w:rsidRDefault="004F423B" w:rsidP="00327F87">
      <w:pPr>
        <w:pStyle w:val="Heading3"/>
        <w:rPr>
          <w:sz w:val="20"/>
          <w:szCs w:val="20"/>
        </w:rPr>
      </w:pPr>
    </w:p>
    <w:p w14:paraId="0E1B82CD" w14:textId="7122DB74" w:rsidR="00A22053" w:rsidRPr="00327F87" w:rsidRDefault="00A22053" w:rsidP="00327F87">
      <w:pPr>
        <w:pStyle w:val="Heading3"/>
        <w:rPr>
          <w:sz w:val="20"/>
          <w:szCs w:val="20"/>
        </w:rPr>
      </w:pPr>
      <w:r w:rsidRPr="00A93922">
        <w:rPr>
          <w:sz w:val="20"/>
          <w:szCs w:val="20"/>
        </w:rPr>
        <w:t xml:space="preserve">Figure </w:t>
      </w:r>
      <w:r w:rsidR="00A66E47">
        <w:rPr>
          <w:sz w:val="20"/>
          <w:szCs w:val="20"/>
        </w:rPr>
        <w:t>4</w:t>
      </w:r>
      <w:r w:rsidRPr="00A93922">
        <w:rPr>
          <w:sz w:val="20"/>
          <w:szCs w:val="20"/>
        </w:rPr>
        <w:t xml:space="preserve">.5: Value of contracts, consultancies and collaborations </w:t>
      </w:r>
      <w:r w:rsidR="00FF7848" w:rsidRPr="00327F87">
        <w:rPr>
          <w:sz w:val="20"/>
          <w:szCs w:val="20"/>
        </w:rPr>
        <w:t>($ Millions)</w:t>
      </w:r>
    </w:p>
    <w:p w14:paraId="341455B8" w14:textId="003659BA" w:rsidR="002D0F8E" w:rsidRDefault="0035312A" w:rsidP="004C21D3">
      <w:r>
        <w:rPr>
          <w:noProof/>
          <w:lang w:eastAsia="en-AU"/>
        </w:rPr>
        <w:drawing>
          <wp:inline distT="0" distB="0" distL="0" distR="0" wp14:anchorId="401CE6B3" wp14:editId="1E3606E8">
            <wp:extent cx="4572000" cy="2590800"/>
            <wp:effectExtent l="0" t="0" r="0" b="0"/>
            <wp:docPr id="13" name="Chart 13"/>
            <wp:cNvGraphicFramePr/>
            <a:graphic xmlns:a="http://schemas.openxmlformats.org/drawingml/2006/main">
              <a:graphicData uri="http://schemas.openxmlformats.org/drawingml/2006/chart">
                <c:chart xmlns:c="http://schemas.openxmlformats.org/drawingml/2006/chart" xmlns:r="http://schemas.openxmlformats.org/officeDocument/2006/relationships" r:id="rId26"/>
              </a:graphicData>
            </a:graphic>
          </wp:inline>
        </w:drawing>
      </w:r>
    </w:p>
    <w:p w14:paraId="60903551" w14:textId="1594E449" w:rsidR="00E87123" w:rsidRPr="00E87123" w:rsidRDefault="00E87123" w:rsidP="004C21D3"/>
    <w:p w14:paraId="25A272CE" w14:textId="2AA070DD" w:rsidR="00A22053" w:rsidRDefault="008A3849" w:rsidP="003B6DBB">
      <w:pPr>
        <w:pStyle w:val="Heading2"/>
        <w:numPr>
          <w:ilvl w:val="0"/>
          <w:numId w:val="28"/>
        </w:numPr>
      </w:pPr>
      <w:r>
        <w:rPr>
          <w:rFonts w:ascii="Arial" w:hAnsi="Arial" w:cs="Arial"/>
        </w:rPr>
        <w:br w:type="page"/>
      </w:r>
      <w:r w:rsidR="00F967B7">
        <w:t>Skills development and transfer</w:t>
      </w:r>
    </w:p>
    <w:p w14:paraId="2E9D4EB6" w14:textId="0DC8C086" w:rsidR="005148A1" w:rsidRPr="00327F87" w:rsidRDefault="005148A1" w:rsidP="00327F87">
      <w:pPr>
        <w:pStyle w:val="Heading3"/>
      </w:pPr>
      <w:r>
        <w:t xml:space="preserve">5.1 </w:t>
      </w:r>
      <w:r w:rsidR="00B51B5A" w:rsidRPr="00882642">
        <w:t xml:space="preserve">Organisations providing </w:t>
      </w:r>
      <w:r w:rsidR="00B51B5A">
        <w:t>i</w:t>
      </w:r>
      <w:r w:rsidRPr="00327F87">
        <w:t>ndustry skills training</w:t>
      </w:r>
    </w:p>
    <w:p w14:paraId="7D4A9A6D" w14:textId="1DEA4A31" w:rsidR="005148A1" w:rsidRDefault="005148A1" w:rsidP="00724B0D">
      <w:pPr>
        <w:pStyle w:val="ListParagraph"/>
        <w:spacing w:after="360"/>
        <w:ind w:left="0"/>
        <w:rPr>
          <w:rFonts w:ascii="Arial" w:hAnsi="Arial" w:cs="Arial"/>
          <w:sz w:val="20"/>
        </w:rPr>
      </w:pPr>
    </w:p>
    <w:p w14:paraId="7BE3A87F" w14:textId="77777777" w:rsidR="00A22053" w:rsidRPr="00DA0678" w:rsidRDefault="00A22053" w:rsidP="00724B0D">
      <w:pPr>
        <w:pStyle w:val="ListParagraph"/>
        <w:spacing w:after="360"/>
        <w:ind w:left="0"/>
        <w:rPr>
          <w:rFonts w:ascii="Arial" w:hAnsi="Arial" w:cs="Arial"/>
          <w:sz w:val="20"/>
        </w:rPr>
      </w:pPr>
      <w:r w:rsidRPr="00DA0678">
        <w:rPr>
          <w:rFonts w:ascii="Arial" w:hAnsi="Arial" w:cs="Arial"/>
          <w:sz w:val="20"/>
        </w:rPr>
        <w:t xml:space="preserve">Industry skills prepare researchers and research students for </w:t>
      </w:r>
      <w:r>
        <w:rPr>
          <w:rFonts w:ascii="Arial" w:hAnsi="Arial" w:cs="Arial"/>
          <w:sz w:val="20"/>
        </w:rPr>
        <w:t>collaborating with industry from within research organisations as well as preparing them for jobs in</w:t>
      </w:r>
      <w:r w:rsidRPr="00DA0678">
        <w:rPr>
          <w:rFonts w:ascii="Arial" w:hAnsi="Arial" w:cs="Arial"/>
          <w:sz w:val="20"/>
        </w:rPr>
        <w:t xml:space="preserve"> industry after they </w:t>
      </w:r>
      <w:r>
        <w:rPr>
          <w:rFonts w:ascii="Arial" w:hAnsi="Arial" w:cs="Arial"/>
          <w:sz w:val="20"/>
        </w:rPr>
        <w:t>graduate</w:t>
      </w:r>
      <w:r w:rsidRPr="00DA0678">
        <w:rPr>
          <w:rFonts w:ascii="Arial" w:hAnsi="Arial" w:cs="Arial"/>
          <w:sz w:val="20"/>
        </w:rPr>
        <w:t>.</w:t>
      </w:r>
    </w:p>
    <w:p w14:paraId="67C40A45" w14:textId="77777777" w:rsidR="00A22053" w:rsidRPr="005560DE" w:rsidRDefault="00A22053" w:rsidP="00A22053">
      <w:pPr>
        <w:pStyle w:val="ListParagraph"/>
        <w:spacing w:after="360"/>
        <w:ind w:left="360"/>
        <w:rPr>
          <w:rFonts w:ascii="Arial" w:hAnsi="Arial" w:cs="Arial"/>
          <w:b/>
        </w:rPr>
      </w:pPr>
    </w:p>
    <w:p w14:paraId="2CCE9B87" w14:textId="3D5BD484" w:rsidR="001427EA" w:rsidRDefault="004A699D" w:rsidP="004C21D3">
      <w:pPr>
        <w:pStyle w:val="ListParagraph"/>
        <w:numPr>
          <w:ilvl w:val="0"/>
          <w:numId w:val="29"/>
        </w:numPr>
        <w:spacing w:before="240"/>
        <w:rPr>
          <w:rFonts w:ascii="Arial" w:hAnsi="Arial" w:cs="Arial"/>
          <w:sz w:val="20"/>
        </w:rPr>
      </w:pPr>
      <w:r>
        <w:rPr>
          <w:rFonts w:ascii="Arial" w:hAnsi="Arial" w:cs="Arial"/>
          <w:sz w:val="20"/>
        </w:rPr>
        <w:t xml:space="preserve">In 2015, </w:t>
      </w:r>
      <w:r w:rsidR="000D5D97">
        <w:rPr>
          <w:rFonts w:ascii="Arial" w:hAnsi="Arial" w:cs="Arial"/>
          <w:sz w:val="20"/>
        </w:rPr>
        <w:t xml:space="preserve">52 </w:t>
      </w:r>
      <w:r w:rsidR="00A22053" w:rsidRPr="000A1FCA">
        <w:rPr>
          <w:rFonts w:ascii="Arial" w:hAnsi="Arial" w:cs="Arial"/>
          <w:sz w:val="20"/>
        </w:rPr>
        <w:t xml:space="preserve">organisations reported </w:t>
      </w:r>
      <w:r w:rsidR="00A22053">
        <w:rPr>
          <w:rFonts w:ascii="Arial" w:hAnsi="Arial" w:cs="Arial"/>
          <w:sz w:val="20"/>
        </w:rPr>
        <w:t xml:space="preserve">research </w:t>
      </w:r>
      <w:r w:rsidR="00A22053" w:rsidRPr="000A1FCA">
        <w:rPr>
          <w:rFonts w:ascii="Arial" w:hAnsi="Arial" w:cs="Arial"/>
          <w:sz w:val="20"/>
        </w:rPr>
        <w:t>training</w:t>
      </w:r>
      <w:r w:rsidR="00A22053">
        <w:rPr>
          <w:rFonts w:ascii="Arial" w:hAnsi="Arial" w:cs="Arial"/>
          <w:sz w:val="20"/>
        </w:rPr>
        <w:t xml:space="preserve"> provision</w:t>
      </w:r>
      <w:r w:rsidR="00A22053" w:rsidRPr="000A1FCA">
        <w:rPr>
          <w:rFonts w:ascii="Arial" w:hAnsi="Arial" w:cs="Arial"/>
          <w:sz w:val="20"/>
        </w:rPr>
        <w:t xml:space="preserve"> in industry skills for </w:t>
      </w:r>
      <w:r w:rsidR="00862847">
        <w:rPr>
          <w:rFonts w:ascii="Arial" w:hAnsi="Arial" w:cs="Arial"/>
          <w:sz w:val="20"/>
        </w:rPr>
        <w:t xml:space="preserve">academic </w:t>
      </w:r>
      <w:r w:rsidR="00A22053" w:rsidRPr="000A1FCA">
        <w:rPr>
          <w:rFonts w:ascii="Arial" w:hAnsi="Arial" w:cs="Arial"/>
          <w:sz w:val="20"/>
        </w:rPr>
        <w:t xml:space="preserve">researchers and research students. </w:t>
      </w:r>
      <w:r w:rsidR="001427EA">
        <w:rPr>
          <w:rFonts w:ascii="Arial" w:hAnsi="Arial" w:cs="Arial"/>
          <w:sz w:val="20"/>
        </w:rPr>
        <w:t xml:space="preserve">This represents an increase of </w:t>
      </w:r>
      <w:r w:rsidR="00BD2F45">
        <w:rPr>
          <w:rFonts w:ascii="Arial" w:hAnsi="Arial" w:cs="Arial"/>
          <w:sz w:val="20"/>
        </w:rPr>
        <w:t>18</w:t>
      </w:r>
      <w:r w:rsidR="001427EA">
        <w:rPr>
          <w:rFonts w:ascii="Arial" w:hAnsi="Arial" w:cs="Arial"/>
          <w:sz w:val="20"/>
        </w:rPr>
        <w:t>% in 2015 compared with 2014.</w:t>
      </w:r>
      <w:r w:rsidR="00BD2F45" w:rsidRPr="00BD2F45">
        <w:rPr>
          <w:rStyle w:val="FootnoteReference"/>
          <w:sz w:val="20"/>
          <w:szCs w:val="20"/>
        </w:rPr>
        <w:t xml:space="preserve"> </w:t>
      </w:r>
      <w:r w:rsidR="00BD2F45">
        <w:rPr>
          <w:rStyle w:val="FootnoteReference"/>
          <w:sz w:val="20"/>
          <w:szCs w:val="20"/>
        </w:rPr>
        <w:footnoteReference w:id="3"/>
      </w:r>
    </w:p>
    <w:p w14:paraId="711EFEB6" w14:textId="2B4F95AC" w:rsidR="00BD2F45" w:rsidRDefault="00A22053" w:rsidP="00BD2F45">
      <w:pPr>
        <w:pStyle w:val="ListParagraph"/>
        <w:numPr>
          <w:ilvl w:val="0"/>
          <w:numId w:val="29"/>
        </w:numPr>
        <w:spacing w:before="240"/>
        <w:rPr>
          <w:rFonts w:ascii="Arial" w:hAnsi="Arial" w:cs="Arial"/>
          <w:sz w:val="20"/>
        </w:rPr>
      </w:pPr>
      <w:r w:rsidRPr="000A1FCA">
        <w:rPr>
          <w:rFonts w:ascii="Arial" w:hAnsi="Arial" w:cs="Arial"/>
          <w:sz w:val="20"/>
        </w:rPr>
        <w:t xml:space="preserve">The university sector remains the leading </w:t>
      </w:r>
      <w:r w:rsidR="00BD2F45">
        <w:rPr>
          <w:rFonts w:ascii="Arial" w:hAnsi="Arial" w:cs="Arial"/>
          <w:sz w:val="20"/>
        </w:rPr>
        <w:t xml:space="preserve">provider </w:t>
      </w:r>
      <w:r w:rsidR="00221E08">
        <w:rPr>
          <w:rFonts w:ascii="Arial" w:hAnsi="Arial" w:cs="Arial"/>
          <w:sz w:val="20"/>
        </w:rPr>
        <w:t>of</w:t>
      </w:r>
      <w:r w:rsidRPr="000A1FCA">
        <w:rPr>
          <w:rFonts w:ascii="Arial" w:hAnsi="Arial" w:cs="Arial"/>
          <w:sz w:val="20"/>
        </w:rPr>
        <w:t xml:space="preserve"> tra</w:t>
      </w:r>
      <w:r w:rsidR="004A699D">
        <w:rPr>
          <w:rFonts w:ascii="Arial" w:hAnsi="Arial" w:cs="Arial"/>
          <w:sz w:val="20"/>
        </w:rPr>
        <w:t xml:space="preserve">ining in industry skills, with </w:t>
      </w:r>
      <w:r w:rsidR="000D5D97">
        <w:rPr>
          <w:rFonts w:ascii="Arial" w:hAnsi="Arial" w:cs="Arial"/>
          <w:sz w:val="20"/>
        </w:rPr>
        <w:t xml:space="preserve">34 </w:t>
      </w:r>
      <w:r w:rsidR="004A699D">
        <w:rPr>
          <w:rFonts w:ascii="Arial" w:hAnsi="Arial" w:cs="Arial"/>
          <w:sz w:val="20"/>
        </w:rPr>
        <w:t xml:space="preserve">out of the </w:t>
      </w:r>
      <w:r w:rsidR="000D5D97">
        <w:rPr>
          <w:rFonts w:ascii="Arial" w:hAnsi="Arial" w:cs="Arial"/>
          <w:sz w:val="20"/>
        </w:rPr>
        <w:t>38</w:t>
      </w:r>
      <w:r w:rsidR="000D5D97" w:rsidRPr="000A1FCA">
        <w:rPr>
          <w:rFonts w:ascii="Arial" w:hAnsi="Arial" w:cs="Arial"/>
          <w:sz w:val="20"/>
        </w:rPr>
        <w:t xml:space="preserve"> </w:t>
      </w:r>
      <w:r>
        <w:rPr>
          <w:rFonts w:ascii="Arial" w:hAnsi="Arial" w:cs="Arial"/>
          <w:sz w:val="20"/>
        </w:rPr>
        <w:t xml:space="preserve">universities </w:t>
      </w:r>
      <w:r w:rsidRPr="000A1FCA">
        <w:rPr>
          <w:rFonts w:ascii="Arial" w:hAnsi="Arial" w:cs="Arial"/>
          <w:sz w:val="20"/>
        </w:rPr>
        <w:t>offering training</w:t>
      </w:r>
      <w:r w:rsidR="004A699D">
        <w:rPr>
          <w:rFonts w:ascii="Arial" w:hAnsi="Arial" w:cs="Arial"/>
          <w:sz w:val="20"/>
        </w:rPr>
        <w:t xml:space="preserve"> in 2015</w:t>
      </w:r>
      <w:r w:rsidR="0093357C">
        <w:rPr>
          <w:rFonts w:ascii="Arial" w:hAnsi="Arial" w:cs="Arial"/>
          <w:sz w:val="20"/>
        </w:rPr>
        <w:t>.</w:t>
      </w:r>
    </w:p>
    <w:p w14:paraId="66CAD5C0" w14:textId="44586FA4" w:rsidR="001427EA" w:rsidRDefault="00BD2F45" w:rsidP="00BD2F45">
      <w:pPr>
        <w:pStyle w:val="ListParagraph"/>
        <w:numPr>
          <w:ilvl w:val="0"/>
          <w:numId w:val="29"/>
        </w:numPr>
        <w:spacing w:before="240"/>
        <w:rPr>
          <w:rFonts w:ascii="Arial" w:hAnsi="Arial" w:cs="Arial"/>
          <w:sz w:val="20"/>
        </w:rPr>
      </w:pPr>
      <w:r>
        <w:rPr>
          <w:rFonts w:ascii="Arial" w:hAnsi="Arial" w:cs="Arial"/>
          <w:sz w:val="20"/>
        </w:rPr>
        <w:t xml:space="preserve">The MRI sector reported </w:t>
      </w:r>
      <w:r w:rsidR="005C12D8">
        <w:rPr>
          <w:rFonts w:ascii="Arial" w:hAnsi="Arial" w:cs="Arial"/>
          <w:sz w:val="20"/>
        </w:rPr>
        <w:t xml:space="preserve">the greatest increase </w:t>
      </w:r>
      <w:r>
        <w:rPr>
          <w:rFonts w:ascii="Arial" w:hAnsi="Arial" w:cs="Arial"/>
          <w:sz w:val="20"/>
        </w:rPr>
        <w:t xml:space="preserve">of </w:t>
      </w:r>
      <w:r w:rsidR="005C12D8">
        <w:rPr>
          <w:rFonts w:ascii="Arial" w:hAnsi="Arial" w:cs="Arial"/>
          <w:sz w:val="20"/>
        </w:rPr>
        <w:t>8</w:t>
      </w:r>
      <w:r>
        <w:rPr>
          <w:rFonts w:ascii="Arial" w:hAnsi="Arial" w:cs="Arial"/>
          <w:sz w:val="20"/>
        </w:rPr>
        <w:t>6% in 2015</w:t>
      </w:r>
      <w:r w:rsidR="005C12D8">
        <w:rPr>
          <w:rFonts w:ascii="Arial" w:hAnsi="Arial" w:cs="Arial"/>
          <w:sz w:val="20"/>
        </w:rPr>
        <w:t>, going from 7 organisations proving industry skills training in 2014 to 13 in 2015.</w:t>
      </w:r>
    </w:p>
    <w:p w14:paraId="0A5524E1" w14:textId="77777777" w:rsidR="00A22053" w:rsidRDefault="00A22053" w:rsidP="00A22053">
      <w:pPr>
        <w:pStyle w:val="ListParagraph"/>
        <w:spacing w:before="240"/>
      </w:pPr>
    </w:p>
    <w:p w14:paraId="7F7481D5" w14:textId="44A0717B" w:rsidR="00A22053" w:rsidRPr="00A93922" w:rsidRDefault="00A22053" w:rsidP="00327F87">
      <w:pPr>
        <w:pStyle w:val="Heading3"/>
        <w:rPr>
          <w:sz w:val="20"/>
          <w:szCs w:val="20"/>
        </w:rPr>
      </w:pPr>
      <w:r w:rsidRPr="00A93922">
        <w:rPr>
          <w:sz w:val="20"/>
          <w:szCs w:val="20"/>
        </w:rPr>
        <w:t xml:space="preserve">Table </w:t>
      </w:r>
      <w:r w:rsidR="00A66E47">
        <w:rPr>
          <w:sz w:val="20"/>
          <w:szCs w:val="20"/>
        </w:rPr>
        <w:t>5</w:t>
      </w:r>
      <w:r w:rsidR="005148A1">
        <w:rPr>
          <w:sz w:val="20"/>
          <w:szCs w:val="20"/>
        </w:rPr>
        <w:t>.1</w:t>
      </w:r>
      <w:r w:rsidRPr="00A93922">
        <w:rPr>
          <w:sz w:val="20"/>
          <w:szCs w:val="20"/>
        </w:rPr>
        <w:t>: Number of organisations providing industry skills training</w:t>
      </w:r>
    </w:p>
    <w:tbl>
      <w:tblPr>
        <w:tblW w:w="7221" w:type="dxa"/>
        <w:tblInd w:w="108" w:type="dxa"/>
        <w:tblLook w:val="04A0" w:firstRow="1" w:lastRow="0" w:firstColumn="1" w:lastColumn="0" w:noHBand="0" w:noVBand="1"/>
      </w:tblPr>
      <w:tblGrid>
        <w:gridCol w:w="1161"/>
        <w:gridCol w:w="2020"/>
        <w:gridCol w:w="2020"/>
        <w:gridCol w:w="2020"/>
      </w:tblGrid>
      <w:tr w:rsidR="004A699D" w:rsidRPr="00244DE2" w14:paraId="414B94DA" w14:textId="77777777" w:rsidTr="00327F87">
        <w:trPr>
          <w:trHeight w:val="442"/>
        </w:trPr>
        <w:tc>
          <w:tcPr>
            <w:tcW w:w="1161" w:type="dxa"/>
            <w:tcBorders>
              <w:top w:val="single" w:sz="4" w:space="0" w:color="auto"/>
              <w:left w:val="nil"/>
              <w:bottom w:val="single" w:sz="4" w:space="0" w:color="auto"/>
              <w:right w:val="nil"/>
            </w:tcBorders>
            <w:shd w:val="clear" w:color="000000" w:fill="C4D79B"/>
            <w:noWrap/>
            <w:vAlign w:val="center"/>
            <w:hideMark/>
          </w:tcPr>
          <w:p w14:paraId="33A5CE21" w14:textId="77777777" w:rsidR="004A699D" w:rsidRPr="00244DE2" w:rsidRDefault="004A699D" w:rsidP="004A699D">
            <w:pPr>
              <w:spacing w:after="0" w:line="240" w:lineRule="auto"/>
              <w:jc w:val="center"/>
              <w:rPr>
                <w:rFonts w:ascii="Arial" w:eastAsia="Times New Roman" w:hAnsi="Arial" w:cs="Arial"/>
                <w:color w:val="000000"/>
                <w:szCs w:val="20"/>
                <w:lang w:eastAsia="en-AU"/>
              </w:rPr>
            </w:pPr>
            <w:r w:rsidRPr="00244DE2">
              <w:rPr>
                <w:rFonts w:ascii="Arial" w:eastAsia="Times New Roman" w:hAnsi="Arial" w:cs="Arial"/>
                <w:color w:val="000000"/>
                <w:szCs w:val="20"/>
                <w:lang w:eastAsia="en-AU"/>
              </w:rPr>
              <w:t> </w:t>
            </w:r>
          </w:p>
        </w:tc>
        <w:tc>
          <w:tcPr>
            <w:tcW w:w="2020" w:type="dxa"/>
            <w:tcBorders>
              <w:top w:val="single" w:sz="4" w:space="0" w:color="auto"/>
              <w:left w:val="nil"/>
              <w:bottom w:val="single" w:sz="4" w:space="0" w:color="auto"/>
              <w:right w:val="nil"/>
            </w:tcBorders>
            <w:shd w:val="clear" w:color="000000" w:fill="C4D79B"/>
            <w:noWrap/>
            <w:vAlign w:val="center"/>
            <w:hideMark/>
          </w:tcPr>
          <w:p w14:paraId="7AE1844D" w14:textId="7B841627" w:rsidR="004A699D" w:rsidRPr="00244DE2" w:rsidRDefault="004A699D" w:rsidP="004A699D">
            <w:pPr>
              <w:spacing w:after="0" w:line="240" w:lineRule="auto"/>
              <w:jc w:val="center"/>
              <w:rPr>
                <w:rFonts w:ascii="Arial" w:eastAsia="Times New Roman" w:hAnsi="Arial" w:cs="Arial"/>
                <w:b/>
                <w:bCs/>
                <w:color w:val="000000"/>
                <w:szCs w:val="20"/>
                <w:lang w:eastAsia="en-AU"/>
              </w:rPr>
            </w:pPr>
            <w:r w:rsidRPr="00244DE2">
              <w:rPr>
                <w:rFonts w:ascii="Arial" w:eastAsia="Times New Roman" w:hAnsi="Arial" w:cs="Arial"/>
                <w:b/>
                <w:bCs/>
                <w:color w:val="000000"/>
                <w:szCs w:val="20"/>
                <w:lang w:eastAsia="en-AU"/>
              </w:rPr>
              <w:t>2013</w:t>
            </w:r>
          </w:p>
        </w:tc>
        <w:tc>
          <w:tcPr>
            <w:tcW w:w="2020" w:type="dxa"/>
            <w:tcBorders>
              <w:top w:val="single" w:sz="4" w:space="0" w:color="auto"/>
              <w:left w:val="nil"/>
              <w:bottom w:val="single" w:sz="4" w:space="0" w:color="auto"/>
              <w:right w:val="nil"/>
            </w:tcBorders>
            <w:shd w:val="clear" w:color="000000" w:fill="C4D79B"/>
            <w:noWrap/>
            <w:vAlign w:val="center"/>
            <w:hideMark/>
          </w:tcPr>
          <w:p w14:paraId="389D86A5" w14:textId="24CBD9B6" w:rsidR="004A699D" w:rsidRPr="00244DE2" w:rsidRDefault="004A699D" w:rsidP="004A699D">
            <w:pPr>
              <w:spacing w:after="0" w:line="240" w:lineRule="auto"/>
              <w:jc w:val="center"/>
              <w:rPr>
                <w:rFonts w:ascii="Arial" w:eastAsia="Times New Roman" w:hAnsi="Arial" w:cs="Arial"/>
                <w:b/>
                <w:bCs/>
                <w:color w:val="000000"/>
                <w:szCs w:val="20"/>
                <w:lang w:eastAsia="en-AU"/>
              </w:rPr>
            </w:pPr>
            <w:r w:rsidRPr="00244DE2">
              <w:rPr>
                <w:rFonts w:ascii="Arial" w:eastAsia="Times New Roman" w:hAnsi="Arial" w:cs="Arial"/>
                <w:b/>
                <w:bCs/>
                <w:color w:val="000000"/>
                <w:szCs w:val="20"/>
                <w:lang w:eastAsia="en-AU"/>
              </w:rPr>
              <w:t>2014</w:t>
            </w:r>
          </w:p>
        </w:tc>
        <w:tc>
          <w:tcPr>
            <w:tcW w:w="2020" w:type="dxa"/>
            <w:tcBorders>
              <w:top w:val="single" w:sz="4" w:space="0" w:color="auto"/>
              <w:left w:val="nil"/>
              <w:bottom w:val="single" w:sz="4" w:space="0" w:color="auto"/>
              <w:right w:val="nil"/>
            </w:tcBorders>
            <w:shd w:val="clear" w:color="000000" w:fill="C4D79B"/>
            <w:noWrap/>
            <w:vAlign w:val="center"/>
            <w:hideMark/>
          </w:tcPr>
          <w:p w14:paraId="0E432769" w14:textId="0BA48EF9" w:rsidR="004A699D" w:rsidRPr="00244DE2" w:rsidRDefault="004A699D" w:rsidP="004A699D">
            <w:pPr>
              <w:spacing w:after="0" w:line="240" w:lineRule="auto"/>
              <w:jc w:val="center"/>
              <w:rPr>
                <w:rFonts w:ascii="Arial" w:eastAsia="Times New Roman" w:hAnsi="Arial" w:cs="Arial"/>
                <w:b/>
                <w:bCs/>
                <w:color w:val="000000"/>
                <w:szCs w:val="20"/>
                <w:lang w:eastAsia="en-AU"/>
              </w:rPr>
            </w:pPr>
            <w:r>
              <w:rPr>
                <w:rFonts w:ascii="Arial" w:eastAsia="Times New Roman" w:hAnsi="Arial" w:cs="Arial"/>
                <w:b/>
                <w:bCs/>
                <w:color w:val="000000"/>
                <w:szCs w:val="20"/>
                <w:lang w:eastAsia="en-AU"/>
              </w:rPr>
              <w:t>2015</w:t>
            </w:r>
          </w:p>
        </w:tc>
      </w:tr>
      <w:tr w:rsidR="004A699D" w:rsidRPr="00244DE2" w14:paraId="0636BE69" w14:textId="77777777" w:rsidTr="00327F87">
        <w:trPr>
          <w:trHeight w:val="442"/>
        </w:trPr>
        <w:tc>
          <w:tcPr>
            <w:tcW w:w="1161" w:type="dxa"/>
            <w:tcBorders>
              <w:top w:val="nil"/>
              <w:left w:val="nil"/>
              <w:bottom w:val="nil"/>
              <w:right w:val="nil"/>
            </w:tcBorders>
            <w:shd w:val="clear" w:color="auto" w:fill="auto"/>
            <w:noWrap/>
            <w:vAlign w:val="bottom"/>
            <w:hideMark/>
          </w:tcPr>
          <w:p w14:paraId="0B9A4165" w14:textId="77777777" w:rsidR="004A699D" w:rsidRPr="00244DE2" w:rsidRDefault="004A699D" w:rsidP="004A699D">
            <w:pPr>
              <w:spacing w:after="0" w:line="240" w:lineRule="auto"/>
              <w:rPr>
                <w:rFonts w:ascii="Arial" w:eastAsia="Times New Roman" w:hAnsi="Arial" w:cs="Arial"/>
                <w:color w:val="000000"/>
                <w:szCs w:val="20"/>
                <w:lang w:eastAsia="en-AU"/>
              </w:rPr>
            </w:pPr>
            <w:r w:rsidRPr="00244DE2">
              <w:rPr>
                <w:rFonts w:ascii="Arial" w:eastAsia="Times New Roman" w:hAnsi="Arial" w:cs="Arial"/>
                <w:color w:val="000000"/>
                <w:szCs w:val="20"/>
                <w:lang w:eastAsia="en-AU"/>
              </w:rPr>
              <w:t>PFR</w:t>
            </w:r>
            <w:r>
              <w:rPr>
                <w:rFonts w:ascii="Arial" w:eastAsia="Times New Roman" w:hAnsi="Arial" w:cs="Arial"/>
                <w:color w:val="000000"/>
                <w:szCs w:val="20"/>
                <w:lang w:eastAsia="en-AU"/>
              </w:rPr>
              <w:t>A</w:t>
            </w:r>
            <w:r w:rsidRPr="00244DE2">
              <w:rPr>
                <w:rFonts w:ascii="Arial" w:eastAsia="Times New Roman" w:hAnsi="Arial" w:cs="Arial"/>
                <w:color w:val="000000"/>
                <w:szCs w:val="20"/>
                <w:lang w:eastAsia="en-AU"/>
              </w:rPr>
              <w:t>s</w:t>
            </w:r>
          </w:p>
        </w:tc>
        <w:tc>
          <w:tcPr>
            <w:tcW w:w="2020" w:type="dxa"/>
            <w:tcBorders>
              <w:top w:val="nil"/>
              <w:left w:val="nil"/>
              <w:bottom w:val="nil"/>
              <w:right w:val="nil"/>
            </w:tcBorders>
            <w:shd w:val="clear" w:color="auto" w:fill="auto"/>
            <w:noWrap/>
            <w:vAlign w:val="bottom"/>
            <w:hideMark/>
          </w:tcPr>
          <w:p w14:paraId="37CB7D22" w14:textId="33D87842" w:rsidR="004A699D" w:rsidRPr="00244DE2" w:rsidRDefault="004A699D" w:rsidP="004A699D">
            <w:pPr>
              <w:spacing w:after="0" w:line="240" w:lineRule="auto"/>
              <w:jc w:val="center"/>
              <w:rPr>
                <w:rFonts w:ascii="Arial" w:eastAsia="Times New Roman" w:hAnsi="Arial" w:cs="Arial"/>
                <w:color w:val="000000"/>
                <w:szCs w:val="20"/>
                <w:lang w:eastAsia="en-AU"/>
              </w:rPr>
            </w:pPr>
            <w:r w:rsidRPr="00244DE2">
              <w:rPr>
                <w:rFonts w:ascii="Arial" w:eastAsia="Times New Roman" w:hAnsi="Arial" w:cs="Arial"/>
                <w:color w:val="000000"/>
                <w:szCs w:val="20"/>
                <w:lang w:eastAsia="en-AU"/>
              </w:rPr>
              <w:t>3</w:t>
            </w:r>
          </w:p>
        </w:tc>
        <w:tc>
          <w:tcPr>
            <w:tcW w:w="2020" w:type="dxa"/>
            <w:tcBorders>
              <w:top w:val="nil"/>
              <w:left w:val="nil"/>
              <w:bottom w:val="nil"/>
              <w:right w:val="nil"/>
            </w:tcBorders>
            <w:shd w:val="clear" w:color="auto" w:fill="auto"/>
            <w:noWrap/>
            <w:vAlign w:val="bottom"/>
            <w:hideMark/>
          </w:tcPr>
          <w:p w14:paraId="148C5918" w14:textId="6121D80D" w:rsidR="004A699D" w:rsidRPr="00244DE2" w:rsidRDefault="004A699D" w:rsidP="004A699D">
            <w:pPr>
              <w:spacing w:after="0" w:line="240" w:lineRule="auto"/>
              <w:jc w:val="center"/>
              <w:rPr>
                <w:rFonts w:ascii="Arial" w:eastAsia="Times New Roman" w:hAnsi="Arial" w:cs="Arial"/>
                <w:color w:val="000000"/>
                <w:szCs w:val="20"/>
                <w:lang w:eastAsia="en-AU"/>
              </w:rPr>
            </w:pPr>
            <w:r w:rsidRPr="00244DE2">
              <w:rPr>
                <w:rFonts w:ascii="Arial" w:eastAsia="Times New Roman" w:hAnsi="Arial" w:cs="Arial"/>
                <w:color w:val="000000"/>
                <w:szCs w:val="20"/>
                <w:lang w:eastAsia="en-AU"/>
              </w:rPr>
              <w:t>5</w:t>
            </w:r>
          </w:p>
        </w:tc>
        <w:tc>
          <w:tcPr>
            <w:tcW w:w="2020" w:type="dxa"/>
            <w:tcBorders>
              <w:top w:val="nil"/>
              <w:left w:val="nil"/>
              <w:bottom w:val="nil"/>
              <w:right w:val="nil"/>
            </w:tcBorders>
            <w:shd w:val="clear" w:color="auto" w:fill="auto"/>
            <w:noWrap/>
            <w:vAlign w:val="bottom"/>
            <w:hideMark/>
          </w:tcPr>
          <w:p w14:paraId="6742BC17" w14:textId="3A18FA02" w:rsidR="004A699D" w:rsidRPr="00244DE2" w:rsidRDefault="009A5725" w:rsidP="004A699D">
            <w:pPr>
              <w:spacing w:after="0" w:line="240" w:lineRule="auto"/>
              <w:jc w:val="center"/>
              <w:rPr>
                <w:rFonts w:ascii="Arial" w:eastAsia="Times New Roman" w:hAnsi="Arial" w:cs="Arial"/>
                <w:color w:val="000000"/>
                <w:szCs w:val="20"/>
                <w:lang w:eastAsia="en-AU"/>
              </w:rPr>
            </w:pPr>
            <w:r>
              <w:rPr>
                <w:rFonts w:ascii="Arial" w:eastAsia="Times New Roman" w:hAnsi="Arial" w:cs="Arial"/>
                <w:color w:val="000000"/>
                <w:szCs w:val="20"/>
                <w:lang w:eastAsia="en-AU"/>
              </w:rPr>
              <w:t>5</w:t>
            </w:r>
          </w:p>
        </w:tc>
      </w:tr>
      <w:tr w:rsidR="004A699D" w:rsidRPr="00244DE2" w14:paraId="03A74779" w14:textId="77777777" w:rsidTr="00327F87">
        <w:trPr>
          <w:trHeight w:val="442"/>
        </w:trPr>
        <w:tc>
          <w:tcPr>
            <w:tcW w:w="1161" w:type="dxa"/>
            <w:tcBorders>
              <w:top w:val="single" w:sz="4" w:space="0" w:color="auto"/>
              <w:left w:val="nil"/>
              <w:bottom w:val="single" w:sz="4" w:space="0" w:color="auto"/>
              <w:right w:val="nil"/>
            </w:tcBorders>
            <w:shd w:val="clear" w:color="auto" w:fill="auto"/>
            <w:noWrap/>
            <w:vAlign w:val="bottom"/>
            <w:hideMark/>
          </w:tcPr>
          <w:p w14:paraId="7D3385E0" w14:textId="77777777" w:rsidR="004A699D" w:rsidRPr="00244DE2" w:rsidRDefault="004A699D" w:rsidP="004A699D">
            <w:pPr>
              <w:spacing w:after="0" w:line="240" w:lineRule="auto"/>
              <w:rPr>
                <w:rFonts w:ascii="Arial" w:eastAsia="Times New Roman" w:hAnsi="Arial" w:cs="Arial"/>
                <w:color w:val="000000"/>
                <w:szCs w:val="20"/>
                <w:lang w:eastAsia="en-AU"/>
              </w:rPr>
            </w:pPr>
            <w:r w:rsidRPr="00244DE2">
              <w:rPr>
                <w:rFonts w:ascii="Arial" w:eastAsia="Times New Roman" w:hAnsi="Arial" w:cs="Arial"/>
                <w:color w:val="000000"/>
                <w:szCs w:val="20"/>
                <w:lang w:eastAsia="en-AU"/>
              </w:rPr>
              <w:t>UNIs</w:t>
            </w:r>
          </w:p>
        </w:tc>
        <w:tc>
          <w:tcPr>
            <w:tcW w:w="2020" w:type="dxa"/>
            <w:tcBorders>
              <w:top w:val="single" w:sz="4" w:space="0" w:color="auto"/>
              <w:left w:val="nil"/>
              <w:bottom w:val="single" w:sz="4" w:space="0" w:color="auto"/>
              <w:right w:val="nil"/>
            </w:tcBorders>
            <w:shd w:val="clear" w:color="auto" w:fill="auto"/>
            <w:noWrap/>
            <w:vAlign w:val="bottom"/>
            <w:hideMark/>
          </w:tcPr>
          <w:p w14:paraId="3CA3EA5F" w14:textId="0D19945B" w:rsidR="004A699D" w:rsidRPr="00244DE2" w:rsidRDefault="004A699D" w:rsidP="004A699D">
            <w:pPr>
              <w:spacing w:after="0" w:line="240" w:lineRule="auto"/>
              <w:jc w:val="center"/>
              <w:rPr>
                <w:rFonts w:ascii="Arial" w:eastAsia="Times New Roman" w:hAnsi="Arial" w:cs="Arial"/>
                <w:color w:val="000000"/>
                <w:szCs w:val="20"/>
                <w:lang w:eastAsia="en-AU"/>
              </w:rPr>
            </w:pPr>
            <w:r w:rsidRPr="00244DE2">
              <w:rPr>
                <w:rFonts w:ascii="Arial" w:eastAsia="Times New Roman" w:hAnsi="Arial" w:cs="Arial"/>
                <w:color w:val="000000"/>
                <w:szCs w:val="20"/>
                <w:lang w:eastAsia="en-AU"/>
              </w:rPr>
              <w:t>29</w:t>
            </w:r>
          </w:p>
        </w:tc>
        <w:tc>
          <w:tcPr>
            <w:tcW w:w="2020" w:type="dxa"/>
            <w:tcBorders>
              <w:top w:val="single" w:sz="4" w:space="0" w:color="auto"/>
              <w:left w:val="nil"/>
              <w:bottom w:val="single" w:sz="4" w:space="0" w:color="auto"/>
              <w:right w:val="nil"/>
            </w:tcBorders>
            <w:shd w:val="clear" w:color="auto" w:fill="auto"/>
            <w:noWrap/>
            <w:vAlign w:val="bottom"/>
            <w:hideMark/>
          </w:tcPr>
          <w:p w14:paraId="77630C0F" w14:textId="72403D6A" w:rsidR="004A699D" w:rsidRPr="00244DE2" w:rsidRDefault="004A699D" w:rsidP="004A699D">
            <w:pPr>
              <w:spacing w:after="0" w:line="240" w:lineRule="auto"/>
              <w:jc w:val="center"/>
              <w:rPr>
                <w:rFonts w:ascii="Arial" w:eastAsia="Times New Roman" w:hAnsi="Arial" w:cs="Arial"/>
                <w:color w:val="000000"/>
                <w:szCs w:val="20"/>
                <w:lang w:eastAsia="en-AU"/>
              </w:rPr>
            </w:pPr>
            <w:r>
              <w:rPr>
                <w:rFonts w:ascii="Arial" w:eastAsia="Times New Roman" w:hAnsi="Arial" w:cs="Arial"/>
                <w:color w:val="000000"/>
                <w:szCs w:val="20"/>
                <w:lang w:eastAsia="en-AU"/>
              </w:rPr>
              <w:t>32</w:t>
            </w:r>
          </w:p>
        </w:tc>
        <w:tc>
          <w:tcPr>
            <w:tcW w:w="2020" w:type="dxa"/>
            <w:tcBorders>
              <w:top w:val="single" w:sz="4" w:space="0" w:color="auto"/>
              <w:left w:val="nil"/>
              <w:bottom w:val="single" w:sz="4" w:space="0" w:color="auto"/>
              <w:right w:val="nil"/>
            </w:tcBorders>
            <w:shd w:val="clear" w:color="auto" w:fill="auto"/>
            <w:noWrap/>
            <w:vAlign w:val="bottom"/>
            <w:hideMark/>
          </w:tcPr>
          <w:p w14:paraId="2DD29B94" w14:textId="6B3BF74A" w:rsidR="004A699D" w:rsidRPr="00244DE2" w:rsidRDefault="009A5725" w:rsidP="004A699D">
            <w:pPr>
              <w:spacing w:after="0" w:line="240" w:lineRule="auto"/>
              <w:jc w:val="center"/>
              <w:rPr>
                <w:rFonts w:ascii="Arial" w:eastAsia="Times New Roman" w:hAnsi="Arial" w:cs="Arial"/>
                <w:color w:val="000000"/>
                <w:szCs w:val="20"/>
                <w:lang w:eastAsia="en-AU"/>
              </w:rPr>
            </w:pPr>
            <w:r>
              <w:rPr>
                <w:rFonts w:ascii="Arial" w:eastAsia="Times New Roman" w:hAnsi="Arial" w:cs="Arial"/>
                <w:color w:val="000000"/>
                <w:szCs w:val="20"/>
                <w:lang w:eastAsia="en-AU"/>
              </w:rPr>
              <w:t>34</w:t>
            </w:r>
          </w:p>
        </w:tc>
      </w:tr>
      <w:tr w:rsidR="004A699D" w:rsidRPr="00244DE2" w14:paraId="3A8A2B66" w14:textId="77777777" w:rsidTr="00327F87">
        <w:trPr>
          <w:trHeight w:val="442"/>
        </w:trPr>
        <w:tc>
          <w:tcPr>
            <w:tcW w:w="1161" w:type="dxa"/>
            <w:tcBorders>
              <w:top w:val="nil"/>
              <w:left w:val="nil"/>
              <w:bottom w:val="nil"/>
              <w:right w:val="nil"/>
            </w:tcBorders>
            <w:shd w:val="clear" w:color="auto" w:fill="auto"/>
            <w:noWrap/>
            <w:vAlign w:val="bottom"/>
            <w:hideMark/>
          </w:tcPr>
          <w:p w14:paraId="436DA41B" w14:textId="77777777" w:rsidR="004A699D" w:rsidRPr="00244DE2" w:rsidRDefault="004A699D" w:rsidP="004A699D">
            <w:pPr>
              <w:spacing w:after="0" w:line="240" w:lineRule="auto"/>
              <w:rPr>
                <w:rFonts w:ascii="Arial" w:eastAsia="Times New Roman" w:hAnsi="Arial" w:cs="Arial"/>
                <w:color w:val="000000"/>
                <w:szCs w:val="20"/>
                <w:lang w:eastAsia="en-AU"/>
              </w:rPr>
            </w:pPr>
            <w:r w:rsidRPr="00244DE2">
              <w:rPr>
                <w:rFonts w:ascii="Arial" w:eastAsia="Times New Roman" w:hAnsi="Arial" w:cs="Arial"/>
                <w:color w:val="000000"/>
                <w:szCs w:val="20"/>
                <w:lang w:eastAsia="en-AU"/>
              </w:rPr>
              <w:t>MRIs</w:t>
            </w:r>
          </w:p>
        </w:tc>
        <w:tc>
          <w:tcPr>
            <w:tcW w:w="2020" w:type="dxa"/>
            <w:tcBorders>
              <w:top w:val="nil"/>
              <w:left w:val="nil"/>
              <w:bottom w:val="nil"/>
              <w:right w:val="nil"/>
            </w:tcBorders>
            <w:shd w:val="clear" w:color="auto" w:fill="auto"/>
            <w:noWrap/>
            <w:vAlign w:val="bottom"/>
            <w:hideMark/>
          </w:tcPr>
          <w:p w14:paraId="603D6DA8" w14:textId="62353C3D" w:rsidR="004A699D" w:rsidRPr="00244DE2" w:rsidRDefault="004A699D" w:rsidP="004A699D">
            <w:pPr>
              <w:spacing w:after="0" w:line="240" w:lineRule="auto"/>
              <w:jc w:val="center"/>
              <w:rPr>
                <w:rFonts w:ascii="Arial" w:eastAsia="Times New Roman" w:hAnsi="Arial" w:cs="Arial"/>
                <w:color w:val="000000"/>
                <w:szCs w:val="20"/>
                <w:lang w:eastAsia="en-AU"/>
              </w:rPr>
            </w:pPr>
            <w:r w:rsidRPr="00244DE2">
              <w:rPr>
                <w:rFonts w:ascii="Arial" w:eastAsia="Times New Roman" w:hAnsi="Arial" w:cs="Arial"/>
                <w:color w:val="000000"/>
                <w:szCs w:val="20"/>
                <w:lang w:eastAsia="en-AU"/>
              </w:rPr>
              <w:t>12</w:t>
            </w:r>
          </w:p>
        </w:tc>
        <w:tc>
          <w:tcPr>
            <w:tcW w:w="2020" w:type="dxa"/>
            <w:tcBorders>
              <w:top w:val="nil"/>
              <w:left w:val="nil"/>
              <w:bottom w:val="nil"/>
              <w:right w:val="nil"/>
            </w:tcBorders>
            <w:shd w:val="clear" w:color="auto" w:fill="auto"/>
            <w:noWrap/>
            <w:vAlign w:val="bottom"/>
            <w:hideMark/>
          </w:tcPr>
          <w:p w14:paraId="2FA4BBAC" w14:textId="672EA19F" w:rsidR="004A699D" w:rsidRPr="00244DE2" w:rsidRDefault="004A699D" w:rsidP="004A699D">
            <w:pPr>
              <w:spacing w:after="0" w:line="240" w:lineRule="auto"/>
              <w:jc w:val="center"/>
              <w:rPr>
                <w:rFonts w:ascii="Arial" w:eastAsia="Times New Roman" w:hAnsi="Arial" w:cs="Arial"/>
                <w:color w:val="000000"/>
                <w:szCs w:val="20"/>
                <w:lang w:eastAsia="en-AU"/>
              </w:rPr>
            </w:pPr>
            <w:r w:rsidRPr="00244DE2">
              <w:rPr>
                <w:rFonts w:ascii="Arial" w:eastAsia="Times New Roman" w:hAnsi="Arial" w:cs="Arial"/>
                <w:color w:val="000000"/>
                <w:szCs w:val="20"/>
                <w:lang w:eastAsia="en-AU"/>
              </w:rPr>
              <w:t>7</w:t>
            </w:r>
          </w:p>
        </w:tc>
        <w:tc>
          <w:tcPr>
            <w:tcW w:w="2020" w:type="dxa"/>
            <w:tcBorders>
              <w:top w:val="nil"/>
              <w:left w:val="nil"/>
              <w:bottom w:val="nil"/>
              <w:right w:val="nil"/>
            </w:tcBorders>
            <w:shd w:val="clear" w:color="auto" w:fill="auto"/>
            <w:noWrap/>
            <w:vAlign w:val="bottom"/>
            <w:hideMark/>
          </w:tcPr>
          <w:p w14:paraId="5DC06FB4" w14:textId="768AC68B" w:rsidR="004A699D" w:rsidRPr="00244DE2" w:rsidRDefault="009A5725" w:rsidP="004A699D">
            <w:pPr>
              <w:spacing w:after="0" w:line="240" w:lineRule="auto"/>
              <w:jc w:val="center"/>
              <w:rPr>
                <w:rFonts w:ascii="Arial" w:eastAsia="Times New Roman" w:hAnsi="Arial" w:cs="Arial"/>
                <w:color w:val="000000"/>
                <w:szCs w:val="20"/>
                <w:lang w:eastAsia="en-AU"/>
              </w:rPr>
            </w:pPr>
            <w:r>
              <w:rPr>
                <w:rFonts w:ascii="Arial" w:eastAsia="Times New Roman" w:hAnsi="Arial" w:cs="Arial"/>
                <w:color w:val="000000"/>
                <w:szCs w:val="20"/>
                <w:lang w:eastAsia="en-AU"/>
              </w:rPr>
              <w:t>13</w:t>
            </w:r>
          </w:p>
        </w:tc>
      </w:tr>
      <w:tr w:rsidR="004A699D" w:rsidRPr="00244DE2" w14:paraId="7DFEB62B" w14:textId="77777777" w:rsidTr="00327F87">
        <w:trPr>
          <w:trHeight w:val="442"/>
        </w:trPr>
        <w:tc>
          <w:tcPr>
            <w:tcW w:w="1161" w:type="dxa"/>
            <w:tcBorders>
              <w:top w:val="single" w:sz="4" w:space="0" w:color="auto"/>
              <w:left w:val="nil"/>
              <w:bottom w:val="single" w:sz="4" w:space="0" w:color="auto"/>
              <w:right w:val="nil"/>
            </w:tcBorders>
            <w:shd w:val="clear" w:color="auto" w:fill="auto"/>
            <w:noWrap/>
            <w:vAlign w:val="bottom"/>
            <w:hideMark/>
          </w:tcPr>
          <w:p w14:paraId="61AFCE2E" w14:textId="77777777" w:rsidR="004A699D" w:rsidRPr="00DA0678" w:rsidRDefault="004A699D" w:rsidP="004A699D">
            <w:pPr>
              <w:spacing w:after="0" w:line="240" w:lineRule="auto"/>
              <w:rPr>
                <w:rFonts w:ascii="Arial" w:eastAsia="Times New Roman" w:hAnsi="Arial" w:cs="Arial"/>
                <w:b/>
                <w:color w:val="000000"/>
                <w:szCs w:val="20"/>
                <w:lang w:eastAsia="en-AU"/>
              </w:rPr>
            </w:pPr>
            <w:r w:rsidRPr="00DA0678">
              <w:rPr>
                <w:rFonts w:ascii="Arial" w:eastAsia="Times New Roman" w:hAnsi="Arial" w:cs="Arial"/>
                <w:b/>
                <w:color w:val="000000"/>
                <w:szCs w:val="20"/>
                <w:lang w:eastAsia="en-AU"/>
              </w:rPr>
              <w:t>Total</w:t>
            </w:r>
          </w:p>
        </w:tc>
        <w:tc>
          <w:tcPr>
            <w:tcW w:w="2020" w:type="dxa"/>
            <w:tcBorders>
              <w:top w:val="single" w:sz="4" w:space="0" w:color="auto"/>
              <w:left w:val="nil"/>
              <w:bottom w:val="single" w:sz="4" w:space="0" w:color="auto"/>
              <w:right w:val="nil"/>
            </w:tcBorders>
            <w:shd w:val="clear" w:color="auto" w:fill="auto"/>
            <w:noWrap/>
            <w:vAlign w:val="bottom"/>
            <w:hideMark/>
          </w:tcPr>
          <w:p w14:paraId="3085AAA8" w14:textId="7B026C11" w:rsidR="004A699D" w:rsidRPr="00DA0678" w:rsidRDefault="004A699D" w:rsidP="004A699D">
            <w:pPr>
              <w:spacing w:after="0" w:line="240" w:lineRule="auto"/>
              <w:jc w:val="center"/>
              <w:rPr>
                <w:rFonts w:ascii="Arial" w:eastAsia="Times New Roman" w:hAnsi="Arial" w:cs="Arial"/>
                <w:b/>
                <w:color w:val="000000"/>
                <w:szCs w:val="20"/>
                <w:lang w:eastAsia="en-AU"/>
              </w:rPr>
            </w:pPr>
            <w:r w:rsidRPr="00DA0678">
              <w:rPr>
                <w:rFonts w:ascii="Arial" w:eastAsia="Times New Roman" w:hAnsi="Arial" w:cs="Arial"/>
                <w:b/>
                <w:color w:val="000000"/>
                <w:szCs w:val="20"/>
                <w:lang w:eastAsia="en-AU"/>
              </w:rPr>
              <w:t>44</w:t>
            </w:r>
          </w:p>
        </w:tc>
        <w:tc>
          <w:tcPr>
            <w:tcW w:w="2020" w:type="dxa"/>
            <w:tcBorders>
              <w:top w:val="single" w:sz="4" w:space="0" w:color="auto"/>
              <w:left w:val="nil"/>
              <w:bottom w:val="single" w:sz="4" w:space="0" w:color="auto"/>
              <w:right w:val="nil"/>
            </w:tcBorders>
            <w:shd w:val="clear" w:color="auto" w:fill="auto"/>
            <w:noWrap/>
            <w:vAlign w:val="bottom"/>
            <w:hideMark/>
          </w:tcPr>
          <w:p w14:paraId="12F0B0BF" w14:textId="31CA32E0" w:rsidR="004A699D" w:rsidRPr="00DA0678" w:rsidRDefault="004A699D" w:rsidP="004A699D">
            <w:pPr>
              <w:spacing w:after="0" w:line="240" w:lineRule="auto"/>
              <w:jc w:val="center"/>
              <w:rPr>
                <w:rFonts w:ascii="Arial" w:eastAsia="Times New Roman" w:hAnsi="Arial" w:cs="Arial"/>
                <w:b/>
                <w:color w:val="000000"/>
                <w:szCs w:val="20"/>
                <w:lang w:eastAsia="en-AU"/>
              </w:rPr>
            </w:pPr>
            <w:r>
              <w:rPr>
                <w:rFonts w:ascii="Arial" w:eastAsia="Times New Roman" w:hAnsi="Arial" w:cs="Arial"/>
                <w:b/>
                <w:color w:val="000000"/>
                <w:szCs w:val="20"/>
                <w:lang w:eastAsia="en-AU"/>
              </w:rPr>
              <w:t>44</w:t>
            </w:r>
          </w:p>
        </w:tc>
        <w:tc>
          <w:tcPr>
            <w:tcW w:w="2020" w:type="dxa"/>
            <w:tcBorders>
              <w:top w:val="single" w:sz="4" w:space="0" w:color="auto"/>
              <w:left w:val="nil"/>
              <w:bottom w:val="single" w:sz="4" w:space="0" w:color="auto"/>
              <w:right w:val="nil"/>
            </w:tcBorders>
            <w:shd w:val="clear" w:color="auto" w:fill="auto"/>
            <w:noWrap/>
            <w:vAlign w:val="bottom"/>
            <w:hideMark/>
          </w:tcPr>
          <w:p w14:paraId="36B94E54" w14:textId="44EFBBA8" w:rsidR="004A699D" w:rsidRPr="00DA0678" w:rsidRDefault="009A5725" w:rsidP="004A699D">
            <w:pPr>
              <w:spacing w:after="0" w:line="240" w:lineRule="auto"/>
              <w:jc w:val="center"/>
              <w:rPr>
                <w:rFonts w:ascii="Arial" w:eastAsia="Times New Roman" w:hAnsi="Arial" w:cs="Arial"/>
                <w:b/>
                <w:color w:val="000000"/>
                <w:szCs w:val="20"/>
                <w:lang w:eastAsia="en-AU"/>
              </w:rPr>
            </w:pPr>
            <w:r>
              <w:rPr>
                <w:rFonts w:ascii="Arial" w:eastAsia="Times New Roman" w:hAnsi="Arial" w:cs="Arial"/>
                <w:b/>
                <w:color w:val="000000"/>
                <w:szCs w:val="20"/>
                <w:lang w:eastAsia="en-AU"/>
              </w:rPr>
              <w:t>52</w:t>
            </w:r>
          </w:p>
        </w:tc>
      </w:tr>
    </w:tbl>
    <w:p w14:paraId="2F9F7EAB" w14:textId="77777777" w:rsidR="00A22053" w:rsidRDefault="00A22053" w:rsidP="00A22053">
      <w:pPr>
        <w:rPr>
          <w:b/>
        </w:rPr>
      </w:pPr>
    </w:p>
    <w:p w14:paraId="14CB20F1" w14:textId="5A2E4842" w:rsidR="00A22053" w:rsidRPr="00327F87" w:rsidRDefault="00A22053" w:rsidP="00327F87">
      <w:pPr>
        <w:pStyle w:val="Heading3"/>
        <w:rPr>
          <w:sz w:val="20"/>
          <w:szCs w:val="20"/>
        </w:rPr>
      </w:pPr>
      <w:r w:rsidRPr="00A93922">
        <w:rPr>
          <w:sz w:val="20"/>
          <w:szCs w:val="20"/>
        </w:rPr>
        <w:t xml:space="preserve">Figure </w:t>
      </w:r>
      <w:r w:rsidR="00A66E47">
        <w:rPr>
          <w:sz w:val="20"/>
          <w:szCs w:val="20"/>
        </w:rPr>
        <w:t>5</w:t>
      </w:r>
      <w:r w:rsidR="005148A1">
        <w:rPr>
          <w:sz w:val="20"/>
          <w:szCs w:val="20"/>
        </w:rPr>
        <w:t>.1</w:t>
      </w:r>
      <w:r w:rsidRPr="00A93922">
        <w:rPr>
          <w:sz w:val="20"/>
          <w:szCs w:val="20"/>
        </w:rPr>
        <w:t xml:space="preserve">: Number of organisations providing industry skills training </w:t>
      </w:r>
    </w:p>
    <w:p w14:paraId="3EBD0482" w14:textId="77777777" w:rsidR="009A5725" w:rsidRPr="009A5725" w:rsidRDefault="009A5725" w:rsidP="004C21D3"/>
    <w:p w14:paraId="4FBB8794" w14:textId="616631DC" w:rsidR="00A22053" w:rsidRDefault="00F92193" w:rsidP="00A22053">
      <w:r>
        <w:rPr>
          <w:noProof/>
          <w:lang w:eastAsia="en-AU"/>
        </w:rPr>
        <w:drawing>
          <wp:inline distT="0" distB="0" distL="0" distR="0" wp14:anchorId="72D24417" wp14:editId="1FFCC10B">
            <wp:extent cx="4610100" cy="2578075"/>
            <wp:effectExtent l="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4643053" cy="2596503"/>
                    </a:xfrm>
                    <a:prstGeom prst="rect">
                      <a:avLst/>
                    </a:prstGeom>
                    <a:noFill/>
                  </pic:spPr>
                </pic:pic>
              </a:graphicData>
            </a:graphic>
          </wp:inline>
        </w:drawing>
      </w:r>
    </w:p>
    <w:p w14:paraId="34DA2D0D" w14:textId="3125F5F0" w:rsidR="005148A1" w:rsidRDefault="005148A1" w:rsidP="00327F87">
      <w:pPr>
        <w:pStyle w:val="Heading3"/>
        <w:numPr>
          <w:ilvl w:val="1"/>
          <w:numId w:val="28"/>
        </w:numPr>
      </w:pPr>
      <w:r>
        <w:t>Participants undertaking</w:t>
      </w:r>
      <w:r w:rsidRPr="003D3386">
        <w:t xml:space="preserve"> Industry skills training</w:t>
      </w:r>
    </w:p>
    <w:p w14:paraId="1FA413BF" w14:textId="035DC875" w:rsidR="00124511" w:rsidRDefault="005148A1" w:rsidP="005148A1">
      <w:pPr>
        <w:pStyle w:val="ListParagraph"/>
        <w:numPr>
          <w:ilvl w:val="0"/>
          <w:numId w:val="29"/>
        </w:numPr>
        <w:spacing w:before="240"/>
        <w:rPr>
          <w:rFonts w:ascii="Arial" w:hAnsi="Arial" w:cs="Arial"/>
          <w:sz w:val="20"/>
        </w:rPr>
      </w:pPr>
      <w:r w:rsidRPr="000A1FCA">
        <w:rPr>
          <w:rFonts w:ascii="Arial" w:hAnsi="Arial" w:cs="Arial"/>
          <w:sz w:val="20"/>
        </w:rPr>
        <w:t>I</w:t>
      </w:r>
      <w:r>
        <w:rPr>
          <w:rFonts w:ascii="Arial" w:hAnsi="Arial" w:cs="Arial"/>
          <w:sz w:val="20"/>
        </w:rPr>
        <w:t>n 2015, i</w:t>
      </w:r>
      <w:r w:rsidRPr="000A1FCA">
        <w:rPr>
          <w:rFonts w:ascii="Arial" w:hAnsi="Arial" w:cs="Arial"/>
          <w:sz w:val="20"/>
        </w:rPr>
        <w:t>ndustry</w:t>
      </w:r>
      <w:r>
        <w:rPr>
          <w:rFonts w:ascii="Arial" w:hAnsi="Arial" w:cs="Arial"/>
          <w:sz w:val="20"/>
        </w:rPr>
        <w:t xml:space="preserve">-skills research training was delivered to </w:t>
      </w:r>
      <w:r w:rsidR="00124511">
        <w:rPr>
          <w:rFonts w:ascii="Arial" w:hAnsi="Arial" w:cs="Arial"/>
          <w:sz w:val="20"/>
        </w:rPr>
        <w:t xml:space="preserve">a total of </w:t>
      </w:r>
      <w:r w:rsidR="00BC2B3C">
        <w:rPr>
          <w:rFonts w:ascii="Arial" w:hAnsi="Arial" w:cs="Arial"/>
          <w:sz w:val="20"/>
        </w:rPr>
        <w:t>10</w:t>
      </w:r>
      <w:r>
        <w:rPr>
          <w:rFonts w:ascii="Arial" w:hAnsi="Arial" w:cs="Arial"/>
          <w:sz w:val="20"/>
        </w:rPr>
        <w:t>,</w:t>
      </w:r>
      <w:r w:rsidR="00BC2B3C">
        <w:rPr>
          <w:rFonts w:ascii="Arial" w:hAnsi="Arial" w:cs="Arial"/>
          <w:sz w:val="20"/>
        </w:rPr>
        <w:t>138</w:t>
      </w:r>
      <w:r>
        <w:rPr>
          <w:rFonts w:ascii="Arial" w:hAnsi="Arial" w:cs="Arial"/>
          <w:sz w:val="20"/>
        </w:rPr>
        <w:t xml:space="preserve"> </w:t>
      </w:r>
      <w:r w:rsidR="00BC2B3C">
        <w:rPr>
          <w:rFonts w:ascii="Arial" w:hAnsi="Arial" w:cs="Arial"/>
          <w:sz w:val="20"/>
        </w:rPr>
        <w:t xml:space="preserve">participants, including </w:t>
      </w:r>
      <w:r w:rsidR="00124511">
        <w:rPr>
          <w:rFonts w:ascii="Arial" w:hAnsi="Arial" w:cs="Arial"/>
          <w:sz w:val="20"/>
        </w:rPr>
        <w:t>academic researchers and research students</w:t>
      </w:r>
      <w:r w:rsidR="00BC2B3C">
        <w:rPr>
          <w:rFonts w:ascii="Arial" w:hAnsi="Arial" w:cs="Arial"/>
          <w:sz w:val="20"/>
        </w:rPr>
        <w:t>.</w:t>
      </w:r>
    </w:p>
    <w:p w14:paraId="6A19A9DF" w14:textId="48C16F00" w:rsidR="005148A1" w:rsidRDefault="005148A1" w:rsidP="005148A1">
      <w:pPr>
        <w:pStyle w:val="ListParagraph"/>
        <w:numPr>
          <w:ilvl w:val="0"/>
          <w:numId w:val="29"/>
        </w:numPr>
        <w:spacing w:before="240"/>
        <w:rPr>
          <w:rFonts w:ascii="Arial" w:hAnsi="Arial" w:cs="Arial"/>
          <w:sz w:val="20"/>
        </w:rPr>
      </w:pPr>
      <w:r w:rsidRPr="000A1FCA">
        <w:rPr>
          <w:rFonts w:ascii="Arial" w:hAnsi="Arial" w:cs="Arial"/>
          <w:sz w:val="20"/>
        </w:rPr>
        <w:t xml:space="preserve">The university sector </w:t>
      </w:r>
      <w:r w:rsidR="00124511">
        <w:rPr>
          <w:rFonts w:ascii="Arial" w:hAnsi="Arial" w:cs="Arial"/>
          <w:sz w:val="20"/>
        </w:rPr>
        <w:t>represents</w:t>
      </w:r>
      <w:r w:rsidRPr="000A1FCA">
        <w:rPr>
          <w:rFonts w:ascii="Arial" w:hAnsi="Arial" w:cs="Arial"/>
          <w:sz w:val="20"/>
        </w:rPr>
        <w:t xml:space="preserve"> the largest participation</w:t>
      </w:r>
      <w:r>
        <w:rPr>
          <w:rFonts w:ascii="Arial" w:hAnsi="Arial" w:cs="Arial"/>
          <w:sz w:val="20"/>
        </w:rPr>
        <w:t xml:space="preserve">, with </w:t>
      </w:r>
      <w:r w:rsidR="00BC2B3C">
        <w:rPr>
          <w:rFonts w:ascii="Arial" w:hAnsi="Arial" w:cs="Arial"/>
          <w:sz w:val="20"/>
        </w:rPr>
        <w:t>8</w:t>
      </w:r>
      <w:r>
        <w:rPr>
          <w:rFonts w:ascii="Arial" w:hAnsi="Arial" w:cs="Arial"/>
          <w:sz w:val="20"/>
        </w:rPr>
        <w:t>,</w:t>
      </w:r>
      <w:r w:rsidR="00BC2B3C">
        <w:rPr>
          <w:rFonts w:ascii="Arial" w:hAnsi="Arial" w:cs="Arial"/>
          <w:sz w:val="20"/>
        </w:rPr>
        <w:t>471</w:t>
      </w:r>
      <w:r w:rsidRPr="000A1FCA">
        <w:rPr>
          <w:rFonts w:ascii="Arial" w:hAnsi="Arial" w:cs="Arial"/>
          <w:sz w:val="20"/>
        </w:rPr>
        <w:t xml:space="preserve"> participants fol</w:t>
      </w:r>
      <w:r>
        <w:rPr>
          <w:rFonts w:ascii="Arial" w:hAnsi="Arial" w:cs="Arial"/>
          <w:sz w:val="20"/>
        </w:rPr>
        <w:t>lowed by PFRAs and MRIs with 1,066 and 601</w:t>
      </w:r>
      <w:r w:rsidRPr="000A1FCA">
        <w:rPr>
          <w:rFonts w:ascii="Arial" w:hAnsi="Arial" w:cs="Arial"/>
          <w:sz w:val="20"/>
        </w:rPr>
        <w:t xml:space="preserve"> participants respectively.</w:t>
      </w:r>
    </w:p>
    <w:p w14:paraId="48706DC8" w14:textId="5E20AD94" w:rsidR="005148A1" w:rsidRPr="005148A1" w:rsidRDefault="005148A1" w:rsidP="00327F87"/>
    <w:p w14:paraId="3D25C947" w14:textId="46F01CDC" w:rsidR="000E512B" w:rsidRDefault="005148A1" w:rsidP="00327F87">
      <w:pPr>
        <w:pStyle w:val="Heading3"/>
        <w:rPr>
          <w:sz w:val="20"/>
          <w:szCs w:val="20"/>
        </w:rPr>
      </w:pPr>
      <w:r w:rsidRPr="00327F87">
        <w:rPr>
          <w:sz w:val="20"/>
          <w:szCs w:val="20"/>
        </w:rPr>
        <w:t>Table 5.2: Number of participants by sector undertaking Industry skills training</w:t>
      </w:r>
      <w:r w:rsidR="00BD2F45">
        <w:rPr>
          <w:sz w:val="20"/>
          <w:szCs w:val="20"/>
        </w:rPr>
        <w:t xml:space="preserve"> </w:t>
      </w:r>
      <w:r w:rsidR="00124511">
        <w:rPr>
          <w:sz w:val="20"/>
          <w:szCs w:val="20"/>
        </w:rPr>
        <w:t>in</w:t>
      </w:r>
      <w:r w:rsidR="00BD2F45">
        <w:rPr>
          <w:sz w:val="20"/>
          <w:szCs w:val="20"/>
        </w:rPr>
        <w:t xml:space="preserve"> 2015</w:t>
      </w:r>
    </w:p>
    <w:p w14:paraId="6350A6BB" w14:textId="77777777" w:rsidR="00BC2B3C" w:rsidRDefault="00BC2B3C" w:rsidP="00BC2B3C"/>
    <w:p w14:paraId="2819327F" w14:textId="5324FD68" w:rsidR="00BC2B3C" w:rsidRPr="00BC2B3C" w:rsidRDefault="00BC2B3C" w:rsidP="00BC2B3C">
      <w:r w:rsidRPr="00BC2B3C">
        <w:rPr>
          <w:noProof/>
          <w:lang w:eastAsia="en-AU"/>
        </w:rPr>
        <w:drawing>
          <wp:inline distT="0" distB="0" distL="0" distR="0" wp14:anchorId="65DA0DCE" wp14:editId="07BD0E03">
            <wp:extent cx="5114666" cy="2099144"/>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5141245" cy="2110052"/>
                    </a:xfrm>
                    <a:prstGeom prst="rect">
                      <a:avLst/>
                    </a:prstGeom>
                    <a:noFill/>
                    <a:ln>
                      <a:noFill/>
                    </a:ln>
                  </pic:spPr>
                </pic:pic>
              </a:graphicData>
            </a:graphic>
          </wp:inline>
        </w:drawing>
      </w:r>
    </w:p>
    <w:p w14:paraId="71D260FF" w14:textId="6C26F042" w:rsidR="002420A9" w:rsidRPr="00BC2B3C" w:rsidRDefault="00BC2B3C" w:rsidP="00BC2B3C">
      <w:pPr>
        <w:pStyle w:val="Heading3"/>
        <w:spacing w:before="0" w:line="240" w:lineRule="auto"/>
        <w:rPr>
          <w:rFonts w:asciiTheme="minorHAnsi" w:hAnsiTheme="minorHAnsi" w:cstheme="minorHAnsi"/>
          <w:color w:val="auto"/>
          <w:sz w:val="16"/>
          <w:szCs w:val="16"/>
        </w:rPr>
      </w:pPr>
      <w:r w:rsidRPr="00BC2B3C">
        <w:rPr>
          <w:rFonts w:asciiTheme="minorHAnsi" w:hAnsiTheme="minorHAnsi" w:cstheme="minorHAnsi"/>
          <w:color w:val="auto"/>
          <w:sz w:val="16"/>
          <w:szCs w:val="16"/>
        </w:rPr>
        <w:t>NOTE:</w:t>
      </w:r>
      <w:r>
        <w:rPr>
          <w:rFonts w:asciiTheme="minorHAnsi" w:hAnsiTheme="minorHAnsi" w:cstheme="minorHAnsi"/>
          <w:color w:val="auto"/>
          <w:sz w:val="16"/>
          <w:szCs w:val="16"/>
        </w:rPr>
        <w:t xml:space="preserve"> Some reporting universities </w:t>
      </w:r>
      <w:r w:rsidR="00D570BD">
        <w:rPr>
          <w:rFonts w:asciiTheme="minorHAnsi" w:hAnsiTheme="minorHAnsi" w:cstheme="minorHAnsi"/>
          <w:color w:val="auto"/>
          <w:sz w:val="16"/>
          <w:szCs w:val="16"/>
        </w:rPr>
        <w:t>provided a total figure only, and did not specify whether participants were academic researchers or research students.</w:t>
      </w:r>
    </w:p>
    <w:p w14:paraId="79A5B4DF" w14:textId="7420F357" w:rsidR="000E512B" w:rsidRDefault="000E512B" w:rsidP="009F52A3"/>
    <w:p w14:paraId="3F4351EE" w14:textId="3D3DADB6" w:rsidR="007059EE" w:rsidRDefault="005148A1" w:rsidP="00327F87">
      <w:pPr>
        <w:pStyle w:val="Heading3"/>
        <w:rPr>
          <w:sz w:val="20"/>
          <w:szCs w:val="20"/>
        </w:rPr>
      </w:pPr>
      <w:r w:rsidRPr="00327F87">
        <w:rPr>
          <w:sz w:val="20"/>
          <w:szCs w:val="20"/>
        </w:rPr>
        <w:t>Figure 5.2: Number of participants by sector undertaking Industry skills training</w:t>
      </w:r>
      <w:r w:rsidR="00BD2F45">
        <w:rPr>
          <w:sz w:val="20"/>
          <w:szCs w:val="20"/>
        </w:rPr>
        <w:t xml:space="preserve"> </w:t>
      </w:r>
      <w:r w:rsidR="00124511">
        <w:rPr>
          <w:sz w:val="20"/>
          <w:szCs w:val="20"/>
        </w:rPr>
        <w:t>in</w:t>
      </w:r>
      <w:r w:rsidR="00BD2F45">
        <w:rPr>
          <w:sz w:val="20"/>
          <w:szCs w:val="20"/>
        </w:rPr>
        <w:t xml:space="preserve"> 2015</w:t>
      </w:r>
    </w:p>
    <w:p w14:paraId="6100D10D" w14:textId="77777777" w:rsidR="00D570BD" w:rsidRDefault="00D570BD" w:rsidP="00D570BD"/>
    <w:p w14:paraId="7760BEE1" w14:textId="58BBD2BD" w:rsidR="00D570BD" w:rsidRPr="00D570BD" w:rsidRDefault="00D570BD" w:rsidP="00D570BD">
      <w:r>
        <w:rPr>
          <w:noProof/>
          <w:lang w:eastAsia="en-AU"/>
        </w:rPr>
        <w:drawing>
          <wp:inline distT="0" distB="0" distL="0" distR="0" wp14:anchorId="38908C01" wp14:editId="723AD50D">
            <wp:extent cx="4651513" cy="2949934"/>
            <wp:effectExtent l="0" t="0" r="0" b="3175"/>
            <wp:docPr id="11" name="Chart 11"/>
            <wp:cNvGraphicFramePr/>
            <a:graphic xmlns:a="http://schemas.openxmlformats.org/drawingml/2006/main">
              <a:graphicData uri="http://schemas.openxmlformats.org/drawingml/2006/chart">
                <c:chart xmlns:c="http://schemas.openxmlformats.org/drawingml/2006/chart" xmlns:r="http://schemas.openxmlformats.org/officeDocument/2006/relationships" r:id="rId29"/>
              </a:graphicData>
            </a:graphic>
          </wp:inline>
        </w:drawing>
      </w:r>
    </w:p>
    <w:p w14:paraId="2CDC07AB" w14:textId="77777777" w:rsidR="00D570BD" w:rsidRPr="00D570BD" w:rsidRDefault="00D570BD" w:rsidP="00D570BD"/>
    <w:p w14:paraId="088CE2E1" w14:textId="560C40BE" w:rsidR="005148A1" w:rsidRPr="009F52A3" w:rsidRDefault="005148A1" w:rsidP="009F52A3"/>
    <w:sectPr w:rsidR="005148A1" w:rsidRPr="009F52A3" w:rsidSect="0031658C">
      <w:headerReference w:type="default" r:id="rId30"/>
      <w:footerReference w:type="default" r:id="rId31"/>
      <w:headerReference w:type="first" r:id="rId32"/>
      <w:footerReference w:type="first" r:id="rId3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B6E20BE" w14:textId="77777777" w:rsidR="00ED56EB" w:rsidRDefault="00ED56EB" w:rsidP="00B526AB">
      <w:pPr>
        <w:spacing w:after="0" w:line="240" w:lineRule="auto"/>
      </w:pPr>
      <w:r>
        <w:separator/>
      </w:r>
    </w:p>
  </w:endnote>
  <w:endnote w:type="continuationSeparator" w:id="0">
    <w:p w14:paraId="01ECCB81" w14:textId="77777777" w:rsidR="00ED56EB" w:rsidRDefault="00ED56EB" w:rsidP="00B526AB">
      <w:pPr>
        <w:spacing w:after="0" w:line="240" w:lineRule="auto"/>
      </w:pPr>
      <w:r>
        <w:continuationSeparator/>
      </w:r>
    </w:p>
  </w:endnote>
  <w:endnote w:type="continuationNotice" w:id="1">
    <w:p w14:paraId="7FBA31A8" w14:textId="77777777" w:rsidR="00ED56EB" w:rsidRDefault="00ED56E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MS PGothic">
    <w:panose1 w:val="020B0600070205080204"/>
    <w:charset w:val="80"/>
    <w:family w:val="swiss"/>
    <w:pitch w:val="variable"/>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EE45A4E" w14:textId="77777777" w:rsidR="00ED56EB" w:rsidRDefault="00ED56EB" w:rsidP="0091514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9695A39" w14:textId="77777777" w:rsidR="00ED56EB" w:rsidRDefault="00ED56EB" w:rsidP="0031658C">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CE0083" w14:textId="77777777" w:rsidR="00ED56EB" w:rsidRDefault="00ED56EB" w:rsidP="00A93922">
    <w:pPr>
      <w:pStyle w:val="Foote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85E568" w14:textId="77777777" w:rsidR="00ED56EB" w:rsidRDefault="00ED56EB" w:rsidP="0091514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EE4FBB">
      <w:rPr>
        <w:rStyle w:val="PageNumber"/>
        <w:noProof/>
      </w:rPr>
      <w:t>2</w:t>
    </w:r>
    <w:r>
      <w:rPr>
        <w:rStyle w:val="PageNumber"/>
      </w:rPr>
      <w:fldChar w:fldCharType="end"/>
    </w:r>
  </w:p>
  <w:p w14:paraId="57BE8425" w14:textId="312A9182" w:rsidR="00ED56EB" w:rsidRPr="00327F87" w:rsidRDefault="00ED56EB" w:rsidP="0031658C">
    <w:pPr>
      <w:pStyle w:val="Footer"/>
      <w:ind w:right="360"/>
      <w:rPr>
        <w:sz w:val="16"/>
        <w:szCs w:val="16"/>
      </w:rPr>
    </w:pPr>
    <w:r w:rsidRPr="00327F87">
      <w:rPr>
        <w:sz w:val="16"/>
        <w:szCs w:val="16"/>
      </w:rPr>
      <w:t>NSRC 2013-15 Data Summary</w:t>
    </w:r>
    <w:r w:rsidRPr="00327F87">
      <w:rPr>
        <w:sz w:val="16"/>
        <w:szCs w:val="16"/>
      </w:rPr>
      <w:tab/>
      <w:t>industry.gov.au/nsrc</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A35B949" w14:textId="77777777" w:rsidR="00ED56EB" w:rsidRDefault="00ED56EB" w:rsidP="0091514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2A121BD5" w14:textId="77777777" w:rsidR="00ED56EB" w:rsidRDefault="00ED56EB" w:rsidP="0031658C">
    <w:pPr>
      <w:pStyle w:val="Footer"/>
      <w:tabs>
        <w:tab w:val="clear" w:pos="8640"/>
      </w:tabs>
      <w:ind w:right="379"/>
    </w:pPr>
    <w:r>
      <w:t>Document Title</w:t>
    </w:r>
    <w:r>
      <w:tab/>
      <w:t>industry.gov.au</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2EE721F" w14:textId="77777777" w:rsidR="00ED56EB" w:rsidRDefault="00ED56EB" w:rsidP="00B526AB">
      <w:pPr>
        <w:spacing w:after="0" w:line="240" w:lineRule="auto"/>
      </w:pPr>
      <w:r>
        <w:separator/>
      </w:r>
    </w:p>
  </w:footnote>
  <w:footnote w:type="continuationSeparator" w:id="0">
    <w:p w14:paraId="69CD93FC" w14:textId="77777777" w:rsidR="00ED56EB" w:rsidRDefault="00ED56EB" w:rsidP="00B526AB">
      <w:pPr>
        <w:spacing w:after="0" w:line="240" w:lineRule="auto"/>
      </w:pPr>
      <w:r>
        <w:continuationSeparator/>
      </w:r>
    </w:p>
  </w:footnote>
  <w:footnote w:type="continuationNotice" w:id="1">
    <w:p w14:paraId="0A7339D0" w14:textId="77777777" w:rsidR="00ED56EB" w:rsidRDefault="00ED56EB">
      <w:pPr>
        <w:spacing w:after="0" w:line="240" w:lineRule="auto"/>
      </w:pPr>
    </w:p>
  </w:footnote>
  <w:footnote w:id="2">
    <w:p w14:paraId="42825579" w14:textId="77777777" w:rsidR="00ED56EB" w:rsidRPr="00804889" w:rsidRDefault="00ED56EB" w:rsidP="00AF22C0">
      <w:pPr>
        <w:tabs>
          <w:tab w:val="left" w:pos="0"/>
        </w:tabs>
        <w:spacing w:after="0"/>
        <w:jc w:val="both"/>
        <w:rPr>
          <w:rFonts w:ascii="Arial" w:hAnsi="Arial" w:cs="Arial"/>
          <w:sz w:val="16"/>
          <w:szCs w:val="16"/>
        </w:rPr>
      </w:pPr>
      <w:r w:rsidRPr="00804889">
        <w:rPr>
          <w:rStyle w:val="FootnoteReference"/>
        </w:rPr>
        <w:footnoteRef/>
      </w:r>
      <w:r w:rsidRPr="00804889">
        <w:rPr>
          <w:sz w:val="16"/>
          <w:szCs w:val="16"/>
        </w:rPr>
        <w:t xml:space="preserve"> </w:t>
      </w:r>
      <w:r>
        <w:rPr>
          <w:rFonts w:ascii="Arial" w:hAnsi="Arial" w:cs="Arial"/>
          <w:sz w:val="16"/>
          <w:szCs w:val="16"/>
        </w:rPr>
        <w:t>Trends may be impacted by</w:t>
      </w:r>
      <w:r w:rsidRPr="00804889">
        <w:rPr>
          <w:rFonts w:ascii="Arial" w:hAnsi="Arial" w:cs="Arial"/>
          <w:sz w:val="16"/>
          <w:szCs w:val="16"/>
        </w:rPr>
        <w:t xml:space="preserve"> the introduction of a separate reporting field for research collaborations in the 2014 </w:t>
      </w:r>
      <w:r>
        <w:rPr>
          <w:rFonts w:ascii="Arial" w:hAnsi="Arial" w:cs="Arial"/>
          <w:sz w:val="16"/>
          <w:szCs w:val="16"/>
        </w:rPr>
        <w:t>NSRC</w:t>
      </w:r>
      <w:r w:rsidRPr="00804889">
        <w:rPr>
          <w:rFonts w:ascii="Arial" w:hAnsi="Arial" w:cs="Arial"/>
          <w:sz w:val="16"/>
          <w:szCs w:val="16"/>
        </w:rPr>
        <w:t xml:space="preserve">. Previously, research contracts and collaborations were </w:t>
      </w:r>
      <w:r>
        <w:rPr>
          <w:rFonts w:ascii="Arial" w:hAnsi="Arial" w:cs="Arial"/>
          <w:sz w:val="16"/>
          <w:szCs w:val="16"/>
        </w:rPr>
        <w:t xml:space="preserve">a </w:t>
      </w:r>
      <w:r w:rsidRPr="00804889">
        <w:rPr>
          <w:rFonts w:ascii="Arial" w:hAnsi="Arial" w:cs="Arial"/>
          <w:sz w:val="16"/>
          <w:szCs w:val="16"/>
        </w:rPr>
        <w:t xml:space="preserve">combined </w:t>
      </w:r>
      <w:r>
        <w:rPr>
          <w:rFonts w:ascii="Arial" w:hAnsi="Arial" w:cs="Arial"/>
          <w:sz w:val="16"/>
          <w:szCs w:val="16"/>
        </w:rPr>
        <w:t xml:space="preserve">metric </w:t>
      </w:r>
      <w:r w:rsidRPr="00804889">
        <w:rPr>
          <w:rFonts w:ascii="Arial" w:hAnsi="Arial" w:cs="Arial"/>
          <w:sz w:val="16"/>
          <w:szCs w:val="16"/>
        </w:rPr>
        <w:t xml:space="preserve">and </w:t>
      </w:r>
      <w:r>
        <w:rPr>
          <w:rFonts w:ascii="Arial" w:hAnsi="Arial" w:cs="Arial"/>
          <w:sz w:val="16"/>
          <w:szCs w:val="16"/>
        </w:rPr>
        <w:t>this may have</w:t>
      </w:r>
      <w:r w:rsidRPr="00804889">
        <w:rPr>
          <w:rFonts w:ascii="Arial" w:hAnsi="Arial" w:cs="Arial"/>
          <w:sz w:val="16"/>
          <w:szCs w:val="16"/>
        </w:rPr>
        <w:t xml:space="preserve"> resulted in under reporting by MRIs.</w:t>
      </w:r>
    </w:p>
  </w:footnote>
  <w:footnote w:id="3">
    <w:p w14:paraId="37F9E546" w14:textId="77777777" w:rsidR="00ED56EB" w:rsidRDefault="00ED56EB" w:rsidP="00BD2F45">
      <w:pPr>
        <w:pStyle w:val="FootnoteText"/>
      </w:pPr>
      <w:r>
        <w:rPr>
          <w:rStyle w:val="FootnoteReference"/>
        </w:rPr>
        <w:footnoteRef/>
      </w:r>
      <w:r>
        <w:t xml:space="preserve"> Definition of the “industry skills training” is not consistent for the period. In 2013 industry skill training included commercialisation and entrepreneurship training for researchers and research students as part of their professional development. In 2014, it became broader encompassing industry skills training which may include but not limited to entrepreneurship, commercialisation, business management, communication and teamwork.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3CBDC9" w14:textId="77777777" w:rsidR="00ED56EB" w:rsidRDefault="00ED56EB">
    <w:pPr>
      <w:pStyle w:val="Header"/>
    </w:pPr>
    <w:r>
      <w:rPr>
        <w:noProof/>
        <w:lang w:eastAsia="en-AU"/>
      </w:rPr>
      <w:drawing>
        <wp:anchor distT="0" distB="0" distL="114300" distR="114300" simplePos="0" relativeHeight="251658241" behindDoc="0" locked="0" layoutInCell="1" allowOverlap="1" wp14:anchorId="66222572" wp14:editId="47037D07">
          <wp:simplePos x="0" y="0"/>
          <wp:positionH relativeFrom="column">
            <wp:posOffset>-417830</wp:posOffset>
          </wp:positionH>
          <wp:positionV relativeFrom="paragraph">
            <wp:posOffset>82550</wp:posOffset>
          </wp:positionV>
          <wp:extent cx="2448560" cy="727710"/>
          <wp:effectExtent l="0" t="0" r="0" b="8890"/>
          <wp:wrapTopAndBottom/>
          <wp:docPr id="21" name="Picture 21" descr="Australian Government | Department of Industry, Innovation and Science logo&#10;" title="Australian Government | Department of Industry, Innovation and Sci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IIS-header-temp.png"/>
                  <pic:cNvPicPr/>
                </pic:nvPicPr>
                <pic:blipFill>
                  <a:blip r:embed="rId1">
                    <a:extLst>
                      <a:ext uri="{28A0092B-C50C-407E-A947-70E740481C1C}">
                        <a14:useLocalDpi xmlns:a14="http://schemas.microsoft.com/office/drawing/2010/main" val="0"/>
                      </a:ext>
                    </a:extLst>
                  </a:blip>
                  <a:stretch>
                    <a:fillRect/>
                  </a:stretch>
                </pic:blipFill>
                <pic:spPr bwMode="auto">
                  <a:xfrm>
                    <a:off x="0" y="0"/>
                    <a:ext cx="2448560" cy="72771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noProof/>
        <w:lang w:val="en-US"/>
      </w:rPr>
      <w:t xml:space="preserve"> </w:t>
    </w:r>
    <w:r>
      <w:rPr>
        <w:noProof/>
        <w:lang w:eastAsia="en-AU"/>
      </w:rPr>
      <w:drawing>
        <wp:anchor distT="0" distB="0" distL="114300" distR="114300" simplePos="0" relativeHeight="251658240" behindDoc="1" locked="0" layoutInCell="1" allowOverlap="1" wp14:anchorId="6BE03D9F" wp14:editId="14A8F2ED">
          <wp:simplePos x="0" y="0"/>
          <wp:positionH relativeFrom="column">
            <wp:posOffset>-784860</wp:posOffset>
          </wp:positionH>
          <wp:positionV relativeFrom="paragraph">
            <wp:posOffset>-199390</wp:posOffset>
          </wp:positionV>
          <wp:extent cx="7271385" cy="10285730"/>
          <wp:effectExtent l="0" t="0" r="0" b="127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epartmental_Word_update_slide_master_nologo.jpg"/>
                  <pic:cNvPicPr/>
                </pic:nvPicPr>
                <pic:blipFill>
                  <a:blip r:embed="rId2">
                    <a:extLst>
                      <a:ext uri="{28A0092B-C50C-407E-A947-70E740481C1C}">
                        <a14:useLocalDpi xmlns:a14="http://schemas.microsoft.com/office/drawing/2010/main" val="0"/>
                      </a:ext>
                    </a:extLst>
                  </a:blip>
                  <a:stretch>
                    <a:fillRect/>
                  </a:stretch>
                </pic:blipFill>
                <pic:spPr>
                  <a:xfrm>
                    <a:off x="0" y="0"/>
                    <a:ext cx="7271385" cy="10285730"/>
                  </a:xfrm>
                  <a:prstGeom prst="rect">
                    <a:avLst/>
                  </a:prstGeom>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DC0E35D" w14:textId="6EF69633" w:rsidR="00ED56EB" w:rsidRPr="007B6E7A" w:rsidRDefault="00ED56EB" w:rsidP="007B6E7A">
    <w:pPr>
      <w:pStyle w:val="Header"/>
      <w:jc w:val="center"/>
      <w:rPr>
        <w:color w:val="FF0000"/>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31DE43" w14:textId="77777777" w:rsidR="00ED56EB" w:rsidRDefault="00ED56E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5F36FD56"/>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2E7CD51A"/>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0B82E9A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DB2EF1B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2D56CBF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7456C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F5899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C0F05DB2"/>
    <w:lvl w:ilvl="0">
      <w:start w:val="1"/>
      <w:numFmt w:val="bullet"/>
      <w:pStyle w:val="ListBullet2"/>
      <w:lvlText w:val=""/>
      <w:lvlJc w:val="left"/>
      <w:pPr>
        <w:ind w:left="644" w:hanging="360"/>
      </w:pPr>
      <w:rPr>
        <w:rFonts w:ascii="Symbol" w:hAnsi="Symbol" w:hint="default"/>
        <w:b/>
        <w:i w:val="0"/>
        <w:color w:val="005677" w:themeColor="accent1"/>
      </w:rPr>
    </w:lvl>
  </w:abstractNum>
  <w:abstractNum w:abstractNumId="8" w15:restartNumberingAfterBreak="0">
    <w:nsid w:val="FFFFFF88"/>
    <w:multiLevelType w:val="singleLevel"/>
    <w:tmpl w:val="9350D2C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131A1AA8"/>
    <w:lvl w:ilvl="0">
      <w:start w:val="1"/>
      <w:numFmt w:val="bullet"/>
      <w:pStyle w:val="ListBullet"/>
      <w:lvlText w:val=""/>
      <w:lvlJc w:val="left"/>
      <w:pPr>
        <w:ind w:left="502" w:hanging="360"/>
      </w:pPr>
      <w:rPr>
        <w:rFonts w:ascii="Symbol" w:hAnsi="Symbol" w:hint="default"/>
        <w:color w:val="005677" w:themeColor="accent1"/>
      </w:rPr>
    </w:lvl>
  </w:abstractNum>
  <w:abstractNum w:abstractNumId="10" w15:restartNumberingAfterBreak="0">
    <w:nsid w:val="001B40E5"/>
    <w:multiLevelType w:val="hybridMultilevel"/>
    <w:tmpl w:val="B2F859E6"/>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1" w15:restartNumberingAfterBreak="0">
    <w:nsid w:val="056056D5"/>
    <w:multiLevelType w:val="hybridMultilevel"/>
    <w:tmpl w:val="DDE2C9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B2E76C9"/>
    <w:multiLevelType w:val="hybridMultilevel"/>
    <w:tmpl w:val="89C6D11A"/>
    <w:lvl w:ilvl="0" w:tplc="0C090001">
      <w:start w:val="1"/>
      <w:numFmt w:val="bullet"/>
      <w:lvlText w:val=""/>
      <w:lvlJc w:val="left"/>
      <w:pPr>
        <w:ind w:left="360" w:hanging="360"/>
      </w:pPr>
      <w:rPr>
        <w:rFonts w:ascii="Symbol" w:hAnsi="Symbol" w:hint="default"/>
      </w:rPr>
    </w:lvl>
    <w:lvl w:ilvl="1" w:tplc="0C090019">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3" w15:restartNumberingAfterBreak="0">
    <w:nsid w:val="1BFC3ED9"/>
    <w:multiLevelType w:val="multilevel"/>
    <w:tmpl w:val="E4621600"/>
    <w:lvl w:ilvl="0">
      <w:start w:val="3"/>
      <w:numFmt w:val="decimal"/>
      <w:lvlText w:val="%1."/>
      <w:lvlJc w:val="left"/>
      <w:pPr>
        <w:ind w:left="360" w:hanging="360"/>
      </w:pPr>
      <w:rPr>
        <w:rFonts w:hint="default"/>
      </w:rPr>
    </w:lvl>
    <w:lvl w:ilvl="1">
      <w:start w:val="4"/>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4" w15:restartNumberingAfterBreak="0">
    <w:nsid w:val="34513FDC"/>
    <w:multiLevelType w:val="hybridMultilevel"/>
    <w:tmpl w:val="B3381AE2"/>
    <w:lvl w:ilvl="0" w:tplc="0C09000F">
      <w:start w:val="1"/>
      <w:numFmt w:val="decimal"/>
      <w:lvlText w:val="%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5" w15:restartNumberingAfterBreak="0">
    <w:nsid w:val="34956552"/>
    <w:multiLevelType w:val="hybridMultilevel"/>
    <w:tmpl w:val="9FD642A8"/>
    <w:lvl w:ilvl="0" w:tplc="0C090001">
      <w:start w:val="1"/>
      <w:numFmt w:val="bullet"/>
      <w:lvlText w:val=""/>
      <w:lvlJc w:val="left"/>
      <w:pPr>
        <w:ind w:left="360" w:hanging="360"/>
      </w:pPr>
      <w:rPr>
        <w:rFonts w:ascii="Symbol" w:hAnsi="Symbol" w:hint="default"/>
      </w:rPr>
    </w:lvl>
    <w:lvl w:ilvl="1" w:tplc="0C090019">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6" w15:restartNumberingAfterBreak="0">
    <w:nsid w:val="3E22704D"/>
    <w:multiLevelType w:val="hybridMultilevel"/>
    <w:tmpl w:val="0BAC2422"/>
    <w:lvl w:ilvl="0" w:tplc="0C090001">
      <w:start w:val="1"/>
      <w:numFmt w:val="bullet"/>
      <w:lvlText w:val=""/>
      <w:lvlJc w:val="left"/>
      <w:pPr>
        <w:ind w:left="360" w:hanging="360"/>
      </w:pPr>
      <w:rPr>
        <w:rFonts w:ascii="Symbol" w:hAnsi="Symbol" w:hint="default"/>
      </w:rPr>
    </w:lvl>
    <w:lvl w:ilvl="1" w:tplc="0C090019">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7" w15:restartNumberingAfterBreak="0">
    <w:nsid w:val="44E703C7"/>
    <w:multiLevelType w:val="hybridMultilevel"/>
    <w:tmpl w:val="393870C6"/>
    <w:lvl w:ilvl="0" w:tplc="0C090001">
      <w:start w:val="1"/>
      <w:numFmt w:val="bullet"/>
      <w:lvlText w:val=""/>
      <w:lvlJc w:val="left"/>
      <w:pPr>
        <w:ind w:left="360" w:hanging="360"/>
      </w:pPr>
      <w:rPr>
        <w:rFonts w:ascii="Symbol" w:hAnsi="Symbol" w:hint="default"/>
      </w:rPr>
    </w:lvl>
    <w:lvl w:ilvl="1" w:tplc="0C090019">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8" w15:restartNumberingAfterBreak="0">
    <w:nsid w:val="45396BEE"/>
    <w:multiLevelType w:val="hybridMultilevel"/>
    <w:tmpl w:val="B58A259C"/>
    <w:lvl w:ilvl="0" w:tplc="0C090001">
      <w:start w:val="1"/>
      <w:numFmt w:val="bullet"/>
      <w:lvlText w:val=""/>
      <w:lvlJc w:val="left"/>
      <w:pPr>
        <w:ind w:left="360" w:hanging="360"/>
      </w:pPr>
      <w:rPr>
        <w:rFonts w:ascii="Symbol" w:hAnsi="Symbol" w:hint="default"/>
      </w:rPr>
    </w:lvl>
    <w:lvl w:ilvl="1" w:tplc="0C090019">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9" w15:restartNumberingAfterBreak="0">
    <w:nsid w:val="45657E9D"/>
    <w:multiLevelType w:val="hybridMultilevel"/>
    <w:tmpl w:val="7B7CD80A"/>
    <w:lvl w:ilvl="0" w:tplc="3BC42BE0">
      <w:start w:val="5"/>
      <w:numFmt w:val="decimal"/>
      <w:lvlText w:val="%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0" w15:restartNumberingAfterBreak="0">
    <w:nsid w:val="49F75C9D"/>
    <w:multiLevelType w:val="multilevel"/>
    <w:tmpl w:val="9EB6326A"/>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55A61C29"/>
    <w:multiLevelType w:val="hybridMultilevel"/>
    <w:tmpl w:val="F9443836"/>
    <w:lvl w:ilvl="0" w:tplc="0C090001">
      <w:start w:val="1"/>
      <w:numFmt w:val="bullet"/>
      <w:lvlText w:val=""/>
      <w:lvlJc w:val="left"/>
      <w:pPr>
        <w:ind w:left="360" w:hanging="360"/>
      </w:pPr>
      <w:rPr>
        <w:rFonts w:ascii="Symbol" w:hAnsi="Symbol"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2" w15:restartNumberingAfterBreak="0">
    <w:nsid w:val="569B3C77"/>
    <w:multiLevelType w:val="hybridMultilevel"/>
    <w:tmpl w:val="A1CA519A"/>
    <w:lvl w:ilvl="0" w:tplc="D4401FF8">
      <w:start w:val="4"/>
      <w:numFmt w:val="decimal"/>
      <w:lvlText w:val="%1."/>
      <w:lvlJc w:val="left"/>
      <w:pPr>
        <w:ind w:left="36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3" w15:restartNumberingAfterBreak="0">
    <w:nsid w:val="59B11D1F"/>
    <w:multiLevelType w:val="hybridMultilevel"/>
    <w:tmpl w:val="C0364D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0E92571"/>
    <w:multiLevelType w:val="hybridMultilevel"/>
    <w:tmpl w:val="19564F54"/>
    <w:lvl w:ilvl="0" w:tplc="0C090001">
      <w:start w:val="1"/>
      <w:numFmt w:val="bullet"/>
      <w:lvlText w:val=""/>
      <w:lvlJc w:val="left"/>
      <w:pPr>
        <w:ind w:left="360" w:hanging="360"/>
      </w:pPr>
      <w:rPr>
        <w:rFonts w:ascii="Symbol" w:hAnsi="Symbol" w:hint="default"/>
      </w:rPr>
    </w:lvl>
    <w:lvl w:ilvl="1" w:tplc="0C090019">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5" w15:restartNumberingAfterBreak="0">
    <w:nsid w:val="60FC5C8E"/>
    <w:multiLevelType w:val="hybridMultilevel"/>
    <w:tmpl w:val="FAA29A1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15:restartNumberingAfterBreak="0">
    <w:nsid w:val="64B548B6"/>
    <w:multiLevelType w:val="multilevel"/>
    <w:tmpl w:val="30B0402C"/>
    <w:lvl w:ilvl="0">
      <w:start w:val="5"/>
      <w:numFmt w:val="decimal"/>
      <w:lvlText w:val="%1."/>
      <w:lvlJc w:val="left"/>
      <w:pPr>
        <w:ind w:left="360" w:hanging="360"/>
      </w:pPr>
      <w:rPr>
        <w:rFonts w:hint="default"/>
      </w:rPr>
    </w:lvl>
    <w:lvl w:ilvl="1">
      <w:start w:val="2"/>
      <w:numFmt w:val="decimal"/>
      <w:isLgl/>
      <w:lvlText w:val="%1.%2"/>
      <w:lvlJc w:val="left"/>
      <w:pPr>
        <w:ind w:left="405" w:hanging="405"/>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7" w15:restartNumberingAfterBreak="0">
    <w:nsid w:val="662B4629"/>
    <w:multiLevelType w:val="hybridMultilevel"/>
    <w:tmpl w:val="F75413DE"/>
    <w:lvl w:ilvl="0" w:tplc="D4401FF8">
      <w:start w:val="4"/>
      <w:numFmt w:val="decimal"/>
      <w:lvlText w:val="%1."/>
      <w:lvlJc w:val="left"/>
      <w:pPr>
        <w:ind w:left="360" w:hanging="360"/>
      </w:pPr>
      <w:rPr>
        <w:rFonts w:hint="default"/>
      </w:rPr>
    </w:lvl>
    <w:lvl w:ilvl="1" w:tplc="0C090019">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8" w15:restartNumberingAfterBreak="0">
    <w:nsid w:val="66592A47"/>
    <w:multiLevelType w:val="hybridMultilevel"/>
    <w:tmpl w:val="531252F4"/>
    <w:lvl w:ilvl="0" w:tplc="0C090001">
      <w:start w:val="1"/>
      <w:numFmt w:val="bullet"/>
      <w:lvlText w:val=""/>
      <w:lvlJc w:val="left"/>
      <w:pPr>
        <w:ind w:left="360" w:hanging="360"/>
      </w:pPr>
      <w:rPr>
        <w:rFonts w:ascii="Symbol" w:hAnsi="Symbol" w:hint="default"/>
      </w:rPr>
    </w:lvl>
    <w:lvl w:ilvl="1" w:tplc="0C090019">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9" w15:restartNumberingAfterBreak="0">
    <w:nsid w:val="68BF4751"/>
    <w:multiLevelType w:val="hybridMultilevel"/>
    <w:tmpl w:val="172EC67E"/>
    <w:lvl w:ilvl="0" w:tplc="6FF4531E">
      <w:start w:val="1"/>
      <w:numFmt w:val="decimal"/>
      <w:lvlText w:val="%1."/>
      <w:lvlJc w:val="left"/>
      <w:pPr>
        <w:ind w:left="360" w:hanging="360"/>
      </w:pPr>
      <w:rPr>
        <w:rFonts w:hint="default"/>
        <w:sz w:val="22"/>
      </w:rPr>
    </w:lvl>
    <w:lvl w:ilvl="1" w:tplc="0C09000F">
      <w:start w:val="1"/>
      <w:numFmt w:val="decimal"/>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30" w15:restartNumberingAfterBreak="0">
    <w:nsid w:val="68F96E54"/>
    <w:multiLevelType w:val="hybridMultilevel"/>
    <w:tmpl w:val="8F4A8672"/>
    <w:lvl w:ilvl="0" w:tplc="0C09000F">
      <w:start w:val="1"/>
      <w:numFmt w:val="decimal"/>
      <w:lvlText w:val="%1."/>
      <w:lvlJc w:val="left"/>
      <w:pPr>
        <w:ind w:left="360" w:hanging="360"/>
      </w:pPr>
    </w:lvl>
    <w:lvl w:ilvl="1" w:tplc="ECECC8E4">
      <w:start w:val="5"/>
      <w:numFmt w:val="lowerLetter"/>
      <w:lvlText w:val="%2."/>
      <w:lvlJc w:val="left"/>
      <w:pPr>
        <w:ind w:left="1080" w:hanging="360"/>
      </w:pPr>
      <w:rPr>
        <w:rFonts w:hint="default"/>
      </w:r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31" w15:restartNumberingAfterBreak="0">
    <w:nsid w:val="6BB01B5B"/>
    <w:multiLevelType w:val="hybridMultilevel"/>
    <w:tmpl w:val="3970F564"/>
    <w:lvl w:ilvl="0" w:tplc="0C090001">
      <w:start w:val="1"/>
      <w:numFmt w:val="bullet"/>
      <w:lvlText w:val=""/>
      <w:lvlJc w:val="left"/>
      <w:pPr>
        <w:ind w:left="360" w:hanging="360"/>
      </w:pPr>
      <w:rPr>
        <w:rFonts w:ascii="Symbol" w:hAnsi="Symbol" w:hint="default"/>
      </w:rPr>
    </w:lvl>
    <w:lvl w:ilvl="1" w:tplc="0C090019">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32" w15:restartNumberingAfterBreak="0">
    <w:nsid w:val="6BE45EFA"/>
    <w:multiLevelType w:val="hybridMultilevel"/>
    <w:tmpl w:val="EFAAD9BA"/>
    <w:lvl w:ilvl="0" w:tplc="0C090001">
      <w:start w:val="1"/>
      <w:numFmt w:val="bullet"/>
      <w:lvlText w:val=""/>
      <w:lvlJc w:val="left"/>
      <w:pPr>
        <w:ind w:left="360" w:hanging="360"/>
      </w:pPr>
      <w:rPr>
        <w:rFonts w:ascii="Symbol" w:hAnsi="Symbol" w:hint="default"/>
      </w:rPr>
    </w:lvl>
    <w:lvl w:ilvl="1" w:tplc="0C090019">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33" w15:restartNumberingAfterBreak="0">
    <w:nsid w:val="73624CCB"/>
    <w:multiLevelType w:val="hybridMultilevel"/>
    <w:tmpl w:val="62FCB154"/>
    <w:lvl w:ilvl="0" w:tplc="D8F81C7E">
      <w:start w:val="2"/>
      <w:numFmt w:val="decimal"/>
      <w:lvlText w:val="%1."/>
      <w:lvlJc w:val="left"/>
      <w:pPr>
        <w:ind w:left="717" w:hanging="360"/>
      </w:pPr>
      <w:rPr>
        <w:rFonts w:hint="default"/>
        <w:sz w:val="22"/>
      </w:rPr>
    </w:lvl>
    <w:lvl w:ilvl="1" w:tplc="0C090019" w:tentative="1">
      <w:start w:val="1"/>
      <w:numFmt w:val="lowerLetter"/>
      <w:lvlText w:val="%2."/>
      <w:lvlJc w:val="left"/>
      <w:pPr>
        <w:ind w:left="1437" w:hanging="360"/>
      </w:pPr>
    </w:lvl>
    <w:lvl w:ilvl="2" w:tplc="0C09001B" w:tentative="1">
      <w:start w:val="1"/>
      <w:numFmt w:val="lowerRoman"/>
      <w:lvlText w:val="%3."/>
      <w:lvlJc w:val="right"/>
      <w:pPr>
        <w:ind w:left="2157" w:hanging="180"/>
      </w:pPr>
    </w:lvl>
    <w:lvl w:ilvl="3" w:tplc="0C09000F" w:tentative="1">
      <w:start w:val="1"/>
      <w:numFmt w:val="decimal"/>
      <w:lvlText w:val="%4."/>
      <w:lvlJc w:val="left"/>
      <w:pPr>
        <w:ind w:left="2877" w:hanging="360"/>
      </w:pPr>
    </w:lvl>
    <w:lvl w:ilvl="4" w:tplc="0C090019" w:tentative="1">
      <w:start w:val="1"/>
      <w:numFmt w:val="lowerLetter"/>
      <w:lvlText w:val="%5."/>
      <w:lvlJc w:val="left"/>
      <w:pPr>
        <w:ind w:left="3597" w:hanging="360"/>
      </w:pPr>
    </w:lvl>
    <w:lvl w:ilvl="5" w:tplc="0C09001B" w:tentative="1">
      <w:start w:val="1"/>
      <w:numFmt w:val="lowerRoman"/>
      <w:lvlText w:val="%6."/>
      <w:lvlJc w:val="right"/>
      <w:pPr>
        <w:ind w:left="4317" w:hanging="180"/>
      </w:pPr>
    </w:lvl>
    <w:lvl w:ilvl="6" w:tplc="0C09000F" w:tentative="1">
      <w:start w:val="1"/>
      <w:numFmt w:val="decimal"/>
      <w:lvlText w:val="%7."/>
      <w:lvlJc w:val="left"/>
      <w:pPr>
        <w:ind w:left="5037" w:hanging="360"/>
      </w:pPr>
    </w:lvl>
    <w:lvl w:ilvl="7" w:tplc="0C090019" w:tentative="1">
      <w:start w:val="1"/>
      <w:numFmt w:val="lowerLetter"/>
      <w:lvlText w:val="%8."/>
      <w:lvlJc w:val="left"/>
      <w:pPr>
        <w:ind w:left="5757" w:hanging="360"/>
      </w:pPr>
    </w:lvl>
    <w:lvl w:ilvl="8" w:tplc="0C09001B" w:tentative="1">
      <w:start w:val="1"/>
      <w:numFmt w:val="lowerRoman"/>
      <w:lvlText w:val="%9."/>
      <w:lvlJc w:val="right"/>
      <w:pPr>
        <w:ind w:left="6477" w:hanging="180"/>
      </w:pPr>
    </w:lvl>
  </w:abstractNum>
  <w:abstractNum w:abstractNumId="34" w15:restartNumberingAfterBreak="0">
    <w:nsid w:val="7678388A"/>
    <w:multiLevelType w:val="hybridMultilevel"/>
    <w:tmpl w:val="17EE85C0"/>
    <w:lvl w:ilvl="0" w:tplc="0C09000F">
      <w:start w:val="1"/>
      <w:numFmt w:val="decimal"/>
      <w:lvlText w:val="%1."/>
      <w:lvlJc w:val="left"/>
      <w:pPr>
        <w:ind w:left="360" w:hanging="360"/>
      </w:pPr>
    </w:lvl>
    <w:lvl w:ilvl="1" w:tplc="0C090019">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35" w15:restartNumberingAfterBreak="0">
    <w:nsid w:val="780078B4"/>
    <w:multiLevelType w:val="hybridMultilevel"/>
    <w:tmpl w:val="BF5812C0"/>
    <w:lvl w:ilvl="0" w:tplc="0C090001">
      <w:start w:val="1"/>
      <w:numFmt w:val="bullet"/>
      <w:lvlText w:val=""/>
      <w:lvlJc w:val="left"/>
      <w:pPr>
        <w:ind w:left="360" w:hanging="360"/>
      </w:pPr>
      <w:rPr>
        <w:rFonts w:ascii="Symbol" w:hAnsi="Symbol" w:hint="default"/>
      </w:rPr>
    </w:lvl>
    <w:lvl w:ilvl="1" w:tplc="0C090019">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36" w15:restartNumberingAfterBreak="0">
    <w:nsid w:val="7DFF663C"/>
    <w:multiLevelType w:val="hybridMultilevel"/>
    <w:tmpl w:val="B10CAE14"/>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36"/>
  </w:num>
  <w:num w:numId="12">
    <w:abstractNumId w:val="29"/>
  </w:num>
  <w:num w:numId="13">
    <w:abstractNumId w:val="25"/>
  </w:num>
  <w:num w:numId="14">
    <w:abstractNumId w:val="20"/>
  </w:num>
  <w:num w:numId="15">
    <w:abstractNumId w:val="33"/>
  </w:num>
  <w:num w:numId="16">
    <w:abstractNumId w:val="14"/>
  </w:num>
  <w:num w:numId="17">
    <w:abstractNumId w:val="34"/>
  </w:num>
  <w:num w:numId="18">
    <w:abstractNumId w:val="13"/>
  </w:num>
  <w:num w:numId="19">
    <w:abstractNumId w:val="30"/>
  </w:num>
  <w:num w:numId="20">
    <w:abstractNumId w:val="27"/>
  </w:num>
  <w:num w:numId="21">
    <w:abstractNumId w:val="18"/>
  </w:num>
  <w:num w:numId="22">
    <w:abstractNumId w:val="31"/>
  </w:num>
  <w:num w:numId="23">
    <w:abstractNumId w:val="28"/>
  </w:num>
  <w:num w:numId="24">
    <w:abstractNumId w:val="32"/>
  </w:num>
  <w:num w:numId="25">
    <w:abstractNumId w:val="35"/>
  </w:num>
  <w:num w:numId="26">
    <w:abstractNumId w:val="19"/>
  </w:num>
  <w:num w:numId="27">
    <w:abstractNumId w:val="22"/>
  </w:num>
  <w:num w:numId="28">
    <w:abstractNumId w:val="26"/>
  </w:num>
  <w:num w:numId="29">
    <w:abstractNumId w:val="21"/>
  </w:num>
  <w:num w:numId="30">
    <w:abstractNumId w:val="17"/>
  </w:num>
  <w:num w:numId="31">
    <w:abstractNumId w:val="12"/>
  </w:num>
  <w:num w:numId="32">
    <w:abstractNumId w:val="15"/>
  </w:num>
  <w:num w:numId="33">
    <w:abstractNumId w:val="16"/>
  </w:num>
  <w:num w:numId="34">
    <w:abstractNumId w:val="24"/>
  </w:num>
  <w:num w:numId="35">
    <w:abstractNumId w:val="10"/>
  </w:num>
  <w:num w:numId="36">
    <w:abstractNumId w:val="23"/>
  </w:num>
  <w:num w:numId="3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defaultTableStyle w:val="Style1"/>
  <w:characterSpacingControl w:val="doNotCompress"/>
  <w:hdrShapeDefaults>
    <o:shapedefaults v:ext="edit" spidmax="11673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3DA8"/>
    <w:rsid w:val="00002637"/>
    <w:rsid w:val="00030E1F"/>
    <w:rsid w:val="000458A4"/>
    <w:rsid w:val="00064D92"/>
    <w:rsid w:val="00071951"/>
    <w:rsid w:val="00093803"/>
    <w:rsid w:val="00095842"/>
    <w:rsid w:val="000B0DD4"/>
    <w:rsid w:val="000C2213"/>
    <w:rsid w:val="000D324C"/>
    <w:rsid w:val="000D3947"/>
    <w:rsid w:val="000D5D97"/>
    <w:rsid w:val="000E4513"/>
    <w:rsid w:val="000E512B"/>
    <w:rsid w:val="00101473"/>
    <w:rsid w:val="00107406"/>
    <w:rsid w:val="00124511"/>
    <w:rsid w:val="00134CF5"/>
    <w:rsid w:val="001427EA"/>
    <w:rsid w:val="0014330A"/>
    <w:rsid w:val="00155B9B"/>
    <w:rsid w:val="00163B54"/>
    <w:rsid w:val="001729C0"/>
    <w:rsid w:val="001739DD"/>
    <w:rsid w:val="0018642A"/>
    <w:rsid w:val="00187D0D"/>
    <w:rsid w:val="001A25AE"/>
    <w:rsid w:val="001A2DC6"/>
    <w:rsid w:val="001B3DA8"/>
    <w:rsid w:val="001B49DC"/>
    <w:rsid w:val="001C12EE"/>
    <w:rsid w:val="001C7E9D"/>
    <w:rsid w:val="001E31A8"/>
    <w:rsid w:val="001F3C04"/>
    <w:rsid w:val="00204B80"/>
    <w:rsid w:val="00214A25"/>
    <w:rsid w:val="00221E08"/>
    <w:rsid w:val="002300AC"/>
    <w:rsid w:val="00233792"/>
    <w:rsid w:val="00235954"/>
    <w:rsid w:val="002379BA"/>
    <w:rsid w:val="002403FA"/>
    <w:rsid w:val="00240EA8"/>
    <w:rsid w:val="00241727"/>
    <w:rsid w:val="002420A9"/>
    <w:rsid w:val="0024393D"/>
    <w:rsid w:val="00243E8A"/>
    <w:rsid w:val="00244596"/>
    <w:rsid w:val="00263E00"/>
    <w:rsid w:val="002704ED"/>
    <w:rsid w:val="002831AD"/>
    <w:rsid w:val="002916ED"/>
    <w:rsid w:val="002B57BF"/>
    <w:rsid w:val="002B5CD2"/>
    <w:rsid w:val="002C44EA"/>
    <w:rsid w:val="002D0F8E"/>
    <w:rsid w:val="002D3954"/>
    <w:rsid w:val="002D3D74"/>
    <w:rsid w:val="002D44E0"/>
    <w:rsid w:val="002E14EA"/>
    <w:rsid w:val="002E201E"/>
    <w:rsid w:val="002E5D58"/>
    <w:rsid w:val="002F3B00"/>
    <w:rsid w:val="002F65AF"/>
    <w:rsid w:val="00304F04"/>
    <w:rsid w:val="0031658C"/>
    <w:rsid w:val="003219EE"/>
    <w:rsid w:val="00325B7A"/>
    <w:rsid w:val="00327F87"/>
    <w:rsid w:val="00330D17"/>
    <w:rsid w:val="00333C59"/>
    <w:rsid w:val="00347429"/>
    <w:rsid w:val="0035312A"/>
    <w:rsid w:val="003564BD"/>
    <w:rsid w:val="00356902"/>
    <w:rsid w:val="003630F9"/>
    <w:rsid w:val="00364725"/>
    <w:rsid w:val="00370B37"/>
    <w:rsid w:val="00380620"/>
    <w:rsid w:val="0038442D"/>
    <w:rsid w:val="00386B57"/>
    <w:rsid w:val="003B217B"/>
    <w:rsid w:val="003B3B09"/>
    <w:rsid w:val="003B6DBB"/>
    <w:rsid w:val="003D7DAD"/>
    <w:rsid w:val="003F495C"/>
    <w:rsid w:val="00401236"/>
    <w:rsid w:val="00402E42"/>
    <w:rsid w:val="00407ECA"/>
    <w:rsid w:val="004111E9"/>
    <w:rsid w:val="00415691"/>
    <w:rsid w:val="00416ED8"/>
    <w:rsid w:val="00417CB8"/>
    <w:rsid w:val="00421AF2"/>
    <w:rsid w:val="00436B60"/>
    <w:rsid w:val="00452BA6"/>
    <w:rsid w:val="004573A4"/>
    <w:rsid w:val="00480156"/>
    <w:rsid w:val="0049385C"/>
    <w:rsid w:val="004978A4"/>
    <w:rsid w:val="00497D62"/>
    <w:rsid w:val="004A699D"/>
    <w:rsid w:val="004C21D3"/>
    <w:rsid w:val="004C248C"/>
    <w:rsid w:val="004C3A0B"/>
    <w:rsid w:val="004E604D"/>
    <w:rsid w:val="004F423B"/>
    <w:rsid w:val="00501477"/>
    <w:rsid w:val="005148A1"/>
    <w:rsid w:val="00522B1C"/>
    <w:rsid w:val="0052472F"/>
    <w:rsid w:val="005262D4"/>
    <w:rsid w:val="00543125"/>
    <w:rsid w:val="00550348"/>
    <w:rsid w:val="00550A68"/>
    <w:rsid w:val="00556633"/>
    <w:rsid w:val="005642F2"/>
    <w:rsid w:val="00583EBB"/>
    <w:rsid w:val="00585806"/>
    <w:rsid w:val="005C12D8"/>
    <w:rsid w:val="005C1C7F"/>
    <w:rsid w:val="005C66DE"/>
    <w:rsid w:val="005C6A61"/>
    <w:rsid w:val="005C7C08"/>
    <w:rsid w:val="005D0228"/>
    <w:rsid w:val="005D0C20"/>
    <w:rsid w:val="005E0A23"/>
    <w:rsid w:val="005E71A1"/>
    <w:rsid w:val="005F1934"/>
    <w:rsid w:val="005F6171"/>
    <w:rsid w:val="00602C92"/>
    <w:rsid w:val="0060411C"/>
    <w:rsid w:val="006104DD"/>
    <w:rsid w:val="006129E1"/>
    <w:rsid w:val="00616067"/>
    <w:rsid w:val="006255AE"/>
    <w:rsid w:val="00643D50"/>
    <w:rsid w:val="00654BBA"/>
    <w:rsid w:val="00655160"/>
    <w:rsid w:val="00657A9F"/>
    <w:rsid w:val="00661685"/>
    <w:rsid w:val="0066603B"/>
    <w:rsid w:val="0067715C"/>
    <w:rsid w:val="00677708"/>
    <w:rsid w:val="006820A5"/>
    <w:rsid w:val="006853AC"/>
    <w:rsid w:val="00687ABA"/>
    <w:rsid w:val="006A2D5D"/>
    <w:rsid w:val="006A599B"/>
    <w:rsid w:val="006B1136"/>
    <w:rsid w:val="006B7BB6"/>
    <w:rsid w:val="006C0B76"/>
    <w:rsid w:val="006C221D"/>
    <w:rsid w:val="006C2852"/>
    <w:rsid w:val="006D398E"/>
    <w:rsid w:val="006F6328"/>
    <w:rsid w:val="006F6B60"/>
    <w:rsid w:val="007059EE"/>
    <w:rsid w:val="00706764"/>
    <w:rsid w:val="007171F2"/>
    <w:rsid w:val="00723B30"/>
    <w:rsid w:val="007240F4"/>
    <w:rsid w:val="00724B0D"/>
    <w:rsid w:val="00744A77"/>
    <w:rsid w:val="00750F09"/>
    <w:rsid w:val="007757FF"/>
    <w:rsid w:val="00776708"/>
    <w:rsid w:val="00782A83"/>
    <w:rsid w:val="00791322"/>
    <w:rsid w:val="00792D46"/>
    <w:rsid w:val="00795087"/>
    <w:rsid w:val="007966C5"/>
    <w:rsid w:val="007A04AB"/>
    <w:rsid w:val="007A51E8"/>
    <w:rsid w:val="007A6D69"/>
    <w:rsid w:val="007B6E7A"/>
    <w:rsid w:val="007D392C"/>
    <w:rsid w:val="007F169D"/>
    <w:rsid w:val="00811D43"/>
    <w:rsid w:val="00813307"/>
    <w:rsid w:val="00822068"/>
    <w:rsid w:val="00823CA8"/>
    <w:rsid w:val="00827022"/>
    <w:rsid w:val="00850038"/>
    <w:rsid w:val="00857192"/>
    <w:rsid w:val="008602BC"/>
    <w:rsid w:val="00862847"/>
    <w:rsid w:val="00871552"/>
    <w:rsid w:val="00882642"/>
    <w:rsid w:val="008838D2"/>
    <w:rsid w:val="008853D1"/>
    <w:rsid w:val="0088639D"/>
    <w:rsid w:val="00897A77"/>
    <w:rsid w:val="008A2846"/>
    <w:rsid w:val="008A3849"/>
    <w:rsid w:val="008B1892"/>
    <w:rsid w:val="008B66B7"/>
    <w:rsid w:val="008F28E4"/>
    <w:rsid w:val="008F2BAA"/>
    <w:rsid w:val="008F3078"/>
    <w:rsid w:val="00915145"/>
    <w:rsid w:val="0093357C"/>
    <w:rsid w:val="00937E6C"/>
    <w:rsid w:val="00943C7F"/>
    <w:rsid w:val="00951FD3"/>
    <w:rsid w:val="00956813"/>
    <w:rsid w:val="00975726"/>
    <w:rsid w:val="00976866"/>
    <w:rsid w:val="00991FDD"/>
    <w:rsid w:val="00992A8F"/>
    <w:rsid w:val="00997B12"/>
    <w:rsid w:val="009A0EF0"/>
    <w:rsid w:val="009A2849"/>
    <w:rsid w:val="009A5725"/>
    <w:rsid w:val="009D79B3"/>
    <w:rsid w:val="009D7BB6"/>
    <w:rsid w:val="009E20C2"/>
    <w:rsid w:val="009F0F4D"/>
    <w:rsid w:val="009F1DA0"/>
    <w:rsid w:val="009F1EFD"/>
    <w:rsid w:val="009F52A3"/>
    <w:rsid w:val="00A004A4"/>
    <w:rsid w:val="00A043E9"/>
    <w:rsid w:val="00A146EC"/>
    <w:rsid w:val="00A22053"/>
    <w:rsid w:val="00A369B4"/>
    <w:rsid w:val="00A36FFB"/>
    <w:rsid w:val="00A45D77"/>
    <w:rsid w:val="00A46D1B"/>
    <w:rsid w:val="00A4761B"/>
    <w:rsid w:val="00A51E16"/>
    <w:rsid w:val="00A5644F"/>
    <w:rsid w:val="00A66E47"/>
    <w:rsid w:val="00A80029"/>
    <w:rsid w:val="00A83162"/>
    <w:rsid w:val="00A85B30"/>
    <w:rsid w:val="00A85BA1"/>
    <w:rsid w:val="00A93922"/>
    <w:rsid w:val="00AA2AE2"/>
    <w:rsid w:val="00AC09F0"/>
    <w:rsid w:val="00AC29DB"/>
    <w:rsid w:val="00AC7DD6"/>
    <w:rsid w:val="00AD11BE"/>
    <w:rsid w:val="00AE2DD3"/>
    <w:rsid w:val="00AF22C0"/>
    <w:rsid w:val="00B10480"/>
    <w:rsid w:val="00B15A25"/>
    <w:rsid w:val="00B2098C"/>
    <w:rsid w:val="00B20C5F"/>
    <w:rsid w:val="00B26C4E"/>
    <w:rsid w:val="00B37916"/>
    <w:rsid w:val="00B44C37"/>
    <w:rsid w:val="00B51B5A"/>
    <w:rsid w:val="00B526AB"/>
    <w:rsid w:val="00B8135F"/>
    <w:rsid w:val="00B91C9E"/>
    <w:rsid w:val="00B9256C"/>
    <w:rsid w:val="00B93CE1"/>
    <w:rsid w:val="00B95A92"/>
    <w:rsid w:val="00BB2594"/>
    <w:rsid w:val="00BC2B3C"/>
    <w:rsid w:val="00BC353A"/>
    <w:rsid w:val="00BD251D"/>
    <w:rsid w:val="00BD275A"/>
    <w:rsid w:val="00BD2F45"/>
    <w:rsid w:val="00BD3B04"/>
    <w:rsid w:val="00BD5663"/>
    <w:rsid w:val="00BD6230"/>
    <w:rsid w:val="00BE237A"/>
    <w:rsid w:val="00BE2D3B"/>
    <w:rsid w:val="00BE331B"/>
    <w:rsid w:val="00BE494E"/>
    <w:rsid w:val="00C0240D"/>
    <w:rsid w:val="00C0483C"/>
    <w:rsid w:val="00C062AF"/>
    <w:rsid w:val="00C14C8F"/>
    <w:rsid w:val="00C173CD"/>
    <w:rsid w:val="00C23FB7"/>
    <w:rsid w:val="00C27800"/>
    <w:rsid w:val="00C35609"/>
    <w:rsid w:val="00C42723"/>
    <w:rsid w:val="00C462CB"/>
    <w:rsid w:val="00C7541D"/>
    <w:rsid w:val="00C819D7"/>
    <w:rsid w:val="00C87253"/>
    <w:rsid w:val="00CA55DD"/>
    <w:rsid w:val="00CB16D6"/>
    <w:rsid w:val="00CB2680"/>
    <w:rsid w:val="00CB34A7"/>
    <w:rsid w:val="00CB5D3D"/>
    <w:rsid w:val="00CC7875"/>
    <w:rsid w:val="00CE1605"/>
    <w:rsid w:val="00D00356"/>
    <w:rsid w:val="00D05CB9"/>
    <w:rsid w:val="00D072EB"/>
    <w:rsid w:val="00D10127"/>
    <w:rsid w:val="00D11FD7"/>
    <w:rsid w:val="00D15EFB"/>
    <w:rsid w:val="00D34697"/>
    <w:rsid w:val="00D46D83"/>
    <w:rsid w:val="00D553D6"/>
    <w:rsid w:val="00D570BD"/>
    <w:rsid w:val="00D570E8"/>
    <w:rsid w:val="00D61B6D"/>
    <w:rsid w:val="00D87BC8"/>
    <w:rsid w:val="00D9404B"/>
    <w:rsid w:val="00DB04AE"/>
    <w:rsid w:val="00DC714D"/>
    <w:rsid w:val="00DD0349"/>
    <w:rsid w:val="00DF1E5F"/>
    <w:rsid w:val="00DF61FB"/>
    <w:rsid w:val="00E029B2"/>
    <w:rsid w:val="00E035A6"/>
    <w:rsid w:val="00E06108"/>
    <w:rsid w:val="00E0798A"/>
    <w:rsid w:val="00E30F4C"/>
    <w:rsid w:val="00E346B6"/>
    <w:rsid w:val="00E359BF"/>
    <w:rsid w:val="00E373C3"/>
    <w:rsid w:val="00E37BD0"/>
    <w:rsid w:val="00E40A13"/>
    <w:rsid w:val="00E4568F"/>
    <w:rsid w:val="00E54B04"/>
    <w:rsid w:val="00E54B72"/>
    <w:rsid w:val="00E5755A"/>
    <w:rsid w:val="00E579F7"/>
    <w:rsid w:val="00E6128A"/>
    <w:rsid w:val="00E70B42"/>
    <w:rsid w:val="00E72774"/>
    <w:rsid w:val="00E87123"/>
    <w:rsid w:val="00EC3D6B"/>
    <w:rsid w:val="00ED17D8"/>
    <w:rsid w:val="00ED56EB"/>
    <w:rsid w:val="00EE4FBB"/>
    <w:rsid w:val="00EF0209"/>
    <w:rsid w:val="00EF6210"/>
    <w:rsid w:val="00F0356A"/>
    <w:rsid w:val="00F104C2"/>
    <w:rsid w:val="00F11C75"/>
    <w:rsid w:val="00F15104"/>
    <w:rsid w:val="00F25F29"/>
    <w:rsid w:val="00F3210C"/>
    <w:rsid w:val="00F322E3"/>
    <w:rsid w:val="00F34521"/>
    <w:rsid w:val="00F508B7"/>
    <w:rsid w:val="00F721EF"/>
    <w:rsid w:val="00F76F38"/>
    <w:rsid w:val="00F84A38"/>
    <w:rsid w:val="00F92193"/>
    <w:rsid w:val="00F9419F"/>
    <w:rsid w:val="00F967B7"/>
    <w:rsid w:val="00FC49E6"/>
    <w:rsid w:val="00FC70DE"/>
    <w:rsid w:val="00FD01FB"/>
    <w:rsid w:val="00FD533E"/>
    <w:rsid w:val="00FD5DE8"/>
    <w:rsid w:val="00FF7848"/>
    <w:rsid w:val="1C10FDB1"/>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16737"/>
    <o:shapelayout v:ext="edit">
      <o:idmap v:ext="edit" data="1"/>
    </o:shapelayout>
  </w:shapeDefaults>
  <w:decimalSymbol w:val="."/>
  <w:listSeparator w:val=","/>
  <w14:docId w14:val="6D3D6320"/>
  <w15:docId w15:val="{4FA88F6A-256A-4703-90C1-5C6EA38E35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526AB"/>
    <w:pPr>
      <w:spacing w:after="120"/>
    </w:pPr>
    <w:rPr>
      <w:sz w:val="20"/>
    </w:rPr>
  </w:style>
  <w:style w:type="paragraph" w:styleId="Heading1">
    <w:name w:val="heading 1"/>
    <w:basedOn w:val="Normal"/>
    <w:next w:val="Normal"/>
    <w:link w:val="Heading1Char"/>
    <w:uiPriority w:val="9"/>
    <w:qFormat/>
    <w:rsid w:val="00975726"/>
    <w:pPr>
      <w:keepNext/>
      <w:keepLines/>
      <w:spacing w:before="480" w:after="0"/>
      <w:outlineLvl w:val="0"/>
    </w:pPr>
    <w:rPr>
      <w:rFonts w:asciiTheme="majorHAnsi" w:eastAsiaTheme="majorEastAsia" w:hAnsiTheme="majorHAnsi" w:cstheme="majorBidi"/>
      <w:b/>
      <w:bCs/>
      <w:color w:val="004059" w:themeColor="accent1" w:themeShade="BF"/>
      <w:sz w:val="28"/>
      <w:szCs w:val="28"/>
    </w:rPr>
  </w:style>
  <w:style w:type="paragraph" w:styleId="Heading2">
    <w:name w:val="heading 2"/>
    <w:basedOn w:val="Normal"/>
    <w:next w:val="Normal"/>
    <w:link w:val="Heading2Char"/>
    <w:uiPriority w:val="9"/>
    <w:unhideWhenUsed/>
    <w:qFormat/>
    <w:rsid w:val="00616067"/>
    <w:pPr>
      <w:keepNext/>
      <w:keepLines/>
      <w:spacing w:before="360" w:after="0"/>
      <w:outlineLvl w:val="1"/>
    </w:pPr>
    <w:rPr>
      <w:rFonts w:asciiTheme="majorHAnsi" w:eastAsiaTheme="majorEastAsia" w:hAnsiTheme="majorHAnsi" w:cstheme="majorBidi"/>
      <w:b/>
      <w:bCs/>
      <w:color w:val="005677" w:themeColor="accent1"/>
      <w:sz w:val="26"/>
      <w:szCs w:val="26"/>
    </w:rPr>
  </w:style>
  <w:style w:type="paragraph" w:styleId="Heading3">
    <w:name w:val="heading 3"/>
    <w:basedOn w:val="Normal"/>
    <w:next w:val="Normal"/>
    <w:link w:val="Heading3Char"/>
    <w:uiPriority w:val="9"/>
    <w:unhideWhenUsed/>
    <w:qFormat/>
    <w:rsid w:val="003630F9"/>
    <w:pPr>
      <w:keepNext/>
      <w:keepLines/>
      <w:spacing w:before="200" w:after="0"/>
      <w:outlineLvl w:val="2"/>
    </w:pPr>
    <w:rPr>
      <w:rFonts w:asciiTheme="majorHAnsi" w:eastAsiaTheme="majorEastAsia" w:hAnsiTheme="majorHAnsi" w:cstheme="majorBidi"/>
      <w:b/>
      <w:bCs/>
      <w:color w:val="005677" w:themeColor="accent1"/>
      <w:sz w:val="24"/>
      <w:szCs w:val="24"/>
    </w:rPr>
  </w:style>
  <w:style w:type="paragraph" w:styleId="Heading4">
    <w:name w:val="heading 4"/>
    <w:basedOn w:val="Normal"/>
    <w:next w:val="Normal"/>
    <w:link w:val="Heading4Char"/>
    <w:uiPriority w:val="9"/>
    <w:unhideWhenUsed/>
    <w:qFormat/>
    <w:rsid w:val="003630F9"/>
    <w:pPr>
      <w:keepNext/>
      <w:keepLines/>
      <w:spacing w:before="200" w:after="0"/>
      <w:outlineLvl w:val="3"/>
    </w:pPr>
    <w:rPr>
      <w:rFonts w:asciiTheme="majorHAnsi" w:eastAsiaTheme="majorEastAsia" w:hAnsiTheme="majorHAnsi" w:cstheme="majorBidi"/>
      <w:b/>
      <w:bCs/>
      <w:i/>
      <w:iCs/>
      <w:color w:val="005677" w:themeColor="accent1"/>
      <w:sz w:val="22"/>
    </w:rPr>
  </w:style>
  <w:style w:type="paragraph" w:styleId="Heading5">
    <w:name w:val="heading 5"/>
    <w:basedOn w:val="Normal"/>
    <w:next w:val="Normal"/>
    <w:link w:val="Heading5Char"/>
    <w:uiPriority w:val="9"/>
    <w:unhideWhenUsed/>
    <w:qFormat/>
    <w:rsid w:val="003630F9"/>
    <w:pPr>
      <w:keepNext/>
      <w:keepLines/>
      <w:spacing w:before="200" w:after="0"/>
      <w:outlineLvl w:val="4"/>
    </w:pPr>
    <w:rPr>
      <w:rFonts w:asciiTheme="majorHAnsi" w:eastAsiaTheme="majorEastAsia" w:hAnsiTheme="majorHAnsi" w:cstheme="majorBidi"/>
      <w:b/>
      <w:color w:val="002A3B" w:themeColor="accent1" w:themeShade="7F"/>
    </w:rPr>
  </w:style>
  <w:style w:type="paragraph" w:styleId="Heading6">
    <w:name w:val="heading 6"/>
    <w:basedOn w:val="Normal"/>
    <w:next w:val="Normal"/>
    <w:link w:val="Heading6Char"/>
    <w:uiPriority w:val="9"/>
    <w:unhideWhenUsed/>
    <w:qFormat/>
    <w:rsid w:val="00B37916"/>
    <w:pPr>
      <w:keepNext/>
      <w:keepLines/>
      <w:spacing w:before="200" w:after="0"/>
      <w:outlineLvl w:val="5"/>
    </w:pPr>
    <w:rPr>
      <w:rFonts w:asciiTheme="majorHAnsi" w:eastAsiaTheme="majorEastAsia" w:hAnsiTheme="majorHAnsi" w:cstheme="majorBidi"/>
      <w:b/>
      <w:i/>
      <w:iCs/>
      <w:color w:val="002A3B" w:themeColor="accent1" w:themeShade="7F"/>
    </w:rPr>
  </w:style>
  <w:style w:type="paragraph" w:styleId="Heading7">
    <w:name w:val="heading 7"/>
    <w:basedOn w:val="Normal"/>
    <w:next w:val="Normal"/>
    <w:link w:val="Heading7Char"/>
    <w:uiPriority w:val="9"/>
    <w:unhideWhenUsed/>
    <w:qFormat/>
    <w:rsid w:val="003630F9"/>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975726"/>
    <w:pPr>
      <w:spacing w:after="0" w:line="240" w:lineRule="auto"/>
    </w:pPr>
  </w:style>
  <w:style w:type="character" w:customStyle="1" w:styleId="Heading1Char">
    <w:name w:val="Heading 1 Char"/>
    <w:basedOn w:val="DefaultParagraphFont"/>
    <w:link w:val="Heading1"/>
    <w:uiPriority w:val="9"/>
    <w:rsid w:val="00975726"/>
    <w:rPr>
      <w:rFonts w:asciiTheme="majorHAnsi" w:eastAsiaTheme="majorEastAsia" w:hAnsiTheme="majorHAnsi" w:cstheme="majorBidi"/>
      <w:b/>
      <w:bCs/>
      <w:color w:val="004059" w:themeColor="accent1" w:themeShade="BF"/>
      <w:sz w:val="28"/>
      <w:szCs w:val="28"/>
    </w:rPr>
  </w:style>
  <w:style w:type="character" w:customStyle="1" w:styleId="Heading2Char">
    <w:name w:val="Heading 2 Char"/>
    <w:basedOn w:val="DefaultParagraphFont"/>
    <w:link w:val="Heading2"/>
    <w:uiPriority w:val="9"/>
    <w:rsid w:val="00616067"/>
    <w:rPr>
      <w:rFonts w:asciiTheme="majorHAnsi" w:eastAsiaTheme="majorEastAsia" w:hAnsiTheme="majorHAnsi" w:cstheme="majorBidi"/>
      <w:b/>
      <w:bCs/>
      <w:color w:val="005677" w:themeColor="accent1"/>
      <w:sz w:val="26"/>
      <w:szCs w:val="26"/>
    </w:rPr>
  </w:style>
  <w:style w:type="paragraph" w:styleId="Title">
    <w:name w:val="Title"/>
    <w:basedOn w:val="Normal"/>
    <w:next w:val="Normal"/>
    <w:link w:val="TitleChar"/>
    <w:uiPriority w:val="10"/>
    <w:qFormat/>
    <w:rsid w:val="00795087"/>
    <w:pPr>
      <w:spacing w:before="8500" w:after="480" w:line="240" w:lineRule="auto"/>
    </w:pPr>
    <w:rPr>
      <w:rFonts w:asciiTheme="majorHAnsi" w:eastAsiaTheme="majorEastAsia" w:hAnsiTheme="majorHAnsi" w:cstheme="majorBidi"/>
      <w:b/>
      <w:color w:val="2C2C2D" w:themeColor="text2" w:themeShade="80"/>
      <w:spacing w:val="5"/>
      <w:kern w:val="28"/>
      <w:sz w:val="56"/>
      <w:szCs w:val="52"/>
    </w:rPr>
  </w:style>
  <w:style w:type="character" w:customStyle="1" w:styleId="TitleChar">
    <w:name w:val="Title Char"/>
    <w:basedOn w:val="DefaultParagraphFont"/>
    <w:link w:val="Title"/>
    <w:uiPriority w:val="10"/>
    <w:rsid w:val="00795087"/>
    <w:rPr>
      <w:rFonts w:asciiTheme="majorHAnsi" w:eastAsiaTheme="majorEastAsia" w:hAnsiTheme="majorHAnsi" w:cstheme="majorBidi"/>
      <w:b/>
      <w:color w:val="2C2C2D" w:themeColor="text2" w:themeShade="80"/>
      <w:spacing w:val="5"/>
      <w:kern w:val="28"/>
      <w:sz w:val="56"/>
      <w:szCs w:val="52"/>
    </w:rPr>
  </w:style>
  <w:style w:type="paragraph" w:styleId="Subtitle">
    <w:name w:val="Subtitle"/>
    <w:basedOn w:val="Normal"/>
    <w:next w:val="Normal"/>
    <w:link w:val="SubtitleChar"/>
    <w:uiPriority w:val="11"/>
    <w:qFormat/>
    <w:rsid w:val="005F1934"/>
    <w:pPr>
      <w:numPr>
        <w:ilvl w:val="1"/>
      </w:numPr>
    </w:pPr>
    <w:rPr>
      <w:rFonts w:asciiTheme="majorHAnsi" w:eastAsiaTheme="majorEastAsia" w:hAnsiTheme="majorHAnsi" w:cstheme="majorBidi"/>
      <w:iCs/>
      <w:color w:val="939598" w:themeColor="background2"/>
      <w:spacing w:val="15"/>
      <w:sz w:val="40"/>
      <w:szCs w:val="24"/>
    </w:rPr>
  </w:style>
  <w:style w:type="character" w:customStyle="1" w:styleId="SubtitleChar">
    <w:name w:val="Subtitle Char"/>
    <w:basedOn w:val="DefaultParagraphFont"/>
    <w:link w:val="Subtitle"/>
    <w:uiPriority w:val="11"/>
    <w:rsid w:val="005F1934"/>
    <w:rPr>
      <w:rFonts w:asciiTheme="majorHAnsi" w:eastAsiaTheme="majorEastAsia" w:hAnsiTheme="majorHAnsi" w:cstheme="majorBidi"/>
      <w:iCs/>
      <w:color w:val="939598" w:themeColor="background2"/>
      <w:spacing w:val="15"/>
      <w:sz w:val="40"/>
      <w:szCs w:val="24"/>
    </w:rPr>
  </w:style>
  <w:style w:type="character" w:styleId="Emphasis">
    <w:name w:val="Emphasis"/>
    <w:basedOn w:val="DefaultParagraphFont"/>
    <w:uiPriority w:val="20"/>
    <w:qFormat/>
    <w:rsid w:val="00975726"/>
    <w:rPr>
      <w:i/>
      <w:iCs/>
    </w:rPr>
  </w:style>
  <w:style w:type="character" w:styleId="Strong">
    <w:name w:val="Strong"/>
    <w:basedOn w:val="DefaultParagraphFont"/>
    <w:uiPriority w:val="22"/>
    <w:qFormat/>
    <w:rsid w:val="00975726"/>
    <w:rPr>
      <w:b/>
      <w:bCs/>
    </w:rPr>
  </w:style>
  <w:style w:type="character" w:styleId="Hyperlink">
    <w:name w:val="Hyperlink"/>
    <w:basedOn w:val="DefaultParagraphFont"/>
    <w:uiPriority w:val="99"/>
    <w:unhideWhenUsed/>
    <w:rsid w:val="00822068"/>
    <w:rPr>
      <w:color w:val="005677" w:themeColor="hyperlink"/>
      <w:u w:val="single"/>
    </w:rPr>
  </w:style>
  <w:style w:type="character" w:customStyle="1" w:styleId="Heading3Char">
    <w:name w:val="Heading 3 Char"/>
    <w:basedOn w:val="DefaultParagraphFont"/>
    <w:link w:val="Heading3"/>
    <w:uiPriority w:val="9"/>
    <w:rsid w:val="003630F9"/>
    <w:rPr>
      <w:rFonts w:asciiTheme="majorHAnsi" w:eastAsiaTheme="majorEastAsia" w:hAnsiTheme="majorHAnsi" w:cstheme="majorBidi"/>
      <w:b/>
      <w:bCs/>
      <w:color w:val="005677" w:themeColor="accent1"/>
      <w:sz w:val="24"/>
      <w:szCs w:val="24"/>
    </w:rPr>
  </w:style>
  <w:style w:type="character" w:customStyle="1" w:styleId="Heading4Char">
    <w:name w:val="Heading 4 Char"/>
    <w:basedOn w:val="DefaultParagraphFont"/>
    <w:link w:val="Heading4"/>
    <w:uiPriority w:val="9"/>
    <w:rsid w:val="003630F9"/>
    <w:rPr>
      <w:rFonts w:asciiTheme="majorHAnsi" w:eastAsiaTheme="majorEastAsia" w:hAnsiTheme="majorHAnsi" w:cstheme="majorBidi"/>
      <w:b/>
      <w:bCs/>
      <w:i/>
      <w:iCs/>
      <w:color w:val="005677" w:themeColor="accent1"/>
    </w:rPr>
  </w:style>
  <w:style w:type="character" w:customStyle="1" w:styleId="Heading5Char">
    <w:name w:val="Heading 5 Char"/>
    <w:basedOn w:val="DefaultParagraphFont"/>
    <w:link w:val="Heading5"/>
    <w:uiPriority w:val="9"/>
    <w:rsid w:val="003630F9"/>
    <w:rPr>
      <w:rFonts w:asciiTheme="majorHAnsi" w:eastAsiaTheme="majorEastAsia" w:hAnsiTheme="majorHAnsi" w:cstheme="majorBidi"/>
      <w:b/>
      <w:color w:val="002A3B" w:themeColor="accent1" w:themeShade="7F"/>
      <w:sz w:val="20"/>
    </w:rPr>
  </w:style>
  <w:style w:type="table" w:styleId="TableGrid">
    <w:name w:val="Table Grid"/>
    <w:basedOn w:val="TableNormal"/>
    <w:uiPriority w:val="59"/>
    <w:rsid w:val="008220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List-Accent1">
    <w:name w:val="Light List Accent 1"/>
    <w:basedOn w:val="TableNormal"/>
    <w:uiPriority w:val="61"/>
    <w:rsid w:val="00822068"/>
    <w:pPr>
      <w:spacing w:after="0" w:line="240" w:lineRule="auto"/>
    </w:pPr>
    <w:tblPr>
      <w:tblStyleRowBandSize w:val="1"/>
      <w:tblStyleColBandSize w:val="1"/>
      <w:tblBorders>
        <w:top w:val="single" w:sz="8" w:space="0" w:color="005677" w:themeColor="accent1"/>
        <w:left w:val="single" w:sz="8" w:space="0" w:color="005677" w:themeColor="accent1"/>
        <w:bottom w:val="single" w:sz="8" w:space="0" w:color="005677" w:themeColor="accent1"/>
        <w:right w:val="single" w:sz="8" w:space="0" w:color="005677" w:themeColor="accent1"/>
      </w:tblBorders>
    </w:tblPr>
    <w:tblStylePr w:type="firstRow">
      <w:pPr>
        <w:spacing w:before="0" w:after="0" w:line="240" w:lineRule="auto"/>
      </w:pPr>
      <w:rPr>
        <w:b/>
        <w:bCs/>
        <w:color w:val="FFFFFF" w:themeColor="background1"/>
      </w:rPr>
      <w:tblPr/>
      <w:tcPr>
        <w:shd w:val="clear" w:color="auto" w:fill="005677" w:themeFill="accent1"/>
      </w:tcPr>
    </w:tblStylePr>
    <w:tblStylePr w:type="lastRow">
      <w:pPr>
        <w:spacing w:before="0" w:after="0" w:line="240" w:lineRule="auto"/>
      </w:pPr>
      <w:rPr>
        <w:b/>
        <w:bCs/>
      </w:rPr>
      <w:tblPr/>
      <w:tcPr>
        <w:tcBorders>
          <w:top w:val="double" w:sz="6" w:space="0" w:color="005677" w:themeColor="accent1"/>
          <w:left w:val="single" w:sz="8" w:space="0" w:color="005677" w:themeColor="accent1"/>
          <w:bottom w:val="single" w:sz="8" w:space="0" w:color="005677" w:themeColor="accent1"/>
          <w:right w:val="single" w:sz="8" w:space="0" w:color="005677" w:themeColor="accent1"/>
        </w:tcBorders>
      </w:tcPr>
    </w:tblStylePr>
    <w:tblStylePr w:type="firstCol">
      <w:rPr>
        <w:b/>
        <w:bCs/>
      </w:rPr>
    </w:tblStylePr>
    <w:tblStylePr w:type="lastCol">
      <w:rPr>
        <w:b/>
        <w:bCs/>
      </w:rPr>
    </w:tblStylePr>
    <w:tblStylePr w:type="band1Vert">
      <w:tblPr/>
      <w:tcPr>
        <w:tcBorders>
          <w:top w:val="single" w:sz="8" w:space="0" w:color="005677" w:themeColor="accent1"/>
          <w:left w:val="single" w:sz="8" w:space="0" w:color="005677" w:themeColor="accent1"/>
          <w:bottom w:val="single" w:sz="8" w:space="0" w:color="005677" w:themeColor="accent1"/>
          <w:right w:val="single" w:sz="8" w:space="0" w:color="005677" w:themeColor="accent1"/>
        </w:tcBorders>
      </w:tcPr>
    </w:tblStylePr>
    <w:tblStylePr w:type="band1Horz">
      <w:tblPr/>
      <w:tcPr>
        <w:tcBorders>
          <w:top w:val="single" w:sz="8" w:space="0" w:color="005677" w:themeColor="accent1"/>
          <w:left w:val="single" w:sz="8" w:space="0" w:color="005677" w:themeColor="accent1"/>
          <w:bottom w:val="single" w:sz="8" w:space="0" w:color="005677" w:themeColor="accent1"/>
          <w:right w:val="single" w:sz="8" w:space="0" w:color="005677" w:themeColor="accent1"/>
        </w:tcBorders>
      </w:tcPr>
    </w:tblStylePr>
  </w:style>
  <w:style w:type="table" w:styleId="LightList-Accent2">
    <w:name w:val="Light List Accent 2"/>
    <w:basedOn w:val="TableNormal"/>
    <w:uiPriority w:val="61"/>
    <w:rsid w:val="00822068"/>
    <w:pPr>
      <w:spacing w:after="0" w:line="240" w:lineRule="auto"/>
    </w:pPr>
    <w:tblPr>
      <w:tblStyleRowBandSize w:val="1"/>
      <w:tblStyleColBandSize w:val="1"/>
      <w:tblBorders>
        <w:top w:val="single" w:sz="8" w:space="0" w:color="00283E" w:themeColor="accent2"/>
        <w:left w:val="single" w:sz="8" w:space="0" w:color="00283E" w:themeColor="accent2"/>
        <w:bottom w:val="single" w:sz="8" w:space="0" w:color="00283E" w:themeColor="accent2"/>
        <w:right w:val="single" w:sz="8" w:space="0" w:color="00283E" w:themeColor="accent2"/>
      </w:tblBorders>
    </w:tblPr>
    <w:tblStylePr w:type="firstRow">
      <w:pPr>
        <w:spacing w:before="0" w:after="0" w:line="240" w:lineRule="auto"/>
      </w:pPr>
      <w:rPr>
        <w:b/>
        <w:bCs/>
        <w:color w:val="FFFFFF" w:themeColor="background1"/>
      </w:rPr>
      <w:tblPr/>
      <w:tcPr>
        <w:shd w:val="clear" w:color="auto" w:fill="00283E" w:themeFill="accent2"/>
      </w:tcPr>
    </w:tblStylePr>
    <w:tblStylePr w:type="lastRow">
      <w:pPr>
        <w:spacing w:before="0" w:after="0" w:line="240" w:lineRule="auto"/>
      </w:pPr>
      <w:rPr>
        <w:b/>
        <w:bCs/>
      </w:rPr>
      <w:tblPr/>
      <w:tcPr>
        <w:tcBorders>
          <w:top w:val="double" w:sz="6" w:space="0" w:color="00283E" w:themeColor="accent2"/>
          <w:left w:val="single" w:sz="8" w:space="0" w:color="00283E" w:themeColor="accent2"/>
          <w:bottom w:val="single" w:sz="8" w:space="0" w:color="00283E" w:themeColor="accent2"/>
          <w:right w:val="single" w:sz="8" w:space="0" w:color="00283E" w:themeColor="accent2"/>
        </w:tcBorders>
      </w:tcPr>
    </w:tblStylePr>
    <w:tblStylePr w:type="firstCol">
      <w:rPr>
        <w:b/>
        <w:bCs/>
      </w:rPr>
    </w:tblStylePr>
    <w:tblStylePr w:type="lastCol">
      <w:rPr>
        <w:b/>
        <w:bCs/>
      </w:rPr>
    </w:tblStylePr>
    <w:tblStylePr w:type="band1Vert">
      <w:tblPr/>
      <w:tcPr>
        <w:tcBorders>
          <w:top w:val="single" w:sz="8" w:space="0" w:color="00283E" w:themeColor="accent2"/>
          <w:left w:val="single" w:sz="8" w:space="0" w:color="00283E" w:themeColor="accent2"/>
          <w:bottom w:val="single" w:sz="8" w:space="0" w:color="00283E" w:themeColor="accent2"/>
          <w:right w:val="single" w:sz="8" w:space="0" w:color="00283E" w:themeColor="accent2"/>
        </w:tcBorders>
      </w:tcPr>
    </w:tblStylePr>
    <w:tblStylePr w:type="band1Horz">
      <w:tblPr/>
      <w:tcPr>
        <w:tcBorders>
          <w:top w:val="single" w:sz="8" w:space="0" w:color="00283E" w:themeColor="accent2"/>
          <w:left w:val="single" w:sz="8" w:space="0" w:color="00283E" w:themeColor="accent2"/>
          <w:bottom w:val="single" w:sz="8" w:space="0" w:color="00283E" w:themeColor="accent2"/>
          <w:right w:val="single" w:sz="8" w:space="0" w:color="00283E" w:themeColor="accent2"/>
        </w:tcBorders>
      </w:tcPr>
    </w:tblStylePr>
  </w:style>
  <w:style w:type="table" w:styleId="LightList-Accent3">
    <w:name w:val="Light List Accent 3"/>
    <w:basedOn w:val="TableNormal"/>
    <w:uiPriority w:val="61"/>
    <w:rsid w:val="00822068"/>
    <w:pPr>
      <w:spacing w:after="0" w:line="240" w:lineRule="auto"/>
    </w:pPr>
    <w:tblPr>
      <w:tblStyleRowBandSize w:val="1"/>
      <w:tblStyleColBandSize w:val="1"/>
      <w:tblBorders>
        <w:top w:val="single" w:sz="8" w:space="0" w:color="1B9590" w:themeColor="accent3"/>
        <w:left w:val="single" w:sz="8" w:space="0" w:color="1B9590" w:themeColor="accent3"/>
        <w:bottom w:val="single" w:sz="8" w:space="0" w:color="1B9590" w:themeColor="accent3"/>
        <w:right w:val="single" w:sz="8" w:space="0" w:color="1B9590" w:themeColor="accent3"/>
      </w:tblBorders>
    </w:tblPr>
    <w:tblStylePr w:type="firstRow">
      <w:pPr>
        <w:spacing w:before="0" w:after="0" w:line="240" w:lineRule="auto"/>
      </w:pPr>
      <w:rPr>
        <w:b/>
        <w:bCs/>
        <w:color w:val="FFFFFF" w:themeColor="background1"/>
      </w:rPr>
      <w:tblPr/>
      <w:tcPr>
        <w:shd w:val="clear" w:color="auto" w:fill="1B9590" w:themeFill="accent3"/>
      </w:tcPr>
    </w:tblStylePr>
    <w:tblStylePr w:type="lastRow">
      <w:pPr>
        <w:spacing w:before="0" w:after="0" w:line="240" w:lineRule="auto"/>
      </w:pPr>
      <w:rPr>
        <w:b/>
        <w:bCs/>
      </w:rPr>
      <w:tblPr/>
      <w:tcPr>
        <w:tcBorders>
          <w:top w:val="double" w:sz="6" w:space="0" w:color="1B9590" w:themeColor="accent3"/>
          <w:left w:val="single" w:sz="8" w:space="0" w:color="1B9590" w:themeColor="accent3"/>
          <w:bottom w:val="single" w:sz="8" w:space="0" w:color="1B9590" w:themeColor="accent3"/>
          <w:right w:val="single" w:sz="8" w:space="0" w:color="1B9590" w:themeColor="accent3"/>
        </w:tcBorders>
      </w:tcPr>
    </w:tblStylePr>
    <w:tblStylePr w:type="firstCol">
      <w:rPr>
        <w:b/>
        <w:bCs/>
      </w:rPr>
    </w:tblStylePr>
    <w:tblStylePr w:type="lastCol">
      <w:rPr>
        <w:b/>
        <w:bCs/>
      </w:rPr>
    </w:tblStylePr>
    <w:tblStylePr w:type="band1Vert">
      <w:tblPr/>
      <w:tcPr>
        <w:tcBorders>
          <w:top w:val="single" w:sz="8" w:space="0" w:color="1B9590" w:themeColor="accent3"/>
          <w:left w:val="single" w:sz="8" w:space="0" w:color="1B9590" w:themeColor="accent3"/>
          <w:bottom w:val="single" w:sz="8" w:space="0" w:color="1B9590" w:themeColor="accent3"/>
          <w:right w:val="single" w:sz="8" w:space="0" w:color="1B9590" w:themeColor="accent3"/>
        </w:tcBorders>
      </w:tcPr>
    </w:tblStylePr>
    <w:tblStylePr w:type="band1Horz">
      <w:tblPr/>
      <w:tcPr>
        <w:tcBorders>
          <w:top w:val="single" w:sz="8" w:space="0" w:color="1B9590" w:themeColor="accent3"/>
          <w:left w:val="single" w:sz="8" w:space="0" w:color="1B9590" w:themeColor="accent3"/>
          <w:bottom w:val="single" w:sz="8" w:space="0" w:color="1B9590" w:themeColor="accent3"/>
          <w:right w:val="single" w:sz="8" w:space="0" w:color="1B9590" w:themeColor="accent3"/>
        </w:tcBorders>
      </w:tcPr>
    </w:tblStylePr>
  </w:style>
  <w:style w:type="table" w:styleId="LightList-Accent4">
    <w:name w:val="Light List Accent 4"/>
    <w:basedOn w:val="TableNormal"/>
    <w:uiPriority w:val="61"/>
    <w:rsid w:val="00822068"/>
    <w:pPr>
      <w:spacing w:after="0" w:line="240" w:lineRule="auto"/>
    </w:pPr>
    <w:tblPr>
      <w:tblStyleRowBandSize w:val="1"/>
      <w:tblStyleColBandSize w:val="1"/>
      <w:tblBorders>
        <w:top w:val="single" w:sz="8" w:space="0" w:color="61C6C6" w:themeColor="accent4"/>
        <w:left w:val="single" w:sz="8" w:space="0" w:color="61C6C6" w:themeColor="accent4"/>
        <w:bottom w:val="single" w:sz="8" w:space="0" w:color="61C6C6" w:themeColor="accent4"/>
        <w:right w:val="single" w:sz="8" w:space="0" w:color="61C6C6" w:themeColor="accent4"/>
      </w:tblBorders>
    </w:tblPr>
    <w:tblStylePr w:type="firstRow">
      <w:pPr>
        <w:spacing w:before="0" w:after="0" w:line="240" w:lineRule="auto"/>
      </w:pPr>
      <w:rPr>
        <w:b/>
        <w:bCs/>
        <w:color w:val="FFFFFF" w:themeColor="background1"/>
      </w:rPr>
      <w:tblPr/>
      <w:tcPr>
        <w:shd w:val="clear" w:color="auto" w:fill="61C6C6" w:themeFill="accent4"/>
      </w:tcPr>
    </w:tblStylePr>
    <w:tblStylePr w:type="lastRow">
      <w:pPr>
        <w:spacing w:before="0" w:after="0" w:line="240" w:lineRule="auto"/>
      </w:pPr>
      <w:rPr>
        <w:b/>
        <w:bCs/>
      </w:rPr>
      <w:tblPr/>
      <w:tcPr>
        <w:tcBorders>
          <w:top w:val="double" w:sz="6" w:space="0" w:color="61C6C6" w:themeColor="accent4"/>
          <w:left w:val="single" w:sz="8" w:space="0" w:color="61C6C6" w:themeColor="accent4"/>
          <w:bottom w:val="single" w:sz="8" w:space="0" w:color="61C6C6" w:themeColor="accent4"/>
          <w:right w:val="single" w:sz="8" w:space="0" w:color="61C6C6" w:themeColor="accent4"/>
        </w:tcBorders>
      </w:tcPr>
    </w:tblStylePr>
    <w:tblStylePr w:type="firstCol">
      <w:rPr>
        <w:b/>
        <w:bCs/>
      </w:rPr>
    </w:tblStylePr>
    <w:tblStylePr w:type="lastCol">
      <w:rPr>
        <w:b/>
        <w:bCs/>
      </w:rPr>
    </w:tblStylePr>
    <w:tblStylePr w:type="band1Vert">
      <w:tblPr/>
      <w:tcPr>
        <w:tcBorders>
          <w:top w:val="single" w:sz="8" w:space="0" w:color="61C6C6" w:themeColor="accent4"/>
          <w:left w:val="single" w:sz="8" w:space="0" w:color="61C6C6" w:themeColor="accent4"/>
          <w:bottom w:val="single" w:sz="8" w:space="0" w:color="61C6C6" w:themeColor="accent4"/>
          <w:right w:val="single" w:sz="8" w:space="0" w:color="61C6C6" w:themeColor="accent4"/>
        </w:tcBorders>
      </w:tcPr>
    </w:tblStylePr>
    <w:tblStylePr w:type="band1Horz">
      <w:tblPr/>
      <w:tcPr>
        <w:tcBorders>
          <w:top w:val="single" w:sz="8" w:space="0" w:color="61C6C6" w:themeColor="accent4"/>
          <w:left w:val="single" w:sz="8" w:space="0" w:color="61C6C6" w:themeColor="accent4"/>
          <w:bottom w:val="single" w:sz="8" w:space="0" w:color="61C6C6" w:themeColor="accent4"/>
          <w:right w:val="single" w:sz="8" w:space="0" w:color="61C6C6" w:themeColor="accent4"/>
        </w:tcBorders>
      </w:tcPr>
    </w:tblStylePr>
  </w:style>
  <w:style w:type="table" w:customStyle="1" w:styleId="Style1">
    <w:name w:val="Style1"/>
    <w:basedOn w:val="TableNormal"/>
    <w:uiPriority w:val="99"/>
    <w:rsid w:val="00857192"/>
    <w:pPr>
      <w:spacing w:after="0" w:line="240" w:lineRule="auto"/>
      <w:jc w:val="right"/>
    </w:pPr>
    <w:rPr>
      <w:rFonts w:ascii="Arial" w:hAnsi="Arial"/>
      <w:color w:val="000000" w:themeColor="text1"/>
      <w:sz w:val="20"/>
    </w:rPr>
    <w:tblPr>
      <w:tblBorders>
        <w:bottom w:val="single" w:sz="2" w:space="0" w:color="005677" w:themeColor="accent1"/>
        <w:insideH w:val="single" w:sz="2" w:space="0" w:color="005677" w:themeColor="accent1"/>
      </w:tblBorders>
    </w:tblPr>
    <w:tcPr>
      <w:shd w:val="clear" w:color="auto" w:fill="auto"/>
      <w:vAlign w:val="center"/>
    </w:tcPr>
    <w:tblStylePr w:type="firstRow">
      <w:pPr>
        <w:wordWrap/>
        <w:jc w:val="right"/>
      </w:pPr>
      <w:rPr>
        <w:rFonts w:ascii="Arial" w:hAnsi="Arial"/>
        <w:b/>
        <w:color w:val="FFFFFF" w:themeColor="background1"/>
        <w:sz w:val="20"/>
      </w:rPr>
      <w:tblPr/>
      <w:tcPr>
        <w:shd w:val="clear" w:color="auto" w:fill="005677" w:themeFill="accent1"/>
      </w:tcPr>
    </w:tblStylePr>
    <w:tblStylePr w:type="lastRow">
      <w:pPr>
        <w:jc w:val="left"/>
      </w:pPr>
      <w:rPr>
        <w:rFonts w:ascii="Arial" w:hAnsi="Arial"/>
        <w:b/>
      </w:rPr>
    </w:tblStylePr>
    <w:tblStylePr w:type="firstCol">
      <w:pPr>
        <w:wordWrap/>
        <w:jc w:val="left"/>
      </w:pPr>
      <w:rPr>
        <w:b/>
      </w:rPr>
    </w:tblStylePr>
  </w:style>
  <w:style w:type="paragraph" w:styleId="TOCHeading">
    <w:name w:val="TOC Heading"/>
    <w:basedOn w:val="Heading1"/>
    <w:next w:val="Normal"/>
    <w:uiPriority w:val="39"/>
    <w:unhideWhenUsed/>
    <w:qFormat/>
    <w:rsid w:val="00CB2680"/>
    <w:pPr>
      <w:spacing w:before="0" w:after="240"/>
      <w:outlineLvl w:val="9"/>
    </w:pPr>
    <w:rPr>
      <w:lang w:val="en-US" w:eastAsia="ja-JP"/>
    </w:rPr>
  </w:style>
  <w:style w:type="paragraph" w:styleId="TOC1">
    <w:name w:val="toc 1"/>
    <w:basedOn w:val="Normal"/>
    <w:next w:val="Normal"/>
    <w:autoRedefine/>
    <w:uiPriority w:val="39"/>
    <w:unhideWhenUsed/>
    <w:qFormat/>
    <w:rsid w:val="00163B54"/>
    <w:pPr>
      <w:spacing w:after="100"/>
    </w:pPr>
    <w:rPr>
      <w:sz w:val="24"/>
    </w:rPr>
  </w:style>
  <w:style w:type="paragraph" w:styleId="TOC2">
    <w:name w:val="toc 2"/>
    <w:basedOn w:val="Normal"/>
    <w:next w:val="Normal"/>
    <w:autoRedefine/>
    <w:uiPriority w:val="39"/>
    <w:unhideWhenUsed/>
    <w:qFormat/>
    <w:rsid w:val="00163B54"/>
    <w:pPr>
      <w:spacing w:after="100"/>
      <w:ind w:left="200"/>
    </w:pPr>
    <w:rPr>
      <w:color w:val="58595B" w:themeColor="text2"/>
    </w:rPr>
  </w:style>
  <w:style w:type="paragraph" w:styleId="TOC3">
    <w:name w:val="toc 3"/>
    <w:basedOn w:val="Normal"/>
    <w:next w:val="Normal"/>
    <w:autoRedefine/>
    <w:uiPriority w:val="39"/>
    <w:unhideWhenUsed/>
    <w:qFormat/>
    <w:rsid w:val="002E14EA"/>
    <w:pPr>
      <w:spacing w:after="100"/>
      <w:ind w:left="400"/>
    </w:pPr>
  </w:style>
  <w:style w:type="paragraph" w:styleId="BalloonText">
    <w:name w:val="Balloon Text"/>
    <w:basedOn w:val="Normal"/>
    <w:link w:val="BalloonTextChar"/>
    <w:uiPriority w:val="99"/>
    <w:semiHidden/>
    <w:unhideWhenUsed/>
    <w:rsid w:val="002E14E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E14EA"/>
    <w:rPr>
      <w:rFonts w:ascii="Tahoma" w:hAnsi="Tahoma" w:cs="Tahoma"/>
      <w:sz w:val="16"/>
      <w:szCs w:val="16"/>
    </w:rPr>
  </w:style>
  <w:style w:type="paragraph" w:styleId="ListBullet">
    <w:name w:val="List Bullet"/>
    <w:basedOn w:val="Normal"/>
    <w:uiPriority w:val="99"/>
    <w:unhideWhenUsed/>
    <w:rsid w:val="00616067"/>
    <w:pPr>
      <w:numPr>
        <w:numId w:val="1"/>
      </w:numPr>
      <w:spacing w:after="240"/>
      <w:ind w:left="284" w:hanging="284"/>
      <w:contextualSpacing/>
    </w:pPr>
  </w:style>
  <w:style w:type="paragraph" w:styleId="ListBullet2">
    <w:name w:val="List Bullet 2"/>
    <w:basedOn w:val="Normal"/>
    <w:uiPriority w:val="99"/>
    <w:unhideWhenUsed/>
    <w:rsid w:val="002F65AF"/>
    <w:pPr>
      <w:numPr>
        <w:numId w:val="2"/>
      </w:numPr>
      <w:contextualSpacing/>
    </w:pPr>
  </w:style>
  <w:style w:type="paragraph" w:styleId="Quote">
    <w:name w:val="Quote"/>
    <w:basedOn w:val="Normal"/>
    <w:next w:val="Normal"/>
    <w:link w:val="QuoteChar"/>
    <w:uiPriority w:val="29"/>
    <w:qFormat/>
    <w:rsid w:val="009D7BB6"/>
    <w:pPr>
      <w:pBdr>
        <w:top w:val="single" w:sz="4" w:space="1" w:color="1B9590" w:themeColor="accent3"/>
        <w:bottom w:val="single" w:sz="4" w:space="1" w:color="1B9590" w:themeColor="accent3"/>
      </w:pBdr>
      <w:spacing w:before="240" w:after="240"/>
    </w:pPr>
    <w:rPr>
      <w:i/>
      <w:iCs/>
      <w:color w:val="005677" w:themeColor="accent1"/>
      <w:sz w:val="24"/>
    </w:rPr>
  </w:style>
  <w:style w:type="character" w:customStyle="1" w:styleId="QuoteChar">
    <w:name w:val="Quote Char"/>
    <w:basedOn w:val="DefaultParagraphFont"/>
    <w:link w:val="Quote"/>
    <w:uiPriority w:val="29"/>
    <w:rsid w:val="009D7BB6"/>
    <w:rPr>
      <w:i/>
      <w:iCs/>
      <w:color w:val="005677" w:themeColor="accent1"/>
      <w:sz w:val="24"/>
    </w:rPr>
  </w:style>
  <w:style w:type="character" w:styleId="SubtleEmphasis">
    <w:name w:val="Subtle Emphasis"/>
    <w:basedOn w:val="DefaultParagraphFont"/>
    <w:uiPriority w:val="19"/>
    <w:rsid w:val="005D0228"/>
    <w:rPr>
      <w:i/>
      <w:iCs/>
      <w:color w:val="808080" w:themeColor="text1" w:themeTint="7F"/>
      <w:sz w:val="28"/>
    </w:rPr>
  </w:style>
  <w:style w:type="character" w:styleId="IntenseEmphasis">
    <w:name w:val="Intense Emphasis"/>
    <w:basedOn w:val="DefaultParagraphFont"/>
    <w:uiPriority w:val="21"/>
    <w:qFormat/>
    <w:rsid w:val="005D0228"/>
    <w:rPr>
      <w:b/>
      <w:bCs/>
      <w:i/>
      <w:iCs/>
      <w:color w:val="005677" w:themeColor="accent1"/>
    </w:rPr>
  </w:style>
  <w:style w:type="paragraph" w:styleId="Caption">
    <w:name w:val="caption"/>
    <w:basedOn w:val="Normal"/>
    <w:next w:val="Normal"/>
    <w:uiPriority w:val="35"/>
    <w:unhideWhenUsed/>
    <w:qFormat/>
    <w:rsid w:val="00B526AB"/>
    <w:pPr>
      <w:spacing w:after="360" w:line="240" w:lineRule="auto"/>
    </w:pPr>
    <w:rPr>
      <w:bCs/>
      <w:color w:val="005677" w:themeColor="accent1"/>
      <w:sz w:val="18"/>
      <w:szCs w:val="18"/>
    </w:rPr>
  </w:style>
  <w:style w:type="character" w:customStyle="1" w:styleId="Tabletitle">
    <w:name w:val="Table title"/>
    <w:basedOn w:val="DefaultParagraphFont"/>
    <w:uiPriority w:val="1"/>
    <w:qFormat/>
    <w:rsid w:val="00D87BC8"/>
    <w:rPr>
      <w:b/>
      <w:color w:val="005677" w:themeColor="accent1"/>
    </w:rPr>
  </w:style>
  <w:style w:type="character" w:customStyle="1" w:styleId="Figuretitle">
    <w:name w:val="Figure title"/>
    <w:basedOn w:val="Tabletitle"/>
    <w:uiPriority w:val="1"/>
    <w:qFormat/>
    <w:rsid w:val="00E035A6"/>
    <w:rPr>
      <w:b/>
      <w:color w:val="005677" w:themeColor="accent1"/>
    </w:rPr>
  </w:style>
  <w:style w:type="paragraph" w:customStyle="1" w:styleId="Credit">
    <w:name w:val="Credit"/>
    <w:basedOn w:val="Caption"/>
    <w:qFormat/>
    <w:rsid w:val="00A51E16"/>
    <w:rPr>
      <w:color w:val="58595B" w:themeColor="text2"/>
    </w:rPr>
  </w:style>
  <w:style w:type="paragraph" w:styleId="EndnoteText">
    <w:name w:val="endnote text"/>
    <w:basedOn w:val="Normal"/>
    <w:link w:val="EndnoteTextChar"/>
    <w:uiPriority w:val="99"/>
    <w:semiHidden/>
    <w:unhideWhenUsed/>
    <w:rsid w:val="00B526AB"/>
    <w:pPr>
      <w:spacing w:after="0" w:line="240" w:lineRule="auto"/>
    </w:pPr>
    <w:rPr>
      <w:szCs w:val="20"/>
    </w:rPr>
  </w:style>
  <w:style w:type="character" w:customStyle="1" w:styleId="EndnoteTextChar">
    <w:name w:val="Endnote Text Char"/>
    <w:basedOn w:val="DefaultParagraphFont"/>
    <w:link w:val="EndnoteText"/>
    <w:uiPriority w:val="99"/>
    <w:semiHidden/>
    <w:rsid w:val="00B526AB"/>
    <w:rPr>
      <w:sz w:val="20"/>
      <w:szCs w:val="20"/>
    </w:rPr>
  </w:style>
  <w:style w:type="character" w:styleId="EndnoteReference">
    <w:name w:val="endnote reference"/>
    <w:basedOn w:val="DefaultParagraphFont"/>
    <w:uiPriority w:val="99"/>
    <w:semiHidden/>
    <w:unhideWhenUsed/>
    <w:rsid w:val="00B526AB"/>
    <w:rPr>
      <w:vertAlign w:val="superscript"/>
    </w:rPr>
  </w:style>
  <w:style w:type="paragraph" w:styleId="FootnoteText">
    <w:name w:val="footnote text"/>
    <w:basedOn w:val="Normal"/>
    <w:link w:val="FootnoteTextChar"/>
    <w:uiPriority w:val="99"/>
    <w:unhideWhenUsed/>
    <w:rsid w:val="00B526AB"/>
    <w:pPr>
      <w:spacing w:after="60" w:line="240" w:lineRule="auto"/>
    </w:pPr>
    <w:rPr>
      <w:sz w:val="16"/>
      <w:szCs w:val="20"/>
    </w:rPr>
  </w:style>
  <w:style w:type="character" w:customStyle="1" w:styleId="FootnoteTextChar">
    <w:name w:val="Footnote Text Char"/>
    <w:basedOn w:val="DefaultParagraphFont"/>
    <w:link w:val="FootnoteText"/>
    <w:uiPriority w:val="99"/>
    <w:rsid w:val="00B526AB"/>
    <w:rPr>
      <w:sz w:val="16"/>
      <w:szCs w:val="20"/>
    </w:rPr>
  </w:style>
  <w:style w:type="character" w:styleId="FootnoteReference">
    <w:name w:val="footnote reference"/>
    <w:basedOn w:val="DefaultParagraphFont"/>
    <w:uiPriority w:val="99"/>
    <w:semiHidden/>
    <w:unhideWhenUsed/>
    <w:rsid w:val="00B526AB"/>
    <w:rPr>
      <w:vertAlign w:val="superscript"/>
    </w:rPr>
  </w:style>
  <w:style w:type="paragraph" w:customStyle="1" w:styleId="Casestudy">
    <w:name w:val="Case study"/>
    <w:basedOn w:val="Normal"/>
    <w:qFormat/>
    <w:rsid w:val="00244596"/>
    <w:pPr>
      <w:pBdr>
        <w:top w:val="single" w:sz="4" w:space="4" w:color="00283E" w:themeColor="accent2"/>
        <w:left w:val="single" w:sz="4" w:space="4" w:color="00283E" w:themeColor="accent2"/>
        <w:bottom w:val="single" w:sz="4" w:space="4" w:color="00283E" w:themeColor="accent2"/>
        <w:right w:val="single" w:sz="4" w:space="4" w:color="00283E" w:themeColor="accent2"/>
      </w:pBdr>
      <w:shd w:val="clear" w:color="auto" w:fill="D1EEFF" w:themeFill="accent2" w:themeFillTint="1A"/>
      <w:ind w:left="113" w:right="113"/>
    </w:pPr>
  </w:style>
  <w:style w:type="paragraph" w:customStyle="1" w:styleId="Casestudytitle">
    <w:name w:val="Case study title"/>
    <w:basedOn w:val="Casestudy"/>
    <w:qFormat/>
    <w:rsid w:val="002D3954"/>
    <w:pPr>
      <w:spacing w:before="360"/>
    </w:pPr>
    <w:rPr>
      <w:color w:val="00283E" w:themeColor="accent2"/>
      <w:sz w:val="28"/>
    </w:rPr>
  </w:style>
  <w:style w:type="paragraph" w:customStyle="1" w:styleId="Casestudysource">
    <w:name w:val="Case study source"/>
    <w:basedOn w:val="Casestudy"/>
    <w:qFormat/>
    <w:rsid w:val="00F25F29"/>
    <w:pPr>
      <w:spacing w:before="240" w:after="480"/>
    </w:pPr>
    <w:rPr>
      <w:color w:val="00283E" w:themeColor="accent2"/>
      <w:sz w:val="16"/>
    </w:rPr>
  </w:style>
  <w:style w:type="paragraph" w:styleId="Header">
    <w:name w:val="header"/>
    <w:basedOn w:val="Normal"/>
    <w:link w:val="HeaderChar"/>
    <w:uiPriority w:val="99"/>
    <w:unhideWhenUsed/>
    <w:rsid w:val="00991FDD"/>
    <w:pPr>
      <w:tabs>
        <w:tab w:val="center" w:pos="4320"/>
        <w:tab w:val="right" w:pos="8640"/>
      </w:tabs>
      <w:spacing w:after="0" w:line="240" w:lineRule="auto"/>
    </w:pPr>
  </w:style>
  <w:style w:type="character" w:customStyle="1" w:styleId="HeaderChar">
    <w:name w:val="Header Char"/>
    <w:basedOn w:val="DefaultParagraphFont"/>
    <w:link w:val="Header"/>
    <w:uiPriority w:val="99"/>
    <w:rsid w:val="00991FDD"/>
    <w:rPr>
      <w:sz w:val="20"/>
    </w:rPr>
  </w:style>
  <w:style w:type="paragraph" w:styleId="Footer">
    <w:name w:val="footer"/>
    <w:basedOn w:val="Normal"/>
    <w:link w:val="FooterChar"/>
    <w:uiPriority w:val="99"/>
    <w:unhideWhenUsed/>
    <w:rsid w:val="00991FDD"/>
    <w:pPr>
      <w:tabs>
        <w:tab w:val="center" w:pos="4320"/>
        <w:tab w:val="right" w:pos="8640"/>
      </w:tabs>
      <w:spacing w:after="0" w:line="240" w:lineRule="auto"/>
    </w:pPr>
  </w:style>
  <w:style w:type="character" w:customStyle="1" w:styleId="FooterChar">
    <w:name w:val="Footer Char"/>
    <w:basedOn w:val="DefaultParagraphFont"/>
    <w:link w:val="Footer"/>
    <w:uiPriority w:val="99"/>
    <w:rsid w:val="00991FDD"/>
    <w:rPr>
      <w:sz w:val="20"/>
    </w:rPr>
  </w:style>
  <w:style w:type="character" w:styleId="PageNumber">
    <w:name w:val="page number"/>
    <w:basedOn w:val="DefaultParagraphFont"/>
    <w:uiPriority w:val="99"/>
    <w:semiHidden/>
    <w:unhideWhenUsed/>
    <w:rsid w:val="0031658C"/>
  </w:style>
  <w:style w:type="character" w:customStyle="1" w:styleId="Heading6Char">
    <w:name w:val="Heading 6 Char"/>
    <w:basedOn w:val="DefaultParagraphFont"/>
    <w:link w:val="Heading6"/>
    <w:uiPriority w:val="9"/>
    <w:rsid w:val="00B37916"/>
    <w:rPr>
      <w:rFonts w:asciiTheme="majorHAnsi" w:eastAsiaTheme="majorEastAsia" w:hAnsiTheme="majorHAnsi" w:cstheme="majorBidi"/>
      <w:b/>
      <w:i/>
      <w:iCs/>
      <w:color w:val="002A3B" w:themeColor="accent1" w:themeShade="7F"/>
      <w:sz w:val="20"/>
    </w:rPr>
  </w:style>
  <w:style w:type="character" w:customStyle="1" w:styleId="Heading7Char">
    <w:name w:val="Heading 7 Char"/>
    <w:basedOn w:val="DefaultParagraphFont"/>
    <w:link w:val="Heading7"/>
    <w:uiPriority w:val="9"/>
    <w:rsid w:val="003630F9"/>
    <w:rPr>
      <w:rFonts w:asciiTheme="majorHAnsi" w:eastAsiaTheme="majorEastAsia" w:hAnsiTheme="majorHAnsi" w:cstheme="majorBidi"/>
      <w:i/>
      <w:iCs/>
      <w:color w:val="404040" w:themeColor="text1" w:themeTint="BF"/>
      <w:sz w:val="20"/>
    </w:rPr>
  </w:style>
  <w:style w:type="paragraph" w:styleId="TOC4">
    <w:name w:val="toc 4"/>
    <w:basedOn w:val="Normal"/>
    <w:next w:val="Normal"/>
    <w:autoRedefine/>
    <w:uiPriority w:val="39"/>
    <w:unhideWhenUsed/>
    <w:rsid w:val="00B37916"/>
    <w:pPr>
      <w:ind w:left="600"/>
    </w:pPr>
  </w:style>
  <w:style w:type="paragraph" w:styleId="TOC5">
    <w:name w:val="toc 5"/>
    <w:basedOn w:val="Normal"/>
    <w:next w:val="Normal"/>
    <w:autoRedefine/>
    <w:uiPriority w:val="39"/>
    <w:unhideWhenUsed/>
    <w:rsid w:val="00B37916"/>
    <w:pPr>
      <w:ind w:left="800"/>
    </w:pPr>
  </w:style>
  <w:style w:type="paragraph" w:styleId="TOC6">
    <w:name w:val="toc 6"/>
    <w:basedOn w:val="Normal"/>
    <w:next w:val="Normal"/>
    <w:autoRedefine/>
    <w:uiPriority w:val="39"/>
    <w:unhideWhenUsed/>
    <w:rsid w:val="00B37916"/>
    <w:pPr>
      <w:ind w:left="1000"/>
    </w:pPr>
  </w:style>
  <w:style w:type="paragraph" w:styleId="TOC7">
    <w:name w:val="toc 7"/>
    <w:basedOn w:val="Normal"/>
    <w:next w:val="Normal"/>
    <w:autoRedefine/>
    <w:uiPriority w:val="39"/>
    <w:unhideWhenUsed/>
    <w:rsid w:val="00B37916"/>
    <w:pPr>
      <w:ind w:left="1200"/>
    </w:pPr>
  </w:style>
  <w:style w:type="paragraph" w:styleId="TOC8">
    <w:name w:val="toc 8"/>
    <w:basedOn w:val="Normal"/>
    <w:next w:val="Normal"/>
    <w:autoRedefine/>
    <w:uiPriority w:val="39"/>
    <w:unhideWhenUsed/>
    <w:rsid w:val="00B37916"/>
    <w:pPr>
      <w:ind w:left="1400"/>
    </w:pPr>
  </w:style>
  <w:style w:type="paragraph" w:styleId="TOC9">
    <w:name w:val="toc 9"/>
    <w:basedOn w:val="Normal"/>
    <w:next w:val="Normal"/>
    <w:autoRedefine/>
    <w:uiPriority w:val="39"/>
    <w:unhideWhenUsed/>
    <w:rsid w:val="00B37916"/>
    <w:pPr>
      <w:ind w:left="1600"/>
    </w:pPr>
  </w:style>
  <w:style w:type="paragraph" w:styleId="ListParagraph">
    <w:name w:val="List Paragraph"/>
    <w:basedOn w:val="Normal"/>
    <w:uiPriority w:val="34"/>
    <w:qFormat/>
    <w:rsid w:val="006255AE"/>
    <w:pPr>
      <w:spacing w:after="200"/>
      <w:ind w:left="720"/>
      <w:contextualSpacing/>
    </w:pPr>
    <w:rPr>
      <w:sz w:val="22"/>
    </w:rPr>
  </w:style>
  <w:style w:type="paragraph" w:styleId="NormalWeb">
    <w:name w:val="Normal (Web)"/>
    <w:basedOn w:val="Normal"/>
    <w:uiPriority w:val="99"/>
    <w:unhideWhenUsed/>
    <w:rsid w:val="006D398E"/>
    <w:pPr>
      <w:spacing w:before="100" w:beforeAutospacing="1" w:after="100" w:afterAutospacing="1" w:line="336" w:lineRule="atLeast"/>
    </w:pPr>
    <w:rPr>
      <w:rFonts w:ascii="Times New Roman" w:eastAsia="Times New Roman" w:hAnsi="Times New Roman" w:cs="Times New Roman"/>
      <w:sz w:val="24"/>
      <w:szCs w:val="24"/>
      <w:lang w:eastAsia="en-AU"/>
    </w:rPr>
  </w:style>
  <w:style w:type="paragraph" w:customStyle="1" w:styleId="tableheader">
    <w:name w:val="table header"/>
    <w:basedOn w:val="Normal"/>
    <w:qFormat/>
    <w:rsid w:val="00997B12"/>
    <w:pPr>
      <w:spacing w:after="0" w:line="240" w:lineRule="auto"/>
      <w:jc w:val="center"/>
    </w:pPr>
    <w:rPr>
      <w:rFonts w:ascii="Arial" w:eastAsia="Times New Roman" w:hAnsi="Arial" w:cs="Arial"/>
      <w:b/>
      <w:color w:val="FFFFFF" w:themeColor="background1"/>
      <w:szCs w:val="20"/>
      <w:lang w:eastAsia="en-AU"/>
    </w:rPr>
  </w:style>
  <w:style w:type="character" w:styleId="CommentReference">
    <w:name w:val="annotation reference"/>
    <w:basedOn w:val="DefaultParagraphFont"/>
    <w:uiPriority w:val="99"/>
    <w:semiHidden/>
    <w:unhideWhenUsed/>
    <w:rsid w:val="00AC29DB"/>
    <w:rPr>
      <w:sz w:val="16"/>
      <w:szCs w:val="16"/>
    </w:rPr>
  </w:style>
  <w:style w:type="paragraph" w:styleId="CommentText">
    <w:name w:val="annotation text"/>
    <w:basedOn w:val="Normal"/>
    <w:link w:val="CommentTextChar"/>
    <w:uiPriority w:val="99"/>
    <w:semiHidden/>
    <w:unhideWhenUsed/>
    <w:rsid w:val="00AC29DB"/>
    <w:pPr>
      <w:spacing w:line="240" w:lineRule="auto"/>
    </w:pPr>
    <w:rPr>
      <w:szCs w:val="20"/>
    </w:rPr>
  </w:style>
  <w:style w:type="character" w:customStyle="1" w:styleId="CommentTextChar">
    <w:name w:val="Comment Text Char"/>
    <w:basedOn w:val="DefaultParagraphFont"/>
    <w:link w:val="CommentText"/>
    <w:uiPriority w:val="99"/>
    <w:semiHidden/>
    <w:rsid w:val="00AC29DB"/>
    <w:rPr>
      <w:sz w:val="20"/>
      <w:szCs w:val="20"/>
    </w:rPr>
  </w:style>
  <w:style w:type="paragraph" w:styleId="CommentSubject">
    <w:name w:val="annotation subject"/>
    <w:basedOn w:val="CommentText"/>
    <w:next w:val="CommentText"/>
    <w:link w:val="CommentSubjectChar"/>
    <w:uiPriority w:val="99"/>
    <w:semiHidden/>
    <w:unhideWhenUsed/>
    <w:rsid w:val="00AC29DB"/>
    <w:rPr>
      <w:b/>
      <w:bCs/>
    </w:rPr>
  </w:style>
  <w:style w:type="character" w:customStyle="1" w:styleId="CommentSubjectChar">
    <w:name w:val="Comment Subject Char"/>
    <w:basedOn w:val="CommentTextChar"/>
    <w:link w:val="CommentSubject"/>
    <w:uiPriority w:val="99"/>
    <w:semiHidden/>
    <w:rsid w:val="00AC29DB"/>
    <w:rPr>
      <w:b/>
      <w:bCs/>
      <w:sz w:val="20"/>
      <w:szCs w:val="20"/>
    </w:rPr>
  </w:style>
  <w:style w:type="paragraph" w:styleId="Revision">
    <w:name w:val="Revision"/>
    <w:hidden/>
    <w:uiPriority w:val="99"/>
    <w:semiHidden/>
    <w:rsid w:val="00F967B7"/>
    <w:pPr>
      <w:spacing w:after="0" w:line="240" w:lineRule="auto"/>
    </w:pPr>
    <w:rPr>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5949469">
      <w:bodyDiv w:val="1"/>
      <w:marLeft w:val="0"/>
      <w:marRight w:val="0"/>
      <w:marTop w:val="0"/>
      <w:marBottom w:val="0"/>
      <w:divBdr>
        <w:top w:val="none" w:sz="0" w:space="0" w:color="auto"/>
        <w:left w:val="none" w:sz="0" w:space="0" w:color="auto"/>
        <w:bottom w:val="none" w:sz="0" w:space="0" w:color="auto"/>
        <w:right w:val="none" w:sz="0" w:space="0" w:color="auto"/>
      </w:divBdr>
    </w:div>
    <w:div w:id="156851573">
      <w:bodyDiv w:val="1"/>
      <w:marLeft w:val="0"/>
      <w:marRight w:val="0"/>
      <w:marTop w:val="0"/>
      <w:marBottom w:val="0"/>
      <w:divBdr>
        <w:top w:val="none" w:sz="0" w:space="0" w:color="auto"/>
        <w:left w:val="none" w:sz="0" w:space="0" w:color="auto"/>
        <w:bottom w:val="none" w:sz="0" w:space="0" w:color="auto"/>
        <w:right w:val="none" w:sz="0" w:space="0" w:color="auto"/>
      </w:divBdr>
    </w:div>
    <w:div w:id="470942958">
      <w:bodyDiv w:val="1"/>
      <w:marLeft w:val="0"/>
      <w:marRight w:val="0"/>
      <w:marTop w:val="0"/>
      <w:marBottom w:val="0"/>
      <w:divBdr>
        <w:top w:val="none" w:sz="0" w:space="0" w:color="auto"/>
        <w:left w:val="none" w:sz="0" w:space="0" w:color="auto"/>
        <w:bottom w:val="none" w:sz="0" w:space="0" w:color="auto"/>
        <w:right w:val="none" w:sz="0" w:space="0" w:color="auto"/>
      </w:divBdr>
    </w:div>
    <w:div w:id="529759538">
      <w:bodyDiv w:val="1"/>
      <w:marLeft w:val="0"/>
      <w:marRight w:val="0"/>
      <w:marTop w:val="0"/>
      <w:marBottom w:val="0"/>
      <w:divBdr>
        <w:top w:val="none" w:sz="0" w:space="0" w:color="auto"/>
        <w:left w:val="none" w:sz="0" w:space="0" w:color="auto"/>
        <w:bottom w:val="none" w:sz="0" w:space="0" w:color="auto"/>
        <w:right w:val="none" w:sz="0" w:space="0" w:color="auto"/>
      </w:divBdr>
    </w:div>
    <w:div w:id="745876897">
      <w:bodyDiv w:val="1"/>
      <w:marLeft w:val="0"/>
      <w:marRight w:val="0"/>
      <w:marTop w:val="0"/>
      <w:marBottom w:val="0"/>
      <w:divBdr>
        <w:top w:val="none" w:sz="0" w:space="0" w:color="auto"/>
        <w:left w:val="none" w:sz="0" w:space="0" w:color="auto"/>
        <w:bottom w:val="none" w:sz="0" w:space="0" w:color="auto"/>
        <w:right w:val="none" w:sz="0" w:space="0" w:color="auto"/>
      </w:divBdr>
    </w:div>
    <w:div w:id="863710231">
      <w:bodyDiv w:val="1"/>
      <w:marLeft w:val="0"/>
      <w:marRight w:val="0"/>
      <w:marTop w:val="0"/>
      <w:marBottom w:val="0"/>
      <w:divBdr>
        <w:top w:val="none" w:sz="0" w:space="0" w:color="auto"/>
        <w:left w:val="none" w:sz="0" w:space="0" w:color="auto"/>
        <w:bottom w:val="none" w:sz="0" w:space="0" w:color="auto"/>
        <w:right w:val="none" w:sz="0" w:space="0" w:color="auto"/>
      </w:divBdr>
    </w:div>
    <w:div w:id="1144926742">
      <w:bodyDiv w:val="1"/>
      <w:marLeft w:val="0"/>
      <w:marRight w:val="0"/>
      <w:marTop w:val="0"/>
      <w:marBottom w:val="0"/>
      <w:divBdr>
        <w:top w:val="none" w:sz="0" w:space="0" w:color="auto"/>
        <w:left w:val="none" w:sz="0" w:space="0" w:color="auto"/>
        <w:bottom w:val="none" w:sz="0" w:space="0" w:color="auto"/>
        <w:right w:val="none" w:sz="0" w:space="0" w:color="auto"/>
      </w:divBdr>
    </w:div>
    <w:div w:id="1328753923">
      <w:bodyDiv w:val="1"/>
      <w:marLeft w:val="0"/>
      <w:marRight w:val="0"/>
      <w:marTop w:val="0"/>
      <w:marBottom w:val="0"/>
      <w:divBdr>
        <w:top w:val="none" w:sz="0" w:space="0" w:color="auto"/>
        <w:left w:val="none" w:sz="0" w:space="0" w:color="auto"/>
        <w:bottom w:val="none" w:sz="0" w:space="0" w:color="auto"/>
        <w:right w:val="none" w:sz="0" w:space="0" w:color="auto"/>
      </w:divBdr>
    </w:div>
    <w:div w:id="1572891445">
      <w:bodyDiv w:val="1"/>
      <w:marLeft w:val="0"/>
      <w:marRight w:val="0"/>
      <w:marTop w:val="0"/>
      <w:marBottom w:val="0"/>
      <w:divBdr>
        <w:top w:val="none" w:sz="0" w:space="0" w:color="auto"/>
        <w:left w:val="none" w:sz="0" w:space="0" w:color="auto"/>
        <w:bottom w:val="none" w:sz="0" w:space="0" w:color="auto"/>
        <w:right w:val="none" w:sz="0" w:space="0" w:color="auto"/>
      </w:divBdr>
    </w:div>
    <w:div w:id="19337337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image" Target="media/image6.png"/><Relationship Id="rId26" Type="http://schemas.openxmlformats.org/officeDocument/2006/relationships/chart" Target="charts/chart3.xml"/><Relationship Id="rId3" Type="http://schemas.openxmlformats.org/officeDocument/2006/relationships/customXml" Target="../customXml/item3.xml"/><Relationship Id="rId21" Type="http://schemas.openxmlformats.org/officeDocument/2006/relationships/image" Target="media/image9.png"/><Relationship Id="rId34"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image" Target="media/image5.png"/><Relationship Id="rId25" Type="http://schemas.openxmlformats.org/officeDocument/2006/relationships/chart" Target="charts/chart2.xml"/><Relationship Id="rId33"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image" Target="media/image4.png"/><Relationship Id="rId20" Type="http://schemas.openxmlformats.org/officeDocument/2006/relationships/image" Target="media/image8.png"/><Relationship Id="rId29" Type="http://schemas.openxmlformats.org/officeDocument/2006/relationships/chart" Target="charts/chart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image" Target="cid:image001.png@01D2716C.D0185D30" TargetMode="External"/><Relationship Id="rId32" Type="http://schemas.openxmlformats.org/officeDocument/2006/relationships/header" Target="header3.xml"/><Relationship Id="rId5" Type="http://schemas.openxmlformats.org/officeDocument/2006/relationships/numbering" Target="numbering.xml"/><Relationship Id="rId15" Type="http://schemas.openxmlformats.org/officeDocument/2006/relationships/image" Target="media/image3.png"/><Relationship Id="rId23" Type="http://schemas.openxmlformats.org/officeDocument/2006/relationships/image" Target="media/image10.gif"/><Relationship Id="rId28" Type="http://schemas.openxmlformats.org/officeDocument/2006/relationships/image" Target="media/image12.emf"/><Relationship Id="rId10" Type="http://schemas.openxmlformats.org/officeDocument/2006/relationships/endnotes" Target="endnotes.xml"/><Relationship Id="rId19" Type="http://schemas.openxmlformats.org/officeDocument/2006/relationships/image" Target="media/image7.png"/><Relationship Id="rId31"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industry.gov.au/innovation/NSRC/Data/Pages/Data-collection-methodology.aspx" TargetMode="External"/><Relationship Id="rId22" Type="http://schemas.openxmlformats.org/officeDocument/2006/relationships/chart" Target="charts/chart1.xml"/><Relationship Id="rId27" Type="http://schemas.openxmlformats.org/officeDocument/2006/relationships/image" Target="media/image11.png"/><Relationship Id="rId30" Type="http://schemas.openxmlformats.org/officeDocument/2006/relationships/header" Target="header2.xml"/><Relationship Id="rId35"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png"/></Relationships>
</file>

<file path=word/charts/_rels/chart1.xml.rels><?xml version="1.0" encoding="UTF-8" standalone="yes"?>
<Relationships xmlns="http://schemas.openxmlformats.org/package/2006/relationships"><Relationship Id="rId3" Type="http://schemas.openxmlformats.org/officeDocument/2006/relationships/themeOverride" Target="../theme/themeOverride1.xml"/><Relationship Id="rId2" Type="http://schemas.microsoft.com/office/2011/relationships/chartColorStyle" Target="colors1.xml"/><Relationship Id="rId1" Type="http://schemas.microsoft.com/office/2011/relationships/chartStyle" Target="style1.xml"/><Relationship Id="rId4" Type="http://schemas.openxmlformats.org/officeDocument/2006/relationships/oleObject" Target="http://dochub/div/sciencecommercialisationpolicy/businessfunctions/dataandanalysis/impactresearch/docs/Analysis%20for%20Data%20Card-NSRC%202015%20Survey.xlsx" TargetMode="External"/></Relationships>
</file>

<file path=word/charts/_rels/chart2.xml.rels><?xml version="1.0" encoding="UTF-8" standalone="yes"?>
<Relationships xmlns="http://schemas.openxmlformats.org/package/2006/relationships"><Relationship Id="rId3" Type="http://schemas.openxmlformats.org/officeDocument/2006/relationships/oleObject" Target="file:///\\prod.protected.ind\group\S&amp;R\ROP%20Branch\Impact%20Policy%20Section\1.%20NSRC\XXXData%20Analysis\NSRC%202015\Data%20Preparation\Data%20Prep\Table%201\Analysis%20for%20Data%20Card-NSRC%202015%20Surveyv2.xlsx" TargetMode="External"/><Relationship Id="rId2" Type="http://schemas.microsoft.com/office/2011/relationships/chartColorStyle" Target="colors2.xml"/><Relationship Id="rId1" Type="http://schemas.microsoft.com/office/2011/relationships/chartStyle" Target="style2.xml"/></Relationships>
</file>

<file path=word/charts/_rels/chart3.xml.rels><?xml version="1.0" encoding="UTF-8" standalone="yes"?>
<Relationships xmlns="http://schemas.openxmlformats.org/package/2006/relationships"><Relationship Id="rId3" Type="http://schemas.openxmlformats.org/officeDocument/2006/relationships/oleObject" Target="file:///\\prod.protected.ind\group\S&amp;R\ROP%20Branch\Impact%20Policy%20Section\1.%20NSRC\XXXData%20Analysis\NSRC%202015\Data%20Preparation\Data%20Prep\Table%201\Analysis%20for%20Data%20Card-NSRC%202015%20Surveyv2.xlsx" TargetMode="External"/><Relationship Id="rId2" Type="http://schemas.microsoft.com/office/2011/relationships/chartColorStyle" Target="colors3.xml"/><Relationship Id="rId1" Type="http://schemas.microsoft.com/office/2011/relationships/chartStyle" Target="style3.xml"/></Relationships>
</file>

<file path=word/charts/_rels/chart4.xml.rels><?xml version="1.0" encoding="UTF-8" standalone="yes"?>
<Relationships xmlns="http://schemas.openxmlformats.org/package/2006/relationships"><Relationship Id="rId3" Type="http://schemas.openxmlformats.org/officeDocument/2006/relationships/oleObject" Target="http://dochub/div/sciencecommercialisationpolicy/businessfunctions/dataandanalysis/impactresearch/docs/Analysis%20for%20Data%20Card-NSRC%202015%20Survey.xlsx" TargetMode="External"/><Relationship Id="rId2" Type="http://schemas.microsoft.com/office/2011/relationships/chartColorStyle" Target="colors4.xml"/><Relationship Id="rId1" Type="http://schemas.microsoft.com/office/2011/relationships/chartStyle" Target="style4.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col"/>
        <c:grouping val="clustered"/>
        <c:varyColors val="0"/>
        <c:ser>
          <c:idx val="0"/>
          <c:order val="0"/>
          <c:tx>
            <c:strRef>
              <c:f>'Table 4.3'!$B$4</c:f>
              <c:strCache>
                <c:ptCount val="1"/>
                <c:pt idx="0">
                  <c:v>PFRAs</c:v>
                </c:pt>
              </c:strCache>
            </c:strRef>
          </c:tx>
          <c:spPr>
            <a:solidFill>
              <a:srgbClr val="5082BE"/>
            </a:solidFill>
            <a:ln>
              <a:noFill/>
            </a:ln>
            <a:effectLst/>
          </c:spPr>
          <c:invertIfNegative val="0"/>
          <c:cat>
            <c:numRef>
              <c:f>'Table 4.3'!$C$3:$E$3</c:f>
              <c:numCache>
                <c:formatCode>General</c:formatCode>
                <c:ptCount val="3"/>
                <c:pt idx="0">
                  <c:v>2013</c:v>
                </c:pt>
                <c:pt idx="1">
                  <c:v>2014</c:v>
                </c:pt>
                <c:pt idx="2">
                  <c:v>2015</c:v>
                </c:pt>
              </c:numCache>
            </c:numRef>
          </c:cat>
          <c:val>
            <c:numRef>
              <c:f>'Table 4.3'!$C$4:$E$4</c:f>
              <c:numCache>
                <c:formatCode>General</c:formatCode>
                <c:ptCount val="3"/>
                <c:pt idx="0">
                  <c:v>17</c:v>
                </c:pt>
                <c:pt idx="1">
                  <c:v>15</c:v>
                </c:pt>
                <c:pt idx="2">
                  <c:v>25</c:v>
                </c:pt>
              </c:numCache>
            </c:numRef>
          </c:val>
        </c:ser>
        <c:ser>
          <c:idx val="1"/>
          <c:order val="1"/>
          <c:tx>
            <c:strRef>
              <c:f>'Table 4.3'!$B$5</c:f>
              <c:strCache>
                <c:ptCount val="1"/>
                <c:pt idx="0">
                  <c:v>UNIs</c:v>
                </c:pt>
              </c:strCache>
            </c:strRef>
          </c:tx>
          <c:spPr>
            <a:solidFill>
              <a:srgbClr val="B4412D"/>
            </a:solidFill>
            <a:ln>
              <a:noFill/>
            </a:ln>
            <a:effectLst/>
          </c:spPr>
          <c:invertIfNegative val="0"/>
          <c:cat>
            <c:numRef>
              <c:f>'Table 4.3'!$C$3:$E$3</c:f>
              <c:numCache>
                <c:formatCode>General</c:formatCode>
                <c:ptCount val="3"/>
                <c:pt idx="0">
                  <c:v>2013</c:v>
                </c:pt>
                <c:pt idx="1">
                  <c:v>2014</c:v>
                </c:pt>
                <c:pt idx="2">
                  <c:v>2015</c:v>
                </c:pt>
              </c:numCache>
            </c:numRef>
          </c:cat>
          <c:val>
            <c:numRef>
              <c:f>'Table 4.3'!$C$5:$E$5</c:f>
              <c:numCache>
                <c:formatCode>General</c:formatCode>
                <c:ptCount val="3"/>
                <c:pt idx="0">
                  <c:v>112</c:v>
                </c:pt>
                <c:pt idx="1">
                  <c:v>68</c:v>
                </c:pt>
                <c:pt idx="2">
                  <c:v>89</c:v>
                </c:pt>
              </c:numCache>
            </c:numRef>
          </c:val>
        </c:ser>
        <c:ser>
          <c:idx val="2"/>
          <c:order val="2"/>
          <c:tx>
            <c:strRef>
              <c:f>'Table 4.3'!$B$6</c:f>
              <c:strCache>
                <c:ptCount val="1"/>
                <c:pt idx="0">
                  <c:v>MRIs</c:v>
                </c:pt>
              </c:strCache>
            </c:strRef>
          </c:tx>
          <c:spPr>
            <a:solidFill>
              <a:srgbClr val="8CBE55"/>
            </a:solidFill>
            <a:ln>
              <a:noFill/>
            </a:ln>
            <a:effectLst/>
          </c:spPr>
          <c:invertIfNegative val="0"/>
          <c:cat>
            <c:numRef>
              <c:f>'Table 4.3'!$C$3:$E$3</c:f>
              <c:numCache>
                <c:formatCode>General</c:formatCode>
                <c:ptCount val="3"/>
                <c:pt idx="0">
                  <c:v>2013</c:v>
                </c:pt>
                <c:pt idx="1">
                  <c:v>2014</c:v>
                </c:pt>
                <c:pt idx="2">
                  <c:v>2015</c:v>
                </c:pt>
              </c:numCache>
            </c:numRef>
          </c:cat>
          <c:val>
            <c:numRef>
              <c:f>'Table 4.3'!$C$6:$E$6</c:f>
              <c:numCache>
                <c:formatCode>General</c:formatCode>
                <c:ptCount val="3"/>
                <c:pt idx="0">
                  <c:v>17</c:v>
                </c:pt>
                <c:pt idx="1">
                  <c:v>14</c:v>
                </c:pt>
                <c:pt idx="2">
                  <c:v>15</c:v>
                </c:pt>
              </c:numCache>
            </c:numRef>
          </c:val>
        </c:ser>
        <c:dLbls>
          <c:showLegendKey val="0"/>
          <c:showVal val="0"/>
          <c:showCatName val="0"/>
          <c:showSerName val="0"/>
          <c:showPercent val="0"/>
          <c:showBubbleSize val="0"/>
        </c:dLbls>
        <c:gapWidth val="219"/>
        <c:overlap val="-27"/>
        <c:axId val="325743648"/>
        <c:axId val="480980064"/>
      </c:barChart>
      <c:catAx>
        <c:axId val="32574364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480980064"/>
        <c:crosses val="autoZero"/>
        <c:auto val="1"/>
        <c:lblAlgn val="ctr"/>
        <c:lblOffset val="100"/>
        <c:noMultiLvlLbl val="0"/>
      </c:catAx>
      <c:valAx>
        <c:axId val="480980064"/>
        <c:scaling>
          <c:orientation val="minMax"/>
        </c:scaling>
        <c:delete val="0"/>
        <c:axPos val="l"/>
        <c:title>
          <c:tx>
            <c:rich>
              <a:bodyPr rot="-5400000" spcFirstLastPara="1" vertOverflow="ellipsis" vert="horz" wrap="square" anchor="ctr" anchorCtr="1"/>
              <a:lstStyle/>
              <a:p>
                <a:pPr>
                  <a:defRPr sz="900" b="1" i="0" u="none" strike="noStrike" kern="1200" baseline="0">
                    <a:solidFill>
                      <a:schemeClr val="tx1">
                        <a:lumMod val="65000"/>
                        <a:lumOff val="35000"/>
                      </a:schemeClr>
                    </a:solidFill>
                    <a:latin typeface="Arial" panose="020B0604020202020204" pitchFamily="34" charset="0"/>
                    <a:ea typeface="+mn-ea"/>
                    <a:cs typeface="Arial" panose="020B0604020202020204" pitchFamily="34" charset="0"/>
                  </a:defRPr>
                </a:pPr>
                <a:r>
                  <a:rPr lang="en-US" sz="900" b="1">
                    <a:latin typeface="Arial" panose="020B0604020202020204" pitchFamily="34" charset="0"/>
                    <a:cs typeface="Arial" panose="020B0604020202020204" pitchFamily="34" charset="0"/>
                  </a:rPr>
                  <a:t>$ Million</a:t>
                </a:r>
              </a:p>
            </c:rich>
          </c:tx>
          <c:overlay val="0"/>
          <c:spPr>
            <a:noFill/>
            <a:ln>
              <a:noFill/>
            </a:ln>
            <a:effectLst/>
          </c:spPr>
          <c:txPr>
            <a:bodyPr rot="-5400000" spcFirstLastPara="1" vertOverflow="ellipsis" vert="horz" wrap="square" anchor="ctr" anchorCtr="1"/>
            <a:lstStyle/>
            <a:p>
              <a:pPr>
                <a:defRPr sz="900" b="1" i="0" u="none" strike="noStrike" kern="1200" baseline="0">
                  <a:solidFill>
                    <a:schemeClr val="tx1">
                      <a:lumMod val="65000"/>
                      <a:lumOff val="35000"/>
                    </a:schemeClr>
                  </a:solidFill>
                  <a:latin typeface="Arial" panose="020B0604020202020204" pitchFamily="34" charset="0"/>
                  <a:ea typeface="+mn-ea"/>
                  <a:cs typeface="Arial" panose="020B0604020202020204" pitchFamily="34" charset="0"/>
                </a:defRPr>
              </a:pPr>
              <a:endParaRPr lang="en-US"/>
            </a:p>
          </c:txPr>
        </c:title>
        <c:numFmt formatCode="General" sourceLinked="1"/>
        <c:majorTickMark val="none"/>
        <c:minorTickMark val="none"/>
        <c:tickLblPos val="nextTo"/>
        <c:spPr>
          <a:noFill/>
          <a:ln>
            <a:solidFill>
              <a:schemeClr val="bg2">
                <a:alpha val="84000"/>
              </a:schemeClr>
            </a:solid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325743648"/>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lgn="ctr" rtl="0">
            <a:defRPr lang="en-AU" sz="900" b="1" i="0" u="none" strike="noStrike" kern="1200" baseline="0">
              <a:solidFill>
                <a:sysClr val="windowText" lastClr="000000">
                  <a:lumMod val="65000"/>
                  <a:lumOff val="35000"/>
                </a:sysClr>
              </a:solidFill>
              <a:latin typeface="Arial" panose="020B0604020202020204" pitchFamily="34" charset="0"/>
              <a:ea typeface="+mn-ea"/>
              <a:cs typeface="Arial" panose="020B0604020202020204" pitchFamily="34" charset="0"/>
            </a:defRPr>
          </a:pPr>
          <a:endParaRPr lang="en-US"/>
        </a:p>
      </c:txPr>
    </c:legend>
    <c:plotVisOnly val="1"/>
    <c:dispBlanksAs val="gap"/>
    <c:showDLblsOverMax val="0"/>
  </c:chart>
  <c:spPr>
    <a:solidFill>
      <a:schemeClr val="bg1"/>
    </a:solidFill>
    <a:ln w="9525" cap="flat" cmpd="sng" algn="ctr">
      <a:noFill/>
      <a:round/>
    </a:ln>
    <a:effectLst/>
  </c:spPr>
  <c:txPr>
    <a:bodyPr/>
    <a:lstStyle/>
    <a:p>
      <a:pPr>
        <a:defRPr/>
      </a:pPr>
      <a:endParaRPr lang="en-US"/>
    </a:p>
  </c:txPr>
  <c:externalData r:id="rId4">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'Table 4.4'!$B$4</c:f>
              <c:strCache>
                <c:ptCount val="1"/>
                <c:pt idx="0">
                  <c:v>PFRAs</c:v>
                </c:pt>
              </c:strCache>
            </c:strRef>
          </c:tx>
          <c:spPr>
            <a:solidFill>
              <a:srgbClr val="5082BE"/>
            </a:solidFill>
            <a:ln>
              <a:noFill/>
            </a:ln>
            <a:effectLst/>
          </c:spPr>
          <c:invertIfNegative val="0"/>
          <c:cat>
            <c:numRef>
              <c:f>'Table 4.4'!$C$3:$E$3</c:f>
              <c:numCache>
                <c:formatCode>General</c:formatCode>
                <c:ptCount val="3"/>
                <c:pt idx="0">
                  <c:v>2013</c:v>
                </c:pt>
                <c:pt idx="1">
                  <c:v>2014</c:v>
                </c:pt>
                <c:pt idx="2">
                  <c:v>2015</c:v>
                </c:pt>
              </c:numCache>
            </c:numRef>
          </c:cat>
          <c:val>
            <c:numRef>
              <c:f>'Table 4.4'!$C$4:$E$4</c:f>
              <c:numCache>
                <c:formatCode>General</c:formatCode>
                <c:ptCount val="3"/>
                <c:pt idx="0">
                  <c:v>1965</c:v>
                </c:pt>
                <c:pt idx="1">
                  <c:v>2224</c:v>
                </c:pt>
                <c:pt idx="2">
                  <c:v>3139</c:v>
                </c:pt>
              </c:numCache>
            </c:numRef>
          </c:val>
        </c:ser>
        <c:ser>
          <c:idx val="1"/>
          <c:order val="1"/>
          <c:tx>
            <c:strRef>
              <c:f>'Table 4.4'!$B$5</c:f>
              <c:strCache>
                <c:ptCount val="1"/>
                <c:pt idx="0">
                  <c:v>UNIs</c:v>
                </c:pt>
              </c:strCache>
            </c:strRef>
          </c:tx>
          <c:spPr>
            <a:solidFill>
              <a:srgbClr val="B4412D"/>
            </a:solidFill>
            <a:ln>
              <a:noFill/>
            </a:ln>
            <a:effectLst/>
          </c:spPr>
          <c:invertIfNegative val="0"/>
          <c:cat>
            <c:numRef>
              <c:f>'Table 4.4'!$C$3:$E$3</c:f>
              <c:numCache>
                <c:formatCode>General</c:formatCode>
                <c:ptCount val="3"/>
                <c:pt idx="0">
                  <c:v>2013</c:v>
                </c:pt>
                <c:pt idx="1">
                  <c:v>2014</c:v>
                </c:pt>
                <c:pt idx="2">
                  <c:v>2015</c:v>
                </c:pt>
              </c:numCache>
            </c:numRef>
          </c:cat>
          <c:val>
            <c:numRef>
              <c:f>'Table 4.4'!$C$5:$E$5</c:f>
              <c:numCache>
                <c:formatCode>General</c:formatCode>
                <c:ptCount val="3"/>
                <c:pt idx="0">
                  <c:v>10046</c:v>
                </c:pt>
                <c:pt idx="1">
                  <c:v>11966</c:v>
                </c:pt>
                <c:pt idx="2">
                  <c:v>13391</c:v>
                </c:pt>
              </c:numCache>
            </c:numRef>
          </c:val>
        </c:ser>
        <c:ser>
          <c:idx val="2"/>
          <c:order val="2"/>
          <c:tx>
            <c:strRef>
              <c:f>'Table 4.4'!$B$6</c:f>
              <c:strCache>
                <c:ptCount val="1"/>
                <c:pt idx="0">
                  <c:v>MRIs</c:v>
                </c:pt>
              </c:strCache>
            </c:strRef>
          </c:tx>
          <c:spPr>
            <a:solidFill>
              <a:srgbClr val="8CBE55"/>
            </a:solidFill>
            <a:ln>
              <a:noFill/>
            </a:ln>
            <a:effectLst/>
          </c:spPr>
          <c:invertIfNegative val="0"/>
          <c:cat>
            <c:numRef>
              <c:f>'Table 4.4'!$C$3:$E$3</c:f>
              <c:numCache>
                <c:formatCode>General</c:formatCode>
                <c:ptCount val="3"/>
                <c:pt idx="0">
                  <c:v>2013</c:v>
                </c:pt>
                <c:pt idx="1">
                  <c:v>2014</c:v>
                </c:pt>
                <c:pt idx="2">
                  <c:v>2015</c:v>
                </c:pt>
              </c:numCache>
            </c:numRef>
          </c:cat>
          <c:val>
            <c:numRef>
              <c:f>'Table 4.4'!$C$6:$E$6</c:f>
              <c:numCache>
                <c:formatCode>General</c:formatCode>
                <c:ptCount val="3"/>
                <c:pt idx="0">
                  <c:v>217</c:v>
                </c:pt>
                <c:pt idx="1">
                  <c:v>1198</c:v>
                </c:pt>
                <c:pt idx="2">
                  <c:v>1546</c:v>
                </c:pt>
              </c:numCache>
            </c:numRef>
          </c:val>
        </c:ser>
        <c:dLbls>
          <c:showLegendKey val="0"/>
          <c:showVal val="0"/>
          <c:showCatName val="0"/>
          <c:showSerName val="0"/>
          <c:showPercent val="0"/>
          <c:showBubbleSize val="0"/>
        </c:dLbls>
        <c:gapWidth val="219"/>
        <c:overlap val="-27"/>
        <c:axId val="480982416"/>
        <c:axId val="480979280"/>
      </c:barChart>
      <c:catAx>
        <c:axId val="480982416"/>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480979280"/>
        <c:crosses val="autoZero"/>
        <c:auto val="1"/>
        <c:lblAlgn val="ctr"/>
        <c:lblOffset val="100"/>
        <c:noMultiLvlLbl val="0"/>
      </c:catAx>
      <c:valAx>
        <c:axId val="480979280"/>
        <c:scaling>
          <c:orientation val="minMax"/>
        </c:scaling>
        <c:delete val="0"/>
        <c:axPos val="l"/>
        <c:title>
          <c:tx>
            <c:rich>
              <a:bodyPr rot="-5400000" spcFirstLastPara="1" vertOverflow="ellipsis" vert="horz" wrap="square" anchor="ctr" anchorCtr="1"/>
              <a:lstStyle/>
              <a:p>
                <a:pPr>
                  <a:defRPr sz="800" b="1" i="0" u="none" strike="noStrike" kern="1200" baseline="0">
                    <a:solidFill>
                      <a:schemeClr val="tx1">
                        <a:lumMod val="65000"/>
                        <a:lumOff val="35000"/>
                      </a:schemeClr>
                    </a:solidFill>
                    <a:latin typeface="Arial" panose="020B0604020202020204" pitchFamily="34" charset="0"/>
                    <a:ea typeface="+mn-ea"/>
                    <a:cs typeface="Arial" panose="020B0604020202020204" pitchFamily="34" charset="0"/>
                  </a:defRPr>
                </a:pPr>
                <a:r>
                  <a:rPr lang="en-US" sz="800" b="1">
                    <a:latin typeface="Arial" panose="020B0604020202020204" pitchFamily="34" charset="0"/>
                    <a:cs typeface="Arial" panose="020B0604020202020204" pitchFamily="34" charset="0"/>
                  </a:rPr>
                  <a:t>Number</a:t>
                </a:r>
              </a:p>
            </c:rich>
          </c:tx>
          <c:overlay val="0"/>
          <c:spPr>
            <a:noFill/>
            <a:ln>
              <a:noFill/>
            </a:ln>
            <a:effectLst/>
          </c:spPr>
          <c:txPr>
            <a:bodyPr rot="-5400000" spcFirstLastPara="1" vertOverflow="ellipsis" vert="horz" wrap="square" anchor="ctr" anchorCtr="1"/>
            <a:lstStyle/>
            <a:p>
              <a:pPr>
                <a:defRPr sz="800" b="1" i="0" u="none" strike="noStrike" kern="1200" baseline="0">
                  <a:solidFill>
                    <a:schemeClr val="tx1">
                      <a:lumMod val="65000"/>
                      <a:lumOff val="35000"/>
                    </a:schemeClr>
                  </a:solidFill>
                  <a:latin typeface="Arial" panose="020B0604020202020204" pitchFamily="34" charset="0"/>
                  <a:ea typeface="+mn-ea"/>
                  <a:cs typeface="Arial" panose="020B0604020202020204" pitchFamily="34" charset="0"/>
                </a:defRPr>
              </a:pPr>
              <a:endParaRPr lang="en-US"/>
            </a:p>
          </c:txPr>
        </c:title>
        <c:numFmt formatCode="General" sourceLinked="1"/>
        <c:majorTickMark val="none"/>
        <c:minorTickMark val="none"/>
        <c:tickLblPos val="nextTo"/>
        <c:spPr>
          <a:noFill/>
          <a:ln>
            <a:solidFill>
              <a:schemeClr val="bg2">
                <a:alpha val="84000"/>
              </a:schemeClr>
            </a:solid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480982416"/>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lgn="ctr" rtl="0">
            <a:defRPr lang="en-AU" sz="800" b="1" i="0" u="none" strike="noStrike" kern="1200" baseline="0">
              <a:solidFill>
                <a:sysClr val="windowText" lastClr="000000">
                  <a:lumMod val="65000"/>
                  <a:lumOff val="35000"/>
                </a:sysClr>
              </a:solidFill>
              <a:latin typeface="Arial" panose="020B0604020202020204" pitchFamily="34" charset="0"/>
              <a:ea typeface="+mn-ea"/>
              <a:cs typeface="Arial" panose="020B0604020202020204" pitchFamily="34" charset="0"/>
            </a:defRPr>
          </a:pPr>
          <a:endParaRPr lang="en-US"/>
        </a:p>
      </c:txPr>
    </c:legend>
    <c:plotVisOnly val="1"/>
    <c:dispBlanksAs val="gap"/>
    <c:showDLblsOverMax val="0"/>
  </c:chart>
  <c:spPr>
    <a:solidFill>
      <a:schemeClr val="bg1"/>
    </a:solidFill>
    <a:ln w="9525" cap="flat" cmpd="sng" algn="ctr">
      <a:noFill/>
      <a:round/>
    </a:ln>
    <a:effectLst/>
  </c:spPr>
  <c:txPr>
    <a:bodyPr/>
    <a:lstStyle/>
    <a:p>
      <a:pPr>
        <a:defRPr/>
      </a:pPr>
      <a:endParaRPr lang="en-US"/>
    </a:p>
  </c:txPr>
  <c:externalData r:id="rId3">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'Table 4.5'!$H$4</c:f>
              <c:strCache>
                <c:ptCount val="1"/>
                <c:pt idx="0">
                  <c:v>PFRAs</c:v>
                </c:pt>
              </c:strCache>
            </c:strRef>
          </c:tx>
          <c:spPr>
            <a:solidFill>
              <a:srgbClr val="5082BE"/>
            </a:solidFill>
            <a:ln>
              <a:noFill/>
            </a:ln>
            <a:effectLst/>
          </c:spPr>
          <c:invertIfNegative val="0"/>
          <c:cat>
            <c:numRef>
              <c:f>'Table 4.5'!$I$3:$K$3</c:f>
              <c:numCache>
                <c:formatCode>General</c:formatCode>
                <c:ptCount val="3"/>
                <c:pt idx="0">
                  <c:v>2013</c:v>
                </c:pt>
                <c:pt idx="1">
                  <c:v>2014</c:v>
                </c:pt>
                <c:pt idx="2">
                  <c:v>2015</c:v>
                </c:pt>
              </c:numCache>
            </c:numRef>
          </c:cat>
          <c:val>
            <c:numRef>
              <c:f>'Table 4.5'!$I$4:$K$4</c:f>
              <c:numCache>
                <c:formatCode>0</c:formatCode>
                <c:ptCount val="3"/>
                <c:pt idx="0">
                  <c:v>388.15222054380666</c:v>
                </c:pt>
                <c:pt idx="1">
                  <c:v>381.59131777557093</c:v>
                </c:pt>
                <c:pt idx="2">
                  <c:v>447.71598399999999</c:v>
                </c:pt>
              </c:numCache>
            </c:numRef>
          </c:val>
        </c:ser>
        <c:ser>
          <c:idx val="1"/>
          <c:order val="1"/>
          <c:tx>
            <c:strRef>
              <c:f>'Table 4.5'!$H$5</c:f>
              <c:strCache>
                <c:ptCount val="1"/>
                <c:pt idx="0">
                  <c:v>UNIs</c:v>
                </c:pt>
              </c:strCache>
            </c:strRef>
          </c:tx>
          <c:spPr>
            <a:solidFill>
              <a:srgbClr val="B4412D"/>
            </a:solidFill>
            <a:ln>
              <a:noFill/>
            </a:ln>
            <a:effectLst/>
          </c:spPr>
          <c:invertIfNegative val="0"/>
          <c:cat>
            <c:numRef>
              <c:f>'Table 4.5'!$I$3:$K$3</c:f>
              <c:numCache>
                <c:formatCode>General</c:formatCode>
                <c:ptCount val="3"/>
                <c:pt idx="0">
                  <c:v>2013</c:v>
                </c:pt>
                <c:pt idx="1">
                  <c:v>2014</c:v>
                </c:pt>
                <c:pt idx="2">
                  <c:v>2015</c:v>
                </c:pt>
              </c:numCache>
            </c:numRef>
          </c:cat>
          <c:val>
            <c:numRef>
              <c:f>'Table 4.5'!$I$5:$K$5</c:f>
              <c:numCache>
                <c:formatCode>0</c:formatCode>
                <c:ptCount val="3"/>
                <c:pt idx="0">
                  <c:v>1159.9595657099696</c:v>
                </c:pt>
                <c:pt idx="1">
                  <c:v>1310</c:v>
                </c:pt>
                <c:pt idx="2">
                  <c:v>1204.6130573100002</c:v>
                </c:pt>
              </c:numCache>
            </c:numRef>
          </c:val>
        </c:ser>
        <c:ser>
          <c:idx val="2"/>
          <c:order val="2"/>
          <c:tx>
            <c:strRef>
              <c:f>'Table 4.5'!$H$6</c:f>
              <c:strCache>
                <c:ptCount val="1"/>
                <c:pt idx="0">
                  <c:v>MRIs</c:v>
                </c:pt>
              </c:strCache>
            </c:strRef>
          </c:tx>
          <c:spPr>
            <a:solidFill>
              <a:srgbClr val="8CBE55"/>
            </a:solidFill>
            <a:ln>
              <a:noFill/>
            </a:ln>
            <a:effectLst/>
          </c:spPr>
          <c:invertIfNegative val="0"/>
          <c:cat>
            <c:numRef>
              <c:f>'Table 4.5'!$I$3:$K$3</c:f>
              <c:numCache>
                <c:formatCode>General</c:formatCode>
                <c:ptCount val="3"/>
                <c:pt idx="0">
                  <c:v>2013</c:v>
                </c:pt>
                <c:pt idx="1">
                  <c:v>2014</c:v>
                </c:pt>
                <c:pt idx="2">
                  <c:v>2015</c:v>
                </c:pt>
              </c:numCache>
            </c:numRef>
          </c:cat>
          <c:val>
            <c:numRef>
              <c:f>'Table 4.5'!$I$6:$K$6</c:f>
              <c:numCache>
                <c:formatCode>0</c:formatCode>
                <c:ptCount val="3"/>
                <c:pt idx="0">
                  <c:v>38.943125881168179</c:v>
                </c:pt>
                <c:pt idx="1">
                  <c:v>71.599726911618674</c:v>
                </c:pt>
                <c:pt idx="2">
                  <c:v>129.99418027999999</c:v>
                </c:pt>
              </c:numCache>
            </c:numRef>
          </c:val>
        </c:ser>
        <c:dLbls>
          <c:showLegendKey val="0"/>
          <c:showVal val="0"/>
          <c:showCatName val="0"/>
          <c:showSerName val="0"/>
          <c:showPercent val="0"/>
          <c:showBubbleSize val="0"/>
        </c:dLbls>
        <c:gapWidth val="219"/>
        <c:overlap val="-27"/>
        <c:axId val="480978888"/>
        <c:axId val="480981240"/>
      </c:barChart>
      <c:catAx>
        <c:axId val="48097888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480981240"/>
        <c:crosses val="autoZero"/>
        <c:auto val="1"/>
        <c:lblAlgn val="ctr"/>
        <c:lblOffset val="100"/>
        <c:noMultiLvlLbl val="0"/>
      </c:catAx>
      <c:valAx>
        <c:axId val="480981240"/>
        <c:scaling>
          <c:orientation val="minMax"/>
        </c:scaling>
        <c:delete val="0"/>
        <c:axPos val="l"/>
        <c:title>
          <c:tx>
            <c:rich>
              <a:bodyPr rot="-5400000" spcFirstLastPara="1" vertOverflow="ellipsis" vert="horz" wrap="square" anchor="ctr" anchorCtr="1"/>
              <a:lstStyle/>
              <a:p>
                <a:pPr>
                  <a:defRPr lang="en-US" sz="800" b="1" i="0" u="none" strike="noStrike" kern="1200" baseline="0">
                    <a:solidFill>
                      <a:schemeClr val="tx1">
                        <a:lumMod val="65000"/>
                        <a:lumOff val="35000"/>
                      </a:schemeClr>
                    </a:solidFill>
                    <a:latin typeface="Arial" panose="020B0604020202020204" pitchFamily="34" charset="0"/>
                    <a:ea typeface="+mn-ea"/>
                    <a:cs typeface="Arial" panose="020B0604020202020204" pitchFamily="34" charset="0"/>
                  </a:defRPr>
                </a:pPr>
                <a:r>
                  <a:rPr lang="en-US" sz="800" b="1" i="0" u="none" strike="noStrike" kern="1200" baseline="0">
                    <a:solidFill>
                      <a:schemeClr val="tx1">
                        <a:lumMod val="65000"/>
                        <a:lumOff val="35000"/>
                      </a:schemeClr>
                    </a:solidFill>
                    <a:latin typeface="Arial" panose="020B0604020202020204" pitchFamily="34" charset="0"/>
                    <a:ea typeface="+mn-ea"/>
                    <a:cs typeface="Arial" panose="020B0604020202020204" pitchFamily="34" charset="0"/>
                  </a:rPr>
                  <a:t>$ Million</a:t>
                </a:r>
              </a:p>
            </c:rich>
          </c:tx>
          <c:overlay val="0"/>
          <c:spPr>
            <a:noFill/>
            <a:ln>
              <a:noFill/>
            </a:ln>
            <a:effectLst/>
          </c:spPr>
          <c:txPr>
            <a:bodyPr rot="-5400000" spcFirstLastPara="1" vertOverflow="ellipsis" vert="horz" wrap="square" anchor="ctr" anchorCtr="1"/>
            <a:lstStyle/>
            <a:p>
              <a:pPr>
                <a:defRPr lang="en-US" sz="800" b="1" i="0" u="none" strike="noStrike" kern="1200" baseline="0">
                  <a:solidFill>
                    <a:schemeClr val="tx1">
                      <a:lumMod val="65000"/>
                      <a:lumOff val="35000"/>
                    </a:schemeClr>
                  </a:solidFill>
                  <a:latin typeface="Arial" panose="020B0604020202020204" pitchFamily="34" charset="0"/>
                  <a:ea typeface="+mn-ea"/>
                  <a:cs typeface="Arial" panose="020B0604020202020204" pitchFamily="34" charset="0"/>
                </a:defRPr>
              </a:pPr>
              <a:endParaRPr lang="en-US"/>
            </a:p>
          </c:txPr>
        </c:title>
        <c:numFmt formatCode="0" sourceLinked="1"/>
        <c:majorTickMark val="none"/>
        <c:minorTickMark val="none"/>
        <c:tickLblPos val="nextTo"/>
        <c:spPr>
          <a:noFill/>
          <a:ln>
            <a:solidFill>
              <a:schemeClr val="bg2">
                <a:alpha val="84000"/>
              </a:schemeClr>
            </a:solid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480978888"/>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800" b="1" i="0" u="none" strike="noStrike" kern="1200" baseline="0">
              <a:solidFill>
                <a:schemeClr val="tx1">
                  <a:lumMod val="65000"/>
                  <a:lumOff val="35000"/>
                </a:schemeClr>
              </a:solidFill>
              <a:latin typeface="Arial" panose="020B0604020202020204" pitchFamily="34" charset="0"/>
              <a:ea typeface="+mn-ea"/>
              <a:cs typeface="Arial" panose="020B0604020202020204" pitchFamily="34" charset="0"/>
            </a:defRPr>
          </a:pPr>
          <a:endParaRPr lang="en-US"/>
        </a:p>
      </c:txPr>
    </c:legend>
    <c:plotVisOnly val="1"/>
    <c:dispBlanksAs val="gap"/>
    <c:showDLblsOverMax val="0"/>
  </c:chart>
  <c:spPr>
    <a:solidFill>
      <a:schemeClr val="bg1"/>
    </a:solidFill>
    <a:ln w="9525" cap="flat" cmpd="sng" algn="ctr">
      <a:noFill/>
      <a:round/>
    </a:ln>
    <a:effectLst/>
  </c:spPr>
  <c:txPr>
    <a:bodyPr/>
    <a:lstStyle/>
    <a:p>
      <a:pPr>
        <a:defRPr/>
      </a:pPr>
      <a:endParaRPr lang="en-US"/>
    </a:p>
  </c:txPr>
  <c:externalData r:id="rId3">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4438344512491494"/>
          <c:y val="6.0185185185185182E-2"/>
          <c:w val="0.81672766598619617"/>
          <c:h val="0.8416746864975212"/>
        </c:manualLayout>
      </c:layout>
      <c:barChart>
        <c:barDir val="col"/>
        <c:grouping val="clustered"/>
        <c:varyColors val="0"/>
        <c:ser>
          <c:idx val="0"/>
          <c:order val="0"/>
          <c:spPr>
            <a:solidFill>
              <a:schemeClr val="accent1"/>
            </a:solidFill>
            <a:ln>
              <a:noFill/>
            </a:ln>
            <a:effectLst/>
          </c:spPr>
          <c:invertIfNegative val="0"/>
          <c:dPt>
            <c:idx val="1"/>
            <c:invertIfNegative val="0"/>
            <c:bubble3D val="0"/>
            <c:spPr>
              <a:solidFill>
                <a:srgbClr val="B4412D"/>
              </a:solidFill>
              <a:ln>
                <a:noFill/>
              </a:ln>
              <a:effectLst/>
            </c:spPr>
          </c:dPt>
          <c:dPt>
            <c:idx val="2"/>
            <c:invertIfNegative val="0"/>
            <c:bubble3D val="0"/>
            <c:spPr>
              <a:solidFill>
                <a:srgbClr val="8CBE55"/>
              </a:solidFill>
              <a:ln>
                <a:noFill/>
              </a:ln>
              <a:effectLst/>
            </c:spPr>
          </c:dPt>
          <c:cat>
            <c:strRef>
              <c:f>'Table 5'!$J$4:$J$6</c:f>
              <c:strCache>
                <c:ptCount val="3"/>
                <c:pt idx="0">
                  <c:v>PFRAs</c:v>
                </c:pt>
                <c:pt idx="1">
                  <c:v>UNIs</c:v>
                </c:pt>
                <c:pt idx="2">
                  <c:v>MRIs</c:v>
                </c:pt>
              </c:strCache>
            </c:strRef>
          </c:cat>
          <c:val>
            <c:numRef>
              <c:f>'Table 5'!$N$4:$N$6</c:f>
              <c:numCache>
                <c:formatCode>#,##0</c:formatCode>
                <c:ptCount val="3"/>
                <c:pt idx="0">
                  <c:v>1066</c:v>
                </c:pt>
                <c:pt idx="1">
                  <c:v>8471</c:v>
                </c:pt>
                <c:pt idx="2" formatCode="General">
                  <c:v>601</c:v>
                </c:pt>
              </c:numCache>
            </c:numRef>
          </c:val>
        </c:ser>
        <c:dLbls>
          <c:showLegendKey val="0"/>
          <c:showVal val="0"/>
          <c:showCatName val="0"/>
          <c:showSerName val="0"/>
          <c:showPercent val="0"/>
          <c:showBubbleSize val="0"/>
        </c:dLbls>
        <c:gapWidth val="219"/>
        <c:overlap val="-27"/>
        <c:axId val="480982024"/>
        <c:axId val="323828632"/>
      </c:barChart>
      <c:catAx>
        <c:axId val="480982024"/>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1" i="0" u="none" strike="noStrike" kern="1200" baseline="0">
                <a:solidFill>
                  <a:schemeClr val="tx1">
                    <a:lumMod val="65000"/>
                    <a:lumOff val="35000"/>
                  </a:schemeClr>
                </a:solidFill>
                <a:latin typeface="+mn-lt"/>
                <a:ea typeface="+mn-ea"/>
                <a:cs typeface="+mn-cs"/>
              </a:defRPr>
            </a:pPr>
            <a:endParaRPr lang="en-US"/>
          </a:p>
        </c:txPr>
        <c:crossAx val="323828632"/>
        <c:crosses val="autoZero"/>
        <c:auto val="1"/>
        <c:lblAlgn val="ctr"/>
        <c:lblOffset val="100"/>
        <c:noMultiLvlLbl val="0"/>
      </c:catAx>
      <c:valAx>
        <c:axId val="323828632"/>
        <c:scaling>
          <c:orientation val="minMax"/>
        </c:scaling>
        <c:delete val="0"/>
        <c:axPos val="l"/>
        <c:title>
          <c:tx>
            <c:rich>
              <a:bodyPr rot="-5400000" spcFirstLastPara="1" vertOverflow="ellipsis" vert="horz" wrap="square" anchor="ctr" anchorCtr="1"/>
              <a:lstStyle/>
              <a:p>
                <a:pPr>
                  <a:defRPr sz="1000" b="1" i="0" u="none" strike="noStrike" kern="1200" baseline="0">
                    <a:solidFill>
                      <a:schemeClr val="tx1">
                        <a:lumMod val="65000"/>
                        <a:lumOff val="35000"/>
                      </a:schemeClr>
                    </a:solidFill>
                    <a:latin typeface="+mn-lt"/>
                    <a:ea typeface="+mn-ea"/>
                    <a:cs typeface="+mn-cs"/>
                  </a:defRPr>
                </a:pPr>
                <a:r>
                  <a:rPr lang="en-US" b="1"/>
                  <a:t>Number</a:t>
                </a:r>
              </a:p>
            </c:rich>
          </c:tx>
          <c:overlay val="0"/>
          <c:spPr>
            <a:noFill/>
            <a:ln>
              <a:noFill/>
            </a:ln>
            <a:effectLst/>
          </c:spPr>
          <c:txPr>
            <a:bodyPr rot="-5400000" spcFirstLastPara="1" vertOverflow="ellipsis" vert="horz" wrap="square" anchor="ctr" anchorCtr="1"/>
            <a:lstStyle/>
            <a:p>
              <a:pPr>
                <a:defRPr sz="1000" b="1" i="0" u="none" strike="noStrike" kern="1200" baseline="0">
                  <a:solidFill>
                    <a:schemeClr val="tx1">
                      <a:lumMod val="65000"/>
                      <a:lumOff val="35000"/>
                    </a:schemeClr>
                  </a:solidFill>
                  <a:latin typeface="+mn-lt"/>
                  <a:ea typeface="+mn-ea"/>
                  <a:cs typeface="+mn-cs"/>
                </a:defRPr>
              </a:pPr>
              <a:endParaRPr lang="en-US"/>
            </a:p>
          </c:txPr>
        </c:title>
        <c:numFmt formatCode="#,##0" sourceLinked="1"/>
        <c:majorTickMark val="none"/>
        <c:minorTickMark val="none"/>
        <c:tickLblPos val="nextTo"/>
        <c:spPr>
          <a:noFill/>
          <a:ln w="3175">
            <a:solidFill>
              <a:schemeClr val="accent1">
                <a:lumMod val="20000"/>
                <a:lumOff val="80000"/>
              </a:schemeClr>
            </a:solidFill>
          </a:ln>
          <a:effectLst/>
        </c:spPr>
        <c:txPr>
          <a:bodyPr rot="-60000000" spcFirstLastPara="1" vertOverflow="ellipsis" vert="horz" wrap="square" anchor="ctr" anchorCtr="1"/>
          <a:lstStyle/>
          <a:p>
            <a:pPr algn="ctr">
              <a:defRPr lang="en-AU" sz="900" b="0" i="0" u="none" strike="noStrike" kern="1200" baseline="0">
                <a:solidFill>
                  <a:schemeClr val="tx1">
                    <a:lumMod val="65000"/>
                    <a:lumOff val="35000"/>
                  </a:schemeClr>
                </a:solidFill>
                <a:latin typeface="+mn-lt"/>
                <a:ea typeface="+mn-ea"/>
                <a:cs typeface="+mn-cs"/>
              </a:defRPr>
            </a:pPr>
            <a:endParaRPr lang="en-US"/>
          </a:p>
        </c:txPr>
        <c:crossAx val="480982024"/>
        <c:crosses val="autoZero"/>
        <c:crossBetween val="between"/>
      </c:valAx>
      <c:spPr>
        <a:noFill/>
        <a:ln>
          <a:noFill/>
        </a:ln>
        <a:effectLst/>
      </c:spPr>
    </c:plotArea>
    <c:plotVisOnly val="1"/>
    <c:dispBlanksAs val="gap"/>
    <c:showDLblsOverMax val="0"/>
  </c:chart>
  <c:spPr>
    <a:solidFill>
      <a:schemeClr val="bg1"/>
    </a:solidFill>
    <a:ln w="9525" cap="flat" cmpd="sng" algn="ctr">
      <a:noFill/>
      <a:round/>
    </a:ln>
    <a:effectLst/>
  </c:spPr>
  <c:txPr>
    <a:bodyPr/>
    <a:lstStyle/>
    <a:p>
      <a:pPr>
        <a:defRPr/>
      </a:pPr>
      <a:endParaRPr lang="en-US"/>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4.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Corporate Test">
      <a:dk1>
        <a:sysClr val="windowText" lastClr="000000"/>
      </a:dk1>
      <a:lt1>
        <a:sysClr val="window" lastClr="FFFFFF"/>
      </a:lt1>
      <a:dk2>
        <a:srgbClr val="58595B"/>
      </a:dk2>
      <a:lt2>
        <a:srgbClr val="939598"/>
      </a:lt2>
      <a:accent1>
        <a:srgbClr val="005677"/>
      </a:accent1>
      <a:accent2>
        <a:srgbClr val="00283E"/>
      </a:accent2>
      <a:accent3>
        <a:srgbClr val="1B9590"/>
      </a:accent3>
      <a:accent4>
        <a:srgbClr val="61C6C6"/>
      </a:accent4>
      <a:accent5>
        <a:srgbClr val="9CD9E0"/>
      </a:accent5>
      <a:accent6>
        <a:srgbClr val="C973AF"/>
      </a:accent6>
      <a:hlink>
        <a:srgbClr val="005677"/>
      </a:hlink>
      <a:folHlink>
        <a:srgbClr val="C973AF"/>
      </a:folHlink>
    </a:clrScheme>
    <a:fontScheme name="Office Classic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IncludeInContentRollups xmlns="6aa5357f-792a-4f9d-bae8-f46f0c92426c">false</IncludeInContentRollups>
    <CorePublishingDocumentCategory xmlns="c0b4bd0a-f6ac-422c-a0b2-ddc3a705a698" xsi:nil="true"/>
    <CorePublishingDocumentChangeDescription xmlns="6aa5357f-792a-4f9d-bae8-f46f0c92426c" xsi:nil="true"/>
    <KeywordsLookupField xmlns="c0b4bd0a-f6ac-422c-a0b2-ddc3a705a698"/>
    <IPSCategory xmlns="6aa5357f-792a-4f9d-bae8-f46f0c92426c" xsi:nil="true"/>
    <IncludeInNotificationsAndUpdates xmlns="6aa5357f-792a-4f9d-bae8-f46f0c92426c">false</IncludeInNotificationsAndUpdates>
    <CorePublishingComments xmlns="6aa5357f-792a-4f9d-bae8-f46f0c92426c" xsi:nil="true"/>
    <SubjectLookupField xmlns="c0b4bd0a-f6ac-422c-a0b2-ddc3a705a698"/>
    <PublishingExpirationDate xmlns="http://schemas.microsoft.com/sharepoint/v3" xsi:nil="true"/>
    <CorePublishingFileReference xmlns="6aa5357f-792a-4f9d-bae8-f46f0c92426c">NSRC update 2015</CorePublishingFileReference>
    <IncludeInRSSFeeds xmlns="6aa5357f-792a-4f9d-bae8-f46f0c92426c">false</IncludeInRSSFeeds>
    <PublishingStartDate xmlns="http://schemas.microsoft.com/sharepoint/v3" xsi:nil="true"/>
    <CorePublishingDocumentContact xmlns="6aa5357f-792a-4f9d-bae8-f46f0c92426c">
      <UserInfo>
        <DisplayName>online</DisplayName>
        <AccountId>189</AccountId>
        <AccountType/>
      </UserInfo>
    </CorePublishingDocumentContact>
    <DocumentRollupCategory xmlns="c0b4bd0a-f6ac-422c-a0b2-ddc3a705a698"/>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Core Publishing Document" ma:contentTypeID="0x01010097F86F0C24D64525B252BB20BD9D45A700EED5FFC0D08FD545BA692F15B485146C" ma:contentTypeVersion="78" ma:contentTypeDescription="Core Publishing Document, inherited from OOTB document." ma:contentTypeScope="" ma:versionID="2ebcd25186ecabc9d2b428147162d246">
  <xsd:schema xmlns:xsd="http://www.w3.org/2001/XMLSchema" xmlns:xs="http://www.w3.org/2001/XMLSchema" xmlns:p="http://schemas.microsoft.com/office/2006/metadata/properties" xmlns:ns1="http://schemas.microsoft.com/sharepoint/v3" xmlns:ns2="6aa5357f-792a-4f9d-bae8-f46f0c92426c" xmlns:ns3="c0b4bd0a-f6ac-422c-a0b2-ddc3a705a698" targetNamespace="http://schemas.microsoft.com/office/2006/metadata/properties" ma:root="true" ma:fieldsID="1885b1060e65d1d89d50bcd7ef77f209" ns1:_="" ns2:_="" ns3:_="">
    <xsd:import namespace="http://schemas.microsoft.com/sharepoint/v3"/>
    <xsd:import namespace="6aa5357f-792a-4f9d-bae8-f46f0c92426c"/>
    <xsd:import namespace="c0b4bd0a-f6ac-422c-a0b2-ddc3a705a698"/>
    <xsd:element name="properties">
      <xsd:complexType>
        <xsd:sequence>
          <xsd:element name="documentManagement">
            <xsd:complexType>
              <xsd:all>
                <xsd:element ref="ns2:CorePublishingComments" minOccurs="0"/>
                <xsd:element ref="ns1:PublishingStartDate" minOccurs="0"/>
                <xsd:element ref="ns1:PublishingExpirationDate" minOccurs="0"/>
                <xsd:element ref="ns2:CorePublishingDocumentContact"/>
                <xsd:element ref="ns3:SubjectLookupField" minOccurs="0"/>
                <xsd:element ref="ns3:KeywordsLookupField" minOccurs="0"/>
                <xsd:element ref="ns3:CorePublishingDocumentCategory" minOccurs="0"/>
                <xsd:element ref="ns2:IPSCategory" minOccurs="0"/>
                <xsd:element ref="ns2:CorePublishingFileReference"/>
                <xsd:element ref="ns2:IncludeInNotificationsAndUpdates" minOccurs="0"/>
                <xsd:element ref="ns2:IncludeInContentRollups" minOccurs="0"/>
                <xsd:element ref="ns2:IncludeInRSSFeeds" minOccurs="0"/>
                <xsd:element ref="ns2:CorePublishingDocumentChangeDescription" minOccurs="0"/>
                <xsd:element ref="ns3:DocumentRollupCategor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9" nillable="true" ma:displayName="Start Date" ma:description="" ma:internalName="PublishingStartDate">
      <xsd:simpleType>
        <xsd:restriction base="dms:Unknown"/>
      </xsd:simpleType>
    </xsd:element>
    <xsd:element name="PublishingExpirationDate" ma:index="10" nillable="true" ma:displayName="End Date" ma:description=""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6aa5357f-792a-4f9d-bae8-f46f0c92426c" elementFormDefault="qualified">
    <xsd:import namespace="http://schemas.microsoft.com/office/2006/documentManagement/types"/>
    <xsd:import namespace="http://schemas.microsoft.com/office/infopath/2007/PartnerControls"/>
    <xsd:element name="CorePublishingComments" ma:index="8" nillable="true" ma:displayName="Description" ma:description="Used for DC.Description metadata." ma:internalName="CorePublishingComments">
      <xsd:simpleType>
        <xsd:restriction base="dms:Note"/>
      </xsd:simpleType>
    </xsd:element>
    <xsd:element name="CorePublishingDocumentContact" ma:index="11" ma:displayName="Document Contact" ma:list="UserInfo" ma:internalName="CorePublishingDocumentContact">
      <xsd:complexType>
        <xsd:complexContent>
          <xsd:extension base="dms:User">
            <xsd:sequence>
              <xsd:element name="UserInfo" minOccurs="0" maxOccurs="unbounded">
                <xsd:complexType>
                  <xsd:sequence>
                    <xsd:element name="DisplayName" type="xsd:string" minOccurs="0"/>
                    <xsd:element name="AccountId" type="dms:UserId" minOccurs="0"/>
                    <xsd:element name="AccountType" type="xsd:string" minOccurs="0"/>
                  </xsd:sequence>
                </xsd:complexType>
              </xsd:element>
            </xsd:sequence>
          </xsd:extension>
        </xsd:complexContent>
      </xsd:complexType>
    </xsd:element>
    <xsd:element name="IPSCategory" ma:index="15" nillable="true" ma:displayName="IPS Category" ma:description="Used for FOI/IPS categorisation." ma:format="Dropdown" ma:internalName="IPSCategory">
      <xsd:simpleType>
        <xsd:restriction base="dms:Choice">
          <xsd:enumeration value="1. Who we are"/>
          <xsd:enumeration value="2. What we do"/>
          <xsd:enumeration value="3. Our reports"/>
          <xsd:enumeration value="4. Consultation"/>
          <xsd:enumeration value="5. Our strategic and business priorities"/>
          <xsd:enumeration value="6. Routinely requested information"/>
          <xsd:enumeration value="7. Our finances"/>
          <xsd:enumeration value="8. Our lists"/>
          <xsd:enumeration value="9. Our submissions"/>
          <xsd:enumeration value="10. Our policies"/>
        </xsd:restriction>
      </xsd:simpleType>
    </xsd:element>
    <xsd:element name="CorePublishingFileReference" ma:index="16" ma:displayName="File Reference" ma:description="Audit Requirement." ma:internalName="CorePublishingFileReference">
      <xsd:simpleType>
        <xsd:restriction base="dms:Text"/>
      </xsd:simpleType>
    </xsd:element>
    <xsd:element name="IncludeInNotificationsAndUpdates" ma:index="17" nillable="true" ma:displayName="Include in Email Updates" ma:default="1" ma:internalName="IncludeInNotificationsAndUpdates">
      <xsd:simpleType>
        <xsd:restriction base="dms:Boolean"/>
      </xsd:simpleType>
    </xsd:element>
    <xsd:element name="IncludeInContentRollups" ma:index="18" nillable="true" ma:displayName="Include In Content Rollups" ma:default="0" ma:description="Used at the site owners' discretion to include/exclude pages from 'rollup' web parts such as content queries." ma:internalName="IncludeInContentRollups">
      <xsd:simpleType>
        <xsd:restriction base="dms:Boolean"/>
      </xsd:simpleType>
    </xsd:element>
    <xsd:element name="IncludeInRSSFeeds" ma:index="19" nillable="true" ma:displayName="Include In RSS Feeds" ma:default="0" ma:description="Used at the site owners' discretion to include/exclude documents from RSS feeds." ma:internalName="IncludeInRSSFeeds">
      <xsd:simpleType>
        <xsd:restriction base="dms:Boolean"/>
      </xsd:simpleType>
    </xsd:element>
    <xsd:element name="CorePublishingDocumentChangeDescription" ma:index="20" nillable="true" ma:displayName="Document Change Description" ma:description="Description of the current version of the document - can be of assistance to reviewers/approvers (and can be included in the workflow emails)." ma:internalName="CorePublishingDocumentChange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0b4bd0a-f6ac-422c-a0b2-ddc3a705a698" elementFormDefault="qualified">
    <xsd:import namespace="http://schemas.microsoft.com/office/2006/documentManagement/types"/>
    <xsd:import namespace="http://schemas.microsoft.com/office/infopath/2007/PartnerControls"/>
    <xsd:element name="SubjectLookupField" ma:index="12" nillable="true" ma:displayName="Subject" ma:list="4a441248-04bf-4c62-8747-8bfb61e5e21c" ma:internalName="SubjectLookupField" ma:showField="Title" ma:web="c0b4bd0a-f6ac-422c-a0b2-ddc3a705a698">
      <xsd:complexType>
        <xsd:complexContent>
          <xsd:extension base="dms:MultiChoiceLookup">
            <xsd:sequence>
              <xsd:element name="Value" type="dms:Lookup" maxOccurs="unbounded" minOccurs="0" nillable="true"/>
            </xsd:sequence>
          </xsd:extension>
        </xsd:complexContent>
      </xsd:complexType>
    </xsd:element>
    <xsd:element name="KeywordsLookupField" ma:index="13" nillable="true" ma:displayName="Keywords" ma:list="fbec0be5-db93-4c03-a796-ce5d02f374a3" ma:internalName="KeywordsLookupField" ma:showField="Title" ma:web="c0b4bd0a-f6ac-422c-a0b2-ddc3a705a698">
      <xsd:complexType>
        <xsd:complexContent>
          <xsd:extension base="dms:MultiChoiceLookup">
            <xsd:sequence>
              <xsd:element name="Value" type="dms:Lookup" maxOccurs="unbounded" minOccurs="0" nillable="true"/>
            </xsd:sequence>
          </xsd:extension>
        </xsd:complexContent>
      </xsd:complexType>
    </xsd:element>
    <xsd:element name="CorePublishingDocumentCategory" ma:index="14" nillable="true" ma:displayName="Document Category" ma:description="Document Type list is used for source data. Used for DC.Type.documentType metadata." ma:list="{233fae74-8b6e-4f87-8db3-5052d625541f}" ma:internalName="CorePublishingDocumentCategory" ma:showField="Title" ma:web="{c0b4bd0a-f6ac-422c-a0b2-ddc3a705a698}">
      <xsd:simpleType>
        <xsd:restriction base="dms:Lookup"/>
      </xsd:simpleType>
    </xsd:element>
    <xsd:element name="DocumentRollupCategory" ma:index="21" nillable="true" ma:displayName="Rollup Category" ma:description="Document Rollup Category list is used for source data, populated by the site owners. Used at the site owners' discretion to include/exclude certain categories of pages in rollups." ma:list="{6ca4ea36-3739-485e-8e04-ddf89b384e56}" ma:internalName="DocumentRollupCategory" ma:showField="Title" ma:web="{c0b4bd0a-f6ac-422c-a0b2-ddc3a705a69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B34F49-8B83-41EC-A061-8A54009A6C85}">
  <ds:schemaRefs>
    <ds:schemaRef ds:uri="http://schemas.openxmlformats.org/package/2006/metadata/core-properties"/>
    <ds:schemaRef ds:uri="http://purl.org/dc/elements/1.1/"/>
    <ds:schemaRef ds:uri="http://schemas.microsoft.com/office/2006/metadata/properties"/>
    <ds:schemaRef ds:uri="http://schemas.microsoft.com/office/infopath/2007/PartnerControls"/>
    <ds:schemaRef ds:uri="http://schemas.microsoft.com/sharepoint/v3"/>
    <ds:schemaRef ds:uri="http://purl.org/dc/terms/"/>
    <ds:schemaRef ds:uri="http://schemas.microsoft.com/office/2006/documentManagement/types"/>
    <ds:schemaRef ds:uri="c0b4bd0a-f6ac-422c-a0b2-ddc3a705a698"/>
    <ds:schemaRef ds:uri="6aa5357f-792a-4f9d-bae8-f46f0c92426c"/>
    <ds:schemaRef ds:uri="http://www.w3.org/XML/1998/namespace"/>
    <ds:schemaRef ds:uri="http://purl.org/dc/dcmitype/"/>
  </ds:schemaRefs>
</ds:datastoreItem>
</file>

<file path=customXml/itemProps2.xml><?xml version="1.0" encoding="utf-8"?>
<ds:datastoreItem xmlns:ds="http://schemas.openxmlformats.org/officeDocument/2006/customXml" ds:itemID="{5B59306B-18AD-44C3-B28F-068605735E4E}">
  <ds:schemaRefs>
    <ds:schemaRef ds:uri="http://schemas.microsoft.com/sharepoint/v3/contenttype/forms"/>
  </ds:schemaRefs>
</ds:datastoreItem>
</file>

<file path=customXml/itemProps3.xml><?xml version="1.0" encoding="utf-8"?>
<ds:datastoreItem xmlns:ds="http://schemas.openxmlformats.org/officeDocument/2006/customXml" ds:itemID="{29D6CBF7-ADD1-4FE0-992E-5008856F73F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6aa5357f-792a-4f9d-bae8-f46f0c92426c"/>
    <ds:schemaRef ds:uri="c0b4bd0a-f6ac-422c-a0b2-ddc3a705a69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4FB03F1-10C8-4DF2-B554-B37BB94EBF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14</Pages>
  <Words>1978</Words>
  <Characters>11278</Characters>
  <Application>Microsoft Office Word</Application>
  <DocSecurity>4</DocSecurity>
  <Lines>93</Lines>
  <Paragraphs>26</Paragraphs>
  <ScaleCrop>false</ScaleCrop>
  <HeadingPairs>
    <vt:vector size="2" baseType="variant">
      <vt:variant>
        <vt:lpstr>Title</vt:lpstr>
      </vt:variant>
      <vt:variant>
        <vt:i4>1</vt:i4>
      </vt:variant>
    </vt:vector>
  </HeadingPairs>
  <TitlesOfParts>
    <vt:vector size="1" baseType="lpstr">
      <vt:lpstr>Report</vt:lpstr>
    </vt:vector>
  </TitlesOfParts>
  <Company>Australian Government | Department of Industry, Innovation and Science</Company>
  <LinksUpToDate>false</LinksUpToDate>
  <CharactersWithSpaces>13230</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Report</dc:title>
  <dc:creator>Russell Wilson</dc:creator>
  <cp:keywords>Report template</cp:keywords>
  <cp:lastModifiedBy>McGregor, Lenore</cp:lastModifiedBy>
  <cp:revision>2</cp:revision>
  <cp:lastPrinted>2017-01-17T03:37:00Z</cp:lastPrinted>
  <dcterms:created xsi:type="dcterms:W3CDTF">2018-07-16T06:21:00Z</dcterms:created>
  <dcterms:modified xsi:type="dcterms:W3CDTF">2018-07-16T06:21:00Z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Number">
    <vt:i4>0</vt:i4>
  </property>
  <property fmtid="{D5CDD505-2E9C-101B-9397-08002B2CF9AE}" pid="3" name="ClassificationPty">
    <vt:lpwstr/>
  </property>
  <property fmtid="{D5CDD505-2E9C-101B-9397-08002B2CF9AE}" pid="4" name="FileNumberPty">
    <vt:lpwstr/>
  </property>
  <property fmtid="{D5CDD505-2E9C-101B-9397-08002B2CF9AE}" pid="5" name="CorporateTmplBased">
    <vt:lpwstr>No</vt:lpwstr>
  </property>
  <property fmtid="{D5CDD505-2E9C-101B-9397-08002B2CF9AE}" pid="6" name="ContentTypeId">
    <vt:lpwstr>0x01010097F86F0C24D64525B252BB20BD9D45A700EED5FFC0D08FD545BA692F15B485146C</vt:lpwstr>
  </property>
  <property fmtid="{D5CDD505-2E9C-101B-9397-08002B2CF9AE}" pid="7" name="xd_Signature">
    <vt:bool>false</vt:bool>
  </property>
  <property fmtid="{D5CDD505-2E9C-101B-9397-08002B2CF9AE}" pid="8" name="xd_ProgID">
    <vt:lpwstr/>
  </property>
  <property fmtid="{D5CDD505-2E9C-101B-9397-08002B2CF9AE}" pid="9" name="TemplateUrl">
    <vt:lpwstr/>
  </property>
  <property fmtid="{D5CDD505-2E9C-101B-9397-08002B2CF9AE}" pid="10" name="DocHub_Year">
    <vt:lpwstr>334;#2017|5f6de30b-6e1e-4c09-9e51-982258231536</vt:lpwstr>
  </property>
  <property fmtid="{D5CDD505-2E9C-101B-9397-08002B2CF9AE}" pid="11" name="DocHub_WorkActivity">
    <vt:lpwstr>299;#Publication|9ba07de0-82b8-4e1d-94a3-171623fcca2e</vt:lpwstr>
  </property>
  <property fmtid="{D5CDD505-2E9C-101B-9397-08002B2CF9AE}" pid="12" name="DocHub_DocumentType">
    <vt:lpwstr>51;#Paper|4fd73e9f-ceb6-4d3f-8d1d-e6ca9b922532</vt:lpwstr>
  </property>
  <property fmtid="{D5CDD505-2E9C-101B-9397-08002B2CF9AE}" pid="13" name="DocHub_SecurityClassification">
    <vt:lpwstr>3;#UNCLASSIFIED|6106d03b-a1a0-4e30-9d91-d5e9fb4314f9</vt:lpwstr>
  </property>
  <property fmtid="{D5CDD505-2E9C-101B-9397-08002B2CF9AE}" pid="14" name="DocHub_Keywords">
    <vt:lpwstr>176;#National Survey of Research Commercialisation|e0a3f586-7a34-45dc-ac77-0f88a99c1c1e</vt:lpwstr>
  </property>
  <property fmtid="{D5CDD505-2E9C-101B-9397-08002B2CF9AE}" pid="15" name="_dlc_DocIdItemGuid">
    <vt:lpwstr>441c7e5e-9882-46ca-97c6-e5aaab7bcb2e</vt:lpwstr>
  </property>
  <property fmtid="{D5CDD505-2E9C-101B-9397-08002B2CF9AE}" pid="16" name="DocHub_TreatyArrangementYear">
    <vt:lpwstr>727;#2017|5f6de30b-6e1e-4c09-9e51-982258231536</vt:lpwstr>
  </property>
  <property fmtid="{D5CDD505-2E9C-101B-9397-08002B2CF9AE}" pid="17" name="n99e4c9942c6404eb103464a00e6097b">
    <vt:lpwstr>2017|5f6de30b-6e1e-4c09-9e51-982258231536</vt:lpwstr>
  </property>
</Properties>
</file>