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370DA" w14:textId="7E503C04" w:rsidR="00AC3A4B" w:rsidRPr="004F5771" w:rsidRDefault="004F5771" w:rsidP="00AC3A4B">
      <w:pPr>
        <w:jc w:val="center"/>
        <w:rPr>
          <w:rFonts w:ascii="Times New Roman" w:hAnsi="Times New Roman"/>
          <w:b/>
          <w:sz w:val="28"/>
          <w:szCs w:val="24"/>
        </w:rPr>
      </w:pPr>
      <w:bookmarkStart w:id="0" w:name="_GoBack"/>
      <w:bookmarkEnd w:id="0"/>
      <w:r w:rsidRPr="004F5771">
        <w:rPr>
          <w:rFonts w:ascii="Times New Roman" w:hAnsi="Times New Roman"/>
          <w:b/>
          <w:sz w:val="28"/>
          <w:szCs w:val="24"/>
        </w:rPr>
        <w:t>BUILDING MINISTERS’ FORUM</w:t>
      </w:r>
    </w:p>
    <w:p w14:paraId="5A9370DB" w14:textId="77777777" w:rsidR="00AC3A4B" w:rsidRPr="00B63500" w:rsidRDefault="00AC3A4B" w:rsidP="00AC3A4B">
      <w:pPr>
        <w:spacing w:after="120" w:line="240" w:lineRule="auto"/>
        <w:jc w:val="center"/>
        <w:rPr>
          <w:rFonts w:ascii="Times New Roman" w:hAnsi="Times New Roman"/>
          <w:b/>
          <w:sz w:val="24"/>
          <w:szCs w:val="24"/>
        </w:rPr>
      </w:pPr>
      <w:r w:rsidRPr="00B63500">
        <w:rPr>
          <w:rFonts w:ascii="Times New Roman" w:hAnsi="Times New Roman"/>
          <w:b/>
          <w:sz w:val="24"/>
          <w:szCs w:val="24"/>
        </w:rPr>
        <w:t>Assessment of the Effectiveness of Compliance and Enforcement Systems for the Building and Construction Industry across Australia</w:t>
      </w:r>
    </w:p>
    <w:p w14:paraId="5A9370DC" w14:textId="65F13DF8" w:rsidR="00AC3A4B" w:rsidRPr="00B63500" w:rsidRDefault="004F5771" w:rsidP="004F5771">
      <w:pPr>
        <w:spacing w:before="120" w:after="120" w:line="240" w:lineRule="auto"/>
        <w:rPr>
          <w:rFonts w:ascii="Times New Roman" w:hAnsi="Times New Roman"/>
          <w:b/>
          <w:sz w:val="24"/>
          <w:szCs w:val="24"/>
        </w:rPr>
      </w:pPr>
      <w:r>
        <w:rPr>
          <w:rFonts w:ascii="Times New Roman" w:hAnsi="Times New Roman"/>
          <w:b/>
          <w:sz w:val="24"/>
          <w:szCs w:val="24"/>
        </w:rPr>
        <w:t>Terms of Reference</w:t>
      </w:r>
    </w:p>
    <w:p w14:paraId="5A9370DE" w14:textId="415EE58C" w:rsidR="00AC3A4B" w:rsidRPr="00B63500" w:rsidRDefault="00305FC6" w:rsidP="004F5771">
      <w:pPr>
        <w:spacing w:before="120" w:after="120" w:line="240" w:lineRule="auto"/>
        <w:rPr>
          <w:rFonts w:ascii="Times New Roman" w:hAnsi="Times New Roman"/>
          <w:sz w:val="24"/>
          <w:szCs w:val="24"/>
        </w:rPr>
      </w:pPr>
      <w:r>
        <w:rPr>
          <w:rFonts w:ascii="Times New Roman" w:hAnsi="Times New Roman"/>
          <w:sz w:val="24"/>
          <w:szCs w:val="24"/>
        </w:rPr>
        <w:t>The independent expert</w:t>
      </w:r>
      <w:r w:rsidR="00AC3A4B" w:rsidRPr="00B63500">
        <w:rPr>
          <w:rFonts w:ascii="Times New Roman" w:hAnsi="Times New Roman"/>
          <w:sz w:val="24"/>
          <w:szCs w:val="24"/>
        </w:rPr>
        <w:t>s</w:t>
      </w:r>
      <w:r>
        <w:rPr>
          <w:rFonts w:ascii="Times New Roman" w:hAnsi="Times New Roman"/>
          <w:sz w:val="24"/>
          <w:szCs w:val="24"/>
        </w:rPr>
        <w:t>, Professor Peter Shergold and Ms Bronwyn Weir,</w:t>
      </w:r>
      <w:r w:rsidR="00AC3A4B" w:rsidRPr="00B63500">
        <w:rPr>
          <w:rFonts w:ascii="Times New Roman" w:hAnsi="Times New Roman"/>
          <w:sz w:val="24"/>
          <w:szCs w:val="24"/>
        </w:rPr>
        <w:t xml:space="preserve"> ha</w:t>
      </w:r>
      <w:r>
        <w:rPr>
          <w:rFonts w:ascii="Times New Roman" w:hAnsi="Times New Roman"/>
          <w:sz w:val="24"/>
          <w:szCs w:val="24"/>
        </w:rPr>
        <w:t>ve</w:t>
      </w:r>
      <w:r w:rsidR="00AC3A4B" w:rsidRPr="00B63500">
        <w:rPr>
          <w:rFonts w:ascii="Times New Roman" w:hAnsi="Times New Roman"/>
          <w:sz w:val="24"/>
          <w:szCs w:val="24"/>
        </w:rPr>
        <w:t xml:space="preserve"> been appointed by the Building Ministers’ Forum (BMF) to undertake an external assessment of the compliance and enforcement systems for the Building and Construction Industry across Australia and the potential for further or additional reforms. </w:t>
      </w:r>
      <w:r>
        <w:rPr>
          <w:rFonts w:ascii="Times New Roman" w:hAnsi="Times New Roman"/>
          <w:sz w:val="24"/>
          <w:szCs w:val="24"/>
        </w:rPr>
        <w:t>Professor Shergold and Ms Weir</w:t>
      </w:r>
      <w:r w:rsidR="00AC3A4B" w:rsidRPr="00B63500">
        <w:rPr>
          <w:rFonts w:ascii="Times New Roman" w:hAnsi="Times New Roman"/>
          <w:sz w:val="24"/>
          <w:szCs w:val="24"/>
        </w:rPr>
        <w:t xml:space="preserve"> will provide an initial report to the BMF at its meeting in October 2017. A final report will be provided to the BMF as soon as possible after the October 2017 meeting.</w:t>
      </w:r>
    </w:p>
    <w:p w14:paraId="5A9370DF" w14:textId="77777777" w:rsidR="00AC3A4B" w:rsidRDefault="00AC3A4B" w:rsidP="004F5771">
      <w:pPr>
        <w:spacing w:before="120" w:after="120" w:line="240" w:lineRule="auto"/>
        <w:rPr>
          <w:rFonts w:ascii="Times New Roman" w:hAnsi="Times New Roman"/>
          <w:sz w:val="24"/>
          <w:szCs w:val="24"/>
        </w:rPr>
      </w:pPr>
      <w:r w:rsidRPr="00B63500">
        <w:rPr>
          <w:rFonts w:ascii="Times New Roman" w:hAnsi="Times New Roman"/>
          <w:b/>
          <w:sz w:val="24"/>
          <w:szCs w:val="24"/>
        </w:rPr>
        <w:t>Compliance systems</w:t>
      </w:r>
      <w:r w:rsidRPr="00B63500">
        <w:rPr>
          <w:rFonts w:ascii="Times New Roman" w:hAnsi="Times New Roman"/>
          <w:sz w:val="24"/>
          <w:szCs w:val="24"/>
        </w:rPr>
        <w:t xml:space="preserve"> are the legislated processes in each jurisdiction intended to ensure that buildings are designed and constructed to comply with the National Construction Code (NCC)</w:t>
      </w:r>
      <w:r>
        <w:rPr>
          <w:rFonts w:ascii="Times New Roman" w:hAnsi="Times New Roman"/>
          <w:sz w:val="24"/>
          <w:szCs w:val="24"/>
        </w:rPr>
        <w:t xml:space="preserve"> and are maintained (as appropriate) in accordance with legislated Australian Standards</w:t>
      </w:r>
      <w:r w:rsidRPr="00B63500">
        <w:rPr>
          <w:rFonts w:ascii="Times New Roman" w:hAnsi="Times New Roman"/>
          <w:sz w:val="24"/>
          <w:szCs w:val="24"/>
        </w:rPr>
        <w:t>.</w:t>
      </w:r>
    </w:p>
    <w:p w14:paraId="5A9370E1" w14:textId="77777777" w:rsidR="00AC3A4B" w:rsidRDefault="00AC3A4B" w:rsidP="004F5771">
      <w:pPr>
        <w:spacing w:before="120" w:after="120" w:line="240" w:lineRule="auto"/>
        <w:rPr>
          <w:rFonts w:ascii="Times New Roman" w:hAnsi="Times New Roman"/>
          <w:sz w:val="24"/>
          <w:szCs w:val="24"/>
        </w:rPr>
      </w:pPr>
      <w:r w:rsidRPr="00B63500">
        <w:rPr>
          <w:rFonts w:ascii="Times New Roman" w:hAnsi="Times New Roman"/>
          <w:b/>
          <w:sz w:val="24"/>
          <w:szCs w:val="24"/>
        </w:rPr>
        <w:t>Enforcement systems</w:t>
      </w:r>
      <w:r w:rsidRPr="00B63500">
        <w:rPr>
          <w:rFonts w:ascii="Times New Roman" w:hAnsi="Times New Roman"/>
          <w:sz w:val="24"/>
          <w:szCs w:val="24"/>
        </w:rPr>
        <w:t xml:space="preserve"> are the legislated processes in each jurisdiction that allow a regulator to detect and remedy non-compliance with the NCC.</w:t>
      </w:r>
    </w:p>
    <w:p w14:paraId="6F64D11A" w14:textId="0D6FAFE9" w:rsidR="004F5771" w:rsidRPr="00B63500" w:rsidRDefault="00305FC6" w:rsidP="004F5771">
      <w:pPr>
        <w:spacing w:before="120" w:after="120" w:line="240" w:lineRule="auto"/>
        <w:rPr>
          <w:rFonts w:ascii="Times New Roman" w:hAnsi="Times New Roman"/>
          <w:sz w:val="24"/>
          <w:szCs w:val="24"/>
        </w:rPr>
      </w:pPr>
      <w:r>
        <w:rPr>
          <w:rFonts w:ascii="Times New Roman" w:hAnsi="Times New Roman"/>
          <w:sz w:val="24"/>
          <w:szCs w:val="24"/>
        </w:rPr>
        <w:t>Professor Shergold and Ms Weir are</w:t>
      </w:r>
      <w:r w:rsidR="00AC3A4B" w:rsidRPr="00B63500">
        <w:rPr>
          <w:rFonts w:ascii="Times New Roman" w:hAnsi="Times New Roman"/>
          <w:sz w:val="24"/>
          <w:szCs w:val="24"/>
        </w:rPr>
        <w:t xml:space="preserve"> engaged to, in consultation with the Commonwealth, State and Territory Governments, the Australian Building Codes Board and key industry stakeholders:</w:t>
      </w:r>
    </w:p>
    <w:p w14:paraId="5A9370E4" w14:textId="77777777" w:rsidR="00AC3A4B" w:rsidRPr="00B63500" w:rsidRDefault="00AC3A4B" w:rsidP="004F5771">
      <w:pPr>
        <w:pStyle w:val="ListParagraph"/>
        <w:numPr>
          <w:ilvl w:val="0"/>
          <w:numId w:val="2"/>
        </w:numPr>
        <w:spacing w:before="120" w:after="120" w:line="240" w:lineRule="auto"/>
        <w:rPr>
          <w:rFonts w:ascii="Times New Roman" w:hAnsi="Times New Roman"/>
          <w:sz w:val="24"/>
          <w:szCs w:val="24"/>
        </w:rPr>
      </w:pPr>
      <w:r w:rsidRPr="00B63500">
        <w:rPr>
          <w:rFonts w:ascii="Times New Roman" w:hAnsi="Times New Roman"/>
          <w:sz w:val="24"/>
          <w:szCs w:val="24"/>
        </w:rPr>
        <w:t>Examine compliance and enforcement problems within the building and construction systems across Australia that are affecting the implementation of the NCC, as they relate to:</w:t>
      </w:r>
    </w:p>
    <w:p w14:paraId="5A9370E5"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roles, responsibilities and accountabilities of different parties;</w:t>
      </w:r>
    </w:p>
    <w:p w14:paraId="5A9370E6"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education and training;</w:t>
      </w:r>
    </w:p>
    <w:p w14:paraId="5A9370E7"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licensing and accreditation;</w:t>
      </w:r>
    </w:p>
    <w:p w14:paraId="5A9370E8"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accuracy of design and documentation;</w:t>
      </w:r>
    </w:p>
    <w:p w14:paraId="5A9370E9"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quality control and assurance;</w:t>
      </w:r>
    </w:p>
    <w:p w14:paraId="5A9370EA"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 xml:space="preserve">competencies of practitioners; </w:t>
      </w:r>
    </w:p>
    <w:p w14:paraId="5A9370EB"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integrity of private certification;</w:t>
      </w:r>
    </w:p>
    <w:p w14:paraId="5A9370EC"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inspection regimes;</w:t>
      </w:r>
    </w:p>
    <w:p w14:paraId="5A9370ED"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 xml:space="preserve">auditing and enforcement practices; and </w:t>
      </w:r>
    </w:p>
    <w:p w14:paraId="5A9370EE" w14:textId="77777777" w:rsidR="00AC3A4B" w:rsidRDefault="00AC3A4B" w:rsidP="004F5771">
      <w:pPr>
        <w:pStyle w:val="ListParagraph"/>
        <w:numPr>
          <w:ilvl w:val="1"/>
          <w:numId w:val="2"/>
        </w:numPr>
        <w:spacing w:before="120" w:after="120" w:line="240" w:lineRule="auto"/>
        <w:rPr>
          <w:rFonts w:ascii="Times New Roman" w:hAnsi="Times New Roman"/>
          <w:sz w:val="24"/>
          <w:szCs w:val="24"/>
        </w:rPr>
      </w:pPr>
      <w:r w:rsidRPr="00B63500">
        <w:rPr>
          <w:rFonts w:ascii="Times New Roman" w:hAnsi="Times New Roman"/>
          <w:sz w:val="24"/>
          <w:szCs w:val="24"/>
        </w:rPr>
        <w:t>product importation and chain of custody.</w:t>
      </w:r>
    </w:p>
    <w:p w14:paraId="5A9370F0" w14:textId="1AA16C1F" w:rsidR="00AC3A4B" w:rsidRPr="00B63500" w:rsidRDefault="00AC3A4B" w:rsidP="004F5771">
      <w:pPr>
        <w:pStyle w:val="ListParagraph"/>
        <w:numPr>
          <w:ilvl w:val="0"/>
          <w:numId w:val="2"/>
        </w:numPr>
        <w:spacing w:before="120" w:after="120" w:line="240" w:lineRule="auto"/>
        <w:rPr>
          <w:rFonts w:ascii="Times New Roman" w:hAnsi="Times New Roman"/>
          <w:sz w:val="24"/>
          <w:szCs w:val="24"/>
        </w:rPr>
      </w:pPr>
      <w:r w:rsidRPr="00B63500">
        <w:rPr>
          <w:rFonts w:ascii="Times New Roman" w:hAnsi="Times New Roman"/>
          <w:sz w:val="24"/>
          <w:szCs w:val="24"/>
        </w:rPr>
        <w:t xml:space="preserve">In undertaking the assessment, </w:t>
      </w:r>
      <w:r w:rsidR="00406EC5">
        <w:rPr>
          <w:rFonts w:ascii="Times New Roman" w:hAnsi="Times New Roman"/>
          <w:sz w:val="24"/>
          <w:szCs w:val="24"/>
        </w:rPr>
        <w:t>Professor Shergold and Ms Weir are</w:t>
      </w:r>
      <w:r w:rsidR="00406EC5" w:rsidRPr="00B63500">
        <w:rPr>
          <w:rFonts w:ascii="Times New Roman" w:hAnsi="Times New Roman"/>
          <w:sz w:val="24"/>
          <w:szCs w:val="24"/>
        </w:rPr>
        <w:t xml:space="preserve"> </w:t>
      </w:r>
      <w:r w:rsidRPr="00B63500">
        <w:rPr>
          <w:rFonts w:ascii="Times New Roman" w:hAnsi="Times New Roman"/>
          <w:sz w:val="24"/>
          <w:szCs w:val="24"/>
        </w:rPr>
        <w:t>to take into account  the impact of recent building regulatory reviews and reforms undertaken and implemented by state and territory governments, including but not limited to:</w:t>
      </w:r>
    </w:p>
    <w:p w14:paraId="5A9370F1"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 xml:space="preserve">Australian Capital Territory – Improving the ACT Building Regulatory System Review; </w:t>
      </w:r>
    </w:p>
    <w:p w14:paraId="5A9370F2"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 xml:space="preserve">New South Wales — 2016 Response to the Independent Review of the </w:t>
      </w:r>
      <w:r w:rsidRPr="00B63500">
        <w:rPr>
          <w:rFonts w:ascii="Times New Roman" w:hAnsi="Times New Roman"/>
          <w:i/>
          <w:sz w:val="24"/>
          <w:szCs w:val="24"/>
        </w:rPr>
        <w:t>Buildings Professionals ACT 2005;</w:t>
      </w:r>
    </w:p>
    <w:p w14:paraId="5A9370F3"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Queensland — 2016 Building Plan Review;</w:t>
      </w:r>
    </w:p>
    <w:p w14:paraId="5A9370F4"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Tasmania — 2017 Building Regulatory Framework;</w:t>
      </w:r>
    </w:p>
    <w:p w14:paraId="5A9370F5"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 xml:space="preserve">Victoria — 2017 Building Regulations Sunset Review; </w:t>
      </w:r>
    </w:p>
    <w:p w14:paraId="5A9370F6" w14:textId="77777777" w:rsidR="00AC3A4B" w:rsidRPr="00B63500" w:rsidRDefault="00AC3A4B" w:rsidP="004F5771">
      <w:pPr>
        <w:pStyle w:val="ListParagraph"/>
        <w:numPr>
          <w:ilvl w:val="1"/>
          <w:numId w:val="2"/>
        </w:numPr>
        <w:spacing w:before="120" w:after="120" w:line="240" w:lineRule="auto"/>
        <w:ind w:left="1077" w:hanging="357"/>
        <w:contextualSpacing/>
        <w:rPr>
          <w:rFonts w:ascii="Times New Roman" w:hAnsi="Times New Roman"/>
          <w:sz w:val="24"/>
          <w:szCs w:val="24"/>
        </w:rPr>
      </w:pPr>
      <w:r w:rsidRPr="00B63500">
        <w:rPr>
          <w:rFonts w:ascii="Times New Roman" w:hAnsi="Times New Roman"/>
          <w:sz w:val="24"/>
          <w:szCs w:val="24"/>
        </w:rPr>
        <w:t>Western Australia — 2016 Auditor General Report on Regulation of Builders and Building Surveyors; and</w:t>
      </w:r>
    </w:p>
    <w:p w14:paraId="5A9370F7" w14:textId="77777777" w:rsidR="00AC3A4B" w:rsidRDefault="00AC3A4B" w:rsidP="004F5771">
      <w:pPr>
        <w:pStyle w:val="ListParagraph"/>
        <w:numPr>
          <w:ilvl w:val="1"/>
          <w:numId w:val="2"/>
        </w:numPr>
        <w:spacing w:before="120" w:after="120" w:line="240" w:lineRule="auto"/>
        <w:rPr>
          <w:rFonts w:ascii="Times New Roman" w:hAnsi="Times New Roman"/>
          <w:sz w:val="24"/>
          <w:szCs w:val="24"/>
        </w:rPr>
      </w:pPr>
      <w:r w:rsidRPr="00B63500">
        <w:rPr>
          <w:rFonts w:ascii="Times New Roman" w:hAnsi="Times New Roman"/>
          <w:sz w:val="24"/>
          <w:szCs w:val="24"/>
        </w:rPr>
        <w:t>Senate Economics Committee Inquiry into Non-Conforming Building Products</w:t>
      </w:r>
      <w:r>
        <w:rPr>
          <w:rFonts w:ascii="Times New Roman" w:hAnsi="Times New Roman"/>
          <w:sz w:val="24"/>
          <w:szCs w:val="24"/>
        </w:rPr>
        <w:t>.</w:t>
      </w:r>
    </w:p>
    <w:p w14:paraId="5A9370FA" w14:textId="603A0D92" w:rsidR="00645E3C" w:rsidRDefault="00AC3A4B" w:rsidP="004F5771">
      <w:pPr>
        <w:pStyle w:val="ListParagraph"/>
        <w:numPr>
          <w:ilvl w:val="0"/>
          <w:numId w:val="2"/>
        </w:numPr>
        <w:spacing w:before="120" w:after="120" w:line="240" w:lineRule="auto"/>
      </w:pPr>
      <w:r w:rsidRPr="004F5771">
        <w:rPr>
          <w:rFonts w:ascii="Times New Roman" w:hAnsi="Times New Roman"/>
          <w:sz w:val="24"/>
          <w:szCs w:val="24"/>
        </w:rPr>
        <w:t>Based on the outcome of the assessment, consider strategies for improving compliance and enforcement practices and make recommendations for a national best practice model for compliance and enforcement to strengthen the effective implementation of the NCC</w:t>
      </w:r>
      <w:r w:rsidR="007F7582" w:rsidRPr="004F5771">
        <w:rPr>
          <w:rFonts w:ascii="Times New Roman" w:hAnsi="Times New Roman"/>
          <w:sz w:val="24"/>
          <w:szCs w:val="24"/>
        </w:rPr>
        <w:t>.</w:t>
      </w:r>
    </w:p>
    <w:sectPr w:rsidR="00645E3C" w:rsidSect="004F577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8052F"/>
    <w:multiLevelType w:val="multilevel"/>
    <w:tmpl w:val="473EA67C"/>
    <w:lvl w:ilvl="0">
      <w:start w:val="1"/>
      <w:numFmt w:val="decimal"/>
      <w:pStyle w:val="ListParagraph"/>
      <w:lvlText w:val="%1."/>
      <w:lvlJc w:val="left"/>
      <w:pPr>
        <w:ind w:left="-342" w:hanging="369"/>
      </w:pPr>
      <w:rPr>
        <w:rFonts w:hint="default"/>
      </w:rPr>
    </w:lvl>
    <w:lvl w:ilvl="1">
      <w:start w:val="1"/>
      <w:numFmt w:val="none"/>
      <w:lvlText w:val="-"/>
      <w:lvlJc w:val="left"/>
      <w:pPr>
        <w:ind w:left="26" w:hanging="368"/>
      </w:pPr>
      <w:rPr>
        <w:rFonts w:hint="default"/>
      </w:rPr>
    </w:lvl>
    <w:lvl w:ilvl="2">
      <w:start w:val="1"/>
      <w:numFmt w:val="none"/>
      <w:lvlText w:val=":"/>
      <w:lvlJc w:val="left"/>
      <w:pPr>
        <w:ind w:left="395" w:hanging="369"/>
      </w:pPr>
      <w:rPr>
        <w:rFonts w:hint="default"/>
      </w:rPr>
    </w:lvl>
    <w:lvl w:ilvl="3">
      <w:start w:val="1"/>
      <w:numFmt w:val="none"/>
      <w:lvlText w:val=""/>
      <w:lvlJc w:val="left"/>
      <w:pPr>
        <w:ind w:left="763" w:hanging="368"/>
      </w:pPr>
      <w:rPr>
        <w:rFonts w:hint="default"/>
      </w:rPr>
    </w:lvl>
    <w:lvl w:ilvl="4">
      <w:start w:val="1"/>
      <w:numFmt w:val="lowerLetter"/>
      <w:lvlText w:val="(%5)"/>
      <w:lvlJc w:val="left"/>
      <w:pPr>
        <w:ind w:left="1089" w:hanging="360"/>
      </w:pPr>
      <w:rPr>
        <w:rFonts w:hint="default"/>
      </w:rPr>
    </w:lvl>
    <w:lvl w:ilvl="5">
      <w:start w:val="1"/>
      <w:numFmt w:val="lowerRoman"/>
      <w:lvlText w:val="(%6)"/>
      <w:lvlJc w:val="left"/>
      <w:pPr>
        <w:ind w:left="1449" w:hanging="360"/>
      </w:pPr>
      <w:rPr>
        <w:rFonts w:hint="default"/>
      </w:rPr>
    </w:lvl>
    <w:lvl w:ilvl="6">
      <w:start w:val="1"/>
      <w:numFmt w:val="decimal"/>
      <w:lvlText w:val="%7."/>
      <w:lvlJc w:val="left"/>
      <w:pPr>
        <w:ind w:left="1809" w:hanging="360"/>
      </w:pPr>
      <w:rPr>
        <w:rFonts w:hint="default"/>
      </w:rPr>
    </w:lvl>
    <w:lvl w:ilvl="7">
      <w:start w:val="1"/>
      <w:numFmt w:val="lowerLetter"/>
      <w:lvlText w:val="%8."/>
      <w:lvlJc w:val="left"/>
      <w:pPr>
        <w:ind w:left="2169" w:hanging="360"/>
      </w:pPr>
      <w:rPr>
        <w:rFonts w:hint="default"/>
      </w:rPr>
    </w:lvl>
    <w:lvl w:ilvl="8">
      <w:start w:val="1"/>
      <w:numFmt w:val="lowerRoman"/>
      <w:lvlText w:val="%9."/>
      <w:lvlJc w:val="left"/>
      <w:pPr>
        <w:ind w:left="2529" w:hanging="360"/>
      </w:pPr>
      <w:rPr>
        <w:rFonts w:hint="default"/>
      </w:rPr>
    </w:lvl>
  </w:abstractNum>
  <w:abstractNum w:abstractNumId="1" w15:restartNumberingAfterBreak="0">
    <w:nsid w:val="6E0F724C"/>
    <w:multiLevelType w:val="hybridMultilevel"/>
    <w:tmpl w:val="9DE85770"/>
    <w:lvl w:ilvl="0" w:tplc="C81A3E58">
      <w:start w:val="1"/>
      <w:numFmt w:val="decimal"/>
      <w:lvlText w:val="%1."/>
      <w:lvlJc w:val="left"/>
      <w:pPr>
        <w:ind w:left="360" w:hanging="360"/>
      </w:pPr>
    </w:lvl>
    <w:lvl w:ilvl="1" w:tplc="11EAA934">
      <w:start w:val="1"/>
      <w:numFmt w:val="lowerLetter"/>
      <w:lvlText w:val="%2."/>
      <w:lvlJc w:val="left"/>
      <w:pPr>
        <w:ind w:left="1080" w:hanging="360"/>
      </w:pPr>
    </w:lvl>
    <w:lvl w:ilvl="2" w:tplc="AEA6984A" w:tentative="1">
      <w:start w:val="1"/>
      <w:numFmt w:val="lowerRoman"/>
      <w:lvlText w:val="%3."/>
      <w:lvlJc w:val="right"/>
      <w:pPr>
        <w:ind w:left="1800" w:hanging="180"/>
      </w:pPr>
    </w:lvl>
    <w:lvl w:ilvl="3" w:tplc="DD26B066" w:tentative="1">
      <w:start w:val="1"/>
      <w:numFmt w:val="decimal"/>
      <w:lvlText w:val="%4."/>
      <w:lvlJc w:val="left"/>
      <w:pPr>
        <w:ind w:left="2520" w:hanging="360"/>
      </w:pPr>
    </w:lvl>
    <w:lvl w:ilvl="4" w:tplc="ECC868E4" w:tentative="1">
      <w:start w:val="1"/>
      <w:numFmt w:val="lowerLetter"/>
      <w:lvlText w:val="%5."/>
      <w:lvlJc w:val="left"/>
      <w:pPr>
        <w:ind w:left="3240" w:hanging="360"/>
      </w:pPr>
    </w:lvl>
    <w:lvl w:ilvl="5" w:tplc="8A68558A" w:tentative="1">
      <w:start w:val="1"/>
      <w:numFmt w:val="lowerRoman"/>
      <w:lvlText w:val="%6."/>
      <w:lvlJc w:val="right"/>
      <w:pPr>
        <w:ind w:left="3960" w:hanging="180"/>
      </w:pPr>
    </w:lvl>
    <w:lvl w:ilvl="6" w:tplc="14D23AA0" w:tentative="1">
      <w:start w:val="1"/>
      <w:numFmt w:val="decimal"/>
      <w:lvlText w:val="%7."/>
      <w:lvlJc w:val="left"/>
      <w:pPr>
        <w:ind w:left="4680" w:hanging="360"/>
      </w:pPr>
    </w:lvl>
    <w:lvl w:ilvl="7" w:tplc="90C07F26" w:tentative="1">
      <w:start w:val="1"/>
      <w:numFmt w:val="lowerLetter"/>
      <w:lvlText w:val="%8."/>
      <w:lvlJc w:val="left"/>
      <w:pPr>
        <w:ind w:left="5400" w:hanging="360"/>
      </w:pPr>
    </w:lvl>
    <w:lvl w:ilvl="8" w:tplc="5614CC78"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4B"/>
    <w:rsid w:val="002B6548"/>
    <w:rsid w:val="00305FC6"/>
    <w:rsid w:val="00403675"/>
    <w:rsid w:val="00406EC5"/>
    <w:rsid w:val="004376CC"/>
    <w:rsid w:val="004F5771"/>
    <w:rsid w:val="005061FE"/>
    <w:rsid w:val="00645E3C"/>
    <w:rsid w:val="007C650F"/>
    <w:rsid w:val="007F7582"/>
    <w:rsid w:val="00A54E21"/>
    <w:rsid w:val="00AC3A4B"/>
    <w:rsid w:val="00C3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70DA"/>
  <w15:chartTrackingRefBased/>
  <w15:docId w15:val="{C8DCB72D-E0AE-4487-B9E1-0E54A6B5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A4B"/>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heading,Bullet point,Bulletr List Paragraph,FooterText,L,List Paragraph1,List Paragraph11,List Paragraph2,List Paragraph21,Listeafsnit1,NFP GP Bulleted List,Paragraphe de liste1,Parágrafo da Lista1,Recommendation,bullet point list,列出段落"/>
    <w:basedOn w:val="Normal"/>
    <w:link w:val="ListParagraphChar"/>
    <w:uiPriority w:val="34"/>
    <w:qFormat/>
    <w:rsid w:val="00AC3A4B"/>
    <w:pPr>
      <w:numPr>
        <w:numId w:val="1"/>
      </w:numPr>
    </w:pPr>
  </w:style>
  <w:style w:type="character" w:customStyle="1" w:styleId="ListParagraphChar">
    <w:name w:val="List Paragraph Char"/>
    <w:aliases w:val="1 heading Char,Bullet point Char,Bulletr List Paragraph Char,FooterText Char,L Char,List Paragraph1 Char,List Paragraph11 Char,List Paragraph2 Char,List Paragraph21 Char,Listeafsnit1 Char,NFP GP Bulleted List Char,Recommendation Char"/>
    <w:link w:val="ListParagraph"/>
    <w:uiPriority w:val="34"/>
    <w:qFormat/>
    <w:locked/>
    <w:rsid w:val="00AC3A4B"/>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9BA5C7C60AC43547894F5BBA27D651FE" ma:contentTypeVersion="77" ma:contentTypeDescription="Core Publishing Document, inherited from OOTB document." ma:contentTypeScope="" ma:versionID="e0b082b34659c4186ff553bcd4f0c58e">
  <xsd:schema xmlns:xsd="http://www.w3.org/2001/XMLSchema" xmlns:xs="http://www.w3.org/2001/XMLSchema" xmlns:p="http://schemas.microsoft.com/office/2006/metadata/properties" xmlns:ns1="http://schemas.microsoft.com/sharepoint/v3" xmlns:ns2="0880af4c-2db1-4bbd-bd10-321e99ca68ee" xmlns:ns3="c0b4bd0a-f6ac-422c-a0b2-ddc3a705a698" targetNamespace="http://schemas.microsoft.com/office/2006/metadata/properties" ma:root="true" ma:fieldsID="f341b6add8b70d51cb7e0e526a1fb534" ns1:_="" ns2:_="" ns3:_="">
    <xsd:import namespace="http://schemas.microsoft.com/sharepoint/v3"/>
    <xsd:import namespace="0880af4c-2db1-4bbd-bd10-321e99ca68e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0af4c-2db1-4bbd-bd10-321e99ca68e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0880af4c-2db1-4bbd-bd10-321e99ca68ee" xsi:nil="true"/>
    <KeywordsLookupField xmlns="c0b4bd0a-f6ac-422c-a0b2-ddc3a705a698"/>
    <IncludeInContentRollups xmlns="0880af4c-2db1-4bbd-bd10-321e99ca68ee">false</IncludeInContentRollups>
    <CorePublishingDocumentChangeDescription xmlns="0880af4c-2db1-4bbd-bd10-321e99ca68ee" xsi:nil="true"/>
    <CorePublishingDocumentContact xmlns="0880af4c-2db1-4bbd-bd10-321e99ca68ee">
      <UserInfo>
        <DisplayName/>
        <AccountId xsi:nil="true"/>
        <AccountType/>
      </UserInfo>
    </CorePublishingDocumentContact>
    <SubjectLookupField xmlns="c0b4bd0a-f6ac-422c-a0b2-ddc3a705a698"/>
    <IPSCategory xmlns="0880af4c-2db1-4bbd-bd10-321e99ca68ee" xsi:nil="true"/>
    <CorePublishingComments xmlns="0880af4c-2db1-4bbd-bd10-321e99ca68ee" xsi:nil="true"/>
    <PublishingExpirationDate xmlns="http://schemas.microsoft.com/sharepoint/v3" xsi:nil="true"/>
    <IncludeInRSSFeeds xmlns="0880af4c-2db1-4bbd-bd10-321e99ca68ee">false</IncludeInRSSFeeds>
    <PublishingStartDate xmlns="http://schemas.microsoft.com/sharepoint/v3" xsi:nil="true"/>
    <IncludeInNotificationsAndUpdates xmlns="0880af4c-2db1-4bbd-bd10-321e99ca68ee">true</IncludeInNotificationsAndUpdates>
    <DocumentRollupCategory xmlns="c0b4bd0a-f6ac-422c-a0b2-ddc3a705a698"/>
  </documentManagement>
</p:properties>
</file>

<file path=customXml/itemProps1.xml><?xml version="1.0" encoding="utf-8"?>
<ds:datastoreItem xmlns:ds="http://schemas.openxmlformats.org/officeDocument/2006/customXml" ds:itemID="{A51C0401-E2E3-4374-8225-B30BB2F56373}">
  <ds:schemaRefs>
    <ds:schemaRef ds:uri="http://schemas.microsoft.com/sharepoint/v3/contenttype/forms"/>
  </ds:schemaRefs>
</ds:datastoreItem>
</file>

<file path=customXml/itemProps2.xml><?xml version="1.0" encoding="utf-8"?>
<ds:datastoreItem xmlns:ds="http://schemas.openxmlformats.org/officeDocument/2006/customXml" ds:itemID="{2D9C2B75-E486-44A5-B241-AAC5B02EE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80af4c-2db1-4bbd-bd10-321e99ca68ee"/>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BF858-3FC4-4876-A595-2F47A3B6851E}">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b4bd0a-f6ac-422c-a0b2-ddc3a705a698"/>
    <ds:schemaRef ds:uri="http://purl.org/dc/elements/1.1/"/>
    <ds:schemaRef ds:uri="0880af4c-2db1-4bbd-bd10-321e99ca68e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Cecilia</dc:creator>
  <cp:keywords/>
  <dc:description/>
  <cp:lastModifiedBy>McGregor, Lenore</cp:lastModifiedBy>
  <cp:revision>2</cp:revision>
  <dcterms:created xsi:type="dcterms:W3CDTF">2018-07-04T03:21:00Z</dcterms:created>
  <dcterms:modified xsi:type="dcterms:W3CDTF">2018-07-04T03:21:00Z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0x01010097F86F0C24D64525B252BB20BD9D45A7009BA5C7C60AC43547894F5BBA27D651FE</vt:lpwstr>
  </property>
  <property fmtid="{D5CDD505-2E9C-101B-9397-08002B2CF9AE}" pid="3" name="_dlc_DocIdItemGuid">
    <vt:lpwstr>4c953132-3d94-4f71-bfef-aec4a95341e5</vt:lpwstr>
  </property>
  <property fmtid="{D5CDD505-2E9C-101B-9397-08002B2CF9AE}" pid="4" name="DocHub_Year">
    <vt:lpwstr>360;#2017|5f6de30b-6e1e-4c09-9e51-982258231536</vt:lpwstr>
  </property>
  <property fmtid="{D5CDD505-2E9C-101B-9397-08002B2CF9AE}" pid="5" name="DocHub_DocumentType">
    <vt:lpwstr>275;#Terms of Reference|eeba3d5f-ad86-4535-a09e-e86907e8c434</vt:lpwstr>
  </property>
  <property fmtid="{D5CDD505-2E9C-101B-9397-08002B2CF9AE}" pid="6" name="DocHub_SecurityClassification">
    <vt:lpwstr>25;#For Official Use Only|11f6fb0b-52ce-4109-8f7f-521b2a62f692</vt:lpwstr>
  </property>
  <property fmtid="{D5CDD505-2E9C-101B-9397-08002B2CF9AE}" pid="7" name="DocHub_Keywords">
    <vt:lpwstr>328;#Building Industry Section|8aafe8fe-f053-419e-b663-baf5527dcabb;#847;#NCC|dd3f3554-69f7-4dc0-8cbf-8d856a598b4b</vt:lpwstr>
  </property>
  <property fmtid="{D5CDD505-2E9C-101B-9397-08002B2CF9AE}" pid="8" name="DocHub_BriefingCorrespondenceType">
    <vt:lpwstr/>
  </property>
  <property fmtid="{D5CDD505-2E9C-101B-9397-08002B2CF9AE}" pid="9" name="DocHub_WorkActivity">
    <vt:lpwstr>510;#Review|27afafd6-6f91-478b-aa86-71bce00b7eb9</vt:lpwstr>
  </property>
</Properties>
</file>