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5EE" w:rsidRDefault="00DC51D8" w:rsidP="00B97294">
      <w:pPr>
        <w:pStyle w:val="Title"/>
        <w:tabs>
          <w:tab w:val="left" w:pos="837"/>
          <w:tab w:val="left" w:pos="2676"/>
        </w:tabs>
        <w:spacing w:before="3240"/>
      </w:pPr>
      <w:bookmarkStart w:id="0" w:name="_GoBack"/>
      <w:bookmarkEnd w:id="0"/>
      <w:r>
        <w:rPr>
          <w:noProof/>
          <w:lang w:eastAsia="en-AU"/>
        </w:rPr>
        <w:drawing>
          <wp:anchor distT="0" distB="0" distL="114300" distR="114300" simplePos="0" relativeHeight="251660288" behindDoc="1" locked="0" layoutInCell="1" allowOverlap="1" wp14:anchorId="37047D5D" wp14:editId="424A2CA1">
            <wp:simplePos x="0" y="0"/>
            <wp:positionH relativeFrom="margin">
              <wp:posOffset>-783428</wp:posOffset>
            </wp:positionH>
            <wp:positionV relativeFrom="page">
              <wp:align>bottom</wp:align>
            </wp:positionV>
            <wp:extent cx="7271385" cy="7369175"/>
            <wp:effectExtent l="0" t="0" r="5715" b="3175"/>
            <wp:wrapNone/>
            <wp:docPr id="20" name="Picture 20" descr="Background graphic - decorative element only" title="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artmental_Word_update_slide_master_nologo.jpg"/>
                    <pic:cNvPicPr/>
                  </pic:nvPicPr>
                  <pic:blipFill rotWithShape="1">
                    <a:blip r:embed="rId8" cstate="print">
                      <a:extLst>
                        <a:ext uri="{28A0092B-C50C-407E-A947-70E740481C1C}">
                          <a14:useLocalDpi xmlns:a14="http://schemas.microsoft.com/office/drawing/2010/main" val="0"/>
                        </a:ext>
                      </a:extLst>
                    </a:blip>
                    <a:srcRect t="28341"/>
                    <a:stretch/>
                  </pic:blipFill>
                  <pic:spPr bwMode="auto">
                    <a:xfrm>
                      <a:off x="0" y="0"/>
                      <a:ext cx="7271385" cy="7369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33118">
        <w:rPr>
          <w:bCs/>
        </w:rPr>
        <w:t>R</w:t>
      </w:r>
      <w:r w:rsidR="00E33118" w:rsidRPr="00E33118">
        <w:rPr>
          <w:bCs/>
        </w:rPr>
        <w:t xml:space="preserve">emuneration </w:t>
      </w:r>
      <w:r w:rsidR="00E33118">
        <w:rPr>
          <w:bCs/>
        </w:rPr>
        <w:t xml:space="preserve">disclosure </w:t>
      </w:r>
      <w:r w:rsidR="00E33118" w:rsidRPr="00E33118">
        <w:rPr>
          <w:bCs/>
        </w:rPr>
        <w:t>for executive and other highly paid staff</w:t>
      </w:r>
      <w:r w:rsidR="00E33118" w:rsidRPr="00E33118">
        <w:t xml:space="preserve"> </w:t>
      </w:r>
    </w:p>
    <w:p w:rsidR="00EE6C16" w:rsidRDefault="00E33118" w:rsidP="00EE6C16">
      <w:pPr>
        <w:pStyle w:val="Subtitle"/>
      </w:pPr>
      <w:r>
        <w:t>Annual disclosure</w:t>
      </w:r>
    </w:p>
    <w:p w:rsidR="00EE6C16" w:rsidRDefault="00E33118" w:rsidP="00EE6C16">
      <w:pPr>
        <w:pStyle w:val="Subtitle"/>
      </w:pPr>
      <w:r>
        <w:t>2016-17</w:t>
      </w:r>
    </w:p>
    <w:p w:rsidR="00E33118" w:rsidRPr="004009CE" w:rsidRDefault="00E33118" w:rsidP="00EE6C16">
      <w:pPr>
        <w:rPr>
          <w:rStyle w:val="Hyperlink"/>
        </w:rPr>
      </w:pPr>
      <w:r>
        <w:fldChar w:fldCharType="begin"/>
      </w:r>
      <w:r w:rsidR="002625A9">
        <w:instrText>HYPERLINK "http://www.industry.gov.au/AboutUs/CorporatePublications" \o "Department of Industry, Innovation and Science website"</w:instrText>
      </w:r>
      <w:r>
        <w:fldChar w:fldCharType="separate"/>
      </w:r>
      <w:r w:rsidRPr="004009CE">
        <w:rPr>
          <w:rStyle w:val="Hyperlink"/>
        </w:rPr>
        <w:t>www.industry.gov.au/AboutUs/CorporatePublications</w:t>
      </w:r>
    </w:p>
    <w:p w:rsidR="00EE6C16" w:rsidRDefault="00E33118">
      <w:pPr>
        <w:spacing w:before="0" w:after="160" w:line="259" w:lineRule="auto"/>
        <w:rPr>
          <w:rFonts w:eastAsiaTheme="majorEastAsia" w:cstheme="majorBidi"/>
          <w:color w:val="00283E"/>
          <w:sz w:val="52"/>
          <w:szCs w:val="32"/>
        </w:rPr>
      </w:pPr>
      <w:r>
        <w:fldChar w:fldCharType="end"/>
      </w:r>
      <w:r w:rsidR="00EE6C16">
        <w:br w:type="page"/>
      </w:r>
    </w:p>
    <w:p w:rsidR="007240FE" w:rsidRPr="00EE222A" w:rsidRDefault="00A56C4E" w:rsidP="00EE222A">
      <w:pPr>
        <w:pStyle w:val="Heading1"/>
        <w:jc w:val="both"/>
      </w:pPr>
      <w:r>
        <w:lastRenderedPageBreak/>
        <w:t>Preface</w:t>
      </w:r>
    </w:p>
    <w:p w:rsidR="00D662E0" w:rsidRDefault="00E33118" w:rsidP="00363E09">
      <w:pPr>
        <w:jc w:val="both"/>
      </w:pPr>
      <w:r>
        <w:t xml:space="preserve">The Department of Industry, Innovation and Science </w:t>
      </w:r>
      <w:r w:rsidR="007A1981">
        <w:t xml:space="preserve">(the department) </w:t>
      </w:r>
      <w:r>
        <w:t>is committed to provide transparency</w:t>
      </w:r>
      <w:r w:rsidR="00D662E0">
        <w:t xml:space="preserve"> of our remuneration for executive and other highly paid </w:t>
      </w:r>
      <w:r w:rsidR="00C35DC1">
        <w:t>staff</w:t>
      </w:r>
      <w:r w:rsidR="00D662E0">
        <w:t xml:space="preserve">. </w:t>
      </w:r>
    </w:p>
    <w:p w:rsidR="003D4B7A" w:rsidRPr="00151938" w:rsidRDefault="00151938" w:rsidP="003D4B7A">
      <w:pPr>
        <w:jc w:val="both"/>
      </w:pPr>
      <w:r w:rsidRPr="006F3D55">
        <w:rPr>
          <w:rFonts w:ascii="Times New Roman" w:hAnsi="Times New Roman" w:cs="Times New Roman"/>
          <w:b/>
          <w:bCs/>
          <w:i/>
          <w:iCs/>
          <w:noProof/>
          <w:color w:val="000000"/>
          <w:sz w:val="24"/>
          <w:szCs w:val="24"/>
          <w:lang w:eastAsia="en-AU"/>
        </w:rPr>
        <mc:AlternateContent>
          <mc:Choice Requires="wps">
            <w:drawing>
              <wp:anchor distT="0" distB="0" distL="114300" distR="114300" simplePos="0" relativeHeight="251661312" behindDoc="1" locked="0" layoutInCell="1" allowOverlap="1">
                <wp:simplePos x="0" y="0"/>
                <wp:positionH relativeFrom="margin">
                  <wp:align>center</wp:align>
                </wp:positionH>
                <wp:positionV relativeFrom="paragraph">
                  <wp:posOffset>666573</wp:posOffset>
                </wp:positionV>
                <wp:extent cx="5889920" cy="2668772"/>
                <wp:effectExtent l="0" t="0" r="0" b="0"/>
                <wp:wrapNone/>
                <wp:docPr id="1" name="Rectangle 1" descr="decorative" title="background design"/>
                <wp:cNvGraphicFramePr/>
                <a:graphic xmlns:a="http://schemas.openxmlformats.org/drawingml/2006/main">
                  <a:graphicData uri="http://schemas.microsoft.com/office/word/2010/wordprocessingShape">
                    <wps:wsp>
                      <wps:cNvSpPr/>
                      <wps:spPr>
                        <a:xfrm>
                          <a:off x="0" y="0"/>
                          <a:ext cx="5889920" cy="2668772"/>
                        </a:xfrm>
                        <a:prstGeom prst="rect">
                          <a:avLst/>
                        </a:prstGeom>
                        <a:ln>
                          <a:noFill/>
                        </a:ln>
                      </wps:spPr>
                      <wps:style>
                        <a:lnRef idx="1">
                          <a:schemeClr val="accent5"/>
                        </a:lnRef>
                        <a:fillRef idx="2">
                          <a:schemeClr val="accent5"/>
                        </a:fillRef>
                        <a:effectRef idx="1">
                          <a:schemeClr val="accent5"/>
                        </a:effectRef>
                        <a:fontRef idx="minor">
                          <a:schemeClr val="dk1"/>
                        </a:fontRef>
                      </wps:style>
                      <wps:txbx>
                        <w:txbxContent>
                          <w:p w:rsidR="00585114" w:rsidRPr="003D4B7A" w:rsidRDefault="00585114" w:rsidP="003D4B7A">
                            <w:pPr>
                              <w:jc w:val="both"/>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alt="Title: background design - Description: decorative" style="position:absolute;left:0;text-align:left;margin-left:0;margin-top:52.5pt;width:463.75pt;height:210.15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" fillcolor="#bde5ea [2168]" stroked="f" strokeweight=".5pt">
                <v:fill color2="#aee0e6 [2616]" rotate="t" colors="0 #d3eef1;.5 #c6e8ed;1 #bde7ec" focus="100%" type="gradient">
                  <o:fill v:ext="view" type="gradientUnscaled"/>
                </v:fill>
                <v:textbox>
                  <w:txbxContent>
                    <w:p w:rsidR="00585114" w:rsidRPr="003D4B7A" w:rsidRDefault="00585114" w:rsidP="003D4B7A">
                      <w:pPr>
                        <w:jc w:val="both"/>
                        <w:rPr>
                          <w:color w:val="000000" w:themeColor="text1"/>
                        </w:rPr>
                      </w:pPr>
                    </w:p>
                  </w:txbxContent>
                </v:textbox>
                <w10:wrap anchorx="margin"/>
              </v:rect>
            </w:pict>
          </mc:Fallback>
        </mc:AlternateContent>
      </w:r>
      <w:r w:rsidR="00D662E0">
        <w:t>To this end,</w:t>
      </w:r>
      <w:r w:rsidR="007A1981">
        <w:t xml:space="preserve"> </w:t>
      </w:r>
      <w:r w:rsidR="00D662E0">
        <w:t>the department (together with other Australian Public Service entities) has</w:t>
      </w:r>
      <w:r w:rsidR="007A1981">
        <w:t xml:space="preserve"> decided to disclose the remuneration of </w:t>
      </w:r>
      <w:r w:rsidR="00D662E0">
        <w:t xml:space="preserve">our </w:t>
      </w:r>
      <w:r w:rsidR="00A56C4E">
        <w:t xml:space="preserve">executives and other highly paid </w:t>
      </w:r>
      <w:r w:rsidR="00F41267">
        <w:t>staff</w:t>
      </w:r>
      <w:r w:rsidR="00D662E0">
        <w:t xml:space="preserve">, </w:t>
      </w:r>
      <w:r w:rsidR="00D662E0" w:rsidRPr="00D662E0">
        <w:t>starting from the 2016-17 reporting period.</w:t>
      </w:r>
    </w:p>
    <w:p w:rsidR="003D4B7A" w:rsidRPr="00F41267" w:rsidRDefault="003D4B7A" w:rsidP="003D4B7A">
      <w:pPr>
        <w:jc w:val="both"/>
        <w:rPr>
          <w:rFonts w:cs="Arial"/>
          <w:bCs/>
          <w:color w:val="000000" w:themeColor="text1"/>
        </w:rPr>
      </w:pPr>
      <w:r w:rsidRPr="00F41267">
        <w:rPr>
          <w:rFonts w:cs="Arial"/>
          <w:bCs/>
          <w:color w:val="000000" w:themeColor="text1"/>
        </w:rPr>
        <w:t xml:space="preserve">For the purposes of this publication, </w:t>
      </w:r>
      <w:r w:rsidRPr="00F41267">
        <w:rPr>
          <w:rStyle w:val="Heading5Char"/>
        </w:rPr>
        <w:t>executives</w:t>
      </w:r>
      <w:r w:rsidRPr="00F41267">
        <w:rPr>
          <w:rFonts w:cs="Arial"/>
          <w:bCs/>
          <w:color w:val="000000" w:themeColor="text1"/>
        </w:rPr>
        <w:t xml:space="preserve"> are defined as:</w:t>
      </w:r>
    </w:p>
    <w:p w:rsidR="003D4B7A" w:rsidRPr="00F41267" w:rsidRDefault="003D4B7A" w:rsidP="003D4B7A">
      <w:pPr>
        <w:pStyle w:val="ListParagraph"/>
        <w:numPr>
          <w:ilvl w:val="0"/>
          <w:numId w:val="20"/>
        </w:numPr>
        <w:jc w:val="both"/>
        <w:rPr>
          <w:rFonts w:cs="Arial"/>
          <w:bCs/>
          <w:color w:val="000000" w:themeColor="text1"/>
        </w:rPr>
      </w:pPr>
      <w:r>
        <w:rPr>
          <w:rFonts w:cs="Arial"/>
          <w:bCs/>
          <w:color w:val="000000" w:themeColor="text1"/>
        </w:rPr>
        <w:t xml:space="preserve">substantive </w:t>
      </w:r>
      <w:r w:rsidRPr="00F41267">
        <w:rPr>
          <w:rFonts w:cs="Arial"/>
          <w:bCs/>
          <w:color w:val="000000" w:themeColor="text1"/>
        </w:rPr>
        <w:t>Senior Executive Service (SES) employees</w:t>
      </w:r>
    </w:p>
    <w:p w:rsidR="003D4B7A" w:rsidRPr="00F41267" w:rsidRDefault="003D4B7A" w:rsidP="003D4B7A">
      <w:pPr>
        <w:pStyle w:val="ListParagraph"/>
        <w:numPr>
          <w:ilvl w:val="0"/>
          <w:numId w:val="20"/>
        </w:numPr>
        <w:jc w:val="both"/>
        <w:rPr>
          <w:rFonts w:cs="Arial"/>
          <w:bCs/>
          <w:color w:val="000000" w:themeColor="text1"/>
        </w:rPr>
      </w:pPr>
      <w:r w:rsidRPr="00F41267">
        <w:rPr>
          <w:rFonts w:cs="Arial"/>
          <w:bCs/>
          <w:color w:val="000000" w:themeColor="text1"/>
        </w:rPr>
        <w:t>the Secretary of the Department of Industry, Innovation and Science</w:t>
      </w:r>
      <w:r>
        <w:rPr>
          <w:rFonts w:cs="Arial"/>
          <w:bCs/>
          <w:color w:val="000000" w:themeColor="text1"/>
        </w:rPr>
        <w:t xml:space="preserve"> (the Secretary)</w:t>
      </w:r>
    </w:p>
    <w:p w:rsidR="003D4B7A" w:rsidRPr="00F41267" w:rsidRDefault="003D4B7A" w:rsidP="003D4B7A">
      <w:pPr>
        <w:pStyle w:val="ListParagraph"/>
        <w:numPr>
          <w:ilvl w:val="0"/>
          <w:numId w:val="20"/>
        </w:numPr>
        <w:jc w:val="both"/>
        <w:rPr>
          <w:rFonts w:cs="Arial"/>
          <w:bCs/>
          <w:color w:val="000000" w:themeColor="text1"/>
        </w:rPr>
      </w:pPr>
      <w:r w:rsidRPr="00F41267">
        <w:rPr>
          <w:rFonts w:cs="Arial"/>
          <w:bCs/>
          <w:color w:val="000000" w:themeColor="text1"/>
        </w:rPr>
        <w:t>the Chief Scientist, and</w:t>
      </w:r>
    </w:p>
    <w:p w:rsidR="003D4B7A" w:rsidRDefault="003D4B7A" w:rsidP="003D4B7A">
      <w:pPr>
        <w:pStyle w:val="ListParagraph"/>
        <w:numPr>
          <w:ilvl w:val="0"/>
          <w:numId w:val="20"/>
        </w:numPr>
        <w:jc w:val="both"/>
        <w:rPr>
          <w:rFonts w:cs="Arial"/>
          <w:bCs/>
          <w:color w:val="000000" w:themeColor="text1"/>
        </w:rPr>
      </w:pPr>
      <w:r w:rsidRPr="00F41267">
        <w:rPr>
          <w:rFonts w:cs="Arial"/>
          <w:bCs/>
          <w:color w:val="000000" w:themeColor="text1"/>
        </w:rPr>
        <w:t>the Innovation and Science Aus</w:t>
      </w:r>
      <w:r>
        <w:rPr>
          <w:rFonts w:cs="Arial"/>
          <w:bCs/>
          <w:color w:val="000000" w:themeColor="text1"/>
        </w:rPr>
        <w:t>tralia, Chief Executive Officer.</w:t>
      </w:r>
    </w:p>
    <w:p w:rsidR="003D4B7A" w:rsidRDefault="003D4B7A" w:rsidP="003D4B7A">
      <w:pPr>
        <w:jc w:val="both"/>
        <w:rPr>
          <w:color w:val="000000" w:themeColor="text1"/>
        </w:rPr>
      </w:pPr>
      <w:r w:rsidRPr="00F41267">
        <w:rPr>
          <w:color w:val="000000" w:themeColor="text1"/>
        </w:rPr>
        <w:t xml:space="preserve">For the purposes of this publication, </w:t>
      </w:r>
      <w:r w:rsidRPr="00585114">
        <w:rPr>
          <w:rStyle w:val="Heading5Char"/>
        </w:rPr>
        <w:t>other highly paid staff</w:t>
      </w:r>
      <w:r w:rsidRPr="00F41267">
        <w:rPr>
          <w:color w:val="000000" w:themeColor="text1"/>
        </w:rPr>
        <w:t xml:space="preserve"> are defined as employees</w:t>
      </w:r>
      <w:r w:rsidR="00151938">
        <w:rPr>
          <w:color w:val="000000" w:themeColor="text1"/>
        </w:rPr>
        <w:t xml:space="preserve"> of the department</w:t>
      </w:r>
      <w:r w:rsidRPr="00F41267">
        <w:rPr>
          <w:color w:val="000000" w:themeColor="text1"/>
        </w:rPr>
        <w:t>, other than executives as defined above:</w:t>
      </w:r>
    </w:p>
    <w:p w:rsidR="003D4B7A" w:rsidRPr="00F41267" w:rsidRDefault="003D4B7A" w:rsidP="003D4B7A">
      <w:pPr>
        <w:pStyle w:val="ListParagraph"/>
        <w:numPr>
          <w:ilvl w:val="0"/>
          <w:numId w:val="19"/>
        </w:numPr>
        <w:jc w:val="both"/>
        <w:rPr>
          <w:color w:val="000000" w:themeColor="text1"/>
        </w:rPr>
      </w:pPr>
      <w:r w:rsidRPr="00F41267">
        <w:rPr>
          <w:color w:val="000000" w:themeColor="text1"/>
        </w:rPr>
        <w:t>where the sum of their reportable remuneration was $200,001 or more for</w:t>
      </w:r>
      <w:r>
        <w:rPr>
          <w:color w:val="000000" w:themeColor="text1"/>
        </w:rPr>
        <w:t xml:space="preserve"> the reporting period,</w:t>
      </w:r>
      <w:r w:rsidRPr="00F41267">
        <w:rPr>
          <w:color w:val="000000" w:themeColor="text1"/>
        </w:rPr>
        <w:t xml:space="preserve"> and</w:t>
      </w:r>
    </w:p>
    <w:p w:rsidR="00151938" w:rsidRDefault="003D4B7A" w:rsidP="00151938">
      <w:pPr>
        <w:pStyle w:val="ListParagraph"/>
        <w:numPr>
          <w:ilvl w:val="0"/>
          <w:numId w:val="19"/>
        </w:numPr>
        <w:spacing w:after="0"/>
        <w:jc w:val="both"/>
        <w:rPr>
          <w:color w:val="000000" w:themeColor="text1"/>
        </w:rPr>
      </w:pPr>
      <w:r w:rsidRPr="00F41267">
        <w:rPr>
          <w:color w:val="000000" w:themeColor="text1"/>
        </w:rPr>
        <w:t>who were not deployed outside Australia during the reporting period.</w:t>
      </w:r>
    </w:p>
    <w:p w:rsidR="00151938" w:rsidRPr="00151938" w:rsidRDefault="00151938" w:rsidP="00151938">
      <w:pPr>
        <w:jc w:val="both"/>
        <w:rPr>
          <w:color w:val="000000" w:themeColor="text1"/>
        </w:rPr>
      </w:pPr>
    </w:p>
    <w:p w:rsidR="00363E09" w:rsidRDefault="00363E09" w:rsidP="00363E09">
      <w:pPr>
        <w:pStyle w:val="Heading1"/>
        <w:jc w:val="both"/>
        <w:rPr>
          <w:lang w:val="en" w:eastAsia="en-AU"/>
        </w:rPr>
      </w:pPr>
      <w:r>
        <w:rPr>
          <w:lang w:val="en" w:eastAsia="en-AU"/>
        </w:rPr>
        <w:t xml:space="preserve">How is remuneration determined? </w:t>
      </w:r>
    </w:p>
    <w:p w:rsidR="00342551" w:rsidRDefault="00342551" w:rsidP="00363E09">
      <w:pPr>
        <w:spacing w:after="150"/>
        <w:jc w:val="both"/>
        <w:rPr>
          <w:rFonts w:cs="Arial"/>
          <w:color w:val="323232"/>
          <w:lang w:val="en" w:eastAsia="en-AU"/>
        </w:rPr>
      </w:pPr>
      <w:r>
        <w:rPr>
          <w:rFonts w:cs="Arial"/>
          <w:color w:val="323232"/>
          <w:lang w:val="en" w:eastAsia="en-AU"/>
        </w:rPr>
        <w:t xml:space="preserve">The responsibility for the remuneration arrangements for the Secretary is shared between the Remuneration Tribunal and the Secretary of the Department of the Prime Minister and Cabinet. </w:t>
      </w:r>
    </w:p>
    <w:p w:rsidR="00342551" w:rsidRDefault="00342551" w:rsidP="00363E09">
      <w:pPr>
        <w:spacing w:after="150"/>
        <w:jc w:val="both"/>
        <w:rPr>
          <w:rFonts w:cs="Arial"/>
          <w:color w:val="323232"/>
          <w:lang w:val="en" w:eastAsia="en-AU"/>
        </w:rPr>
      </w:pPr>
      <w:r>
        <w:rPr>
          <w:rFonts w:cs="Arial"/>
          <w:color w:val="323232"/>
          <w:lang w:val="en" w:eastAsia="en-AU"/>
        </w:rPr>
        <w:t xml:space="preserve">The Remuneration Tribunal also sets </w:t>
      </w:r>
      <w:r w:rsidR="002758F2">
        <w:rPr>
          <w:rFonts w:cs="Arial"/>
          <w:color w:val="323232"/>
          <w:lang w:val="en" w:eastAsia="en-AU"/>
        </w:rPr>
        <w:t xml:space="preserve">the </w:t>
      </w:r>
      <w:r>
        <w:rPr>
          <w:rFonts w:cs="Arial"/>
          <w:color w:val="323232"/>
          <w:lang w:val="en" w:eastAsia="en-AU"/>
        </w:rPr>
        <w:t xml:space="preserve">remuneration </w:t>
      </w:r>
      <w:r w:rsidR="002758F2">
        <w:rPr>
          <w:rFonts w:cs="Arial"/>
          <w:color w:val="323232"/>
          <w:lang w:val="en" w:eastAsia="en-AU"/>
        </w:rPr>
        <w:t xml:space="preserve">arrangements </w:t>
      </w:r>
      <w:r>
        <w:rPr>
          <w:rFonts w:cs="Arial"/>
          <w:color w:val="323232"/>
          <w:lang w:val="en" w:eastAsia="en-AU"/>
        </w:rPr>
        <w:t>for the Chief Scientist and the Innovation and Science Australia, Chief Executive Officer.</w:t>
      </w:r>
    </w:p>
    <w:p w:rsidR="00342551" w:rsidRDefault="00342551" w:rsidP="00363E09">
      <w:pPr>
        <w:spacing w:after="150"/>
        <w:jc w:val="both"/>
        <w:rPr>
          <w:rFonts w:cs="Arial"/>
          <w:color w:val="323232"/>
          <w:lang w:val="en" w:eastAsia="en-AU"/>
        </w:rPr>
      </w:pPr>
      <w:r>
        <w:rPr>
          <w:rFonts w:cs="Arial"/>
          <w:color w:val="323232"/>
          <w:lang w:val="en" w:eastAsia="en-AU"/>
        </w:rPr>
        <w:t>The Secretary determines remuneration and conditions for the department</w:t>
      </w:r>
      <w:r w:rsidR="00CE2473">
        <w:rPr>
          <w:rFonts w:cs="Arial"/>
          <w:color w:val="323232"/>
          <w:lang w:val="en" w:eastAsia="en-AU"/>
        </w:rPr>
        <w:t>’</w:t>
      </w:r>
      <w:r>
        <w:rPr>
          <w:rFonts w:cs="Arial"/>
          <w:color w:val="323232"/>
          <w:lang w:val="en" w:eastAsia="en-AU"/>
        </w:rPr>
        <w:t xml:space="preserve">s SES employees having regard to the </w:t>
      </w:r>
      <w:r>
        <w:rPr>
          <w:rFonts w:cs="Arial"/>
          <w:i/>
          <w:iCs/>
          <w:color w:val="323232"/>
          <w:lang w:val="en" w:eastAsia="en-AU"/>
        </w:rPr>
        <w:t>APS Executive Remuneration Management Policy</w:t>
      </w:r>
      <w:r>
        <w:rPr>
          <w:rFonts w:cs="Arial"/>
          <w:color w:val="323232"/>
          <w:lang w:val="en" w:eastAsia="en-AU"/>
        </w:rPr>
        <w:t xml:space="preserve"> and the Government’s </w:t>
      </w:r>
      <w:r>
        <w:rPr>
          <w:rFonts w:cs="Arial"/>
          <w:i/>
          <w:iCs/>
          <w:color w:val="323232"/>
          <w:lang w:val="en" w:eastAsia="en-AU"/>
        </w:rPr>
        <w:t>Workplace Relations Bargaining Policy 2015</w:t>
      </w:r>
      <w:r>
        <w:rPr>
          <w:rFonts w:cs="Arial"/>
          <w:color w:val="323232"/>
          <w:lang w:val="en" w:eastAsia="en-AU"/>
        </w:rPr>
        <w:t>.</w:t>
      </w:r>
      <w:r>
        <w:rPr>
          <w:rFonts w:cs="Arial"/>
          <w:i/>
          <w:iCs/>
          <w:color w:val="323232"/>
          <w:lang w:val="en" w:eastAsia="en-AU"/>
        </w:rPr>
        <w:t xml:space="preserve"> </w:t>
      </w:r>
      <w:r>
        <w:rPr>
          <w:rFonts w:cs="Arial"/>
          <w:color w:val="323232"/>
          <w:lang w:val="en" w:eastAsia="en-AU"/>
        </w:rPr>
        <w:t>To maintain relativity with other APS entities, remuneration for SES is aligned with the annual remuneration survey conducted by the Australian Public Service Commission.</w:t>
      </w:r>
    </w:p>
    <w:p w:rsidR="00342551" w:rsidRDefault="00342551" w:rsidP="00363E09">
      <w:pPr>
        <w:spacing w:after="150"/>
        <w:jc w:val="both"/>
        <w:rPr>
          <w:rFonts w:cs="Arial"/>
          <w:color w:val="323232"/>
          <w:lang w:val="en" w:eastAsia="en-AU"/>
        </w:rPr>
      </w:pPr>
      <w:r>
        <w:rPr>
          <w:rFonts w:cs="Arial"/>
          <w:color w:val="323232"/>
          <w:lang w:val="en" w:eastAsia="en-AU"/>
        </w:rPr>
        <w:t xml:space="preserve">Remuneration arrangements </w:t>
      </w:r>
      <w:r w:rsidR="00CE2473">
        <w:rPr>
          <w:rFonts w:cs="Arial"/>
          <w:color w:val="323232"/>
          <w:lang w:val="en" w:eastAsia="en-AU"/>
        </w:rPr>
        <w:t xml:space="preserve">for </w:t>
      </w:r>
      <w:r>
        <w:rPr>
          <w:rFonts w:cs="Arial"/>
          <w:color w:val="323232"/>
          <w:lang w:val="en" w:eastAsia="en-AU"/>
        </w:rPr>
        <w:t xml:space="preserve">other highly paid </w:t>
      </w:r>
      <w:r w:rsidR="00C35DC1">
        <w:rPr>
          <w:rFonts w:cs="Arial"/>
          <w:color w:val="323232"/>
          <w:lang w:val="en" w:eastAsia="en-AU"/>
        </w:rPr>
        <w:t>staff</w:t>
      </w:r>
      <w:r>
        <w:rPr>
          <w:rFonts w:cs="Arial"/>
          <w:color w:val="323232"/>
          <w:lang w:val="en" w:eastAsia="en-AU"/>
        </w:rPr>
        <w:t xml:space="preserve"> are set in the </w:t>
      </w:r>
      <w:r>
        <w:rPr>
          <w:rFonts w:cs="Arial"/>
          <w:i/>
          <w:iCs/>
          <w:color w:val="323232"/>
          <w:lang w:val="en" w:eastAsia="en-AU"/>
        </w:rPr>
        <w:t>Department of Industry, Innovation and Science Enterprise Agreement 2016-2019</w:t>
      </w:r>
      <w:r>
        <w:rPr>
          <w:rFonts w:cs="Arial"/>
          <w:color w:val="323232"/>
          <w:lang w:val="en" w:eastAsia="en-AU"/>
        </w:rPr>
        <w:t xml:space="preserve">. </w:t>
      </w:r>
    </w:p>
    <w:p w:rsidR="00D662E0" w:rsidRDefault="00D662E0" w:rsidP="00363E09">
      <w:pPr>
        <w:pStyle w:val="Heading1"/>
        <w:jc w:val="both"/>
      </w:pPr>
      <w:r>
        <w:lastRenderedPageBreak/>
        <w:t>Dis</w:t>
      </w:r>
      <w:r w:rsidRPr="00363E09">
        <w:t>closu</w:t>
      </w:r>
      <w:r>
        <w:t>re</w:t>
      </w:r>
    </w:p>
    <w:p w:rsidR="0045080F" w:rsidRDefault="003D4B7A" w:rsidP="00363E09">
      <w:pPr>
        <w:jc w:val="both"/>
      </w:pPr>
      <w:r w:rsidRPr="006F3D55">
        <w:rPr>
          <w:noProof/>
          <w:lang w:eastAsia="en-AU"/>
        </w:rPr>
        <mc:AlternateContent>
          <mc:Choice Requires="wps">
            <w:drawing>
              <wp:anchor distT="0" distB="0" distL="114300" distR="114300" simplePos="0" relativeHeight="251662336" behindDoc="1" locked="0" layoutInCell="1" allowOverlap="1">
                <wp:simplePos x="0" y="0"/>
                <wp:positionH relativeFrom="column">
                  <wp:posOffset>-31898</wp:posOffset>
                </wp:positionH>
                <wp:positionV relativeFrom="paragraph">
                  <wp:posOffset>873803</wp:posOffset>
                </wp:positionV>
                <wp:extent cx="5858540" cy="6687879"/>
                <wp:effectExtent l="0" t="0" r="27940" b="17780"/>
                <wp:wrapNone/>
                <wp:docPr id="3" name="Rectangle 3" descr="decorative" title="Background design"/>
                <wp:cNvGraphicFramePr/>
                <a:graphic xmlns:a="http://schemas.openxmlformats.org/drawingml/2006/main">
                  <a:graphicData uri="http://schemas.microsoft.com/office/word/2010/wordprocessingShape">
                    <wps:wsp>
                      <wps:cNvSpPr/>
                      <wps:spPr>
                        <a:xfrm>
                          <a:off x="0" y="0"/>
                          <a:ext cx="5858540" cy="6687879"/>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102725" w:rsidRPr="00102725" w:rsidRDefault="00102725" w:rsidP="00102725">
                            <w:pPr>
                              <w:ind w:left="284" w:hanging="284"/>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7" alt="Title: Background design - Description: decorative" style="position:absolute;left:0;text-align:left;margin-left:-2.5pt;margin-top:68.8pt;width:461.3pt;height:526.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" fillcolor="#bde5ea [2168]" strokecolor="#9cd9e0 [3208]" strokeweight=".5pt">
                <v:fill color2="#aee0e6 [2616]" rotate="t" colors="0 #d3eef1;.5 #c6e8ed;1 #bde7ec" focus="100%" type="gradient">
                  <o:fill v:ext="view" type="gradientUnscaled"/>
                </v:fill>
                <v:textbox>
                  <w:txbxContent>
                    <w:p w:rsidR="00102725" w:rsidRPr="00102725" w:rsidRDefault="00102725" w:rsidP="00102725">
                      <w:pPr>
                        <w:ind w:left="284" w:hanging="284"/>
                        <w:rPr>
                          <w:color w:val="000000" w:themeColor="text1"/>
                        </w:rPr>
                      </w:pPr>
                    </w:p>
                  </w:txbxContent>
                </v:textbox>
              </v:rect>
            </w:pict>
          </mc:Fallback>
        </mc:AlternateContent>
      </w:r>
      <w:r w:rsidR="004C195D" w:rsidRPr="004C195D">
        <w:rPr>
          <w:rStyle w:val="Heading5Char"/>
        </w:rPr>
        <w:t>Table A</w:t>
      </w:r>
      <w:r w:rsidR="00D662E0" w:rsidRPr="004C195D">
        <w:rPr>
          <w:rStyle w:val="Heading5Char"/>
        </w:rPr>
        <w:t xml:space="preserve"> </w:t>
      </w:r>
      <w:r w:rsidR="00D662E0">
        <w:t xml:space="preserve">(executives) and </w:t>
      </w:r>
      <w:r w:rsidR="004C195D" w:rsidRPr="004C195D">
        <w:rPr>
          <w:rStyle w:val="Heading5Char"/>
        </w:rPr>
        <w:t xml:space="preserve">Table </w:t>
      </w:r>
      <w:r w:rsidR="00D662E0" w:rsidRPr="004C195D">
        <w:rPr>
          <w:rStyle w:val="Heading5Char"/>
        </w:rPr>
        <w:t>B</w:t>
      </w:r>
      <w:r w:rsidR="00D662E0" w:rsidRPr="00A56C4E">
        <w:t xml:space="preserve"> (other highly paid officials) </w:t>
      </w:r>
      <w:r w:rsidR="00D662E0">
        <w:t xml:space="preserve">discloses the 2016-17 </w:t>
      </w:r>
      <w:r w:rsidR="001B6AA5">
        <w:t xml:space="preserve">reportable </w:t>
      </w:r>
      <w:r w:rsidR="00D662E0">
        <w:t>remuneration at an aggregate level, within average dollar ranges showing the number of individuals within each range.</w:t>
      </w:r>
    </w:p>
    <w:p w:rsidR="00B97294" w:rsidRPr="00B97294" w:rsidRDefault="00B97294" w:rsidP="00B97294">
      <w:pPr>
        <w:pStyle w:val="Heading2"/>
      </w:pPr>
      <w:r>
        <w:t>Table A and Table B</w:t>
      </w:r>
    </w:p>
    <w:p w:rsidR="003D4B7A" w:rsidRDefault="003D4B7A" w:rsidP="00B97294">
      <w:pPr>
        <w:pStyle w:val="Heading3"/>
      </w:pPr>
      <w:r w:rsidRPr="00102725">
        <w:t>Key requirements/definitions</w:t>
      </w:r>
      <w:r w:rsidR="00B97294">
        <w:t>:</w:t>
      </w:r>
    </w:p>
    <w:p w:rsidR="003D4B7A" w:rsidRPr="00102725" w:rsidRDefault="003D4B7A" w:rsidP="003D4B7A">
      <w:pPr>
        <w:jc w:val="both"/>
        <w:rPr>
          <w:color w:val="000000" w:themeColor="text1"/>
        </w:rPr>
      </w:pPr>
      <w:r w:rsidRPr="00102725">
        <w:rPr>
          <w:color w:val="000000" w:themeColor="text1"/>
        </w:rPr>
        <w:t>The ‘</w:t>
      </w:r>
      <w:r w:rsidRPr="00102725">
        <w:rPr>
          <w:rStyle w:val="Heading5Char"/>
        </w:rPr>
        <w:t>reportable salary</w:t>
      </w:r>
      <w:r w:rsidRPr="00102725">
        <w:rPr>
          <w:color w:val="000000" w:themeColor="text1"/>
        </w:rPr>
        <w:t>’ column is prepared on a cash basis using reportable salary as defined as the sum of:</w:t>
      </w:r>
    </w:p>
    <w:p w:rsidR="003D4B7A" w:rsidRPr="00102725" w:rsidRDefault="003D4B7A" w:rsidP="003D4B7A">
      <w:pPr>
        <w:pStyle w:val="ListParagraph"/>
        <w:numPr>
          <w:ilvl w:val="0"/>
          <w:numId w:val="25"/>
        </w:numPr>
        <w:jc w:val="both"/>
        <w:rPr>
          <w:color w:val="000000" w:themeColor="text1"/>
        </w:rPr>
      </w:pPr>
      <w:r w:rsidRPr="00102725">
        <w:rPr>
          <w:color w:val="000000" w:themeColor="text1"/>
        </w:rPr>
        <w:t>gross payments (excluding bonuses);</w:t>
      </w:r>
    </w:p>
    <w:p w:rsidR="003D4B7A" w:rsidRPr="00102725" w:rsidRDefault="003D4B7A" w:rsidP="003D4B7A">
      <w:pPr>
        <w:pStyle w:val="ListParagraph"/>
        <w:numPr>
          <w:ilvl w:val="0"/>
          <w:numId w:val="25"/>
        </w:numPr>
        <w:jc w:val="both"/>
        <w:rPr>
          <w:color w:val="000000" w:themeColor="text1"/>
        </w:rPr>
      </w:pPr>
      <w:r w:rsidRPr="00102725">
        <w:rPr>
          <w:color w:val="000000" w:themeColor="text1"/>
        </w:rPr>
        <w:t xml:space="preserve">reportable fringe benefits (net amount); </w:t>
      </w:r>
    </w:p>
    <w:p w:rsidR="003D4B7A" w:rsidRPr="00E20256" w:rsidRDefault="003D4B7A" w:rsidP="003D4B7A">
      <w:pPr>
        <w:pStyle w:val="ListParagraph"/>
        <w:numPr>
          <w:ilvl w:val="0"/>
          <w:numId w:val="25"/>
        </w:numPr>
        <w:jc w:val="both"/>
        <w:rPr>
          <w:color w:val="000000" w:themeColor="text1"/>
        </w:rPr>
      </w:pPr>
      <w:r w:rsidRPr="00102725">
        <w:rPr>
          <w:color w:val="000000" w:themeColor="text1"/>
        </w:rPr>
        <w:t>reportable employer superannuation</w:t>
      </w:r>
      <w:r>
        <w:rPr>
          <w:color w:val="000000" w:themeColor="text1"/>
        </w:rPr>
        <w:t xml:space="preserve"> </w:t>
      </w:r>
      <w:r w:rsidRPr="00E20256">
        <w:rPr>
          <w:color w:val="000000" w:themeColor="text1"/>
        </w:rPr>
        <w:t>contributions; and</w:t>
      </w:r>
    </w:p>
    <w:p w:rsidR="003D4B7A" w:rsidRPr="00102725" w:rsidRDefault="003D4B7A" w:rsidP="003D4B7A">
      <w:pPr>
        <w:pStyle w:val="ListParagraph"/>
        <w:numPr>
          <w:ilvl w:val="0"/>
          <w:numId w:val="25"/>
        </w:numPr>
        <w:jc w:val="both"/>
        <w:rPr>
          <w:color w:val="000000" w:themeColor="text1"/>
        </w:rPr>
      </w:pPr>
      <w:r w:rsidRPr="00102725">
        <w:rPr>
          <w:color w:val="000000" w:themeColor="text1"/>
        </w:rPr>
        <w:t>e</w:t>
      </w:r>
      <w:r w:rsidR="00C35DC1">
        <w:rPr>
          <w:color w:val="000000" w:themeColor="text1"/>
        </w:rPr>
        <w:t>xempt foreign employment income</w:t>
      </w:r>
    </w:p>
    <w:p w:rsidR="003D4B7A" w:rsidRPr="00102725" w:rsidRDefault="003D4B7A" w:rsidP="003D4B7A">
      <w:pPr>
        <w:jc w:val="both"/>
        <w:rPr>
          <w:color w:val="000000" w:themeColor="text1"/>
        </w:rPr>
      </w:pPr>
      <w:r w:rsidRPr="00102725">
        <w:rPr>
          <w:color w:val="000000" w:themeColor="text1"/>
        </w:rPr>
        <w:t>as reported in an individual’s payment summary.</w:t>
      </w:r>
    </w:p>
    <w:p w:rsidR="003D4B7A" w:rsidRPr="00102725" w:rsidRDefault="003D4B7A" w:rsidP="003D4B7A">
      <w:pPr>
        <w:jc w:val="both"/>
        <w:rPr>
          <w:color w:val="000000" w:themeColor="text1"/>
        </w:rPr>
      </w:pPr>
      <w:r w:rsidRPr="00102725">
        <w:rPr>
          <w:color w:val="000000" w:themeColor="text1"/>
        </w:rPr>
        <w:t>The ‘</w:t>
      </w:r>
      <w:r w:rsidRPr="00102725">
        <w:rPr>
          <w:rStyle w:val="Heading5Char"/>
        </w:rPr>
        <w:t>contributed superannuation</w:t>
      </w:r>
      <w:r w:rsidRPr="00102725">
        <w:rPr>
          <w:color w:val="000000" w:themeColor="text1"/>
        </w:rPr>
        <w:t>’ column is prepared on a cash basis using contributed superannuation as defined as follows:</w:t>
      </w:r>
    </w:p>
    <w:p w:rsidR="003D4B7A" w:rsidRPr="00102725" w:rsidRDefault="003D4B7A" w:rsidP="003D4B7A">
      <w:pPr>
        <w:pStyle w:val="ListParagraph"/>
        <w:numPr>
          <w:ilvl w:val="0"/>
          <w:numId w:val="26"/>
        </w:numPr>
        <w:jc w:val="both"/>
        <w:rPr>
          <w:color w:val="000000" w:themeColor="text1"/>
        </w:rPr>
      </w:pPr>
      <w:r w:rsidRPr="00102725">
        <w:rPr>
          <w:color w:val="000000" w:themeColor="text1"/>
        </w:rPr>
        <w:t xml:space="preserve">For individuals that are in a defined contribution scheme (e.g., PSSap), “Contributed superannuation” </w:t>
      </w:r>
      <w:r>
        <w:rPr>
          <w:color w:val="000000" w:themeColor="text1"/>
        </w:rPr>
        <w:t>is</w:t>
      </w:r>
      <w:r w:rsidRPr="00102725">
        <w:rPr>
          <w:color w:val="000000" w:themeColor="text1"/>
        </w:rPr>
        <w:t xml:space="preserve"> the defined contribution amounts; or</w:t>
      </w:r>
    </w:p>
    <w:p w:rsidR="003D4B7A" w:rsidRPr="00102725" w:rsidRDefault="003D4B7A" w:rsidP="003D4B7A">
      <w:pPr>
        <w:pStyle w:val="ListParagraph"/>
        <w:numPr>
          <w:ilvl w:val="0"/>
          <w:numId w:val="26"/>
        </w:numPr>
        <w:jc w:val="both"/>
        <w:rPr>
          <w:color w:val="000000" w:themeColor="text1"/>
        </w:rPr>
      </w:pPr>
      <w:r w:rsidRPr="00102725">
        <w:rPr>
          <w:color w:val="000000" w:themeColor="text1"/>
        </w:rPr>
        <w:t xml:space="preserve">For individuals that are in a defined benefit scheme (e.g., PSS and CSS), ‘contributed superannuation’ </w:t>
      </w:r>
      <w:r>
        <w:rPr>
          <w:color w:val="000000" w:themeColor="text1"/>
        </w:rPr>
        <w:t>includes</w:t>
      </w:r>
      <w:r w:rsidRPr="00102725">
        <w:rPr>
          <w:color w:val="000000" w:themeColor="text1"/>
        </w:rPr>
        <w:t xml:space="preserve"> the Notional Employer Contribution Rate (NECR) amount, Employer Productivity Superannuation Contribution (also known as the Productivity Component) and any Additional Lump Sum Contribution paid during the reporting period.</w:t>
      </w:r>
    </w:p>
    <w:p w:rsidR="003D4B7A" w:rsidRDefault="003D4B7A" w:rsidP="003D4B7A">
      <w:pPr>
        <w:jc w:val="both"/>
      </w:pPr>
      <w:r w:rsidRPr="00102725">
        <w:rPr>
          <w:color w:val="000000" w:themeColor="text1"/>
        </w:rPr>
        <w:t>The ‘</w:t>
      </w:r>
      <w:r w:rsidRPr="00102725">
        <w:rPr>
          <w:rStyle w:val="Heading5Char"/>
        </w:rPr>
        <w:t>reportable allowances</w:t>
      </w:r>
      <w:r w:rsidRPr="00102725">
        <w:rPr>
          <w:color w:val="000000" w:themeColor="text1"/>
        </w:rPr>
        <w:t>’ column is prepared on a cash basis using reportable allowances as is equal to the ‘total allowances’ figure as reported in an individual’s payment summary. Reportable allowances excludes any allowances already reported in the gross payments line in the payment summary.</w:t>
      </w:r>
    </w:p>
    <w:p w:rsidR="003D4B7A" w:rsidRPr="00102725" w:rsidRDefault="003D4B7A" w:rsidP="003D4B7A">
      <w:pPr>
        <w:jc w:val="both"/>
      </w:pPr>
      <w:r w:rsidRPr="00102725">
        <w:t>The ‘</w:t>
      </w:r>
      <w:r w:rsidRPr="00102725">
        <w:rPr>
          <w:rStyle w:val="Heading5Char"/>
        </w:rPr>
        <w:t>bonus paid</w:t>
      </w:r>
      <w:r w:rsidRPr="00102725">
        <w:t>’ column is prepared on a cash basis-using bonus paid as is equal to the actual bonus paid to individuals during the reporting period and is a component of gross payments reported on the payment summary.</w:t>
      </w:r>
    </w:p>
    <w:p w:rsidR="003D4B7A" w:rsidRPr="001B6AA5" w:rsidRDefault="003D4B7A" w:rsidP="00363E09">
      <w:pPr>
        <w:jc w:val="both"/>
      </w:pPr>
    </w:p>
    <w:p w:rsidR="001B6AA5" w:rsidRPr="0045080F" w:rsidRDefault="001B6AA5" w:rsidP="00363E09">
      <w:pPr>
        <w:jc w:val="both"/>
        <w:sectPr w:rsidR="001B6AA5" w:rsidRPr="0045080F" w:rsidSect="002625A9">
          <w:footerReference w:type="default" r:id="rId9"/>
          <w:headerReference w:type="first" r:id="rId10"/>
          <w:pgSz w:w="11906" w:h="16838"/>
          <w:pgMar w:top="1276" w:right="1440" w:bottom="851" w:left="1440" w:header="708" w:footer="708" w:gutter="0"/>
          <w:cols w:space="708"/>
          <w:titlePg/>
          <w:docGrid w:linePitch="360"/>
        </w:sectPr>
      </w:pPr>
    </w:p>
    <w:p w:rsidR="00EE222A" w:rsidRDefault="00EE222A" w:rsidP="00EE222A">
      <w:pPr>
        <w:pStyle w:val="Heading2"/>
      </w:pPr>
      <w:r>
        <w:t>Table A</w:t>
      </w:r>
    </w:p>
    <w:p w:rsidR="0066054A" w:rsidRPr="0066054A" w:rsidRDefault="004C195D" w:rsidP="00EE222A">
      <w:pPr>
        <w:pStyle w:val="Heading3"/>
      </w:pPr>
      <w:r w:rsidRPr="004C195D">
        <w:t>Average annual reportable remuneration paid to executives during the reporting period</w:t>
      </w:r>
    </w:p>
    <w:tbl>
      <w:tblPr>
        <w:tblStyle w:val="ListTable3-Accent3"/>
        <w:tblW w:w="13867" w:type="dxa"/>
        <w:tblLayout w:type="fixed"/>
        <w:tblLook w:val="04A0" w:firstRow="1" w:lastRow="0" w:firstColumn="1" w:lastColumn="0" w:noHBand="0" w:noVBand="1"/>
        <w:tblCaption w:val="Table A"/>
        <w:tblDescription w:val="This table provides the average annual reportable remuneration paid to executives during the reporting period"/>
      </w:tblPr>
      <w:tblGrid>
        <w:gridCol w:w="2391"/>
        <w:gridCol w:w="1290"/>
        <w:gridCol w:w="2268"/>
        <w:gridCol w:w="1896"/>
        <w:gridCol w:w="1848"/>
        <w:gridCol w:w="1814"/>
        <w:gridCol w:w="2360"/>
      </w:tblGrid>
      <w:tr w:rsidR="004918CD" w:rsidRPr="004918CD" w:rsidTr="00EE222A">
        <w:trPr>
          <w:cnfStyle w:val="100000000000" w:firstRow="1" w:lastRow="0" w:firstColumn="0" w:lastColumn="0" w:oddVBand="0" w:evenVBand="0" w:oddHBand="0" w:evenHBand="0" w:firstRowFirstColumn="0" w:firstRowLastColumn="0" w:lastRowFirstColumn="0" w:lastRowLastColumn="0"/>
          <w:trHeight w:val="871"/>
          <w:tblHeader/>
        </w:trPr>
        <w:tc>
          <w:tcPr>
            <w:cnfStyle w:val="001000000100" w:firstRow="0" w:lastRow="0" w:firstColumn="1" w:lastColumn="0" w:oddVBand="0" w:evenVBand="0" w:oddHBand="0" w:evenHBand="0" w:firstRowFirstColumn="1" w:firstRowLastColumn="0" w:lastRowFirstColumn="0" w:lastRowLastColumn="0"/>
            <w:tcW w:w="2391" w:type="dxa"/>
            <w:noWrap/>
            <w:vAlign w:val="center"/>
            <w:hideMark/>
          </w:tcPr>
          <w:p w:rsidR="004918CD" w:rsidRPr="004918CD" w:rsidRDefault="004918CD" w:rsidP="0066054A">
            <w:pPr>
              <w:spacing w:before="0" w:after="0"/>
              <w:rPr>
                <w:rFonts w:cs="Arial"/>
              </w:rPr>
            </w:pPr>
            <w:r w:rsidRPr="004918CD">
              <w:rPr>
                <w:rFonts w:cs="Arial"/>
              </w:rPr>
              <w:t xml:space="preserve">Remuneration </w:t>
            </w:r>
            <w:r w:rsidR="0066054A">
              <w:rPr>
                <w:rFonts w:cs="Arial"/>
              </w:rPr>
              <w:t>R</w:t>
            </w:r>
            <w:r w:rsidRPr="004918CD">
              <w:rPr>
                <w:rFonts w:cs="Arial"/>
              </w:rPr>
              <w:t>ange</w:t>
            </w:r>
          </w:p>
        </w:tc>
        <w:tc>
          <w:tcPr>
            <w:tcW w:w="1290" w:type="dxa"/>
            <w:noWrap/>
            <w:vAlign w:val="center"/>
            <w:hideMark/>
          </w:tcPr>
          <w:p w:rsidR="004918CD" w:rsidRPr="004918CD" w:rsidRDefault="004918CD" w:rsidP="0066054A">
            <w:pPr>
              <w:spacing w:before="0" w:after="0"/>
              <w:jc w:val="center"/>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Exe</w:t>
            </w:r>
            <w:r>
              <w:rPr>
                <w:rFonts w:cs="Arial"/>
              </w:rPr>
              <w:t>c</w:t>
            </w:r>
            <w:r w:rsidR="0053002B">
              <w:rPr>
                <w:rFonts w:cs="Arial"/>
              </w:rPr>
              <w:t>utive</w:t>
            </w:r>
          </w:p>
        </w:tc>
        <w:tc>
          <w:tcPr>
            <w:tcW w:w="2268" w:type="dxa"/>
            <w:noWrap/>
            <w:vAlign w:val="bottom"/>
            <w:hideMark/>
          </w:tcPr>
          <w:p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Average Reportable Salary</w:t>
            </w:r>
          </w:p>
        </w:tc>
        <w:tc>
          <w:tcPr>
            <w:tcW w:w="1896" w:type="dxa"/>
            <w:noWrap/>
            <w:vAlign w:val="bottom"/>
            <w:hideMark/>
          </w:tcPr>
          <w:p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 xml:space="preserve">Average </w:t>
            </w:r>
            <w:r w:rsidR="0045080F">
              <w:rPr>
                <w:rFonts w:cs="Arial"/>
              </w:rPr>
              <w:t xml:space="preserve">Contributed </w:t>
            </w:r>
            <w:r w:rsidR="0066054A">
              <w:rPr>
                <w:rFonts w:cs="Arial"/>
              </w:rPr>
              <w:t>Superannuation</w:t>
            </w:r>
          </w:p>
        </w:tc>
        <w:tc>
          <w:tcPr>
            <w:tcW w:w="1848" w:type="dxa"/>
            <w:noWrap/>
            <w:vAlign w:val="bottom"/>
            <w:hideMark/>
          </w:tcPr>
          <w:p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Average</w:t>
            </w:r>
            <w:r w:rsidR="002758F2">
              <w:rPr>
                <w:rFonts w:cs="Arial"/>
              </w:rPr>
              <w:t xml:space="preserve"> Reportable</w:t>
            </w:r>
            <w:r w:rsidRPr="004918CD">
              <w:rPr>
                <w:rFonts w:cs="Arial"/>
              </w:rPr>
              <w:t xml:space="preserve"> Allowances</w:t>
            </w:r>
          </w:p>
        </w:tc>
        <w:tc>
          <w:tcPr>
            <w:tcW w:w="1814" w:type="dxa"/>
            <w:noWrap/>
            <w:vAlign w:val="bottom"/>
            <w:hideMark/>
          </w:tcPr>
          <w:p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Average Bonus Paid</w:t>
            </w:r>
          </w:p>
        </w:tc>
        <w:tc>
          <w:tcPr>
            <w:tcW w:w="2360" w:type="dxa"/>
            <w:noWrap/>
            <w:vAlign w:val="bottom"/>
            <w:hideMark/>
          </w:tcPr>
          <w:p w:rsidR="004918CD"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Pr>
                <w:rFonts w:cs="Arial"/>
              </w:rPr>
              <w:t>Average</w:t>
            </w:r>
          </w:p>
          <w:p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Total Remuneration</w:t>
            </w:r>
          </w:p>
        </w:tc>
      </w:tr>
      <w:tr w:rsidR="004918CD" w:rsidRPr="004918CD" w:rsidTr="002758F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391" w:type="dxa"/>
            <w:shd w:val="clear" w:color="auto" w:fill="61C6C6" w:themeFill="accent4"/>
            <w:noWrap/>
            <w:vAlign w:val="center"/>
          </w:tcPr>
          <w:p w:rsidR="004918CD" w:rsidRPr="0066054A" w:rsidRDefault="004918CD" w:rsidP="0053002B">
            <w:pPr>
              <w:spacing w:before="0" w:after="0"/>
              <w:jc w:val="right"/>
              <w:rPr>
                <w:rFonts w:cs="Arial"/>
                <w:b w:val="0"/>
              </w:rPr>
            </w:pPr>
          </w:p>
        </w:tc>
        <w:tc>
          <w:tcPr>
            <w:tcW w:w="1290" w:type="dxa"/>
            <w:shd w:val="clear" w:color="auto" w:fill="61C6C6" w:themeFill="accent4"/>
            <w:noWrap/>
            <w:vAlign w:val="center"/>
          </w:tcPr>
          <w:p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rPr>
              <w:t>No.</w:t>
            </w:r>
          </w:p>
        </w:tc>
        <w:tc>
          <w:tcPr>
            <w:tcW w:w="2268" w:type="dxa"/>
            <w:shd w:val="clear" w:color="auto" w:fill="61C6C6" w:themeFill="accent4"/>
            <w:noWrap/>
            <w:vAlign w:val="center"/>
          </w:tcPr>
          <w:p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c>
          <w:tcPr>
            <w:tcW w:w="1896" w:type="dxa"/>
            <w:shd w:val="clear" w:color="auto" w:fill="61C6C6" w:themeFill="accent4"/>
            <w:noWrap/>
            <w:vAlign w:val="center"/>
          </w:tcPr>
          <w:p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c>
          <w:tcPr>
            <w:tcW w:w="1848" w:type="dxa"/>
            <w:shd w:val="clear" w:color="auto" w:fill="61C6C6" w:themeFill="accent4"/>
            <w:noWrap/>
            <w:vAlign w:val="center"/>
          </w:tcPr>
          <w:p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c>
          <w:tcPr>
            <w:tcW w:w="1814" w:type="dxa"/>
            <w:shd w:val="clear" w:color="auto" w:fill="61C6C6" w:themeFill="accent4"/>
            <w:noWrap/>
            <w:vAlign w:val="center"/>
          </w:tcPr>
          <w:p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c>
          <w:tcPr>
            <w:tcW w:w="2360" w:type="dxa"/>
            <w:shd w:val="clear" w:color="auto" w:fill="61C6C6" w:themeFill="accent4"/>
            <w:noWrap/>
            <w:vAlign w:val="center"/>
          </w:tcPr>
          <w:p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r>
      <w:tr w:rsidR="0066054A" w:rsidRPr="004918CD" w:rsidTr="00B97294">
        <w:trPr>
          <w:trHeight w:val="478"/>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$200,001 to $225,000</w:t>
            </w:r>
          </w:p>
        </w:tc>
        <w:tc>
          <w:tcPr>
            <w:tcW w:w="129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3</w:t>
            </w:r>
          </w:p>
        </w:tc>
        <w:tc>
          <w:tcPr>
            <w:tcW w:w="226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189,632 </w:t>
            </w:r>
          </w:p>
        </w:tc>
        <w:tc>
          <w:tcPr>
            <w:tcW w:w="1896"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26,271 </w:t>
            </w:r>
          </w:p>
        </w:tc>
        <w:tc>
          <w:tcPr>
            <w:tcW w:w="184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1814"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236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215,903 </w:t>
            </w:r>
          </w:p>
        </w:tc>
      </w:tr>
      <w:tr w:rsidR="0066054A" w:rsidRPr="004918CD" w:rsidTr="00B97294">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$225,001 to $250,000</w:t>
            </w:r>
          </w:p>
        </w:tc>
        <w:tc>
          <w:tcPr>
            <w:tcW w:w="1290"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17</w:t>
            </w:r>
          </w:p>
        </w:tc>
        <w:tc>
          <w:tcPr>
            <w:tcW w:w="2268"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  203,565 </w:t>
            </w:r>
          </w:p>
        </w:tc>
        <w:tc>
          <w:tcPr>
            <w:tcW w:w="1896"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34,415 </w:t>
            </w:r>
          </w:p>
        </w:tc>
        <w:tc>
          <w:tcPr>
            <w:tcW w:w="1848"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169 </w:t>
            </w:r>
          </w:p>
        </w:tc>
        <w:tc>
          <w:tcPr>
            <w:tcW w:w="1814"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294 </w:t>
            </w:r>
          </w:p>
        </w:tc>
        <w:tc>
          <w:tcPr>
            <w:tcW w:w="2360"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238,444 </w:t>
            </w:r>
          </w:p>
        </w:tc>
      </w:tr>
      <w:tr w:rsidR="0066054A" w:rsidRPr="004918CD" w:rsidTr="00B97294">
        <w:trPr>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$250,001 to $275,000</w:t>
            </w:r>
          </w:p>
        </w:tc>
        <w:tc>
          <w:tcPr>
            <w:tcW w:w="129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24</w:t>
            </w:r>
          </w:p>
        </w:tc>
        <w:tc>
          <w:tcPr>
            <w:tcW w:w="226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221,590 </w:t>
            </w:r>
          </w:p>
        </w:tc>
        <w:tc>
          <w:tcPr>
            <w:tcW w:w="1896"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38,339 </w:t>
            </w:r>
          </w:p>
        </w:tc>
        <w:tc>
          <w:tcPr>
            <w:tcW w:w="184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1814"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833 </w:t>
            </w:r>
          </w:p>
        </w:tc>
        <w:tc>
          <w:tcPr>
            <w:tcW w:w="236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260,762 </w:t>
            </w:r>
          </w:p>
        </w:tc>
      </w:tr>
      <w:tr w:rsidR="0066054A" w:rsidRPr="004918CD" w:rsidTr="00B97294">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$275,001 to $300,000</w:t>
            </w:r>
          </w:p>
        </w:tc>
        <w:tc>
          <w:tcPr>
            <w:tcW w:w="1290"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8</w:t>
            </w:r>
          </w:p>
        </w:tc>
        <w:tc>
          <w:tcPr>
            <w:tcW w:w="2268"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250,033 </w:t>
            </w:r>
          </w:p>
        </w:tc>
        <w:tc>
          <w:tcPr>
            <w:tcW w:w="1896"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41,512 </w:t>
            </w:r>
          </w:p>
        </w:tc>
        <w:tc>
          <w:tcPr>
            <w:tcW w:w="1848"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60 </w:t>
            </w:r>
          </w:p>
        </w:tc>
        <w:tc>
          <w:tcPr>
            <w:tcW w:w="1814"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   </w:t>
            </w:r>
          </w:p>
        </w:tc>
        <w:tc>
          <w:tcPr>
            <w:tcW w:w="2360"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291,605 </w:t>
            </w:r>
          </w:p>
        </w:tc>
      </w:tr>
      <w:tr w:rsidR="0066054A" w:rsidRPr="004918CD" w:rsidTr="00B97294">
        <w:trPr>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$300,001 to $325,000</w:t>
            </w:r>
          </w:p>
        </w:tc>
        <w:tc>
          <w:tcPr>
            <w:tcW w:w="129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6</w:t>
            </w:r>
          </w:p>
        </w:tc>
        <w:tc>
          <w:tcPr>
            <w:tcW w:w="226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268,799 </w:t>
            </w:r>
          </w:p>
        </w:tc>
        <w:tc>
          <w:tcPr>
            <w:tcW w:w="1896"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42,682 </w:t>
            </w:r>
          </w:p>
        </w:tc>
        <w:tc>
          <w:tcPr>
            <w:tcW w:w="184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90 </w:t>
            </w:r>
          </w:p>
        </w:tc>
        <w:tc>
          <w:tcPr>
            <w:tcW w:w="1814"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236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311,571 </w:t>
            </w:r>
          </w:p>
        </w:tc>
      </w:tr>
      <w:tr w:rsidR="0066054A" w:rsidRPr="004918CD" w:rsidTr="00B97294">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$325,001 to $350,000</w:t>
            </w:r>
          </w:p>
        </w:tc>
        <w:tc>
          <w:tcPr>
            <w:tcW w:w="1290"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3</w:t>
            </w:r>
          </w:p>
        </w:tc>
        <w:tc>
          <w:tcPr>
            <w:tcW w:w="2268"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282,735 </w:t>
            </w:r>
          </w:p>
        </w:tc>
        <w:tc>
          <w:tcPr>
            <w:tcW w:w="1896"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48,475 </w:t>
            </w:r>
          </w:p>
        </w:tc>
        <w:tc>
          <w:tcPr>
            <w:tcW w:w="1848"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4,400 </w:t>
            </w:r>
          </w:p>
        </w:tc>
        <w:tc>
          <w:tcPr>
            <w:tcW w:w="1814"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   </w:t>
            </w:r>
          </w:p>
        </w:tc>
        <w:tc>
          <w:tcPr>
            <w:tcW w:w="2360" w:type="dxa"/>
            <w:noWrap/>
            <w:vAlign w:val="center"/>
            <w:hideMark/>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4918CD">
              <w:rPr>
                <w:rFonts w:cs="Arial"/>
              </w:rPr>
              <w:t xml:space="preserve">335,610 </w:t>
            </w:r>
          </w:p>
        </w:tc>
      </w:tr>
      <w:tr w:rsidR="0066054A" w:rsidRPr="004918CD" w:rsidTr="00B97294">
        <w:trPr>
          <w:trHeight w:val="6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$350,001 to $375,000</w:t>
            </w:r>
          </w:p>
        </w:tc>
        <w:tc>
          <w:tcPr>
            <w:tcW w:w="129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2</w:t>
            </w:r>
          </w:p>
        </w:tc>
        <w:tc>
          <w:tcPr>
            <w:tcW w:w="226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313,456 </w:t>
            </w:r>
          </w:p>
        </w:tc>
        <w:tc>
          <w:tcPr>
            <w:tcW w:w="1896"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48,963 </w:t>
            </w:r>
          </w:p>
        </w:tc>
        <w:tc>
          <w:tcPr>
            <w:tcW w:w="184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223 </w:t>
            </w:r>
          </w:p>
        </w:tc>
        <w:tc>
          <w:tcPr>
            <w:tcW w:w="1814"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236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362,642 </w:t>
            </w:r>
          </w:p>
        </w:tc>
      </w:tr>
      <w:tr w:rsidR="004918CD" w:rsidRPr="004918CD" w:rsidTr="00B97294">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rsidR="004918CD" w:rsidRPr="004918CD" w:rsidRDefault="004918CD" w:rsidP="00B97294">
            <w:pPr>
              <w:spacing w:before="0" w:after="0"/>
              <w:rPr>
                <w:rFonts w:cs="Arial"/>
                <w:b w:val="0"/>
              </w:rPr>
            </w:pPr>
            <w:r w:rsidRPr="004918CD">
              <w:rPr>
                <w:rFonts w:cs="Arial"/>
                <w:b w:val="0"/>
              </w:rPr>
              <w:t>……..</w:t>
            </w:r>
          </w:p>
        </w:tc>
        <w:tc>
          <w:tcPr>
            <w:tcW w:w="1290" w:type="dxa"/>
            <w:noWrap/>
            <w:vAlign w:val="center"/>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2268" w:type="dxa"/>
            <w:noWrap/>
            <w:vAlign w:val="center"/>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96" w:type="dxa"/>
            <w:noWrap/>
            <w:vAlign w:val="center"/>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48" w:type="dxa"/>
            <w:noWrap/>
            <w:vAlign w:val="center"/>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14" w:type="dxa"/>
            <w:noWrap/>
            <w:vAlign w:val="center"/>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2360" w:type="dxa"/>
            <w:noWrap/>
            <w:vAlign w:val="center"/>
          </w:tcPr>
          <w:p w:rsidR="004918CD" w:rsidRPr="004918CD"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r>
      <w:tr w:rsidR="0066054A" w:rsidRPr="004918CD" w:rsidTr="00B97294">
        <w:trPr>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$400,001 to $425,000</w:t>
            </w:r>
          </w:p>
        </w:tc>
        <w:tc>
          <w:tcPr>
            <w:tcW w:w="129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1</w:t>
            </w:r>
          </w:p>
        </w:tc>
        <w:tc>
          <w:tcPr>
            <w:tcW w:w="226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348,841 </w:t>
            </w:r>
          </w:p>
        </w:tc>
        <w:tc>
          <w:tcPr>
            <w:tcW w:w="1896"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63,108 </w:t>
            </w:r>
          </w:p>
        </w:tc>
        <w:tc>
          <w:tcPr>
            <w:tcW w:w="184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1814"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236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411,949 </w:t>
            </w:r>
          </w:p>
        </w:tc>
      </w:tr>
      <w:tr w:rsidR="0053002B" w:rsidRPr="004918CD" w:rsidTr="00B97294">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rsidR="0053002B" w:rsidRPr="004918CD" w:rsidRDefault="0053002B" w:rsidP="00B97294">
            <w:pPr>
              <w:spacing w:before="0" w:after="0"/>
              <w:rPr>
                <w:rFonts w:cs="Arial"/>
              </w:rPr>
            </w:pPr>
            <w:r w:rsidRPr="004918CD">
              <w:rPr>
                <w:rFonts w:cs="Arial"/>
                <w:b w:val="0"/>
              </w:rPr>
              <w:t>……..</w:t>
            </w:r>
          </w:p>
        </w:tc>
        <w:tc>
          <w:tcPr>
            <w:tcW w:w="1290"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2268"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96"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48"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14"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2360"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r>
      <w:tr w:rsidR="0066054A" w:rsidRPr="004918CD" w:rsidTr="00B97294">
        <w:trPr>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$450,001 to $475,000</w:t>
            </w:r>
          </w:p>
        </w:tc>
        <w:tc>
          <w:tcPr>
            <w:tcW w:w="129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1</w:t>
            </w:r>
          </w:p>
        </w:tc>
        <w:tc>
          <w:tcPr>
            <w:tcW w:w="226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414,497 </w:t>
            </w:r>
          </w:p>
        </w:tc>
        <w:tc>
          <w:tcPr>
            <w:tcW w:w="1896"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50,507 </w:t>
            </w:r>
          </w:p>
        </w:tc>
        <w:tc>
          <w:tcPr>
            <w:tcW w:w="184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1814"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236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465,004 </w:t>
            </w:r>
          </w:p>
        </w:tc>
      </w:tr>
      <w:tr w:rsidR="0053002B" w:rsidRPr="004918CD" w:rsidTr="00B97294">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rsidR="0053002B" w:rsidRPr="004918CD" w:rsidRDefault="0053002B" w:rsidP="00B97294">
            <w:pPr>
              <w:spacing w:before="0" w:after="0"/>
              <w:rPr>
                <w:rFonts w:cs="Arial"/>
              </w:rPr>
            </w:pPr>
            <w:r w:rsidRPr="004918CD">
              <w:rPr>
                <w:rFonts w:cs="Arial"/>
                <w:b w:val="0"/>
              </w:rPr>
              <w:t>……..</w:t>
            </w:r>
          </w:p>
        </w:tc>
        <w:tc>
          <w:tcPr>
            <w:tcW w:w="1290"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2268"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96"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48"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14"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2360" w:type="dxa"/>
            <w:noWrap/>
            <w:vAlign w:val="center"/>
          </w:tcPr>
          <w:p w:rsidR="0053002B" w:rsidRPr="004918CD" w:rsidRDefault="0053002B"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r>
      <w:tr w:rsidR="0066054A" w:rsidRPr="004918CD" w:rsidTr="00B97294">
        <w:trPr>
          <w:trHeight w:val="64"/>
        </w:trPr>
        <w:tc>
          <w:tcPr>
            <w:cnfStyle w:val="001000000000" w:firstRow="0" w:lastRow="0" w:firstColumn="1" w:lastColumn="0" w:oddVBand="0" w:evenVBand="0" w:oddHBand="0" w:evenHBand="0" w:firstRowFirstColumn="0" w:firstRowLastColumn="0" w:lastRowFirstColumn="0" w:lastRowLastColumn="0"/>
            <w:tcW w:w="2391" w:type="dxa"/>
            <w:noWrap/>
            <w:vAlign w:val="center"/>
            <w:hideMark/>
          </w:tcPr>
          <w:p w:rsidR="004918CD" w:rsidRPr="004918CD" w:rsidRDefault="004918CD" w:rsidP="00B97294">
            <w:pPr>
              <w:spacing w:before="0" w:after="0"/>
              <w:rPr>
                <w:rFonts w:cs="Arial"/>
                <w:b w:val="0"/>
              </w:rPr>
            </w:pPr>
            <w:r w:rsidRPr="004918CD">
              <w:rPr>
                <w:rFonts w:cs="Arial"/>
                <w:b w:val="0"/>
              </w:rPr>
              <w:t>$725,001 to $750,000</w:t>
            </w:r>
          </w:p>
        </w:tc>
        <w:tc>
          <w:tcPr>
            <w:tcW w:w="129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1</w:t>
            </w:r>
          </w:p>
        </w:tc>
        <w:tc>
          <w:tcPr>
            <w:tcW w:w="226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646,724 </w:t>
            </w:r>
          </w:p>
        </w:tc>
        <w:tc>
          <w:tcPr>
            <w:tcW w:w="1896"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93,147 </w:t>
            </w:r>
          </w:p>
        </w:tc>
        <w:tc>
          <w:tcPr>
            <w:tcW w:w="1848"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1814"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   </w:t>
            </w:r>
          </w:p>
        </w:tc>
        <w:tc>
          <w:tcPr>
            <w:tcW w:w="2360" w:type="dxa"/>
            <w:noWrap/>
            <w:vAlign w:val="center"/>
            <w:hideMark/>
          </w:tcPr>
          <w:p w:rsidR="004918CD" w:rsidRPr="004918CD" w:rsidRDefault="004918CD"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4918CD">
              <w:rPr>
                <w:rFonts w:cs="Arial"/>
              </w:rPr>
              <w:t xml:space="preserve">739,872 </w:t>
            </w:r>
          </w:p>
        </w:tc>
      </w:tr>
      <w:tr w:rsidR="00B97294" w:rsidRPr="004918CD" w:rsidTr="001D2D5A">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shd w:val="clear" w:color="auto" w:fill="61C6C6" w:themeFill="accent4"/>
            <w:noWrap/>
            <w:vAlign w:val="center"/>
            <w:hideMark/>
          </w:tcPr>
          <w:p w:rsidR="00B97294" w:rsidRPr="004918CD" w:rsidRDefault="00B97294" w:rsidP="0053002B">
            <w:pPr>
              <w:spacing w:before="0" w:after="0"/>
              <w:jc w:val="right"/>
              <w:rPr>
                <w:rFonts w:cs="Arial"/>
              </w:rPr>
            </w:pPr>
            <w:r w:rsidRPr="004918CD">
              <w:rPr>
                <w:rFonts w:cs="Arial"/>
                <w:b w:val="0"/>
              </w:rPr>
              <w:t>Total Number of Executives</w:t>
            </w:r>
          </w:p>
        </w:tc>
        <w:tc>
          <w:tcPr>
            <w:tcW w:w="1290" w:type="dxa"/>
            <w:shd w:val="clear" w:color="auto" w:fill="61C6C6" w:themeFill="accent4"/>
            <w:noWrap/>
            <w:vAlign w:val="center"/>
            <w:hideMark/>
          </w:tcPr>
          <w:p w:rsidR="00B97294" w:rsidRPr="0066054A" w:rsidRDefault="00B97294"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bCs/>
              </w:rPr>
            </w:pPr>
            <w:r w:rsidRPr="0066054A">
              <w:rPr>
                <w:rFonts w:cs="Arial"/>
                <w:bCs/>
              </w:rPr>
              <w:t>66</w:t>
            </w:r>
          </w:p>
        </w:tc>
        <w:tc>
          <w:tcPr>
            <w:tcW w:w="10186" w:type="dxa"/>
            <w:gridSpan w:val="5"/>
            <w:shd w:val="clear" w:color="auto" w:fill="61C6C6" w:themeFill="accent4"/>
            <w:noWrap/>
            <w:vAlign w:val="center"/>
          </w:tcPr>
          <w:p w:rsidR="00B97294" w:rsidRPr="004918CD" w:rsidRDefault="00B97294" w:rsidP="00EE222A">
            <w:pPr>
              <w:spacing w:before="0" w:after="0"/>
              <w:cnfStyle w:val="000000100000" w:firstRow="0" w:lastRow="0" w:firstColumn="0" w:lastColumn="0" w:oddVBand="0" w:evenVBand="0" w:oddHBand="1" w:evenHBand="0" w:firstRowFirstColumn="0" w:firstRowLastColumn="0" w:lastRowFirstColumn="0" w:lastRowLastColumn="0"/>
              <w:rPr>
                <w:rFonts w:cs="Arial"/>
                <w:b/>
                <w:bCs/>
              </w:rPr>
            </w:pPr>
            <w:r w:rsidRPr="00B97294">
              <w:rPr>
                <w:rFonts w:cs="Arial"/>
                <w:b/>
                <w:bCs/>
                <w:color w:val="61C6C6" w:themeColor="accent4"/>
              </w:rPr>
              <w:t>decorative</w:t>
            </w:r>
          </w:p>
        </w:tc>
      </w:tr>
    </w:tbl>
    <w:p w:rsidR="0066054A" w:rsidRDefault="0066054A" w:rsidP="007240FE">
      <w:pPr>
        <w:rPr>
          <w:rFonts w:cs="Arial"/>
          <w:b/>
        </w:rPr>
      </w:pPr>
    </w:p>
    <w:p w:rsidR="00EE222A" w:rsidRDefault="0066054A" w:rsidP="00EE222A">
      <w:pPr>
        <w:pStyle w:val="Heading2"/>
      </w:pPr>
      <w:r>
        <w:br w:type="page"/>
      </w:r>
      <w:r w:rsidR="00EE222A">
        <w:t>Table B</w:t>
      </w:r>
    </w:p>
    <w:p w:rsidR="0053002B" w:rsidRDefault="0066054A" w:rsidP="00EE222A">
      <w:pPr>
        <w:pStyle w:val="Heading3"/>
      </w:pPr>
      <w:r w:rsidRPr="004C195D">
        <w:t xml:space="preserve">Average annual reportable remuneration paid to </w:t>
      </w:r>
      <w:r>
        <w:t>other highly paid staff</w:t>
      </w:r>
      <w:r w:rsidRPr="004C195D">
        <w:t xml:space="preserve"> during the reporting period</w:t>
      </w:r>
    </w:p>
    <w:tbl>
      <w:tblPr>
        <w:tblStyle w:val="ListTable3-Accent3"/>
        <w:tblW w:w="0" w:type="auto"/>
        <w:tblLook w:val="04A0" w:firstRow="1" w:lastRow="0" w:firstColumn="1" w:lastColumn="0" w:noHBand="0" w:noVBand="1"/>
        <w:tblCaption w:val="Table B"/>
        <w:tblDescription w:val="This table details the average annual reportable remuneration paid to other highly paid staff during the reporting period"/>
      </w:tblPr>
      <w:tblGrid>
        <w:gridCol w:w="2405"/>
        <w:gridCol w:w="1276"/>
        <w:gridCol w:w="2268"/>
        <w:gridCol w:w="1918"/>
        <w:gridCol w:w="1984"/>
        <w:gridCol w:w="1559"/>
        <w:gridCol w:w="2410"/>
      </w:tblGrid>
      <w:tr w:rsidR="0066054A" w:rsidRPr="0066054A" w:rsidTr="00EE222A">
        <w:trPr>
          <w:cnfStyle w:val="100000000000" w:firstRow="1" w:lastRow="0" w:firstColumn="0" w:lastColumn="0" w:oddVBand="0" w:evenVBand="0" w:oddHBand="0" w:evenHBand="0" w:firstRowFirstColumn="0" w:firstRowLastColumn="0" w:lastRowFirstColumn="0" w:lastRowLastColumn="0"/>
          <w:trHeight w:val="506"/>
          <w:tblHeader/>
        </w:trPr>
        <w:tc>
          <w:tcPr>
            <w:cnfStyle w:val="001000000100" w:firstRow="0" w:lastRow="0" w:firstColumn="1" w:lastColumn="0" w:oddVBand="0" w:evenVBand="0" w:oddHBand="0" w:evenHBand="0" w:firstRowFirstColumn="1" w:firstRowLastColumn="0" w:lastRowFirstColumn="0" w:lastRowLastColumn="0"/>
            <w:tcW w:w="2405" w:type="dxa"/>
            <w:noWrap/>
            <w:vAlign w:val="center"/>
            <w:hideMark/>
          </w:tcPr>
          <w:p w:rsidR="0066054A" w:rsidRPr="0066054A" w:rsidRDefault="0066054A" w:rsidP="0053002B">
            <w:pPr>
              <w:spacing w:before="0" w:after="0"/>
              <w:rPr>
                <w:rFonts w:cs="Arial"/>
              </w:rPr>
            </w:pPr>
            <w:r w:rsidRPr="0066054A">
              <w:rPr>
                <w:rFonts w:cs="Arial"/>
              </w:rPr>
              <w:t xml:space="preserve">Remuneration </w:t>
            </w:r>
            <w:r>
              <w:rPr>
                <w:rFonts w:cs="Arial"/>
              </w:rPr>
              <w:t>R</w:t>
            </w:r>
            <w:r w:rsidRPr="0066054A">
              <w:rPr>
                <w:rFonts w:cs="Arial"/>
              </w:rPr>
              <w:t>ange</w:t>
            </w:r>
          </w:p>
        </w:tc>
        <w:tc>
          <w:tcPr>
            <w:tcW w:w="1276" w:type="dxa"/>
            <w:noWrap/>
            <w:vAlign w:val="center"/>
            <w:hideMark/>
          </w:tcPr>
          <w:p w:rsidR="0066054A" w:rsidRPr="0066054A" w:rsidRDefault="0053002B" w:rsidP="0053002B">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Pr>
                <w:rFonts w:cs="Arial"/>
              </w:rPr>
              <w:t>Staff</w:t>
            </w:r>
          </w:p>
        </w:tc>
        <w:tc>
          <w:tcPr>
            <w:tcW w:w="2268" w:type="dxa"/>
            <w:noWrap/>
            <w:vAlign w:val="bottom"/>
            <w:hideMark/>
          </w:tcPr>
          <w:p w:rsidR="0066054A" w:rsidRP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Average Reportable Salary</w:t>
            </w:r>
          </w:p>
        </w:tc>
        <w:tc>
          <w:tcPr>
            <w:tcW w:w="1918" w:type="dxa"/>
            <w:noWrap/>
            <w:vAlign w:val="bottom"/>
            <w:hideMark/>
          </w:tcPr>
          <w:p w:rsidR="0066054A" w:rsidRPr="0066054A" w:rsidRDefault="0045080F"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 xml:space="preserve">Average </w:t>
            </w:r>
            <w:r>
              <w:rPr>
                <w:rFonts w:cs="Arial"/>
              </w:rPr>
              <w:t>Contributed Superannuation</w:t>
            </w:r>
          </w:p>
        </w:tc>
        <w:tc>
          <w:tcPr>
            <w:tcW w:w="1984" w:type="dxa"/>
            <w:noWrap/>
            <w:vAlign w:val="bottom"/>
            <w:hideMark/>
          </w:tcPr>
          <w:p w:rsidR="0066054A" w:rsidRP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Average</w:t>
            </w:r>
            <w:r w:rsidR="002758F2">
              <w:rPr>
                <w:rFonts w:cs="Arial"/>
              </w:rPr>
              <w:t xml:space="preserve"> Reportable</w:t>
            </w:r>
            <w:r w:rsidRPr="0066054A">
              <w:rPr>
                <w:rFonts w:cs="Arial"/>
              </w:rPr>
              <w:t xml:space="preserve"> Allowances</w:t>
            </w:r>
          </w:p>
        </w:tc>
        <w:tc>
          <w:tcPr>
            <w:tcW w:w="1559" w:type="dxa"/>
            <w:noWrap/>
            <w:vAlign w:val="bottom"/>
            <w:hideMark/>
          </w:tcPr>
          <w:p w:rsidR="0066054A" w:rsidRP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 xml:space="preserve">Average Bonus Paid </w:t>
            </w:r>
          </w:p>
        </w:tc>
        <w:tc>
          <w:tcPr>
            <w:tcW w:w="2410" w:type="dxa"/>
            <w:noWrap/>
            <w:vAlign w:val="bottom"/>
            <w:hideMark/>
          </w:tcPr>
          <w:p w:rsid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 xml:space="preserve">Average </w:t>
            </w:r>
          </w:p>
          <w:p w:rsidR="0066054A" w:rsidRP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Total Remuneration</w:t>
            </w:r>
          </w:p>
        </w:tc>
      </w:tr>
      <w:tr w:rsidR="0066054A" w:rsidRPr="0066054A" w:rsidTr="002758F2">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405" w:type="dxa"/>
            <w:shd w:val="clear" w:color="auto" w:fill="61C6C6" w:themeFill="accent4"/>
            <w:noWrap/>
          </w:tcPr>
          <w:p w:rsidR="0066054A" w:rsidRPr="0066054A" w:rsidRDefault="0066054A" w:rsidP="0066054A">
            <w:pPr>
              <w:spacing w:before="0" w:after="0"/>
              <w:rPr>
                <w:rFonts w:cs="Arial"/>
              </w:rPr>
            </w:pPr>
          </w:p>
        </w:tc>
        <w:tc>
          <w:tcPr>
            <w:tcW w:w="1276" w:type="dxa"/>
            <w:shd w:val="clear" w:color="auto" w:fill="61C6C6" w:themeFill="accent4"/>
            <w:noWrap/>
            <w:vAlign w:val="center"/>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No.</w:t>
            </w:r>
          </w:p>
        </w:tc>
        <w:tc>
          <w:tcPr>
            <w:tcW w:w="2268" w:type="dxa"/>
            <w:shd w:val="clear" w:color="auto" w:fill="61C6C6" w:themeFill="accent4"/>
            <w:noWrap/>
            <w:vAlign w:val="center"/>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c>
          <w:tcPr>
            <w:tcW w:w="1918" w:type="dxa"/>
            <w:shd w:val="clear" w:color="auto" w:fill="61C6C6" w:themeFill="accent4"/>
            <w:noWrap/>
            <w:vAlign w:val="center"/>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c>
          <w:tcPr>
            <w:tcW w:w="1984" w:type="dxa"/>
            <w:shd w:val="clear" w:color="auto" w:fill="61C6C6" w:themeFill="accent4"/>
            <w:noWrap/>
            <w:vAlign w:val="center"/>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c>
          <w:tcPr>
            <w:tcW w:w="1559" w:type="dxa"/>
            <w:shd w:val="clear" w:color="auto" w:fill="61C6C6" w:themeFill="accent4"/>
            <w:noWrap/>
            <w:vAlign w:val="center"/>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c>
          <w:tcPr>
            <w:tcW w:w="2410" w:type="dxa"/>
            <w:shd w:val="clear" w:color="auto" w:fill="61C6C6" w:themeFill="accent4"/>
            <w:noWrap/>
            <w:vAlign w:val="center"/>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r>
      <w:tr w:rsidR="0066054A" w:rsidRPr="0066054A" w:rsidTr="0053002B">
        <w:trPr>
          <w:trHeight w:val="506"/>
        </w:trPr>
        <w:tc>
          <w:tcPr>
            <w:cnfStyle w:val="001000000000" w:firstRow="0" w:lastRow="0" w:firstColumn="1" w:lastColumn="0" w:oddVBand="0" w:evenVBand="0" w:oddHBand="0" w:evenHBand="0" w:firstRowFirstColumn="0" w:firstRowLastColumn="0" w:lastRowFirstColumn="0" w:lastRowLastColumn="0"/>
            <w:tcW w:w="2405" w:type="dxa"/>
            <w:noWrap/>
            <w:vAlign w:val="center"/>
            <w:hideMark/>
          </w:tcPr>
          <w:p w:rsidR="0066054A" w:rsidRPr="0066054A" w:rsidRDefault="0066054A" w:rsidP="0053002B">
            <w:pPr>
              <w:spacing w:before="0" w:after="0"/>
              <w:rPr>
                <w:rFonts w:cs="Arial"/>
                <w:b w:val="0"/>
              </w:rPr>
            </w:pPr>
            <w:r w:rsidRPr="0066054A">
              <w:rPr>
                <w:rFonts w:cs="Arial"/>
                <w:b w:val="0"/>
              </w:rPr>
              <w:t>$200,001 to $225,000</w:t>
            </w:r>
          </w:p>
        </w:tc>
        <w:tc>
          <w:tcPr>
            <w:tcW w:w="1276" w:type="dxa"/>
            <w:noWrap/>
            <w:vAlign w:val="center"/>
            <w:hideMark/>
          </w:tcPr>
          <w:p w:rsidR="0066054A" w:rsidRPr="0066054A" w:rsidRDefault="0066054A"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66054A">
              <w:rPr>
                <w:rFonts w:cs="Arial"/>
              </w:rPr>
              <w:t>20</w:t>
            </w:r>
          </w:p>
        </w:tc>
        <w:tc>
          <w:tcPr>
            <w:tcW w:w="2268" w:type="dxa"/>
            <w:noWrap/>
            <w:vAlign w:val="center"/>
            <w:hideMark/>
          </w:tcPr>
          <w:p w:rsidR="0066054A" w:rsidRPr="0066054A" w:rsidRDefault="0066054A"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66054A">
              <w:rPr>
                <w:rFonts w:cs="Arial"/>
              </w:rPr>
              <w:t xml:space="preserve"> 177,403 </w:t>
            </w:r>
          </w:p>
        </w:tc>
        <w:tc>
          <w:tcPr>
            <w:tcW w:w="1918" w:type="dxa"/>
            <w:noWrap/>
            <w:vAlign w:val="center"/>
            <w:hideMark/>
          </w:tcPr>
          <w:p w:rsidR="0066054A" w:rsidRPr="0066054A" w:rsidRDefault="0066054A"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66054A">
              <w:rPr>
                <w:rFonts w:cs="Arial"/>
              </w:rPr>
              <w:t xml:space="preserve">28,220 </w:t>
            </w:r>
          </w:p>
        </w:tc>
        <w:tc>
          <w:tcPr>
            <w:tcW w:w="1984" w:type="dxa"/>
            <w:noWrap/>
            <w:vAlign w:val="center"/>
            <w:hideMark/>
          </w:tcPr>
          <w:p w:rsidR="0066054A" w:rsidRPr="0066054A" w:rsidRDefault="0066054A"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66054A">
              <w:rPr>
                <w:rFonts w:cs="Arial"/>
              </w:rPr>
              <w:t xml:space="preserve">1,127 </w:t>
            </w:r>
          </w:p>
        </w:tc>
        <w:tc>
          <w:tcPr>
            <w:tcW w:w="1559" w:type="dxa"/>
            <w:noWrap/>
            <w:vAlign w:val="center"/>
            <w:hideMark/>
          </w:tcPr>
          <w:p w:rsidR="0066054A" w:rsidRPr="0066054A" w:rsidRDefault="0066054A"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66054A">
              <w:rPr>
                <w:rFonts w:cs="Arial"/>
              </w:rPr>
              <w:t xml:space="preserve">1,238 </w:t>
            </w:r>
          </w:p>
        </w:tc>
        <w:tc>
          <w:tcPr>
            <w:tcW w:w="2410" w:type="dxa"/>
            <w:noWrap/>
            <w:vAlign w:val="center"/>
            <w:hideMark/>
          </w:tcPr>
          <w:p w:rsidR="0066054A" w:rsidRPr="0066054A" w:rsidRDefault="0066054A"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66054A">
              <w:rPr>
                <w:rFonts w:cs="Arial"/>
              </w:rPr>
              <w:t xml:space="preserve">207,987 </w:t>
            </w:r>
          </w:p>
        </w:tc>
      </w:tr>
      <w:tr w:rsidR="0066054A" w:rsidRPr="0066054A" w:rsidTr="0053002B">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405" w:type="dxa"/>
            <w:noWrap/>
            <w:vAlign w:val="center"/>
            <w:hideMark/>
          </w:tcPr>
          <w:p w:rsidR="0066054A" w:rsidRPr="0066054A" w:rsidRDefault="0066054A" w:rsidP="0053002B">
            <w:pPr>
              <w:spacing w:before="0" w:after="0"/>
              <w:rPr>
                <w:rFonts w:cs="Arial"/>
                <w:b w:val="0"/>
              </w:rPr>
            </w:pPr>
            <w:r w:rsidRPr="0066054A">
              <w:rPr>
                <w:rFonts w:cs="Arial"/>
                <w:b w:val="0"/>
              </w:rPr>
              <w:t>$225,001 to $250,000</w:t>
            </w:r>
          </w:p>
        </w:tc>
        <w:tc>
          <w:tcPr>
            <w:tcW w:w="1276" w:type="dxa"/>
            <w:noWrap/>
            <w:vAlign w:val="center"/>
            <w:hideMark/>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rPr>
              <w:t>3</w:t>
            </w:r>
          </w:p>
        </w:tc>
        <w:tc>
          <w:tcPr>
            <w:tcW w:w="2268" w:type="dxa"/>
            <w:noWrap/>
            <w:vAlign w:val="center"/>
            <w:hideMark/>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rPr>
              <w:t xml:space="preserve"> 203,119 </w:t>
            </w:r>
          </w:p>
        </w:tc>
        <w:tc>
          <w:tcPr>
            <w:tcW w:w="1918" w:type="dxa"/>
            <w:noWrap/>
            <w:vAlign w:val="center"/>
            <w:hideMark/>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rPr>
              <w:t xml:space="preserve">30,756 </w:t>
            </w:r>
          </w:p>
        </w:tc>
        <w:tc>
          <w:tcPr>
            <w:tcW w:w="1984" w:type="dxa"/>
            <w:noWrap/>
            <w:vAlign w:val="center"/>
            <w:hideMark/>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rPr>
              <w:t xml:space="preserve">-   </w:t>
            </w:r>
          </w:p>
        </w:tc>
        <w:tc>
          <w:tcPr>
            <w:tcW w:w="1559" w:type="dxa"/>
            <w:noWrap/>
            <w:vAlign w:val="center"/>
            <w:hideMark/>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rPr>
              <w:t xml:space="preserve">-   </w:t>
            </w:r>
          </w:p>
        </w:tc>
        <w:tc>
          <w:tcPr>
            <w:tcW w:w="2410" w:type="dxa"/>
            <w:noWrap/>
            <w:vAlign w:val="center"/>
            <w:hideMark/>
          </w:tcPr>
          <w:p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rPr>
              <w:t xml:space="preserve">233,875 </w:t>
            </w:r>
          </w:p>
        </w:tc>
      </w:tr>
      <w:tr w:rsidR="00B97294" w:rsidRPr="0066054A" w:rsidTr="007B596E">
        <w:trPr>
          <w:trHeight w:val="506"/>
        </w:trPr>
        <w:tc>
          <w:tcPr>
            <w:cnfStyle w:val="001000000000" w:firstRow="0" w:lastRow="0" w:firstColumn="1" w:lastColumn="0" w:oddVBand="0" w:evenVBand="0" w:oddHBand="0" w:evenHBand="0" w:firstRowFirstColumn="0" w:firstRowLastColumn="0" w:lastRowFirstColumn="0" w:lastRowLastColumn="0"/>
            <w:tcW w:w="2405" w:type="dxa"/>
            <w:shd w:val="clear" w:color="auto" w:fill="61C6C6" w:themeFill="accent4"/>
            <w:noWrap/>
            <w:vAlign w:val="center"/>
            <w:hideMark/>
          </w:tcPr>
          <w:p w:rsidR="00B97294" w:rsidRPr="0066054A" w:rsidRDefault="00B97294" w:rsidP="0053002B">
            <w:pPr>
              <w:spacing w:before="0" w:after="0"/>
              <w:rPr>
                <w:rFonts w:cs="Arial"/>
              </w:rPr>
            </w:pPr>
            <w:r w:rsidRPr="004918CD">
              <w:rPr>
                <w:rFonts w:cs="Arial"/>
                <w:b w:val="0"/>
              </w:rPr>
              <w:t xml:space="preserve">Total Number of </w:t>
            </w:r>
            <w:r>
              <w:rPr>
                <w:rFonts w:cs="Arial"/>
                <w:b w:val="0"/>
              </w:rPr>
              <w:t>Staff</w:t>
            </w:r>
          </w:p>
        </w:tc>
        <w:tc>
          <w:tcPr>
            <w:tcW w:w="1276" w:type="dxa"/>
            <w:shd w:val="clear" w:color="auto" w:fill="61C6C6" w:themeFill="accent4"/>
            <w:noWrap/>
            <w:vAlign w:val="center"/>
            <w:hideMark/>
          </w:tcPr>
          <w:p w:rsidR="00B97294" w:rsidRPr="0066054A" w:rsidRDefault="00B97294"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bCs/>
              </w:rPr>
            </w:pPr>
            <w:r w:rsidRPr="0066054A">
              <w:rPr>
                <w:rFonts w:cs="Arial"/>
                <w:bCs/>
              </w:rPr>
              <w:t>23</w:t>
            </w:r>
          </w:p>
        </w:tc>
        <w:tc>
          <w:tcPr>
            <w:tcW w:w="10139" w:type="dxa"/>
            <w:gridSpan w:val="5"/>
            <w:shd w:val="clear" w:color="auto" w:fill="61C6C6" w:themeFill="accent4"/>
            <w:noWrap/>
            <w:vAlign w:val="center"/>
          </w:tcPr>
          <w:p w:rsidR="00B97294" w:rsidRPr="0066054A" w:rsidRDefault="00B97294" w:rsidP="00B97294">
            <w:pPr>
              <w:spacing w:before="0" w:after="0"/>
              <w:cnfStyle w:val="000000000000" w:firstRow="0" w:lastRow="0" w:firstColumn="0" w:lastColumn="0" w:oddVBand="0" w:evenVBand="0" w:oddHBand="0" w:evenHBand="0" w:firstRowFirstColumn="0" w:firstRowLastColumn="0" w:lastRowFirstColumn="0" w:lastRowLastColumn="0"/>
              <w:rPr>
                <w:rFonts w:cs="Arial"/>
                <w:b/>
                <w:bCs/>
              </w:rPr>
            </w:pPr>
            <w:r w:rsidRPr="00B97294">
              <w:rPr>
                <w:rFonts w:cs="Arial"/>
                <w:b/>
                <w:bCs/>
                <w:color w:val="61C6C6" w:themeColor="accent4"/>
              </w:rPr>
              <w:t>decorative</w:t>
            </w:r>
          </w:p>
        </w:tc>
      </w:tr>
    </w:tbl>
    <w:p w:rsidR="00EC5CBF" w:rsidRPr="004918CD" w:rsidRDefault="00EC5CBF" w:rsidP="00151938">
      <w:pPr>
        <w:rPr>
          <w:rFonts w:cs="Arial"/>
          <w:b/>
        </w:rPr>
      </w:pPr>
    </w:p>
    <w:sectPr w:rsidR="00EC5CBF" w:rsidRPr="004918CD" w:rsidSect="00227B11">
      <w:headerReference w:type="default" r:id="rId11"/>
      <w:footerReference w:type="default" r:id="rId12"/>
      <w:headerReference w:type="first" r:id="rId13"/>
      <w:footerReference w:type="first" r:id="rId14"/>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998" w:rsidRDefault="00355998" w:rsidP="007240FE">
      <w:pPr>
        <w:spacing w:before="0" w:after="0" w:line="240" w:lineRule="auto"/>
      </w:pPr>
      <w:r>
        <w:separator/>
      </w:r>
    </w:p>
  </w:endnote>
  <w:endnote w:type="continuationSeparator" w:id="0">
    <w:p w:rsidR="00355998" w:rsidRDefault="00355998" w:rsidP="007240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A9" w:rsidRDefault="00102725">
    <w:pPr>
      <w:pStyle w:val="Footer"/>
    </w:pPr>
    <w:r w:rsidRPr="00E33118">
      <w:t>Remuneration disclosure for executive and other highly paid staff</w:t>
    </w:r>
  </w:p>
  <w:p w:rsidR="00102725" w:rsidRDefault="00102725" w:rsidP="002625A9">
    <w:pPr>
      <w:pStyle w:val="Footer"/>
      <w:jc w:val="right"/>
    </w:pPr>
    <w:r>
      <w:t>industry.gov.au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118" w:rsidRDefault="00E33118" w:rsidP="00E33118">
    <w:pPr>
      <w:pStyle w:val="Footer"/>
      <w:spacing w:before="0"/>
    </w:pPr>
    <w:r w:rsidRPr="00E33118">
      <w:t xml:space="preserve">Remuneration disclosure for executive </w:t>
    </w:r>
    <w:r w:rsidR="00CE2473" w:rsidRPr="00E33118">
      <w:t>and other highly paid staff</w:t>
    </w:r>
  </w:p>
  <w:p w:rsidR="005C2356" w:rsidRDefault="00CE2473" w:rsidP="00E33118">
    <w:pPr>
      <w:pStyle w:val="Footer"/>
      <w:spacing w:before="0"/>
      <w:jc w:val="right"/>
    </w:pPr>
    <w:r>
      <w:tab/>
      <w:t>industry.gov.au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A9" w:rsidRDefault="00102725">
    <w:pPr>
      <w:pStyle w:val="Footer"/>
    </w:pPr>
    <w:r w:rsidRPr="00E33118">
      <w:t>Remuneration disclosure for executive and other highly paid staff</w:t>
    </w:r>
  </w:p>
  <w:p w:rsidR="005C2356" w:rsidRDefault="00102725" w:rsidP="002625A9">
    <w:pPr>
      <w:pStyle w:val="Footer"/>
      <w:jc w:val="right"/>
    </w:pPr>
    <w:r>
      <w:t>industry.gov.au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998" w:rsidRDefault="00355998" w:rsidP="007240FE">
      <w:pPr>
        <w:spacing w:before="0" w:after="0" w:line="240" w:lineRule="auto"/>
      </w:pPr>
      <w:r>
        <w:separator/>
      </w:r>
    </w:p>
  </w:footnote>
  <w:footnote w:type="continuationSeparator" w:id="0">
    <w:p w:rsidR="00355998" w:rsidRDefault="00355998" w:rsidP="007240FE">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A9" w:rsidRDefault="002625A9">
    <w:pPr>
      <w:pStyle w:val="Header"/>
    </w:pPr>
    <w:r>
      <w:rPr>
        <w:noProof/>
        <w:lang w:eastAsia="en-AU"/>
      </w:rPr>
      <w:drawing>
        <wp:inline distT="0" distB="0" distL="0" distR="0" wp14:anchorId="4B36E210">
          <wp:extent cx="2451100" cy="725170"/>
          <wp:effectExtent l="0" t="0" r="6350" b="0"/>
          <wp:docPr id="5" name="Picture 5" descr="Australian Government Logo" title="Department of Inudstry, Innovation and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1100" cy="72517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0FE" w:rsidRDefault="007240FE">
    <w:pPr>
      <w:pStyle w:val="Header"/>
    </w:pPr>
  </w:p>
  <w:p w:rsidR="007240FE" w:rsidRDefault="007240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0FE" w:rsidRPr="00102725" w:rsidRDefault="007240FE" w:rsidP="001027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72C7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B9AEB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B4C9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19AE2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AED9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E19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F053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803066"/>
    <w:lvl w:ilvl="0">
      <w:start w:val="1"/>
      <w:numFmt w:val="bullet"/>
      <w:pStyle w:val="ListBullet2"/>
      <w:lvlText w:val="-"/>
      <w:lvlJc w:val="left"/>
      <w:pPr>
        <w:ind w:left="643" w:hanging="360"/>
      </w:pPr>
      <w:rPr>
        <w:rFonts w:ascii="Courier New" w:hAnsi="Courier New" w:hint="default"/>
        <w:color w:val="005677" w:themeColor="accent1"/>
      </w:rPr>
    </w:lvl>
  </w:abstractNum>
  <w:abstractNum w:abstractNumId="8" w15:restartNumberingAfterBreak="0">
    <w:nsid w:val="FFFFFF88"/>
    <w:multiLevelType w:val="singleLevel"/>
    <w:tmpl w:val="85082DC6"/>
    <w:lvl w:ilvl="0">
      <w:start w:val="1"/>
      <w:numFmt w:val="decimal"/>
      <w:lvlText w:val="%1."/>
      <w:lvlJc w:val="left"/>
      <w:pPr>
        <w:ind w:left="360" w:hanging="360"/>
      </w:pPr>
    </w:lvl>
  </w:abstractNum>
  <w:abstractNum w:abstractNumId="9" w15:restartNumberingAfterBreak="0">
    <w:nsid w:val="FFFFFF89"/>
    <w:multiLevelType w:val="singleLevel"/>
    <w:tmpl w:val="F2D2F078"/>
    <w:lvl w:ilvl="0">
      <w:start w:val="1"/>
      <w:numFmt w:val="bullet"/>
      <w:lvlText w:val=""/>
      <w:lvlJc w:val="left"/>
      <w:pPr>
        <w:ind w:left="360" w:hanging="360"/>
      </w:pPr>
      <w:rPr>
        <w:rFonts w:ascii="Symbol" w:hAnsi="Symbol" w:hint="default"/>
        <w:color w:val="005677" w:themeColor="accent1"/>
      </w:rPr>
    </w:lvl>
  </w:abstractNum>
  <w:abstractNum w:abstractNumId="10" w15:restartNumberingAfterBreak="0">
    <w:nsid w:val="016238B1"/>
    <w:multiLevelType w:val="hybridMultilevel"/>
    <w:tmpl w:val="5FBAB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0DD0F2B"/>
    <w:multiLevelType w:val="hybridMultilevel"/>
    <w:tmpl w:val="4F72605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842AE3"/>
    <w:multiLevelType w:val="hybridMultilevel"/>
    <w:tmpl w:val="116831D0"/>
    <w:lvl w:ilvl="0" w:tplc="73365B44">
      <w:start w:val="1"/>
      <w:numFmt w:val="lowerLetter"/>
      <w:lvlText w:val="(%1)"/>
      <w:lvlJc w:val="left"/>
      <w:pPr>
        <w:ind w:left="720" w:hanging="360"/>
      </w:pPr>
      <w:rPr>
        <w:rFonts w:ascii="Times New Roman Bold,Bold" w:hAnsi="Times New Roman Bold,Bold" w:cs="Times New Roman Bold,Bold"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8A40356"/>
    <w:multiLevelType w:val="hybridMultilevel"/>
    <w:tmpl w:val="67408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F4E2756"/>
    <w:multiLevelType w:val="hybridMultilevel"/>
    <w:tmpl w:val="85F0EABE"/>
    <w:lvl w:ilvl="0" w:tplc="03B0D284">
      <w:start w:val="1"/>
      <w:numFmt w:val="decimal"/>
      <w:pStyle w:val="ListNumb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4BA2DAB"/>
    <w:multiLevelType w:val="hybridMultilevel"/>
    <w:tmpl w:val="630C32AA"/>
    <w:lvl w:ilvl="0" w:tplc="68E6D72C">
      <w:start w:val="1"/>
      <w:numFmt w:val="bullet"/>
      <w:pStyle w:val="ListBullet"/>
      <w:lvlText w:val=""/>
      <w:lvlJc w:val="left"/>
      <w:pPr>
        <w:ind w:left="720" w:hanging="360"/>
      </w:pPr>
      <w:rPr>
        <w:rFonts w:ascii="Symbol" w:hAnsi="Symbol" w:hint="default"/>
        <w:color w:val="005677" w:themeColor="accent1"/>
      </w:rPr>
    </w:lvl>
    <w:lvl w:ilvl="1" w:tplc="21E8437E">
      <w:start w:val="1"/>
      <w:numFmt w:val="bullet"/>
      <w:lvlText w:val="-"/>
      <w:lvlJc w:val="left"/>
      <w:pPr>
        <w:ind w:left="1440" w:hanging="360"/>
      </w:pPr>
      <w:rPr>
        <w:rFonts w:ascii="Courier New" w:hAnsi="Courier New" w:hint="default"/>
        <w:color w:val="005677" w:themeColor="accen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DE65D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FBB3AB0"/>
    <w:multiLevelType w:val="hybridMultilevel"/>
    <w:tmpl w:val="42566C8E"/>
    <w:lvl w:ilvl="0" w:tplc="73365B44">
      <w:start w:val="1"/>
      <w:numFmt w:val="lowerLetter"/>
      <w:lvlText w:val="(%1)"/>
      <w:lvlJc w:val="left"/>
      <w:pPr>
        <w:ind w:left="720" w:hanging="360"/>
      </w:pPr>
      <w:rPr>
        <w:rFonts w:ascii="Times New Roman Bold,Bold" w:hAnsi="Times New Roman Bold,Bold" w:cs="Times New Roman Bold,Bold"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48C602C"/>
    <w:multiLevelType w:val="hybridMultilevel"/>
    <w:tmpl w:val="6366C5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9201650"/>
    <w:multiLevelType w:val="hybridMultilevel"/>
    <w:tmpl w:val="69185D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C3547EF"/>
    <w:multiLevelType w:val="hybridMultilevel"/>
    <w:tmpl w:val="BA0ABBC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EF71425"/>
    <w:multiLevelType w:val="hybridMultilevel"/>
    <w:tmpl w:val="2FBC9556"/>
    <w:lvl w:ilvl="0" w:tplc="8DA0AFD0">
      <w:numFmt w:val="bullet"/>
      <w:lvlText w:val="-"/>
      <w:lvlJc w:val="left"/>
      <w:pPr>
        <w:ind w:left="1800" w:hanging="360"/>
      </w:pPr>
      <w:rPr>
        <w:rFonts w:ascii="Arial" w:eastAsiaTheme="minorHAnsi"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15:restartNumberingAfterBreak="0">
    <w:nsid w:val="51003F08"/>
    <w:multiLevelType w:val="hybridMultilevel"/>
    <w:tmpl w:val="8D6E56C6"/>
    <w:lvl w:ilvl="0" w:tplc="19BE00BE">
      <w:start w:val="1"/>
      <w:numFmt w:val="bullet"/>
      <w:pStyle w:val="ListParagraph"/>
      <w:lvlText w:val=""/>
      <w:lvlJc w:val="left"/>
      <w:pPr>
        <w:ind w:left="720" w:hanging="360"/>
      </w:pPr>
      <w:rPr>
        <w:rFonts w:ascii="Symbol" w:hAnsi="Symbol" w:hint="default"/>
        <w:color w:val="005677" w:themeColor="accent1"/>
      </w:rPr>
    </w:lvl>
    <w:lvl w:ilvl="1" w:tplc="21E8437E">
      <w:start w:val="1"/>
      <w:numFmt w:val="bullet"/>
      <w:lvlText w:val="-"/>
      <w:lvlJc w:val="left"/>
      <w:pPr>
        <w:ind w:left="1440" w:hanging="360"/>
      </w:pPr>
      <w:rPr>
        <w:rFonts w:ascii="Courier New" w:hAnsi="Courier New" w:hint="default"/>
        <w:color w:val="005677" w:themeColor="accen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6246FBA"/>
    <w:multiLevelType w:val="hybridMultilevel"/>
    <w:tmpl w:val="116831D0"/>
    <w:lvl w:ilvl="0" w:tplc="73365B44">
      <w:start w:val="1"/>
      <w:numFmt w:val="lowerLetter"/>
      <w:lvlText w:val="(%1)"/>
      <w:lvlJc w:val="left"/>
      <w:pPr>
        <w:ind w:left="720" w:hanging="360"/>
      </w:pPr>
      <w:rPr>
        <w:rFonts w:ascii="Times New Roman Bold,Bold" w:hAnsi="Times New Roman Bold,Bold" w:cs="Times New Roman Bold,Bold"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ABC23B6"/>
    <w:multiLevelType w:val="hybridMultilevel"/>
    <w:tmpl w:val="610EF390"/>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95D5564"/>
    <w:multiLevelType w:val="hybridMultilevel"/>
    <w:tmpl w:val="526A2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9C49BA"/>
    <w:multiLevelType w:val="hybridMultilevel"/>
    <w:tmpl w:val="55CE27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B740809"/>
    <w:multiLevelType w:val="hybridMultilevel"/>
    <w:tmpl w:val="D97E5A6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2"/>
  </w:num>
  <w:num w:numId="2">
    <w:abstractNumId w:val="2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5"/>
  </w:num>
  <w:num w:numId="15">
    <w:abstractNumId w:val="14"/>
  </w:num>
  <w:num w:numId="16">
    <w:abstractNumId w:val="25"/>
  </w:num>
  <w:num w:numId="17">
    <w:abstractNumId w:val="21"/>
  </w:num>
  <w:num w:numId="18">
    <w:abstractNumId w:val="12"/>
  </w:num>
  <w:num w:numId="19">
    <w:abstractNumId w:val="11"/>
  </w:num>
  <w:num w:numId="20">
    <w:abstractNumId w:val="24"/>
  </w:num>
  <w:num w:numId="21">
    <w:abstractNumId w:val="20"/>
  </w:num>
  <w:num w:numId="22">
    <w:abstractNumId w:val="17"/>
  </w:num>
  <w:num w:numId="23">
    <w:abstractNumId w:val="27"/>
  </w:num>
  <w:num w:numId="24">
    <w:abstractNumId w:val="13"/>
  </w:num>
  <w:num w:numId="25">
    <w:abstractNumId w:val="18"/>
  </w:num>
  <w:num w:numId="26">
    <w:abstractNumId w:val="10"/>
  </w:num>
  <w:num w:numId="27">
    <w:abstractNumId w:val="2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formatting="1" w:enforcement="1" w:cryptProviderType="rsaAES" w:cryptAlgorithmClass="hash" w:cryptAlgorithmType="typeAny" w:cryptAlgorithmSid="14" w:cryptSpinCount="100000" w:hash="R8nxcYqE/zA5zeL8uGtZu1KoFfwIKKtXdAgGm6mGSYmRIJuwGJYA0x8QjcN75gR5ujIrTDdb5kIBXNlgX+3Emg==" w:salt="nZv+BzkTgGBzQC6gjALCfw=="/>
  <w:styleLockTheme/>
  <w:styleLockQFSet/>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118"/>
    <w:rsid w:val="00040232"/>
    <w:rsid w:val="000C2D1A"/>
    <w:rsid w:val="000F7670"/>
    <w:rsid w:val="00102725"/>
    <w:rsid w:val="00151938"/>
    <w:rsid w:val="00157609"/>
    <w:rsid w:val="00167206"/>
    <w:rsid w:val="001768A9"/>
    <w:rsid w:val="001A09CA"/>
    <w:rsid w:val="001B6AA5"/>
    <w:rsid w:val="00214F5E"/>
    <w:rsid w:val="0022307D"/>
    <w:rsid w:val="00227B11"/>
    <w:rsid w:val="002625A9"/>
    <w:rsid w:val="002758F2"/>
    <w:rsid w:val="00342551"/>
    <w:rsid w:val="0034784A"/>
    <w:rsid w:val="00355998"/>
    <w:rsid w:val="00363E09"/>
    <w:rsid w:val="003D24BE"/>
    <w:rsid w:val="003D4B7A"/>
    <w:rsid w:val="003F6AD9"/>
    <w:rsid w:val="004052EA"/>
    <w:rsid w:val="0045080F"/>
    <w:rsid w:val="004918CD"/>
    <w:rsid w:val="004C195D"/>
    <w:rsid w:val="004C3712"/>
    <w:rsid w:val="004C6042"/>
    <w:rsid w:val="004D6AAF"/>
    <w:rsid w:val="004E13B2"/>
    <w:rsid w:val="004F09B6"/>
    <w:rsid w:val="004F0FD3"/>
    <w:rsid w:val="00506530"/>
    <w:rsid w:val="00527E00"/>
    <w:rsid w:val="0053002B"/>
    <w:rsid w:val="00585114"/>
    <w:rsid w:val="005C2356"/>
    <w:rsid w:val="005E1B33"/>
    <w:rsid w:val="00607964"/>
    <w:rsid w:val="006271F7"/>
    <w:rsid w:val="006302E4"/>
    <w:rsid w:val="00654790"/>
    <w:rsid w:val="0066054A"/>
    <w:rsid w:val="007240FE"/>
    <w:rsid w:val="007610DD"/>
    <w:rsid w:val="0079547B"/>
    <w:rsid w:val="007A1981"/>
    <w:rsid w:val="007D13AC"/>
    <w:rsid w:val="00860A87"/>
    <w:rsid w:val="008C77D9"/>
    <w:rsid w:val="00A56C4E"/>
    <w:rsid w:val="00AA6A43"/>
    <w:rsid w:val="00AE4CAE"/>
    <w:rsid w:val="00B07610"/>
    <w:rsid w:val="00B32E71"/>
    <w:rsid w:val="00B41A5A"/>
    <w:rsid w:val="00B46DBD"/>
    <w:rsid w:val="00B97294"/>
    <w:rsid w:val="00BF2B33"/>
    <w:rsid w:val="00C35DC1"/>
    <w:rsid w:val="00CE2473"/>
    <w:rsid w:val="00D662E0"/>
    <w:rsid w:val="00D91207"/>
    <w:rsid w:val="00DC51D8"/>
    <w:rsid w:val="00DE3D00"/>
    <w:rsid w:val="00E20256"/>
    <w:rsid w:val="00E33118"/>
    <w:rsid w:val="00E93DCF"/>
    <w:rsid w:val="00EC5CBF"/>
    <w:rsid w:val="00EE222A"/>
    <w:rsid w:val="00EE6C16"/>
    <w:rsid w:val="00F41267"/>
    <w:rsid w:val="00FB3843"/>
    <w:rsid w:val="00FE2E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CD927CC0-3FB6-4B98-B9DF-DAD655B9A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C16"/>
    <w:pPr>
      <w:spacing w:before="240" w:after="240" w:line="300" w:lineRule="auto"/>
    </w:pPr>
    <w:rPr>
      <w:rFonts w:ascii="Arial" w:hAnsi="Arial"/>
    </w:rPr>
  </w:style>
  <w:style w:type="paragraph" w:styleId="Heading1">
    <w:name w:val="heading 1"/>
    <w:basedOn w:val="Normal"/>
    <w:next w:val="Normal"/>
    <w:link w:val="Heading1Char"/>
    <w:uiPriority w:val="9"/>
    <w:qFormat/>
    <w:rsid w:val="00EE6C16"/>
    <w:pPr>
      <w:keepNext/>
      <w:keepLines/>
      <w:spacing w:after="0"/>
      <w:outlineLvl w:val="0"/>
    </w:pPr>
    <w:rPr>
      <w:rFonts w:eastAsiaTheme="majorEastAsia" w:cstheme="majorBidi"/>
      <w:color w:val="00283E"/>
      <w:sz w:val="52"/>
      <w:szCs w:val="32"/>
    </w:rPr>
  </w:style>
  <w:style w:type="paragraph" w:styleId="Heading2">
    <w:name w:val="heading 2"/>
    <w:basedOn w:val="Normal"/>
    <w:next w:val="Normal"/>
    <w:link w:val="Heading2Char"/>
    <w:uiPriority w:val="9"/>
    <w:unhideWhenUsed/>
    <w:qFormat/>
    <w:rsid w:val="00EE6C16"/>
    <w:pPr>
      <w:keepNext/>
      <w:keepLines/>
      <w:spacing w:before="40" w:after="0"/>
      <w:outlineLvl w:val="1"/>
    </w:pPr>
    <w:rPr>
      <w:rFonts w:eastAsiaTheme="majorEastAsia" w:cstheme="majorBidi"/>
      <w:color w:val="00283E"/>
      <w:sz w:val="44"/>
      <w:szCs w:val="26"/>
    </w:rPr>
  </w:style>
  <w:style w:type="paragraph" w:styleId="Heading3">
    <w:name w:val="heading 3"/>
    <w:basedOn w:val="Normal"/>
    <w:next w:val="Normal"/>
    <w:link w:val="Heading3Char"/>
    <w:uiPriority w:val="9"/>
    <w:unhideWhenUsed/>
    <w:qFormat/>
    <w:rsid w:val="001768A9"/>
    <w:pPr>
      <w:keepNext/>
      <w:keepLines/>
      <w:spacing w:before="40" w:after="0"/>
      <w:outlineLvl w:val="2"/>
    </w:pPr>
    <w:rPr>
      <w:rFonts w:eastAsiaTheme="majorEastAsia" w:cstheme="majorBidi"/>
      <w:color w:val="00283E"/>
      <w:sz w:val="36"/>
      <w:szCs w:val="24"/>
    </w:rPr>
  </w:style>
  <w:style w:type="paragraph" w:styleId="Heading4">
    <w:name w:val="heading 4"/>
    <w:basedOn w:val="Normal"/>
    <w:next w:val="Normal"/>
    <w:link w:val="Heading4Char"/>
    <w:uiPriority w:val="9"/>
    <w:unhideWhenUsed/>
    <w:qFormat/>
    <w:rsid w:val="001768A9"/>
    <w:pPr>
      <w:keepNext/>
      <w:keepLines/>
      <w:spacing w:before="40" w:after="0"/>
      <w:outlineLvl w:val="3"/>
    </w:pPr>
    <w:rPr>
      <w:rFonts w:eastAsiaTheme="majorEastAsia" w:cstheme="majorBidi"/>
      <w:iCs/>
      <w:color w:val="00283E"/>
      <w:sz w:val="28"/>
    </w:rPr>
  </w:style>
  <w:style w:type="paragraph" w:styleId="Heading5">
    <w:name w:val="heading 5"/>
    <w:basedOn w:val="Normal"/>
    <w:next w:val="Normal"/>
    <w:link w:val="Heading5Char"/>
    <w:uiPriority w:val="9"/>
    <w:unhideWhenUsed/>
    <w:qFormat/>
    <w:rsid w:val="001768A9"/>
    <w:pPr>
      <w:keepNext/>
      <w:keepLines/>
      <w:spacing w:before="40" w:after="0"/>
      <w:outlineLvl w:val="4"/>
    </w:pPr>
    <w:rPr>
      <w:rFonts w:eastAsiaTheme="majorEastAsia" w:cstheme="majorBidi"/>
      <w:b/>
      <w:color w:val="00283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0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40FE"/>
  </w:style>
  <w:style w:type="paragraph" w:styleId="Footer">
    <w:name w:val="footer"/>
    <w:basedOn w:val="Normal"/>
    <w:link w:val="FooterChar"/>
    <w:uiPriority w:val="99"/>
    <w:unhideWhenUsed/>
    <w:rsid w:val="005C2356"/>
    <w:pPr>
      <w:tabs>
        <w:tab w:val="center" w:pos="4513"/>
        <w:tab w:val="right" w:pos="9026"/>
      </w:tabs>
      <w:spacing w:after="0" w:line="240" w:lineRule="auto"/>
    </w:pPr>
    <w:rPr>
      <w:color w:val="58595B" w:themeColor="text2"/>
      <w:sz w:val="18"/>
    </w:rPr>
  </w:style>
  <w:style w:type="character" w:customStyle="1" w:styleId="FooterChar">
    <w:name w:val="Footer Char"/>
    <w:basedOn w:val="DefaultParagraphFont"/>
    <w:link w:val="Footer"/>
    <w:uiPriority w:val="99"/>
    <w:rsid w:val="005C2356"/>
    <w:rPr>
      <w:rFonts w:ascii="Arial" w:hAnsi="Arial"/>
      <w:color w:val="58595B" w:themeColor="text2"/>
      <w:sz w:val="18"/>
    </w:rPr>
  </w:style>
  <w:style w:type="paragraph" w:styleId="Title">
    <w:name w:val="Title"/>
    <w:basedOn w:val="Normal"/>
    <w:next w:val="Normal"/>
    <w:link w:val="TitleChar"/>
    <w:uiPriority w:val="10"/>
    <w:qFormat/>
    <w:rsid w:val="00EE6C16"/>
    <w:pPr>
      <w:spacing w:before="2880" w:after="480" w:line="240" w:lineRule="auto"/>
      <w:contextualSpacing/>
    </w:pPr>
    <w:rPr>
      <w:rFonts w:eastAsiaTheme="majorEastAsia" w:cstheme="majorBidi"/>
      <w:color w:val="005677"/>
      <w:spacing w:val="-10"/>
      <w:kern w:val="28"/>
      <w:sz w:val="72"/>
      <w:szCs w:val="56"/>
    </w:rPr>
  </w:style>
  <w:style w:type="character" w:customStyle="1" w:styleId="TitleChar">
    <w:name w:val="Title Char"/>
    <w:basedOn w:val="DefaultParagraphFont"/>
    <w:link w:val="Title"/>
    <w:uiPriority w:val="10"/>
    <w:rsid w:val="00EE6C16"/>
    <w:rPr>
      <w:rFonts w:ascii="Arial" w:eastAsiaTheme="majorEastAsia" w:hAnsi="Arial" w:cstheme="majorBidi"/>
      <w:color w:val="005677"/>
      <w:spacing w:val="-10"/>
      <w:kern w:val="28"/>
      <w:sz w:val="72"/>
      <w:szCs w:val="56"/>
    </w:rPr>
  </w:style>
  <w:style w:type="character" w:customStyle="1" w:styleId="Heading1Char">
    <w:name w:val="Heading 1 Char"/>
    <w:basedOn w:val="DefaultParagraphFont"/>
    <w:link w:val="Heading1"/>
    <w:uiPriority w:val="9"/>
    <w:rsid w:val="00EE6C16"/>
    <w:rPr>
      <w:rFonts w:ascii="Arial" w:eastAsiaTheme="majorEastAsia" w:hAnsi="Arial" w:cstheme="majorBidi"/>
      <w:color w:val="00283E"/>
      <w:sz w:val="52"/>
      <w:szCs w:val="32"/>
    </w:rPr>
  </w:style>
  <w:style w:type="character" w:customStyle="1" w:styleId="Heading2Char">
    <w:name w:val="Heading 2 Char"/>
    <w:basedOn w:val="DefaultParagraphFont"/>
    <w:link w:val="Heading2"/>
    <w:uiPriority w:val="9"/>
    <w:rsid w:val="00EE6C16"/>
    <w:rPr>
      <w:rFonts w:ascii="Arial" w:eastAsiaTheme="majorEastAsia" w:hAnsi="Arial" w:cstheme="majorBidi"/>
      <w:color w:val="00283E"/>
      <w:sz w:val="44"/>
      <w:szCs w:val="26"/>
    </w:rPr>
  </w:style>
  <w:style w:type="character" w:customStyle="1" w:styleId="Heading3Char">
    <w:name w:val="Heading 3 Char"/>
    <w:basedOn w:val="DefaultParagraphFont"/>
    <w:link w:val="Heading3"/>
    <w:uiPriority w:val="9"/>
    <w:rsid w:val="001768A9"/>
    <w:rPr>
      <w:rFonts w:ascii="Arial" w:eastAsiaTheme="majorEastAsia" w:hAnsi="Arial" w:cstheme="majorBidi"/>
      <w:color w:val="00283E"/>
      <w:sz w:val="36"/>
      <w:szCs w:val="24"/>
    </w:rPr>
  </w:style>
  <w:style w:type="character" w:customStyle="1" w:styleId="Heading4Char">
    <w:name w:val="Heading 4 Char"/>
    <w:basedOn w:val="DefaultParagraphFont"/>
    <w:link w:val="Heading4"/>
    <w:uiPriority w:val="9"/>
    <w:rsid w:val="001768A9"/>
    <w:rPr>
      <w:rFonts w:ascii="Arial" w:eastAsiaTheme="majorEastAsia" w:hAnsi="Arial" w:cstheme="majorBidi"/>
      <w:iCs/>
      <w:color w:val="00283E"/>
      <w:sz w:val="28"/>
    </w:rPr>
  </w:style>
  <w:style w:type="character" w:customStyle="1" w:styleId="Heading5Char">
    <w:name w:val="Heading 5 Char"/>
    <w:basedOn w:val="DefaultParagraphFont"/>
    <w:link w:val="Heading5"/>
    <w:uiPriority w:val="9"/>
    <w:rsid w:val="001768A9"/>
    <w:rPr>
      <w:rFonts w:ascii="Arial" w:eastAsiaTheme="majorEastAsia" w:hAnsi="Arial" w:cstheme="majorBidi"/>
      <w:b/>
      <w:color w:val="00283E"/>
    </w:rPr>
  </w:style>
  <w:style w:type="paragraph" w:styleId="ListParagraph">
    <w:name w:val="List Paragraph"/>
    <w:basedOn w:val="Normal"/>
    <w:uiPriority w:val="34"/>
    <w:qFormat/>
    <w:rsid w:val="00527E00"/>
    <w:pPr>
      <w:numPr>
        <w:numId w:val="1"/>
      </w:numPr>
      <w:ind w:left="284" w:hanging="284"/>
      <w:contextualSpacing/>
    </w:pPr>
  </w:style>
  <w:style w:type="paragraph" w:styleId="ListBullet">
    <w:name w:val="List Bullet"/>
    <w:basedOn w:val="ListParagraph"/>
    <w:uiPriority w:val="99"/>
    <w:unhideWhenUsed/>
    <w:rsid w:val="00DE3D00"/>
    <w:pPr>
      <w:numPr>
        <w:numId w:val="14"/>
      </w:numPr>
    </w:pPr>
  </w:style>
  <w:style w:type="paragraph" w:styleId="ListBullet2">
    <w:name w:val="List Bullet 2"/>
    <w:basedOn w:val="Normal"/>
    <w:uiPriority w:val="99"/>
    <w:unhideWhenUsed/>
    <w:rsid w:val="00040232"/>
    <w:pPr>
      <w:numPr>
        <w:numId w:val="4"/>
      </w:numPr>
      <w:spacing w:before="120"/>
      <w:ind w:left="641" w:hanging="357"/>
      <w:contextualSpacing/>
    </w:pPr>
  </w:style>
  <w:style w:type="paragraph" w:styleId="ListNumber">
    <w:name w:val="List Number"/>
    <w:basedOn w:val="ListParagraph"/>
    <w:uiPriority w:val="99"/>
    <w:unhideWhenUsed/>
    <w:rsid w:val="00DE3D00"/>
    <w:pPr>
      <w:numPr>
        <w:numId w:val="15"/>
      </w:numPr>
    </w:pPr>
  </w:style>
  <w:style w:type="paragraph" w:styleId="Quote">
    <w:name w:val="Quote"/>
    <w:basedOn w:val="Normal"/>
    <w:next w:val="Normal"/>
    <w:link w:val="QuoteChar"/>
    <w:uiPriority w:val="29"/>
    <w:qFormat/>
    <w:rsid w:val="00AE4CAE"/>
    <w:pPr>
      <w:pBdr>
        <w:top w:val="single" w:sz="4" w:space="1" w:color="58595B" w:themeColor="text2"/>
        <w:bottom w:val="single" w:sz="4" w:space="1" w:color="58595B" w:themeColor="text2"/>
      </w:pBdr>
      <w:spacing w:before="360" w:after="360" w:line="360" w:lineRule="auto"/>
      <w:ind w:left="862" w:right="862"/>
      <w:jc w:val="center"/>
    </w:pPr>
    <w:rPr>
      <w:i/>
      <w:iCs/>
      <w:color w:val="404040" w:themeColor="text1" w:themeTint="BF"/>
    </w:rPr>
  </w:style>
  <w:style w:type="character" w:customStyle="1" w:styleId="QuoteChar">
    <w:name w:val="Quote Char"/>
    <w:basedOn w:val="DefaultParagraphFont"/>
    <w:link w:val="Quote"/>
    <w:uiPriority w:val="29"/>
    <w:rsid w:val="00AE4CAE"/>
    <w:rPr>
      <w:rFonts w:ascii="Arial" w:hAnsi="Arial"/>
      <w:i/>
      <w:iCs/>
      <w:color w:val="404040" w:themeColor="text1" w:themeTint="BF"/>
    </w:rPr>
  </w:style>
  <w:style w:type="character" w:styleId="Hyperlink">
    <w:name w:val="Hyperlink"/>
    <w:basedOn w:val="DefaultParagraphFont"/>
    <w:uiPriority w:val="99"/>
    <w:unhideWhenUsed/>
    <w:rsid w:val="005C2356"/>
    <w:rPr>
      <w:color w:val="0070AE" w:themeColor="accent2" w:themeTint="BF"/>
      <w:u w:val="single"/>
    </w:rPr>
  </w:style>
  <w:style w:type="table" w:styleId="TableGrid">
    <w:name w:val="Table Grid"/>
    <w:basedOn w:val="TableNormal"/>
    <w:uiPriority w:val="39"/>
    <w:rsid w:val="005C2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654790"/>
    <w:pPr>
      <w:spacing w:after="0" w:line="240" w:lineRule="auto"/>
    </w:pPr>
    <w:tblPr>
      <w:tblStyleRowBandSize w:val="1"/>
      <w:tblStyleColBandSize w:val="1"/>
      <w:tblBorders>
        <w:top w:val="single" w:sz="4" w:space="0" w:color="C3E8EC" w:themeColor="accent5" w:themeTint="99"/>
        <w:left w:val="single" w:sz="4" w:space="0" w:color="C3E8EC" w:themeColor="accent5" w:themeTint="99"/>
        <w:bottom w:val="single" w:sz="4" w:space="0" w:color="C3E8EC" w:themeColor="accent5" w:themeTint="99"/>
        <w:right w:val="single" w:sz="4" w:space="0" w:color="C3E8EC" w:themeColor="accent5" w:themeTint="99"/>
        <w:insideH w:val="single" w:sz="4" w:space="0" w:color="C3E8EC" w:themeColor="accent5" w:themeTint="99"/>
        <w:insideV w:val="single" w:sz="4" w:space="0" w:color="C3E8EC" w:themeColor="accent5" w:themeTint="99"/>
      </w:tblBorders>
    </w:tblPr>
    <w:tblStylePr w:type="firstRow">
      <w:rPr>
        <w:b/>
        <w:bCs/>
        <w:color w:val="FFFFFF" w:themeColor="background1"/>
      </w:rPr>
      <w:tblPr/>
      <w:tcPr>
        <w:tcBorders>
          <w:top w:val="single" w:sz="4" w:space="0" w:color="9CD9E0" w:themeColor="accent5"/>
          <w:left w:val="single" w:sz="4" w:space="0" w:color="9CD9E0" w:themeColor="accent5"/>
          <w:bottom w:val="single" w:sz="4" w:space="0" w:color="9CD9E0" w:themeColor="accent5"/>
          <w:right w:val="single" w:sz="4" w:space="0" w:color="9CD9E0" w:themeColor="accent5"/>
          <w:insideH w:val="nil"/>
          <w:insideV w:val="nil"/>
        </w:tcBorders>
        <w:shd w:val="clear" w:color="auto" w:fill="9CD9E0" w:themeFill="accent5"/>
      </w:tcPr>
    </w:tblStylePr>
    <w:tblStylePr w:type="lastRow">
      <w:rPr>
        <w:b/>
        <w:bCs/>
      </w:rPr>
      <w:tblPr/>
      <w:tcPr>
        <w:tcBorders>
          <w:top w:val="double" w:sz="4" w:space="0" w:color="9CD9E0" w:themeColor="accent5"/>
        </w:tcBorders>
      </w:tcPr>
    </w:tblStylePr>
    <w:tblStylePr w:type="firstCol">
      <w:rPr>
        <w:b/>
        <w:bCs/>
      </w:rPr>
    </w:tblStylePr>
    <w:tblStylePr w:type="lastCol">
      <w:rPr>
        <w:b/>
        <w:bCs/>
      </w:rPr>
    </w:tblStylePr>
    <w:tblStylePr w:type="band1Vert">
      <w:tblPr/>
      <w:tcPr>
        <w:shd w:val="clear" w:color="auto" w:fill="EBF7F8" w:themeFill="accent5" w:themeFillTint="33"/>
      </w:tcPr>
    </w:tblStylePr>
    <w:tblStylePr w:type="band1Horz">
      <w:tblPr/>
      <w:tcPr>
        <w:shd w:val="clear" w:color="auto" w:fill="EBF7F8" w:themeFill="accent5" w:themeFillTint="33"/>
      </w:tcPr>
    </w:tblStylePr>
  </w:style>
  <w:style w:type="table" w:styleId="GridTable5Dark-Accent5">
    <w:name w:val="Grid Table 5 Dark Accent 5"/>
    <w:basedOn w:val="TableNormal"/>
    <w:uiPriority w:val="50"/>
    <w:rsid w:val="0065479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7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CD9E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CD9E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CD9E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CD9E0" w:themeFill="accent5"/>
      </w:tcPr>
    </w:tblStylePr>
    <w:tblStylePr w:type="band1Vert">
      <w:tblPr/>
      <w:tcPr>
        <w:shd w:val="clear" w:color="auto" w:fill="D7EFF2" w:themeFill="accent5" w:themeFillTint="66"/>
      </w:tcPr>
    </w:tblStylePr>
    <w:tblStylePr w:type="band1Horz">
      <w:tblPr/>
      <w:tcPr>
        <w:shd w:val="clear" w:color="auto" w:fill="D7EFF2" w:themeFill="accent5" w:themeFillTint="66"/>
      </w:tcPr>
    </w:tblStylePr>
  </w:style>
  <w:style w:type="table" w:styleId="GridTable5Dark-Accent1">
    <w:name w:val="Grid Table 5 Dark Accent 1"/>
    <w:basedOn w:val="TableNormal"/>
    <w:uiPriority w:val="50"/>
    <w:rsid w:val="0066054A"/>
    <w:pPr>
      <w:spacing w:after="0" w:line="240" w:lineRule="auto"/>
    </w:pPr>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0E9FF" w:themeFill="accent1" w:themeFillTint="33"/>
    </w:tcPr>
    <w:tblStylePr w:type="firstRow">
      <w:pPr>
        <w:wordWrap/>
        <w:spacing w:beforeLines="0" w:before="120" w:beforeAutospacing="0" w:afterLines="0" w:after="120" w:afterAutospacing="0"/>
        <w:jc w:val="center"/>
      </w:pPr>
      <w:rPr>
        <w:rFonts w:ascii="Arial" w:hAnsi="Arial"/>
        <w:b w:val="0"/>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677"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677" w:themeFill="accent1"/>
      </w:tcPr>
    </w:tblStylePr>
    <w:tblStylePr w:type="firstCol">
      <w:pPr>
        <w:jc w:val="left"/>
      </w:pPr>
      <w:rPr>
        <w:rFonts w:ascii="Arial" w:hAnsi="Arial"/>
        <w:b w:val="0"/>
        <w:bCs/>
        <w:color w:val="FFFFFF" w:themeColor="background1"/>
        <w:sz w:val="22"/>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677" w:themeFill="accent1"/>
        <w:vAlign w:val="center"/>
      </w:tcPr>
    </w:tblStylePr>
    <w:tblStylePr w:type="lastCol">
      <w:pPr>
        <w:wordWrap/>
        <w:jc w:val="center"/>
      </w:pPr>
      <w:rPr>
        <w:rFonts w:ascii="Arial" w:hAnsi="Arial"/>
        <w:b w:val="0"/>
        <w:bCs/>
        <w:color w:val="FFFFFF" w:themeColor="background1"/>
        <w:sz w:val="22"/>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677" w:themeFill="accent1"/>
        <w:vAlign w:val="center"/>
      </w:tcPr>
    </w:tblStylePr>
    <w:tblStylePr w:type="band1Vert">
      <w:tblPr/>
      <w:tcPr>
        <w:shd w:val="clear" w:color="auto" w:fill="62D3FF" w:themeFill="accent1" w:themeFillTint="66"/>
      </w:tcPr>
    </w:tblStylePr>
    <w:tblStylePr w:type="band1Horz">
      <w:pPr>
        <w:jc w:val="center"/>
      </w:pPr>
      <w:tblPr/>
      <w:tcPr>
        <w:shd w:val="clear" w:color="auto" w:fill="62D3FF" w:themeFill="accent1" w:themeFillTint="66"/>
        <w:vAlign w:val="center"/>
      </w:tcPr>
    </w:tblStylePr>
    <w:tblStylePr w:type="band2Horz">
      <w:pPr>
        <w:jc w:val="center"/>
      </w:pPr>
      <w:tblPr/>
      <w:tcPr>
        <w:vAlign w:val="center"/>
      </w:tcPr>
    </w:tblStylePr>
  </w:style>
  <w:style w:type="paragraph" w:styleId="Caption">
    <w:name w:val="caption"/>
    <w:basedOn w:val="Normal"/>
    <w:next w:val="Normal"/>
    <w:uiPriority w:val="35"/>
    <w:unhideWhenUsed/>
    <w:qFormat/>
    <w:rsid w:val="00AE4CAE"/>
    <w:pPr>
      <w:keepNext/>
      <w:spacing w:before="0" w:after="200" w:line="240" w:lineRule="auto"/>
    </w:pPr>
    <w:rPr>
      <w:i/>
      <w:iCs/>
      <w:color w:val="2C2C2D" w:themeColor="text2" w:themeShade="80"/>
      <w:szCs w:val="18"/>
    </w:rPr>
  </w:style>
  <w:style w:type="character" w:styleId="Emphasis">
    <w:name w:val="Emphasis"/>
    <w:basedOn w:val="DefaultParagraphFont"/>
    <w:uiPriority w:val="20"/>
    <w:qFormat/>
    <w:rsid w:val="00DE3D00"/>
    <w:rPr>
      <w:i/>
      <w:iCs/>
    </w:rPr>
  </w:style>
  <w:style w:type="character" w:styleId="Strong">
    <w:name w:val="Strong"/>
    <w:basedOn w:val="DefaultParagraphFont"/>
    <w:uiPriority w:val="22"/>
    <w:qFormat/>
    <w:rsid w:val="00DE3D00"/>
    <w:rPr>
      <w:b/>
      <w:bCs/>
    </w:rPr>
  </w:style>
  <w:style w:type="paragraph" w:styleId="TOCHeading">
    <w:name w:val="TOC Heading"/>
    <w:basedOn w:val="Heading1"/>
    <w:next w:val="Normal"/>
    <w:uiPriority w:val="39"/>
    <w:unhideWhenUsed/>
    <w:qFormat/>
    <w:rsid w:val="00EE6C16"/>
  </w:style>
  <w:style w:type="paragraph" w:styleId="TOC1">
    <w:name w:val="toc 1"/>
    <w:basedOn w:val="Normal"/>
    <w:next w:val="Normal"/>
    <w:autoRedefine/>
    <w:uiPriority w:val="39"/>
    <w:unhideWhenUsed/>
    <w:rsid w:val="00EE6C16"/>
    <w:pPr>
      <w:spacing w:after="100"/>
    </w:pPr>
  </w:style>
  <w:style w:type="paragraph" w:styleId="TOC2">
    <w:name w:val="toc 2"/>
    <w:basedOn w:val="Normal"/>
    <w:next w:val="Normal"/>
    <w:autoRedefine/>
    <w:uiPriority w:val="39"/>
    <w:unhideWhenUsed/>
    <w:rsid w:val="00EE6C16"/>
    <w:pPr>
      <w:spacing w:after="100"/>
      <w:ind w:left="220"/>
    </w:pPr>
  </w:style>
  <w:style w:type="paragraph" w:styleId="TOC3">
    <w:name w:val="toc 3"/>
    <w:basedOn w:val="Normal"/>
    <w:next w:val="Normal"/>
    <w:autoRedefine/>
    <w:uiPriority w:val="39"/>
    <w:unhideWhenUsed/>
    <w:rsid w:val="00EE6C16"/>
    <w:pPr>
      <w:spacing w:after="100"/>
      <w:ind w:left="440"/>
    </w:pPr>
  </w:style>
  <w:style w:type="paragraph" w:styleId="Subtitle">
    <w:name w:val="Subtitle"/>
    <w:basedOn w:val="Title"/>
    <w:next w:val="Normal"/>
    <w:link w:val="SubtitleChar"/>
    <w:uiPriority w:val="11"/>
    <w:qFormat/>
    <w:rsid w:val="00EE6C16"/>
    <w:pPr>
      <w:spacing w:before="240" w:after="240"/>
      <w:contextualSpacing w:val="0"/>
    </w:pPr>
    <w:rPr>
      <w:color w:val="7F7F7F" w:themeColor="text1" w:themeTint="80"/>
      <w:sz w:val="40"/>
    </w:rPr>
  </w:style>
  <w:style w:type="character" w:customStyle="1" w:styleId="SubtitleChar">
    <w:name w:val="Subtitle Char"/>
    <w:basedOn w:val="DefaultParagraphFont"/>
    <w:link w:val="Subtitle"/>
    <w:uiPriority w:val="11"/>
    <w:rsid w:val="00EE6C16"/>
    <w:rPr>
      <w:rFonts w:ascii="Arial" w:eastAsiaTheme="majorEastAsia" w:hAnsi="Arial" w:cstheme="majorBidi"/>
      <w:color w:val="7F7F7F" w:themeColor="text1" w:themeTint="80"/>
      <w:spacing w:val="-10"/>
      <w:kern w:val="28"/>
      <w:sz w:val="40"/>
      <w:szCs w:val="56"/>
    </w:rPr>
  </w:style>
  <w:style w:type="paragraph" w:customStyle="1" w:styleId="Default">
    <w:name w:val="Default"/>
    <w:rsid w:val="00E33118"/>
    <w:pPr>
      <w:autoSpaceDE w:val="0"/>
      <w:autoSpaceDN w:val="0"/>
      <w:adjustRightInd w:val="0"/>
      <w:spacing w:after="0" w:line="240" w:lineRule="auto"/>
    </w:pPr>
    <w:rPr>
      <w:rFonts w:ascii="Century Schoolbook" w:hAnsi="Century Schoolbook" w:cs="Century Schoolbook"/>
      <w:color w:val="000000"/>
      <w:sz w:val="24"/>
      <w:szCs w:val="24"/>
    </w:rPr>
  </w:style>
  <w:style w:type="table" w:styleId="ListTable5Dark-Accent3">
    <w:name w:val="List Table 5 Dark Accent 3"/>
    <w:basedOn w:val="TableNormal"/>
    <w:uiPriority w:val="50"/>
    <w:rsid w:val="00EC5CBF"/>
    <w:pPr>
      <w:spacing w:after="0" w:line="240" w:lineRule="auto"/>
    </w:pPr>
    <w:rPr>
      <w:color w:val="FFFFFF" w:themeColor="background1"/>
    </w:rPr>
    <w:tblPr>
      <w:tblStyleRowBandSize w:val="1"/>
      <w:tblStyleColBandSize w:val="1"/>
      <w:tblBorders>
        <w:top w:val="single" w:sz="24" w:space="0" w:color="1B9590" w:themeColor="accent3"/>
        <w:left w:val="single" w:sz="24" w:space="0" w:color="1B9590" w:themeColor="accent3"/>
        <w:bottom w:val="single" w:sz="24" w:space="0" w:color="1B9590" w:themeColor="accent3"/>
        <w:right w:val="single" w:sz="24" w:space="0" w:color="1B9590" w:themeColor="accent3"/>
      </w:tblBorders>
    </w:tblPr>
    <w:tcPr>
      <w:shd w:val="clear" w:color="auto" w:fill="1B959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C5CBF"/>
    <w:pPr>
      <w:spacing w:after="0" w:line="240" w:lineRule="auto"/>
    </w:pPr>
    <w:rPr>
      <w:color w:val="FFFFFF" w:themeColor="background1"/>
    </w:rPr>
    <w:tblPr>
      <w:tblStyleRowBandSize w:val="1"/>
      <w:tblStyleColBandSize w:val="1"/>
      <w:tblBorders>
        <w:top w:val="single" w:sz="24" w:space="0" w:color="61C6C6" w:themeColor="accent4"/>
        <w:left w:val="single" w:sz="24" w:space="0" w:color="61C6C6" w:themeColor="accent4"/>
        <w:bottom w:val="single" w:sz="24" w:space="0" w:color="61C6C6" w:themeColor="accent4"/>
        <w:right w:val="single" w:sz="24" w:space="0" w:color="61C6C6" w:themeColor="accent4"/>
      </w:tblBorders>
    </w:tblPr>
    <w:tcPr>
      <w:shd w:val="clear" w:color="auto" w:fill="61C6C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C5CB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1">
    <w:name w:val="List Table 3 Accent 1"/>
    <w:basedOn w:val="TableNormal"/>
    <w:uiPriority w:val="48"/>
    <w:rsid w:val="00EC5CBF"/>
    <w:pPr>
      <w:spacing w:after="0" w:line="240" w:lineRule="auto"/>
    </w:pPr>
    <w:tblPr>
      <w:tblStyleRowBandSize w:val="1"/>
      <w:tblStyleColBandSize w:val="1"/>
      <w:tblBorders>
        <w:top w:val="single" w:sz="4" w:space="0" w:color="005677" w:themeColor="accent1"/>
        <w:left w:val="single" w:sz="4" w:space="0" w:color="005677" w:themeColor="accent1"/>
        <w:bottom w:val="single" w:sz="4" w:space="0" w:color="005677" w:themeColor="accent1"/>
        <w:right w:val="single" w:sz="4" w:space="0" w:color="005677" w:themeColor="accent1"/>
      </w:tblBorders>
    </w:tblPr>
    <w:tblStylePr w:type="firstRow">
      <w:rPr>
        <w:b/>
        <w:bCs/>
        <w:color w:val="FFFFFF" w:themeColor="background1"/>
      </w:rPr>
      <w:tblPr/>
      <w:tcPr>
        <w:shd w:val="clear" w:color="auto" w:fill="005677" w:themeFill="accent1"/>
      </w:tcPr>
    </w:tblStylePr>
    <w:tblStylePr w:type="lastRow">
      <w:rPr>
        <w:b/>
        <w:bCs/>
      </w:rPr>
      <w:tblPr/>
      <w:tcPr>
        <w:tcBorders>
          <w:top w:val="double" w:sz="4" w:space="0" w:color="00567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677" w:themeColor="accent1"/>
          <w:right w:val="single" w:sz="4" w:space="0" w:color="005677" w:themeColor="accent1"/>
        </w:tcBorders>
      </w:tcPr>
    </w:tblStylePr>
    <w:tblStylePr w:type="band1Horz">
      <w:tblPr/>
      <w:tcPr>
        <w:tcBorders>
          <w:top w:val="single" w:sz="4" w:space="0" w:color="005677" w:themeColor="accent1"/>
          <w:bottom w:val="single" w:sz="4" w:space="0" w:color="00567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677" w:themeColor="accent1"/>
          <w:left w:val="nil"/>
        </w:tcBorders>
      </w:tcPr>
    </w:tblStylePr>
    <w:tblStylePr w:type="swCell">
      <w:tblPr/>
      <w:tcPr>
        <w:tcBorders>
          <w:top w:val="double" w:sz="4" w:space="0" w:color="005677" w:themeColor="accent1"/>
          <w:right w:val="nil"/>
        </w:tcBorders>
      </w:tcPr>
    </w:tblStylePr>
  </w:style>
  <w:style w:type="paragraph" w:styleId="NoSpacing">
    <w:name w:val="No Spacing"/>
    <w:uiPriority w:val="1"/>
    <w:qFormat/>
    <w:rsid w:val="00D662E0"/>
    <w:pPr>
      <w:spacing w:after="0" w:line="240" w:lineRule="auto"/>
    </w:pPr>
    <w:rPr>
      <w:rFonts w:ascii="Arial" w:eastAsiaTheme="minorEastAsia" w:hAnsi="Arial"/>
      <w:lang w:val="en-US"/>
    </w:rPr>
  </w:style>
  <w:style w:type="character" w:styleId="FollowedHyperlink">
    <w:name w:val="FollowedHyperlink"/>
    <w:basedOn w:val="DefaultParagraphFont"/>
    <w:uiPriority w:val="99"/>
    <w:semiHidden/>
    <w:unhideWhenUsed/>
    <w:rsid w:val="00102725"/>
    <w:rPr>
      <w:color w:val="7030A0" w:themeColor="followedHyperlink"/>
      <w:u w:val="single"/>
    </w:rPr>
  </w:style>
  <w:style w:type="table" w:styleId="ListTable3-Accent3">
    <w:name w:val="List Table 3 Accent 3"/>
    <w:basedOn w:val="TableNormal"/>
    <w:uiPriority w:val="48"/>
    <w:rsid w:val="004918CD"/>
    <w:pPr>
      <w:spacing w:after="0" w:line="240" w:lineRule="auto"/>
    </w:pPr>
    <w:tblPr>
      <w:tblStyleRowBandSize w:val="1"/>
      <w:tblStyleColBandSize w:val="1"/>
      <w:tblBorders>
        <w:top w:val="single" w:sz="4" w:space="0" w:color="1B9590" w:themeColor="accent3"/>
        <w:left w:val="single" w:sz="4" w:space="0" w:color="1B9590" w:themeColor="accent3"/>
        <w:bottom w:val="single" w:sz="4" w:space="0" w:color="1B9590" w:themeColor="accent3"/>
        <w:right w:val="single" w:sz="4" w:space="0" w:color="1B9590" w:themeColor="accent3"/>
      </w:tblBorders>
    </w:tblPr>
    <w:tblStylePr w:type="firstRow">
      <w:rPr>
        <w:b/>
        <w:bCs/>
        <w:color w:val="FFFFFF" w:themeColor="background1"/>
      </w:rPr>
      <w:tblPr/>
      <w:tcPr>
        <w:shd w:val="clear" w:color="auto" w:fill="1B9590" w:themeFill="accent3"/>
      </w:tcPr>
    </w:tblStylePr>
    <w:tblStylePr w:type="lastRow">
      <w:rPr>
        <w:b/>
        <w:bCs/>
      </w:rPr>
      <w:tblPr/>
      <w:tcPr>
        <w:tcBorders>
          <w:top w:val="double" w:sz="4" w:space="0" w:color="1B959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B9590" w:themeColor="accent3"/>
          <w:right w:val="single" w:sz="4" w:space="0" w:color="1B9590" w:themeColor="accent3"/>
        </w:tcBorders>
      </w:tcPr>
    </w:tblStylePr>
    <w:tblStylePr w:type="band1Horz">
      <w:tblPr/>
      <w:tcPr>
        <w:tcBorders>
          <w:top w:val="single" w:sz="4" w:space="0" w:color="1B9590" w:themeColor="accent3"/>
          <w:bottom w:val="single" w:sz="4" w:space="0" w:color="1B959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B9590" w:themeColor="accent3"/>
          <w:left w:val="nil"/>
        </w:tcBorders>
      </w:tcPr>
    </w:tblStylePr>
    <w:tblStylePr w:type="swCell">
      <w:tblPr/>
      <w:tcPr>
        <w:tcBorders>
          <w:top w:val="double" w:sz="4" w:space="0" w:color="1B9590" w:themeColor="accent3"/>
          <w:right w:val="nil"/>
        </w:tcBorders>
      </w:tcPr>
    </w:tblStylePr>
  </w:style>
  <w:style w:type="character" w:styleId="CommentReference">
    <w:name w:val="annotation reference"/>
    <w:basedOn w:val="DefaultParagraphFont"/>
    <w:uiPriority w:val="99"/>
    <w:semiHidden/>
    <w:unhideWhenUsed/>
    <w:rsid w:val="00EE222A"/>
    <w:rPr>
      <w:sz w:val="16"/>
      <w:szCs w:val="16"/>
    </w:rPr>
  </w:style>
  <w:style w:type="paragraph" w:styleId="CommentText">
    <w:name w:val="annotation text"/>
    <w:basedOn w:val="Normal"/>
    <w:link w:val="CommentTextChar"/>
    <w:uiPriority w:val="99"/>
    <w:semiHidden/>
    <w:unhideWhenUsed/>
    <w:rsid w:val="00EE222A"/>
    <w:pPr>
      <w:spacing w:line="240" w:lineRule="auto"/>
    </w:pPr>
    <w:rPr>
      <w:sz w:val="20"/>
      <w:szCs w:val="20"/>
    </w:rPr>
  </w:style>
  <w:style w:type="character" w:customStyle="1" w:styleId="CommentTextChar">
    <w:name w:val="Comment Text Char"/>
    <w:basedOn w:val="DefaultParagraphFont"/>
    <w:link w:val="CommentText"/>
    <w:uiPriority w:val="99"/>
    <w:semiHidden/>
    <w:rsid w:val="00EE222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E222A"/>
    <w:rPr>
      <w:b/>
      <w:bCs/>
    </w:rPr>
  </w:style>
  <w:style w:type="character" w:customStyle="1" w:styleId="CommentSubjectChar">
    <w:name w:val="Comment Subject Char"/>
    <w:basedOn w:val="CommentTextChar"/>
    <w:link w:val="CommentSubject"/>
    <w:uiPriority w:val="99"/>
    <w:semiHidden/>
    <w:rsid w:val="00EE222A"/>
    <w:rPr>
      <w:rFonts w:ascii="Arial" w:hAnsi="Arial"/>
      <w:b/>
      <w:bCs/>
      <w:sz w:val="20"/>
      <w:szCs w:val="20"/>
    </w:rPr>
  </w:style>
  <w:style w:type="paragraph" w:styleId="BalloonText">
    <w:name w:val="Balloon Text"/>
    <w:basedOn w:val="Normal"/>
    <w:link w:val="BalloonTextChar"/>
    <w:uiPriority w:val="99"/>
    <w:semiHidden/>
    <w:unhideWhenUsed/>
    <w:rsid w:val="00EE222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7173">
      <w:bodyDiv w:val="1"/>
      <w:marLeft w:val="0"/>
      <w:marRight w:val="0"/>
      <w:marTop w:val="0"/>
      <w:marBottom w:val="0"/>
      <w:divBdr>
        <w:top w:val="none" w:sz="0" w:space="0" w:color="auto"/>
        <w:left w:val="none" w:sz="0" w:space="0" w:color="auto"/>
        <w:bottom w:val="none" w:sz="0" w:space="0" w:color="auto"/>
        <w:right w:val="none" w:sz="0" w:space="0" w:color="auto"/>
      </w:divBdr>
    </w:div>
    <w:div w:id="783495874">
      <w:bodyDiv w:val="1"/>
      <w:marLeft w:val="0"/>
      <w:marRight w:val="0"/>
      <w:marTop w:val="0"/>
      <w:marBottom w:val="0"/>
      <w:divBdr>
        <w:top w:val="none" w:sz="0" w:space="0" w:color="auto"/>
        <w:left w:val="none" w:sz="0" w:space="0" w:color="auto"/>
        <w:bottom w:val="none" w:sz="0" w:space="0" w:color="auto"/>
        <w:right w:val="none" w:sz="0" w:space="0" w:color="auto"/>
      </w:divBdr>
    </w:div>
    <w:div w:id="1140343032">
      <w:bodyDiv w:val="1"/>
      <w:marLeft w:val="0"/>
      <w:marRight w:val="0"/>
      <w:marTop w:val="0"/>
      <w:marBottom w:val="0"/>
      <w:divBdr>
        <w:top w:val="none" w:sz="0" w:space="0" w:color="auto"/>
        <w:left w:val="none" w:sz="0" w:space="0" w:color="auto"/>
        <w:bottom w:val="none" w:sz="0" w:space="0" w:color="auto"/>
        <w:right w:val="none" w:sz="0" w:space="0" w:color="auto"/>
      </w:divBdr>
    </w:div>
    <w:div w:id="1361081800">
      <w:bodyDiv w:val="1"/>
      <w:marLeft w:val="0"/>
      <w:marRight w:val="0"/>
      <w:marTop w:val="0"/>
      <w:marBottom w:val="0"/>
      <w:divBdr>
        <w:top w:val="none" w:sz="0" w:space="0" w:color="auto"/>
        <w:left w:val="none" w:sz="0" w:space="0" w:color="auto"/>
        <w:bottom w:val="none" w:sz="0" w:space="0" w:color="auto"/>
        <w:right w:val="none" w:sz="0" w:space="0" w:color="auto"/>
      </w:divBdr>
    </w:div>
    <w:div w:id="1709185760">
      <w:bodyDiv w:val="1"/>
      <w:marLeft w:val="0"/>
      <w:marRight w:val="0"/>
      <w:marTop w:val="0"/>
      <w:marBottom w:val="0"/>
      <w:divBdr>
        <w:top w:val="none" w:sz="0" w:space="0" w:color="auto"/>
        <w:left w:val="none" w:sz="0" w:space="0" w:color="auto"/>
        <w:bottom w:val="none" w:sz="0" w:space="0" w:color="auto"/>
        <w:right w:val="none" w:sz="0" w:space="0" w:color="auto"/>
      </w:divBdr>
    </w:div>
    <w:div w:id="177624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2010%20Templates\Workgroup%20Templates\Departmental\Report.dotx" TargetMode="External"/></Relationships>
</file>

<file path=word/theme/theme1.xml><?xml version="1.0" encoding="utf-8"?>
<a:theme xmlns:a="http://schemas.openxmlformats.org/drawingml/2006/main" name="Office Theme">
  <a:themeElements>
    <a:clrScheme name="Department">
      <a:dk1>
        <a:sysClr val="windowText" lastClr="000000"/>
      </a:dk1>
      <a:lt1>
        <a:sysClr val="window" lastClr="FFFFFF"/>
      </a:lt1>
      <a:dk2>
        <a:srgbClr val="58595B"/>
      </a:dk2>
      <a:lt2>
        <a:srgbClr val="E7E6E6"/>
      </a:lt2>
      <a:accent1>
        <a:srgbClr val="005677"/>
      </a:accent1>
      <a:accent2>
        <a:srgbClr val="00283E"/>
      </a:accent2>
      <a:accent3>
        <a:srgbClr val="1B9590"/>
      </a:accent3>
      <a:accent4>
        <a:srgbClr val="61C6C6"/>
      </a:accent4>
      <a:accent5>
        <a:srgbClr val="9CD9E0"/>
      </a:accent5>
      <a:accent6>
        <a:srgbClr val="C973AF"/>
      </a:accent6>
      <a:hlink>
        <a:srgbClr val="0070C0"/>
      </a:hlink>
      <a:folHlink>
        <a:srgbClr val="7030A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61BAAF10AB62C742BF4D5989700B5C0E" ma:contentTypeVersion="78" ma:contentTypeDescription="Core Publishing Document, inherited from OOTB document." ma:contentTypeScope="" ma:versionID="59fd1d99d520d2855aba654b571d1d71">
  <xsd:schema xmlns:xsd="http://www.w3.org/2001/XMLSchema" xmlns:xs="http://www.w3.org/2001/XMLSchema" xmlns:p="http://schemas.microsoft.com/office/2006/metadata/properties" xmlns:ns1="http://schemas.microsoft.com/sharepoint/v3" xmlns:ns2="2445f7c2-d4cc-4bdc-9f7a-7cb4790685ed" xmlns:ns3="69ad9b3d-2ff4-43e1-b635-1c054e9f60f5" xmlns:ns4="c0b4bd0a-f6ac-422c-a0b2-ddc3a705a698" targetNamespace="http://schemas.microsoft.com/office/2006/metadata/properties" ma:root="true" ma:fieldsID="b896f2fda57930e0555de971226134b5" ns1:_="" ns2:_="" ns3:_="" ns4:_="">
    <xsd:import namespace="http://schemas.microsoft.com/sharepoint/v3"/>
    <xsd:import namespace="2445f7c2-d4cc-4bdc-9f7a-7cb4790685ed"/>
    <xsd:import namespace="69ad9b3d-2ff4-43e1-b635-1c054e9f60f5"/>
    <xsd:import namespace="c0b4bd0a-f6ac-422c-a0b2-ddc3a705a698"/>
    <xsd:element name="properties">
      <xsd:complexType>
        <xsd:sequence>
          <xsd:element name="documentManagement">
            <xsd:complexType>
              <xsd:all>
                <xsd:element ref="ns2:CorePublishingComments" minOccurs="0"/>
                <xsd:element ref="ns1:PublishingStartDate" minOccurs="0"/>
                <xsd:element ref="ns1:PublishingExpirationDate" minOccurs="0"/>
                <xsd:element ref="ns3:CorePublishingDocumentContact" minOccurs="0"/>
                <xsd:element ref="ns4:SubjectLookupField" minOccurs="0"/>
                <xsd:element ref="ns4:KeywordsLookupField" minOccurs="0"/>
                <xsd:element ref="ns4: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3:CorePublishingDocumentChangeDescription" minOccurs="0"/>
                <xsd:element ref="ns4: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45f7c2-d4cc-4bdc-9f7a-7cb4790685ed"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ma:readOnly="fals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9ad9b3d-2ff4-43e1-b635-1c054e9f60f5" elementFormDefault="qualified">
    <xsd:import namespace="http://schemas.microsoft.com/office/2006/documentManagement/types"/>
    <xsd:import namespace="http://schemas.microsoft.com/office/infopath/2007/PartnerControls"/>
    <xsd:element name="CorePublishingDocumentContact" ma:index="11" nillable="true" ma:displayName="Document Contact" ma:list="UserInfo" ma:internalName="CorePublishingDocument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4bd0a-f6ac-422c-a0b2-ddc3a705a698" elementFormDefault="qualified">
    <xsd:import namespace="http://schemas.microsoft.com/office/2006/documentManagement/types"/>
    <xsd:import namespace="http://schemas.microsoft.com/office/infopath/2007/PartnerControls"/>
    <xsd:element name="SubjectLookupField" ma:index="12" nillable="true" ma:displayName="Subject" ma:list="4a441248-04bf-4c62-8747-8bfb61e5e21c" ma:internalName="Subject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fbec0be5-db93-4c03-a796-ce5d02f374a3" ma:internalName="Keywords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233fae74-8b6e-4f87-8db3-5052d625541f}" ma:internalName="CorePublishingDocumentCategory" ma:showField="Title" ma:web="c0b4bd0a-f6ac-422c-a0b2-ddc3a705a698">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6ca4ea36-3739-485e-8e04-ddf89b384e56}" ma:internalName="DocumentRollupCategory"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orePublishingDocumentCategory xmlns="c0b4bd0a-f6ac-422c-a0b2-ddc3a705a698" xsi:nil="true"/>
    <IPSCategory xmlns="2445f7c2-d4cc-4bdc-9f7a-7cb4790685ed" xsi:nil="true"/>
    <IncludeInNotificationsAndUpdates xmlns="2445f7c2-d4cc-4bdc-9f7a-7cb4790685ed">true</IncludeInNotificationsAndUpdates>
    <CorePublishingComments xmlns="2445f7c2-d4cc-4bdc-9f7a-7cb4790685ed" xsi:nil="true"/>
    <IncludeInRSSFeeds xmlns="2445f7c2-d4cc-4bdc-9f7a-7cb4790685ed">false</IncludeInRSSFeeds>
    <KeywordsLookupField xmlns="c0b4bd0a-f6ac-422c-a0b2-ddc3a705a698"/>
    <IncludeInContentRollups xmlns="2445f7c2-d4cc-4bdc-9f7a-7cb4790685ed">false</IncludeInContentRollups>
    <CorePublishingFileReference xmlns="2445f7c2-d4cc-4bdc-9f7a-7cb4790685ed">COM:3506</CorePublishingFileReference>
    <SubjectLookupField xmlns="c0b4bd0a-f6ac-422c-a0b2-ddc3a705a698"/>
    <CorePublishingDocumentContact xmlns="69ad9b3d-2ff4-43e1-b635-1c054e9f60f5">
      <UserInfo>
        <DisplayName>online</DisplayName>
        <AccountId>189</AccountId>
        <AccountType/>
      </UserInfo>
    </CorePublishingDocumentContact>
    <PublishingExpirationDate xmlns="http://schemas.microsoft.com/sharepoint/v3" xsi:nil="true"/>
    <PublishingStartDate xmlns="http://schemas.microsoft.com/sharepoint/v3" xsi:nil="true"/>
    <DocumentRollupCategory xmlns="c0b4bd0a-f6ac-422c-a0b2-ddc3a705a698"/>
    <CorePublishingDocumentChangeDescription xmlns="69ad9b3d-2ff4-43e1-b635-1c054e9f60f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1A2530-07E2-49C3-BA27-BBA328C5DEC2}"/>
</file>

<file path=customXml/itemProps2.xml><?xml version="1.0" encoding="utf-8"?>
<ds:datastoreItem xmlns:ds="http://schemas.openxmlformats.org/officeDocument/2006/customXml" ds:itemID="{9B1436A0-CC52-4E60-87A6-7A3E2CB82AAD}"/>
</file>

<file path=customXml/itemProps3.xml><?xml version="1.0" encoding="utf-8"?>
<ds:datastoreItem xmlns:ds="http://schemas.openxmlformats.org/officeDocument/2006/customXml" ds:itemID="{38655A77-9FCF-44C8-8D39-971793E0CAE0}"/>
</file>

<file path=customXml/itemProps4.xml><?xml version="1.0" encoding="utf-8"?>
<ds:datastoreItem xmlns:ds="http://schemas.openxmlformats.org/officeDocument/2006/customXml" ds:itemID="{BE09F5F9-9EDA-4965-9398-408C5EF9D40B}"/>
</file>

<file path=customXml/itemProps5.xml><?xml version="1.0" encoding="utf-8"?>
<ds:datastoreItem xmlns:ds="http://schemas.openxmlformats.org/officeDocument/2006/customXml" ds:itemID="{BE09F5F9-9EDA-4965-9398-408C5EF9D40B}"/>
</file>

<file path=docProps/app.xml><?xml version="1.0" encoding="utf-8"?>
<Properties xmlns="http://schemas.openxmlformats.org/officeDocument/2006/extended-properties" xmlns:vt="http://schemas.openxmlformats.org/officeDocument/2006/docPropsVTypes">
  <Template>Report</Template>
  <TotalTime>1</TotalTime>
  <Pages>5</Pages>
  <Words>773</Words>
  <Characters>4551</Characters>
  <Application>Microsoft Office Word</Application>
  <DocSecurity>8</DocSecurity>
  <Lines>252</Lines>
  <Paragraphs>190</Paragraphs>
  <ScaleCrop>false</ScaleCrop>
  <HeadingPairs>
    <vt:vector size="2" baseType="variant">
      <vt:variant>
        <vt:lpstr>Title</vt:lpstr>
      </vt:variant>
      <vt:variant>
        <vt:i4>1</vt:i4>
      </vt:variant>
    </vt:vector>
  </HeadingPairs>
  <TitlesOfParts>
    <vt:vector size="1" baseType="lpstr">
      <vt:lpstr>Remuneration disclosure for executive and other highly paid staff</vt:lpstr>
    </vt:vector>
  </TitlesOfParts>
  <Company>Department of Industry, Innovation and Science</Company>
  <LinksUpToDate>false</LinksUpToDate>
  <CharactersWithSpaces>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Remuneration disclosure for executive and other highly paid staff</dc:title>
  <dc:subject/>
  <dc:creator>Hughes, Mitchell</dc:creator>
  <cp:keywords>2016-17</cp:keywords>
  <dc:description>Accessible version - Published on 31 July 2017</dc:description>
  <cp:lastModifiedBy>Hughes, Mitchell</cp:lastModifiedBy>
  <cp:revision>2</cp:revision>
  <dcterms:created xsi:type="dcterms:W3CDTF">2017-07-26T05:47:00Z</dcterms:created>
  <dcterms:modified xsi:type="dcterms:W3CDTF">2017-07-26T05:47:00Z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0x01010097F86F0C24D64525B252BB20BD9D45A70061BAAF10AB62C742BF4D5989700B5C0E</vt:lpwstr>
  </property>
  <property fmtid="{D5CDD505-2E9C-101B-9397-08002B2CF9AE}" pid="3" name="_dlc_DocIdItemGuid">
    <vt:lpwstr>2c88ff88-11b7-4642-b0da-b5c0917eb5f2</vt:lpwstr>
  </property>
  <property fmtid="{D5CDD505-2E9C-101B-9397-08002B2CF9AE}" pid="4" name="DocHub_Year">
    <vt:lpwstr>154;#2016-17|5fb9d5be-9157-4d58-b0c7-60086eb32349</vt:lpwstr>
  </property>
  <property fmtid="{D5CDD505-2E9C-101B-9397-08002B2CF9AE}" pid="5" name="DocHub_DocumentType">
    <vt:lpwstr>51;#Report|116a9244-cef6-47ce-a9a5-088c9cf21292</vt:lpwstr>
  </property>
  <property fmtid="{D5CDD505-2E9C-101B-9397-08002B2CF9AE}" pid="6" name="DocHub_SecurityClassification">
    <vt:lpwstr>3;#UNCLASSIFIED|6106d03b-a1a0-4e30-9d91-d5e9fb4314f9</vt:lpwstr>
  </property>
  <property fmtid="{D5CDD505-2E9C-101B-9397-08002B2CF9AE}" pid="7" name="DocHub_PeoplePolicyTopics">
    <vt:lpwstr>5326;#Senior Executive Service (SES)|dee9d43b-f6f0-44f1-be70-b4eb16fa027f</vt:lpwstr>
  </property>
  <property fmtid="{D5CDD505-2E9C-101B-9397-08002B2CF9AE}" pid="8" name="DocHub_Keywords">
    <vt:lpwstr>5593;#Annual Disclosure|002870ec-150f-489d-a355-46661c92c99d</vt:lpwstr>
  </property>
  <property fmtid="{D5CDD505-2E9C-101B-9397-08002B2CF9AE}" pid="9" name="DocHub_WorkActivity">
    <vt:lpwstr>80;#Reporting|12af97d0-e555-43d0-b3d2-0f0b8e33cc04</vt:lpwstr>
  </property>
</Properties>
</file>