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1245"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1y AIP Authority (printed on Wed Jul 06 2022 10:49:35 GMT+1 000 (AEST)) *****</w:t>
      </w:r>
    </w:p>
    <w:p>
      <w:pPr>
        <w:spacing w:before="3" w:after="1245" w:line="188" w:lineRule="exact"/>
        <w:sectPr>
          <w:type w:val="nextPage"/>
          <w:pgSz w:w="11904" w:h="16843" w:orient="portrait"/>
          <w:pgMar w:bottom="867" w:top="1040" w:right="847" w:left="557" w:header="720" w:footer="720"/>
          <w:titlePg w:val="false"/>
          <w:textDirection w:val="lrTb"/>
        </w:sectPr>
      </w:pPr>
    </w:p>
    <w:p>
      <w:pPr>
        <w:spacing w:before="0" w:after="131" w:line="240" w:lineRule="auto"/>
        <w:ind w:right="4025" w:left="3629"/>
        <w:jc w:val="left"/>
        <w:textAlignment w:val="baseline"/>
      </w:pPr>
      <w:r>
        <w:drawing>
          <wp:inline>
            <wp:extent cx="1807210" cy="21590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5900"/>
                    </a:xfrm>
                    <a:prstGeom prst="rect"/>
                  </pic:spPr>
                </pic:pic>
              </a:graphicData>
            </a:graphic>
          </wp:inline>
        </w:drawing>
      </w:r>
    </w:p>
    <w:p>
      <w:pPr>
        <w:spacing w:before="3" w:after="355" w:line="404" w:lineRule="exact"/>
        <w:ind w:right="0" w:left="0" w:firstLine="0"/>
        <w:jc w:val="center"/>
        <w:textAlignment w:val="baseline"/>
        <w:rPr>
          <w:rFonts w:ascii="Tahoma" w:hAnsi="Tahoma" w:eastAsia="Tahoma"/>
          <w:color w:val="000000"/>
          <w:spacing w:val="6"/>
          <w:w w:val="100"/>
          <w:sz w:val="33"/>
          <w:vertAlign w:val="baseline"/>
          <w:lang w:val="en-US"/>
        </w:rPr>
      </w:pPr>
      <w:r>
        <w:rPr>
          <w:rFonts w:ascii="Tahoma" w:hAnsi="Tahoma" w:eastAsia="Tahoma"/>
          <w:color w:val="000000"/>
          <w:spacing w:val="6"/>
          <w:w w:val="100"/>
          <w:sz w:val="33"/>
          <w:vertAlign w:val="baseline"/>
          <w:lang w:val="en-US"/>
        </w:rPr>
        <w:t xml:space="preserve">Australian Jobs Act 2013</w:t>
      </w:r>
    </w:p>
    <w:p>
      <w:pPr>
        <w:spacing w:before="456" w:after="86" w:line="404" w:lineRule="exact"/>
        <w:ind w:right="0" w:left="0" w:firstLine="0"/>
        <w:jc w:val="center"/>
        <w:textAlignment w:val="baseline"/>
        <w:rPr>
          <w:rFonts w:ascii="Tahoma" w:hAnsi="Tahoma" w:eastAsia="Tahoma"/>
          <w:color w:val="000000"/>
          <w:spacing w:val="5"/>
          <w:w w:val="100"/>
          <w:sz w:val="33"/>
          <w:vertAlign w:val="baseline"/>
          <w:lang w:val="en-US"/>
        </w:rPr>
      </w:pPr>
      <w:r>
        <w:pict>
          <v:line strokeweight="3.35pt" strokecolor="#347C87" from="27.85pt,187.7pt" to="552.9pt,187.7pt" style="position:absolute;mso-position-horizontal-relative:page;mso-position-vertical-relative:page;">
            <v:stroke dashstyle="solid"/>
          </v:line>
        </w:pict>
      </w:r>
      <w:r>
        <w:rPr>
          <w:rFonts w:ascii="Tahoma" w:hAnsi="Tahoma" w:eastAsia="Tahoma"/>
          <w:color w:val="000000"/>
          <w:spacing w:val="5"/>
          <w:w w:val="100"/>
          <w:sz w:val="33"/>
          <w:vertAlign w:val="baseline"/>
          <w:lang w:val="en-US"/>
        </w:rPr>
        <w:t xml:space="preserve">Australian Industry Participation Plan Summary - Project Phase</w:t>
      </w:r>
    </w:p>
    <w:p>
      <w:pPr>
        <w:spacing w:before="118" w:after="0" w:line="192" w:lineRule="exact"/>
        <w:ind w:right="0" w:left="288" w:firstLine="0"/>
        <w:jc w:val="left"/>
        <w:textAlignment w:val="baseline"/>
        <w:rPr>
          <w:rFonts w:ascii="Arial" w:hAnsi="Arial" w:eastAsia="Arial"/>
          <w:b w:val="true"/>
          <w:color w:val="000000"/>
          <w:spacing w:val="3"/>
          <w:w w:val="100"/>
          <w:sz w:val="16"/>
          <w:vertAlign w:val="baseline"/>
          <w:lang w:val="en-US"/>
        </w:rPr>
      </w:pPr>
      <w:r>
        <w:pict>
          <v:line strokeweight="1.2pt" strokecolor="#000000" from="43.9pt,234.5pt" to="538.15pt,234.5pt" style="position:absolute;mso-position-horizontal-relative:page;mso-position-vertical-relative:page;">
            <v:stroke dashstyle="solid"/>
          </v:line>
        </w:pict>
      </w:r>
      <w:r>
        <w:rPr>
          <w:rFonts w:ascii="Arial" w:hAnsi="Arial" w:eastAsia="Arial"/>
          <w:b w:val="true"/>
          <w:color w:val="000000"/>
          <w:spacing w:val="3"/>
          <w:w w:val="100"/>
          <w:sz w:val="16"/>
          <w:vertAlign w:val="baseline"/>
          <w:lang w:val="en-US"/>
        </w:rPr>
        <w:t xml:space="preserve">Nominated project proponent: </w:t>
      </w:r>
      <w:r>
        <w:rPr>
          <w:rFonts w:ascii="Tahoma" w:hAnsi="Tahoma" w:eastAsia="Tahoma"/>
          <w:color w:val="000000"/>
          <w:spacing w:val="3"/>
          <w:w w:val="100"/>
          <w:sz w:val="15"/>
          <w:vertAlign w:val="baseline"/>
          <w:lang w:val="en-US"/>
        </w:rPr>
        <w:t xml:space="preserve">BHP IRON ORE PTY LTD</w:t>
      </w:r>
    </w:p>
    <w:p>
      <w:pPr>
        <w:spacing w:before="331" w:after="0" w:line="404" w:lineRule="exact"/>
        <w:ind w:right="0" w:left="504"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Project details</w:t>
      </w:r>
    </w:p>
    <w:p>
      <w:pPr>
        <w:spacing w:before="353" w:after="0" w:line="187" w:lineRule="exact"/>
        <w:ind w:right="0" w:left="504"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Name: Yandi Ministers North</w:t>
      </w:r>
    </w:p>
    <w:p>
      <w:pPr>
        <w:spacing w:before="149" w:after="0" w:line="187" w:lineRule="exact"/>
        <w:ind w:right="0" w:left="504"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Location: Yandi, WA</w:t>
      </w:r>
    </w:p>
    <w:p>
      <w:pPr>
        <w:spacing w:before="134" w:after="0" w:line="190" w:lineRule="exact"/>
        <w:ind w:right="0" w:left="504"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Type: Mine or quarry</w:t>
      </w:r>
    </w:p>
    <w:p>
      <w:pPr>
        <w:spacing w:before="151" w:after="0" w:line="189" w:lineRule="exact"/>
        <w:ind w:right="0" w:left="504"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Purpose: Upgrade existing facility</w:t>
      </w:r>
    </w:p>
    <w:p>
      <w:pPr>
        <w:spacing w:before="133" w:after="0" w:line="189" w:lineRule="exact"/>
        <w:ind w:right="0" w:left="504"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Capital expenditure: $500 million or more</w:t>
      </w:r>
    </w:p>
    <w:p>
      <w:pPr>
        <w:spacing w:before="116" w:after="0" w:line="220" w:lineRule="exact"/>
        <w:ind w:right="720" w:left="504"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Description: The Ministers North Project is being evaluated with the intention of supplying the Yandi Hub from the Ministers North satellite orebody located approximately 13km south of the existing Yandi ore handling plant. The project scope is comprised of all facilities and infrastructure (permanent and temporary) required to support the Ministers North development including: 1. Greenfield – Primary Crushing, Overland Conveyor and associated Non-Process Infrastructure • Primary crusher facility;• Overland conveyor; • Roads and bridges over Marillana Creek and Rio Tinto’s rail; • New workshop facilities at Ministers North including offices, ablutions and crib facilities; • Water supply;• Fuel storage and distribution facilities; • HV Power infrastructure including relocation of the existing 132kV transmission line; and• Temporary construction infrastructure (including offices, warehousing, laydowns and workshop). 2. Brownfield – Process Infrastructure • Modifications to existing Yandi OHP3 to produce lump and fines products; • Addition of a lump sample station; and • Upgraded stockyard to include a new lump stacking facility. 3. Brownfield – Non-Process Infrastructure• Augmenting the existing Yandi operations facilities, i.e. workshop, warehouse and maintenance offices; • Camp and accommodation facilities upgrade; and • Tie-ins to existing power, water and communications networks. The project is currently in Selection Phase Study (SPS) (i.e. Pre-feasibility) and is forecasting to proceed to Definition Phase Study (DPS) (i.e. Feasibility) from November 2022. The DPS objective is to optimize the preferred investment alternative in line with the Proponent’s major capital investment guidelines.</w:t>
      </w:r>
    </w:p>
    <w:p>
      <w:pPr>
        <w:spacing w:before="132" w:after="4425" w:line="190" w:lineRule="exact"/>
        <w:ind w:right="0" w:left="504"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Completion date: 21 Feb 2028</w:t>
      </w:r>
    </w:p>
    <w:p>
      <w:pPr>
        <w:spacing w:before="132" w:after="4425" w:line="190" w:lineRule="exact"/>
        <w:sectPr>
          <w:type w:val="continuous"/>
          <w:pgSz w:w="11904" w:h="16843" w:orient="portrait"/>
          <w:pgMar w:bottom="867" w:top="1040" w:right="847" w:left="557"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1 of 3</w:t>
      </w:r>
    </w:p>
    <w:p>
      <w:pPr>
        <w:sectPr>
          <w:type w:val="continuous"/>
          <w:pgSz w:w="11904" w:h="16843" w:orient="portrait"/>
          <w:pgMar w:bottom="867" w:top="1040" w:right="1022" w:left="980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371pt;height:49.6pt;z-index:-1;margin-left:104.9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799" w:line="188"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DRAFT not approved 1y AIP Authority (printed on Wed Jul 06 2022 10:49:35 GMT+1 000 (AEST)) *****</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292pt;height:143.7pt;z-index:-1;margin-left:50.65pt;margin-top:101.6pt;mso-wrap-distance-left:0pt;mso-wrap-distance-right:0pt;mso-position-horizontal-relative:page;mso-position-vertical-relative:page">
            <w10:wrap type="square" side="both"/>
            <v:fill opacity="1" o:opacity2="1" recolor="f" rotate="f" type="solid"/>
            <v:textbox inset="0pt, 0pt, 0pt, 0pt">
              <w:txbxContent>
                <w:p>
                  <w:pPr>
                    <w:spacing w:before="3" w:after="0" w:line="403" w:lineRule="exact"/>
                    <w:ind w:right="0" w:left="0" w:firstLine="0"/>
                    <w:jc w:val="left"/>
                    <w:textAlignment w:val="baseline"/>
                    <w:rPr>
                      <w:rFonts w:ascii="Tahoma" w:hAnsi="Tahoma" w:eastAsia="Tahoma"/>
                      <w:color w:val="000000"/>
                      <w:spacing w:val="6"/>
                      <w:w w:val="100"/>
                      <w:sz w:val="33"/>
                      <w:vertAlign w:val="baseline"/>
                      <w:lang w:val="en-US"/>
                    </w:rPr>
                  </w:pPr>
                  <w:r>
                    <w:rPr>
                      <w:rFonts w:ascii="Tahoma" w:hAnsi="Tahoma" w:eastAsia="Tahoma"/>
                      <w:color w:val="000000"/>
                      <w:spacing w:val="6"/>
                      <w:w w:val="100"/>
                      <w:sz w:val="33"/>
                      <w:vertAlign w:val="baseline"/>
                      <w:lang w:val="en-US"/>
                    </w:rPr>
                    <w:t xml:space="preserve">Key goods and services</w:t>
                  </w:r>
                </w:p>
                <w:p>
                  <w:pPr>
                    <w:spacing w:before="351" w:after="0" w:line="192" w:lineRule="exact"/>
                    <w:ind w:right="0" w:left="0"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Indicative list of key goods and services to be acquired for the project:</w:t>
                  </w:r>
                </w:p>
                <w:p>
                  <w:pPr>
                    <w:spacing w:before="195" w:after="0" w:line="145" w:lineRule="exact"/>
                    <w:ind w:right="0" w:left="0" w:firstLine="0"/>
                    <w:jc w:val="center"/>
                    <w:textAlignment w:val="baseline"/>
                    <w:rPr>
                      <w:rFonts w:ascii="Arial" w:hAnsi="Arial" w:eastAsia="Arial"/>
                      <w:b w:val="true"/>
                      <w:color w:val="000000"/>
                      <w:spacing w:val="-4"/>
                      <w:w w:val="100"/>
                      <w:sz w:val="17"/>
                      <w:vertAlign w:val="baseline"/>
                      <w:lang w:val="en-US"/>
                    </w:rPr>
                  </w:pPr>
                  <w:r>
                    <w:rPr>
                      <w:rFonts w:ascii="Arial" w:hAnsi="Arial" w:eastAsia="Arial"/>
                      <w:b w:val="true"/>
                      <w:color w:val="000000"/>
                      <w:spacing w:val="-4"/>
                      <w:w w:val="100"/>
                      <w:sz w:val="17"/>
                      <w:vertAlign w:val="baseline"/>
                      <w:lang w:val="en-US"/>
                    </w:rPr>
                    <w:t xml:space="preserve">Opportunities for</w:t>
                  </w:r>
                </w:p>
                <w:p>
                  <w:pPr>
                    <w:spacing w:before="0" w:after="0" w:line="123" w:lineRule="exact"/>
                    <w:ind w:right="0" w:left="2736" w:firstLine="0"/>
                    <w:jc w:val="left"/>
                    <w:textAlignment w:val="baseline"/>
                    <w:rPr>
                      <w:rFonts w:ascii="Arial" w:hAnsi="Arial" w:eastAsia="Arial"/>
                      <w:b w:val="true"/>
                      <w:color w:val="000000"/>
                      <w:spacing w:val="-4"/>
                      <w:w w:val="100"/>
                      <w:sz w:val="17"/>
                      <w:vertAlign w:val="baseline"/>
                      <w:lang w:val="en-US"/>
                    </w:rPr>
                  </w:pPr>
                  <w:r>
                    <w:rPr>
                      <w:rFonts w:ascii="Arial" w:hAnsi="Arial" w:eastAsia="Arial"/>
                      <w:b w:val="true"/>
                      <w:color w:val="000000"/>
                      <w:spacing w:val="-4"/>
                      <w:w w:val="100"/>
                      <w:sz w:val="17"/>
                      <w:vertAlign w:val="baseline"/>
                      <w:lang w:val="en-US"/>
                    </w:rPr>
                    <w:t xml:space="preserve">Opportunities for</w:t>
                  </w:r>
                </w:p>
                <w:p>
                  <w:pPr>
                    <w:tabs>
                      <w:tab w:val="left" w:leader="none" w:pos="2664"/>
                      <w:tab w:val="right" w:leader="none" w:pos="5760"/>
                    </w:tabs>
                    <w:spacing w:before="0" w:after="0" w:line="188"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Key goods and services	</w:t>
                  </w:r>
                  <w:r>
                    <w:rPr>
                      <w:rFonts w:ascii="Arial" w:hAnsi="Arial" w:eastAsia="Arial"/>
                      <w:b w:val="true"/>
                      <w:color w:val="000000"/>
                      <w:spacing w:val="0"/>
                      <w:w w:val="100"/>
                      <w:sz w:val="17"/>
                      <w:vertAlign w:val="baseline"/>
                      <w:lang w:val="en-US"/>
                    </w:rPr>
                    <w:t xml:space="preserve">Australian entities </w:t>
                  </w:r>
                  <w:r>
                    <w:rPr>
                      <w:rFonts w:ascii="Arial" w:hAnsi="Arial" w:eastAsia="Arial"/>
                      <w:b w:val="true"/>
                      <w:color w:val="000000"/>
                      <w:spacing w:val="0"/>
                      <w:w w:val="100"/>
                      <w:sz w:val="12"/>
                      <w:vertAlign w:val="baseline"/>
                      <w:lang w:val="en-US"/>
                    </w:rPr>
                    <w:t xml:space="preserve">*	</w:t>
                  </w:r>
                  <w:r>
                    <w:rPr>
                      <w:rFonts w:ascii="Arial" w:hAnsi="Arial" w:eastAsia="Arial"/>
                      <w:b w:val="true"/>
                      <w:color w:val="000000"/>
                      <w:spacing w:val="0"/>
                      <w:w w:val="100"/>
                      <w:sz w:val="17"/>
                      <w:vertAlign w:val="baseline"/>
                      <w:lang w:val="en-US"/>
                    </w:rPr>
                    <w:t xml:space="preserve">non-Australian</w:t>
                  </w:r>
                </w:p>
                <w:p>
                  <w:pPr>
                    <w:spacing w:before="0" w:after="0" w:line="175" w:lineRule="exact"/>
                    <w:ind w:right="0" w:left="0" w:firstLine="0"/>
                    <w:jc w:val="center"/>
                    <w:textAlignment w:val="baseline"/>
                    <w:rPr>
                      <w:rFonts w:ascii="Arial" w:hAnsi="Arial" w:eastAsia="Arial"/>
                      <w:b w:val="true"/>
                      <w:color w:val="000000"/>
                      <w:spacing w:val="-5"/>
                      <w:w w:val="100"/>
                      <w:sz w:val="17"/>
                      <w:vertAlign w:val="baseline"/>
                      <w:lang w:val="en-US"/>
                    </w:rPr>
                  </w:pPr>
                  <w:r>
                    <w:rPr>
                      <w:rFonts w:ascii="Arial" w:hAnsi="Arial" w:eastAsia="Arial"/>
                      <w:b w:val="true"/>
                      <w:color w:val="000000"/>
                      <w:spacing w:val="-5"/>
                      <w:w w:val="100"/>
                      <w:sz w:val="17"/>
                      <w:vertAlign w:val="baseline"/>
                      <w:lang w:val="en-US"/>
                    </w:rPr>
                    <w:t xml:space="preserve">entities</w:t>
                  </w:r>
                </w:p>
                <w:p>
                  <w:pPr>
                    <w:tabs>
                      <w:tab w:val="left" w:leader="none" w:pos="3240"/>
                      <w:tab w:val="left" w:leader="none" w:pos="4896"/>
                    </w:tabs>
                    <w:spacing w:before="24"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Overland Conveyor System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p>
                  <w:pPr>
                    <w:tabs>
                      <w:tab w:val="left" w:leader="none" w:pos="3240"/>
                      <w:tab w:val="left" w:leader="none" w:pos="4896"/>
                    </w:tabs>
                    <w:spacing w:before="30"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Primary Crusher Facility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p>
                  <w:pPr>
                    <w:tabs>
                      <w:tab w:val="left" w:leader="none" w:pos="3240"/>
                      <w:tab w:val="left" w:leader="none" w:pos="4896"/>
                    </w:tabs>
                    <w:spacing w:before="30"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HV Power infrastructure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p>
                  <w:pPr>
                    <w:tabs>
                      <w:tab w:val="left" w:leader="none" w:pos="3240"/>
                      <w:tab w:val="left" w:leader="none" w:pos="4896"/>
                    </w:tabs>
                    <w:spacing w:before="25"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New Workshop Facilities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p>
                  <w:pPr>
                    <w:tabs>
                      <w:tab w:val="left" w:leader="none" w:pos="3240"/>
                      <w:tab w:val="left" w:leader="none" w:pos="4896"/>
                    </w:tabs>
                    <w:spacing w:before="29" w:after="0" w:line="192"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Roads and Bridges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93.6pt;height:22.95pt;z-index:-1;margin-left:50.65pt;margin-top:245.3pt;mso-wrap-distance-left:0pt;mso-wrap-distance-right:0pt;mso-position-horizontal-relative:page;mso-position-vertical-relative:page">
            <w10:wrap type="square" side="both"/>
            <v:fill opacity="1" o:opacity2="1" recolor="f" rotate="f" type="solid"/>
            <v:textbox inset="0pt, 0pt, 0pt, 0pt">
              <w:txbxContent>
                <w:p>
                  <w:pPr>
                    <w:spacing w:before="0" w:after="14" w:line="220" w:lineRule="exact"/>
                    <w:ind w:right="0" w:left="0" w:firstLine="0"/>
                    <w:jc w:val="left"/>
                    <w:textAlignment w:val="baseline"/>
                    <w:rPr>
                      <w:rFonts w:ascii="Tahoma" w:hAnsi="Tahoma" w:eastAsia="Tahoma"/>
                      <w:color w:val="000000"/>
                      <w:spacing w:val="-2"/>
                      <w:w w:val="100"/>
                      <w:sz w:val="16"/>
                      <w:vertAlign w:val="baseline"/>
                      <w:lang w:val="en-US"/>
                    </w:rPr>
                  </w:pPr>
                  <w:r>
                    <w:rPr>
                      <w:rFonts w:ascii="Tahoma" w:hAnsi="Tahoma" w:eastAsia="Tahoma"/>
                      <w:color w:val="000000"/>
                      <w:spacing w:val="-2"/>
                      <w:w w:val="100"/>
                      <w:sz w:val="16"/>
                      <w:vertAlign w:val="baseline"/>
                      <w:lang w:val="en-US"/>
                    </w:rPr>
                    <w:t xml:space="preserve">Camp and Accommodation </w:t>
                  </w:r>
                  <w:r>
                    <w:rPr>
                      <w:rFonts w:ascii="Tahoma" w:hAnsi="Tahoma" w:eastAsia="Tahoma"/>
                      <w:color w:val="000000"/>
                      <w:spacing w:val="-2"/>
                      <w:w w:val="100"/>
                      <w:sz w:val="16"/>
                      <w:vertAlign w:val="baseline"/>
                      <w:lang w:val="en-US"/>
                    </w:rPr>
                    <w:t xml:space="preserve">Facilities Upgrade</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92pt;height:41.35pt;z-index:-1;margin-left:50.65pt;margin-top:268.2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240"/>
                      <w:tab w:val="left" w:leader="none" w:pos="4896"/>
                    </w:tabs>
                    <w:spacing w:before="7"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Bulk Earth Works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p>
                  <w:pPr>
                    <w:tabs>
                      <w:tab w:val="left" w:leader="none" w:pos="3240"/>
                      <w:tab w:val="left" w:leader="none" w:pos="4896"/>
                    </w:tabs>
                    <w:spacing w:before="30"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Civil (Concrete)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p>
                  <w:pPr>
                    <w:tabs>
                      <w:tab w:val="left" w:leader="none" w:pos="3240"/>
                      <w:tab w:val="left" w:leader="none" w:pos="4896"/>
                    </w:tabs>
                    <w:spacing w:before="25"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SMPE&amp;I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p>
                  <w:pPr>
                    <w:tabs>
                      <w:tab w:val="left" w:leader="none" w:pos="3240"/>
                      <w:tab w:val="left" w:leader="none" w:pos="4896"/>
                    </w:tabs>
                    <w:spacing w:before="29"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HV Link Road Construction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00.3pt;height:24.65pt;z-index:-1;margin-left:50.65pt;margin-top:309.6pt;mso-wrap-distance-left:0pt;mso-wrap-distance-right:0pt;mso-position-horizontal-relative:page;mso-position-vertical-relative:page">
            <w10:wrap type="square" side="both"/>
            <v:fill opacity="1" o:opacity2="1" recolor="f" rotate="f" type="solid"/>
            <v:textbox inset="0pt, 0pt, 0pt, 0pt">
              <w:txbxContent>
                <w:p>
                  <w:pPr>
                    <w:spacing w:before="0" w:after="19" w:line="221" w:lineRule="exact"/>
                    <w:ind w:right="0" w:left="0"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Technology Communications </w:t>
                  </w:r>
                  <w:r>
                    <w:rPr>
                      <w:rFonts w:ascii="Tahoma" w:hAnsi="Tahoma" w:eastAsia="Tahoma"/>
                      <w:color w:val="000000"/>
                      <w:spacing w:val="-4"/>
                      <w:w w:val="100"/>
                      <w:sz w:val="16"/>
                      <w:vertAlign w:val="baseline"/>
                      <w:lang w:val="en-US"/>
                    </w:rPr>
                    <w:t xml:space="preserve">Infrastructure</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292pt;height:103.35pt;z-index:-1;margin-left:50.65pt;margin-top:334.2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240"/>
                      <w:tab w:val="left" w:leader="none" w:pos="4896"/>
                    </w:tabs>
                    <w:spacing w:before="7"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Non Process Infrastructure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p>
                  <w:pPr>
                    <w:tabs>
                      <w:tab w:val="left" w:leader="none" w:pos="3240"/>
                      <w:tab w:val="left" w:leader="none" w:pos="4896"/>
                    </w:tabs>
                    <w:spacing w:before="30"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Stacker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p>
                  <w:pPr>
                    <w:spacing w:before="313" w:after="0" w:line="77" w:lineRule="exact"/>
                    <w:ind w:right="0" w:left="0" w:firstLine="0"/>
                    <w:jc w:val="left"/>
                    <w:textAlignment w:val="baseline"/>
                    <w:rPr>
                      <w:rFonts w:ascii="Tahoma" w:hAnsi="Tahoma" w:eastAsia="Tahoma"/>
                      <w:color w:val="000000"/>
                      <w:spacing w:val="0"/>
                      <w:w w:val="100"/>
                      <w:sz w:val="8"/>
                      <w:vertAlign w:val="baseline"/>
                      <w:lang w:val="en-US"/>
                    </w:rPr>
                  </w:pPr>
                  <w:r>
                    <w:rPr>
                      <w:rFonts w:ascii="Tahoma" w:hAnsi="Tahoma" w:eastAsia="Tahoma"/>
                      <w:color w:val="000000"/>
                      <w:spacing w:val="0"/>
                      <w:w w:val="100"/>
                      <w:sz w:val="8"/>
                      <w:vertAlign w:val="baseline"/>
                      <w:lang w:val="en-US"/>
                    </w:rPr>
                    <w:t xml:space="preserve">*</w:t>
                  </w:r>
                </w:p>
                <w:p>
                  <w:pPr>
                    <w:spacing w:before="0" w:after="0" w:line="148" w:lineRule="exact"/>
                    <w:ind w:right="0" w:left="0"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An Australian entity is an entity with an ABN or ACN</w:t>
                  </w:r>
                </w:p>
                <w:p>
                  <w:pPr>
                    <w:spacing w:before="130" w:after="0" w:line="191" w:lineRule="exact"/>
                    <w:ind w:right="0" w:left="0"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Project standards:</w:t>
                  </w:r>
                </w:p>
                <w:p>
                  <w:pPr>
                    <w:spacing w:before="150" w:after="436" w:line="191" w:lineRule="exact"/>
                    <w:ind w:right="0" w:left="648" w:firstLine="0"/>
                    <w:jc w:val="left"/>
                    <w:textAlignment w:val="baseline"/>
                    <w:rPr>
                      <w:rFonts w:ascii="Tahoma" w:hAnsi="Tahoma" w:eastAsia="Tahoma"/>
                      <w:color w:val="000000"/>
                      <w:spacing w:val="-1"/>
                      <w:w w:val="100"/>
                      <w:sz w:val="16"/>
                      <w:vertAlign w:val="baseline"/>
                      <w:lang w:val="en-US"/>
                    </w:rPr>
                  </w:pPr>
                  <w:r>
                    <w:rPr>
                      <w:rFonts w:ascii="Tahoma" w:hAnsi="Tahoma" w:eastAsia="Tahoma"/>
                      <w:color w:val="000000"/>
                      <w:spacing w:val="-1"/>
                      <w:w w:val="100"/>
                      <w:sz w:val="16"/>
                      <w:vertAlign w:val="baseline"/>
                      <w:lang w:val="en-US"/>
                    </w:rPr>
                    <w:t xml:space="preserve">Australian</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35.35pt;height:22.05pt;z-index:-1;margin-left:356.9pt;margin-top:162.25pt;mso-wrap-distance-left:0pt;mso-wrap-distance-right:0pt;mso-position-horizontal-relative:page;mso-position-vertical-relative:page">
            <w10:wrap type="square" side="both"/>
            <v:fill opacity="1" o:opacity2="1" recolor="f" rotate="f" type="solid"/>
            <v:textbox inset="0pt, 0pt, 0pt, 0pt">
              <w:txbxContent>
                <w:p>
                  <w:pPr>
                    <w:spacing w:before="0" w:after="0" w:line="213" w:lineRule="exact"/>
                    <w:ind w:right="0" w:left="0" w:firstLine="0"/>
                    <w:jc w:val="both"/>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Explanation for no opportunities for Australian entities</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98.4pt;height:22.95pt;z-index:-1;margin-left:144.25pt;margin-top:245.3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168"/>
                    </w:tabs>
                    <w:spacing w:before="125" w:after="134" w:line="191" w:lineRule="exact"/>
                    <w:ind w:right="0" w:left="1368"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91.7pt;height:24.65pt;z-index:-1;margin-left:150.95pt;margin-top:309.6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024"/>
                    </w:tabs>
                    <w:spacing w:before="159" w:after="139" w:line="191" w:lineRule="exact"/>
                    <w:ind w:right="0" w:left="1224" w:firstLine="0"/>
                    <w:jc w:val="left"/>
                    <w:textAlignment w:val="baseline"/>
                    <w:rPr>
                      <w:rFonts w:ascii="Tahoma" w:hAnsi="Tahoma" w:eastAsia="Tahoma"/>
                      <w:color w:val="000000"/>
                      <w:spacing w:val="-1"/>
                      <w:w w:val="100"/>
                      <w:sz w:val="16"/>
                      <w:vertAlign w:val="baseline"/>
                      <w:lang w:val="en-US"/>
                    </w:rPr>
                  </w:pPr>
                  <w:r>
                    <w:rPr>
                      <w:rFonts w:ascii="Tahoma" w:hAnsi="Tahoma" w:eastAsia="Tahoma"/>
                      <w:color w:val="000000"/>
                      <w:spacing w:val="-1"/>
                      <w:w w:val="100"/>
                      <w:sz w:val="16"/>
                      <w:vertAlign w:val="baseline"/>
                      <w:lang w:val="en-US"/>
                    </w:rPr>
                    <w:t xml:space="preserve">Yes	</w:t>
                  </w:r>
                  <w:r>
                    <w:rPr>
                      <w:rFonts w:ascii="Tahoma" w:hAnsi="Tahoma" w:eastAsia="Tahoma"/>
                      <w:color w:val="000000"/>
                      <w:spacing w:val="-1"/>
                      <w:w w:val="100"/>
                      <w:sz w:val="16"/>
                      <w:vertAlign w:val="baseline"/>
                      <w:lang w:val="en-US"/>
                    </w:rPr>
                    <w:t xml:space="preserve">Yes</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336pt;height:327.8pt;z-index:-1;margin-left:52.3pt;margin-top:437.6pt;mso-wrap-distance-left:0pt;mso-wrap-distance-right:0pt;mso-position-horizontal-relative:page;mso-position-vertical-relative:page">
            <w10:wrap type="square" side="both"/>
            <v:fill opacity="1" o:opacity2="1" recolor="f" rotate="f" type="solid"/>
            <v:textbox inset="0pt, 0pt, 0pt, 0pt">
              <w:txbxContent>
                <w:p>
                  <w:pPr>
                    <w:spacing w:before="3" w:after="0" w:line="403" w:lineRule="exact"/>
                    <w:ind w:right="0" w:left="0"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Supplier information and communication</w:t>
                  </w:r>
                </w:p>
                <w:p>
                  <w:pPr>
                    <w:spacing w:before="351" w:after="0" w:line="192" w:lineRule="exact"/>
                    <w:ind w:right="0" w:left="0"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Project proponent’s contact person for supplier enquiries:</w:t>
                  </w:r>
                </w:p>
                <w:p>
                  <w:pPr>
                    <w:spacing w:before="472" w:after="0" w:line="196" w:lineRule="exact"/>
                    <w:ind w:right="0" w:left="216" w:firstLine="0"/>
                    <w:jc w:val="left"/>
                    <w:textAlignment w:val="baseline"/>
                    <w:rPr>
                      <w:rFonts w:ascii="Arial" w:hAnsi="Arial" w:eastAsia="Arial"/>
                      <w:b w:val="true"/>
                      <w:color w:val="000000"/>
                      <w:spacing w:val="-1"/>
                      <w:w w:val="100"/>
                      <w:sz w:val="17"/>
                      <w:vertAlign w:val="baseline"/>
                      <w:lang w:val="en-US"/>
                    </w:rPr>
                  </w:pPr>
                  <w:r>
                    <w:rPr>
                      <w:rFonts w:ascii="Arial" w:hAnsi="Arial" w:eastAsia="Arial"/>
                      <w:b w:val="true"/>
                      <w:color w:val="000000"/>
                      <w:spacing w:val="-1"/>
                      <w:w w:val="100"/>
                      <w:sz w:val="17"/>
                      <w:vertAlign w:val="baseline"/>
                      <w:lang w:val="en-US"/>
                    </w:rPr>
                    <w:t xml:space="preserve">Contact person name </w:t>
                  </w:r>
                  <w:r>
                    <w:rPr>
                      <w:rFonts w:ascii="Tahoma" w:hAnsi="Tahoma" w:eastAsia="Tahoma"/>
                      <w:color w:val="000000"/>
                      <w:spacing w:val="-1"/>
                      <w:w w:val="100"/>
                      <w:sz w:val="16"/>
                      <w:vertAlign w:val="baseline"/>
                      <w:lang w:val="en-US"/>
                    </w:rPr>
                    <w:t xml:space="preserve">Tim Keenan</w:t>
                  </w:r>
                </w:p>
                <w:p>
                  <w:pPr>
                    <w:spacing w:before="25" w:after="0" w:line="196"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Contact person position </w:t>
                  </w:r>
                  <w:r>
                    <w:rPr>
                      <w:rFonts w:ascii="Tahoma" w:hAnsi="Tahoma" w:eastAsia="Tahoma"/>
                      <w:color w:val="000000"/>
                      <w:spacing w:val="0"/>
                      <w:w w:val="100"/>
                      <w:sz w:val="16"/>
                      <w:vertAlign w:val="baseline"/>
                      <w:lang w:val="en-US"/>
                    </w:rPr>
                    <w:t xml:space="preserve">Contract Principal PC&amp;P</w:t>
                  </w:r>
                </w:p>
                <w:p>
                  <w:pPr>
                    <w:spacing w:before="20" w:after="0" w:line="196" w:lineRule="exact"/>
                    <w:ind w:right="0" w:left="720" w:firstLine="0"/>
                    <w:jc w:val="left"/>
                    <w:textAlignment w:val="baseline"/>
                    <w:rPr>
                      <w:rFonts w:ascii="Arial" w:hAnsi="Arial" w:eastAsia="Arial"/>
                      <w:b w:val="true"/>
                      <w:color w:val="000000"/>
                      <w:spacing w:val="-4"/>
                      <w:w w:val="100"/>
                      <w:sz w:val="17"/>
                      <w:vertAlign w:val="baseline"/>
                      <w:lang w:val="en-US"/>
                    </w:rPr>
                  </w:pPr>
                  <w:r>
                    <w:rPr>
                      <w:rFonts w:ascii="Arial" w:hAnsi="Arial" w:eastAsia="Arial"/>
                      <w:b w:val="true"/>
                      <w:color w:val="000000"/>
                      <w:spacing w:val="-4"/>
                      <w:w w:val="100"/>
                      <w:sz w:val="17"/>
                      <w:vertAlign w:val="baseline"/>
                      <w:lang w:val="en-US"/>
                    </w:rPr>
                    <w:t xml:space="preserve">Phone number </w:t>
                  </w:r>
                  <w:r>
                    <w:rPr>
                      <w:rFonts w:ascii="Tahoma" w:hAnsi="Tahoma" w:eastAsia="Tahoma"/>
                      <w:color w:val="000000"/>
                      <w:spacing w:val="-4"/>
                      <w:w w:val="100"/>
                      <w:sz w:val="16"/>
                      <w:vertAlign w:val="baseline"/>
                      <w:lang w:val="en-US"/>
                    </w:rPr>
                    <w:t xml:space="preserve">0863210111</w:t>
                  </w:r>
                </w:p>
                <w:p>
                  <w:pPr>
                    <w:spacing w:before="24" w:after="0" w:line="196" w:lineRule="exact"/>
                    <w:ind w:right="0" w:left="1368" w:firstLine="0"/>
                    <w:jc w:val="left"/>
                    <w:textAlignment w:val="baseline"/>
                    <w:rPr>
                      <w:rFonts w:ascii="Arial" w:hAnsi="Arial" w:eastAsia="Arial"/>
                      <w:b w:val="true"/>
                      <w:color w:val="000000"/>
                      <w:spacing w:val="-1"/>
                      <w:w w:val="100"/>
                      <w:sz w:val="17"/>
                      <w:vertAlign w:val="baseline"/>
                      <w:lang w:val="en-US"/>
                    </w:rPr>
                  </w:pPr>
                  <w:r>
                    <w:rPr>
                      <w:rFonts w:ascii="Arial" w:hAnsi="Arial" w:eastAsia="Arial"/>
                      <w:b w:val="true"/>
                      <w:color w:val="000000"/>
                      <w:spacing w:val="-1"/>
                      <w:w w:val="100"/>
                      <w:sz w:val="17"/>
                      <w:vertAlign w:val="baseline"/>
                      <w:lang w:val="en-US"/>
                    </w:rPr>
                    <w:t xml:space="preserve">E-mail </w:t>
                  </w:r>
                  <w:hyperlink r:id="dhId1">
                    <w:r>
                      <w:rPr>
                        <w:rFonts w:ascii="Tahoma" w:hAnsi="Tahoma" w:eastAsia="Tahoma"/>
                        <w:color w:val="0000FF"/>
                        <w:spacing w:val="-1"/>
                        <w:w w:val="100"/>
                        <w:sz w:val="16"/>
                        <w:u w:val="single"/>
                        <w:vertAlign w:val="baseline"/>
                        <w:lang w:val="en-US"/>
                      </w:rPr>
                      <w:t xml:space="preserve">tim.keenan@bhp.com</w:t>
                    </w:r>
                  </w:hyperlink>
                  <w:r>
                    <w:rPr>
                      <w:rFonts w:ascii="Tahoma" w:hAnsi="Tahoma" w:eastAsia="Tahoma"/>
                      <w:color w:val="000000"/>
                      <w:spacing w:val="-1"/>
                      <w:w w:val="100"/>
                      <w:sz w:val="16"/>
                      <w:vertAlign w:val="baseline"/>
                      <w:lang w:val="en-US"/>
                    </w:rPr>
                    <w:t xml:space="preserve">
</w:t>
                  </w:r>
                </w:p>
                <w:p>
                  <w:pPr>
                    <w:spacing w:before="183" w:after="0" w:line="191" w:lineRule="exact"/>
                    <w:ind w:right="0" w:left="0" w:firstLine="0"/>
                    <w:jc w:val="left"/>
                    <w:textAlignment w:val="baseline"/>
                    <w:rPr>
                      <w:rFonts w:ascii="Tahoma" w:hAnsi="Tahoma" w:eastAsia="Tahoma"/>
                      <w:color w:val="000000"/>
                      <w:spacing w:val="-7"/>
                      <w:w w:val="100"/>
                      <w:sz w:val="16"/>
                      <w:vertAlign w:val="baseline"/>
                      <w:lang w:val="en-US"/>
                    </w:rPr>
                  </w:pPr>
                  <w:r>
                    <w:rPr>
                      <w:rFonts w:ascii="Tahoma" w:hAnsi="Tahoma" w:eastAsia="Tahoma"/>
                      <w:color w:val="000000"/>
                      <w:spacing w:val="-7"/>
                      <w:w w:val="100"/>
                      <w:sz w:val="16"/>
                      <w:vertAlign w:val="baseline"/>
                      <w:lang w:val="en-US"/>
                    </w:rPr>
                    <w:t xml:space="preserve">Project proponent website: </w:t>
                  </w:r>
                  <w:hyperlink r:id="dhId2">
                    <w:r>
                      <w:rPr>
                        <w:rFonts w:ascii="Tahoma" w:hAnsi="Tahoma" w:eastAsia="Tahoma"/>
                        <w:color w:val="0000FF"/>
                        <w:spacing w:val="-7"/>
                        <w:w w:val="100"/>
                        <w:sz w:val="16"/>
                        <w:u w:val="single"/>
                        <w:vertAlign w:val="baseline"/>
                        <w:lang w:val="en-US"/>
                      </w:rPr>
                      <w:t xml:space="preserve">https://www.bhp.com/sustainability/environment/regulatory-information/#</w:t>
                    </w:r>
                  </w:hyperlink>
                  <w:r>
                    <w:rPr>
                      <w:rFonts w:ascii="Tahoma" w:hAnsi="Tahoma" w:eastAsia="Tahoma"/>
                      <w:color w:val="000000"/>
                      <w:spacing w:val="-7"/>
                      <w:w w:val="100"/>
                      <w:sz w:val="16"/>
                      <w:vertAlign w:val="baseline"/>
                      <w:lang w:val="en-US"/>
                    </w:rPr>
                    <w:t xml:space="preserve">
</w:t>
                  </w:r>
                </w:p>
                <w:p>
                  <w:pPr>
                    <w:spacing w:before="130" w:after="0" w:line="192" w:lineRule="exact"/>
                    <w:ind w:right="0" w:left="0"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Project opportunities website: </w:t>
                  </w:r>
                  <w:hyperlink r:id="dhId3">
                    <w:r>
                      <w:rPr>
                        <w:rFonts w:ascii="Tahoma" w:hAnsi="Tahoma" w:eastAsia="Tahoma"/>
                        <w:color w:val="0000FF"/>
                        <w:spacing w:val="-3"/>
                        <w:w w:val="100"/>
                        <w:sz w:val="16"/>
                        <w:u w:val="single"/>
                        <w:vertAlign w:val="baseline"/>
                        <w:lang w:val="en-US"/>
                      </w:rPr>
                      <w:t xml:space="preserve">www.bhp.com</w:t>
                    </w:r>
                  </w:hyperlink>
                  <w:r>
                    <w:rPr>
                      <w:rFonts w:ascii="Tahoma" w:hAnsi="Tahoma" w:eastAsia="Tahoma"/>
                      <w:color w:val="000000"/>
                      <w:spacing w:val="-3"/>
                      <w:w w:val="100"/>
                      <w:sz w:val="16"/>
                      <w:vertAlign w:val="baseline"/>
                      <w:lang w:val="en-US"/>
                    </w:rPr>
                    <w:t xml:space="preserve"> </w:t>
                  </w:r>
                  <w:hyperlink r:id="dhId4">
                    <w:r>
                      <w:rPr>
                        <w:rFonts w:ascii="Tahoma" w:hAnsi="Tahoma" w:eastAsia="Tahoma"/>
                        <w:color w:val="0000FF"/>
                        <w:spacing w:val="-3"/>
                        <w:w w:val="100"/>
                        <w:sz w:val="16"/>
                        <w:u w:val="single"/>
                        <w:vertAlign w:val="baseline"/>
                        <w:lang w:val="en-US"/>
                      </w:rPr>
                      <w:t xml:space="preserve">www.icn.org.au</w:t>
                    </w:r>
                  </w:hyperlink>
                  <w:r>
                    <w:rPr>
                      <w:rFonts w:ascii="Tahoma" w:hAnsi="Tahoma" w:eastAsia="Tahoma"/>
                      <w:color w:val="000000"/>
                      <w:spacing w:val="-3"/>
                      <w:w w:val="100"/>
                      <w:sz w:val="16"/>
                      <w:vertAlign w:val="baseline"/>
                      <w:lang w:val="en-US"/>
                    </w:rPr>
                    <w:t xml:space="preserve">
</w:t>
                  </w:r>
                </w:p>
                <w:p>
                  <w:pPr>
                    <w:spacing w:before="149" w:after="0" w:line="191" w:lineRule="exact"/>
                    <w:ind w:right="0" w:left="0"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Supplier engagement and communication actions :</w:t>
                  </w:r>
                </w:p>
                <w:p>
                  <w:pPr>
                    <w:spacing w:before="104" w:after="2265" w:line="219" w:lineRule="exact"/>
                    <w:ind w:right="144" w:left="576"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Engage with vendor identification agencies on project opportunities and bid processes Conduct supplier information briefings on project opportunities and bid processes Issue media releases or ASX announcements on project developments and opportunities Directly contact suppliers with information on project opportunities and bid processes</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56.4pt;height:13.6pt;z-index:-1;margin-left:488.3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5"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3</w:t>
                  </w:r>
                </w:p>
              </w:txbxContent>
            </v:textbox>
          </v:shape>
        </w:pict>
      </w:r>
    </w:p>
    <w:p>
      <w:pPr>
        <w:sectPr>
          <w:type w:val="nextPage"/>
          <w:pgSz w:w="11904" w:h="16843" w:orient="portrait"/>
          <w:pgMar w:bottom="890" w:top="752" w:right="1010" w:left="1013" w:header="720" w:footer="720"/>
          <w:titlePg w:val="false"/>
          <w:textDirection w:val="lrTb"/>
        </w:sectPr>
      </w:pPr>
    </w:p>
    <w:p>
      <w:pPr>
        <w:spacing w:before="3" w:after="799" w:line="188"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DRAFT not approved 1y AIP Authority (printed on Wed Jul 06 2022 10:49:35 GMT+1 000 (AEST)) *****</w:t>
      </w:r>
    </w:p>
    <w:p>
      <w:pPr>
        <w:spacing w:before="3" w:after="799" w:line="188" w:lineRule="exact"/>
        <w:sectPr>
          <w:type w:val="nextPage"/>
          <w:pgSz w:w="11904" w:h="16843" w:orient="portrait"/>
          <w:pgMar w:bottom="867" w:top="1040" w:right="2386" w:left="2098" w:header="720" w:footer="720"/>
          <w:titlePg w:val="false"/>
          <w:textDirection w:val="lrTb"/>
        </w:sectPr>
      </w:pPr>
    </w:p>
    <w:p>
      <w:pPr>
        <w:spacing w:before="3" w:after="0" w:line="403" w:lineRule="exact"/>
        <w:ind w:right="0" w:left="0" w:firstLine="0"/>
        <w:jc w:val="left"/>
        <w:textAlignment w:val="baseline"/>
        <w:rPr>
          <w:rFonts w:ascii="Tahoma" w:hAnsi="Tahoma" w:eastAsia="Tahoma"/>
          <w:color w:val="000000"/>
          <w:spacing w:val="3"/>
          <w:w w:val="100"/>
          <w:sz w:val="33"/>
          <w:vertAlign w:val="baseline"/>
          <w:lang w:val="en-US"/>
        </w:rPr>
      </w:pPr>
      <w:r>
        <w:rPr>
          <w:rFonts w:ascii="Tahoma" w:hAnsi="Tahoma" w:eastAsia="Tahoma"/>
          <w:color w:val="000000"/>
          <w:spacing w:val="3"/>
          <w:w w:val="100"/>
          <w:sz w:val="33"/>
          <w:vertAlign w:val="baseline"/>
          <w:lang w:val="en-US"/>
        </w:rPr>
        <w:t xml:space="preserve">Building Australian industry capability</w:t>
      </w:r>
    </w:p>
    <w:p>
      <w:pPr>
        <w:spacing w:before="353" w:after="0" w:line="190"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Supplier capability development actions:</w:t>
      </w:r>
    </w:p>
    <w:p>
      <w:pPr>
        <w:spacing w:before="132" w:after="0" w:line="189" w:lineRule="exact"/>
        <w:ind w:right="0" w:left="576"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Recommend suppliers undertake training and/or accreditation</w:t>
      </w:r>
    </w:p>
    <w:p>
      <w:pPr>
        <w:spacing w:before="32" w:after="0" w:line="189" w:lineRule="exact"/>
        <w:ind w:right="0" w:left="576"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Direct engagement of local, small or indigenous Australian entities by project proponent:</w:t>
      </w:r>
    </w:p>
    <w:p>
      <w:pPr>
        <w:spacing w:before="190" w:after="0" w:line="189"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Global supply chain integration actions:</w:t>
      </w:r>
    </w:p>
    <w:p>
      <w:pPr>
        <w:spacing w:before="120" w:after="0" w:line="221" w:lineRule="exact"/>
        <w:ind w:right="5400" w:left="576" w:firstLine="0"/>
        <w:jc w:val="both"/>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Introduce suppliers to global supply chain partners Provide references for high performing suppliers</w:t>
      </w:r>
    </w:p>
    <w:p>
      <w:pPr>
        <w:spacing w:before="190" w:after="0" w:line="189"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Feedback process for unsuccessful bidders:</w:t>
      </w:r>
    </w:p>
    <w:p>
      <w:pPr>
        <w:spacing w:before="97" w:after="8827" w:line="220"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The project proponent will provide training to procurement entities and develop a guideline setting out the AIPP obligations to ensure that the procurement entities provide feedback to Australian entities which were unsuccessful in their bids to supply key goods and services to the project. Where Australian entities have been unsuccessful in a bid they will be provided an offer to receive specific feedback with the intent of providing improvement opportunities including recommendations for improving their bid responses, improving their skills, training or capability or capacity with the intention of developing the capability of the Australian entities for future bid opportunities. The procurement entities will be required to provide regular updates to the project proponent detailing the tender activities and feedback provided to Australian entities for compliance monitoring by the project proponent.</w:t>
      </w:r>
    </w:p>
    <w:p>
      <w:pPr>
        <w:spacing w:before="97" w:after="8827" w:line="220" w:lineRule="exact"/>
        <w:sectPr>
          <w:type w:val="continuous"/>
          <w:pgSz w:w="11904" w:h="16843" w:orient="portrait"/>
          <w:pgMar w:bottom="867" w:top="1040" w:right="1462" w:left="1042"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3 of 3</w:t>
      </w:r>
    </w:p>
    <w:sectPr>
      <w:type w:val="continuous"/>
      <w:pgSz w:w="11904" w:h="16843" w:orient="portrait"/>
      <w:pgMar w:bottom="867" w:top="1040" w:right="1022" w:left="980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tim.keenan@bhp.com"/><Relationship Id="dhId2" Type="http://schemas.openxmlformats.org/officeDocument/2006/relationships/hyperlink" TargetMode="External" Target="https://www.bhp.com/sustainability/environment/regulatory-information/#"/><Relationship Id="dhId3" Type="http://schemas.openxmlformats.org/officeDocument/2006/relationships/hyperlink" TargetMode="External" Target="http://www.bhp.com"/><Relationship Id="dhId4" Type="http://schemas.openxmlformats.org/officeDocument/2006/relationships/hyperlink" TargetMode="External" Target="http://www.icn.org.au"/><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2022-07-06T00:50:57Z</dcterms:created>
  <dcterms:modified xsi:type="dcterms:W3CDTF">2022-07-06T00:50:57Z</dcterms:modified>
</cp:coreProperties>
</file>