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719" w:rsidRDefault="00E45719" w:rsidP="00E45719">
      <w:pPr>
        <w:pStyle w:val="Heading1"/>
      </w:pPr>
      <w:r>
        <w:t>Australian Industry Participation (AIP) Plan Executive Summary</w:t>
      </w:r>
      <w:bookmarkStart w:id="0" w:name="_GoBack"/>
      <w:bookmarkEnd w:id="0"/>
    </w:p>
    <w:p w:rsidR="00E45719" w:rsidRDefault="00E45719" w:rsidP="00E45719">
      <w:pPr>
        <w:pStyle w:val="Heading2"/>
      </w:pPr>
      <w:r>
        <w:t>1. General Project Details</w:t>
      </w:r>
    </w:p>
    <w:p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r w:rsidR="006952C9">
            <w:t>Thales Australia</w:t>
          </w:r>
        </w:sdtContent>
      </w:sdt>
    </w:p>
    <w:p w:rsidR="00E45719" w:rsidRDefault="00E45719" w:rsidP="00D86FD2">
      <w:pPr>
        <w:spacing w:line="360" w:lineRule="auto"/>
        <w:rPr>
          <w:rStyle w:val="Strong"/>
        </w:rPr>
      </w:pPr>
      <w:r>
        <w:rPr>
          <w:rStyle w:val="Strong"/>
        </w:rPr>
        <w:t>Description of the project:</w:t>
      </w:r>
      <w:r w:rsidRPr="00E45719">
        <w:t xml:space="preserve"> </w:t>
      </w:r>
      <w:sdt>
        <w:sdtPr>
          <w:id w:val="781539936"/>
          <w:placeholder>
            <w:docPart w:val="37E3051ACA004B479418465069F77C1D"/>
          </w:placeholder>
        </w:sdtPr>
        <w:sdtEndPr/>
        <w:sdtContent>
          <w:r w:rsidR="006952C9" w:rsidRPr="006952C9">
            <w:t>Contract</w:t>
          </w:r>
          <w:r w:rsidR="006952C9">
            <w:t xml:space="preserve"> reference </w:t>
          </w:r>
          <w:r w:rsidR="006952C9" w:rsidRPr="006952C9">
            <w:t>- 18/12901: Acquisition of the Civil Military Air Traffic Management System (CMATS)</w:t>
          </w:r>
          <w:r w:rsidR="006952C9">
            <w:t>. The project is called “OneSKY”, and will deliver Civil and Military Air Traffic System known as “CMATS”. The CMATS project is programme managed jointly by Airservices Australia, Defence and Thales Australia from their respective offices located in Canberra and Melbourne.  The definition and design of the solution is executed by Thales Australia from their office in Melbourne. The Installation and deployment of the site infrastructure of the new CMATS solution will be done across multiple Civil and Defence sites within Australia such as Amberley, Brisbane Darwin, East Sale, Melbourne, Nowra, Pearce, Perth, Sydney, Tindal, Townsville and Williamtown.</w:t>
          </w:r>
        </w:sdtContent>
      </w:sdt>
    </w:p>
    <w:p w:rsidR="00E45719" w:rsidRPr="00441FDB" w:rsidRDefault="00E45719" w:rsidP="00E45719">
      <w:pPr>
        <w:rPr>
          <w:rStyle w:val="PlaceholderText"/>
          <w:b/>
        </w:rPr>
      </w:pPr>
      <w:r>
        <w:rPr>
          <w:rStyle w:val="Strong"/>
        </w:rPr>
        <w:t xml:space="preserve">Estimated </w:t>
      </w:r>
      <w:r w:rsidR="00142AAC">
        <w:rPr>
          <w:rStyle w:val="Strong"/>
        </w:rPr>
        <w:t xml:space="preserve">total </w:t>
      </w:r>
      <w:r>
        <w:rPr>
          <w:rStyle w:val="Strong"/>
        </w:rPr>
        <w:t>project value:</w:t>
      </w:r>
      <w:r w:rsidR="00441FDB" w:rsidRPr="00441FDB">
        <w:t xml:space="preserve"> </w:t>
      </w:r>
      <w:sdt>
        <w:sdtPr>
          <w:rPr>
            <w:rStyle w:val="PlaceholderText"/>
          </w:rPr>
          <w:id w:val="-1528173751"/>
          <w:placeholder>
            <w:docPart w:val="2A60C8F723AB425C9728317B262DB6D8"/>
          </w:placeholder>
        </w:sdtPr>
        <w:sdtEndPr>
          <w:rPr>
            <w:rStyle w:val="PlaceholderText"/>
          </w:rPr>
        </w:sdtEndPr>
        <w:sdtContent>
          <w:r w:rsidR="006952C9" w:rsidRPr="00A632D1">
            <w:rPr>
              <w:rFonts w:cs="Arial"/>
            </w:rPr>
            <w:t xml:space="preserve">$1.2billion AUD </w:t>
          </w:r>
        </w:sdtContent>
      </w:sdt>
    </w:p>
    <w:p w:rsidR="00142AAC" w:rsidRDefault="00142AAC" w:rsidP="00130956">
      <w:pPr>
        <w:pStyle w:val="ListParagraph"/>
        <w:numPr>
          <w:ilvl w:val="0"/>
          <w:numId w:val="2"/>
        </w:numPr>
        <w:ind w:left="426"/>
        <w:rPr>
          <w:rStyle w:val="Strong"/>
        </w:rPr>
      </w:pPr>
      <w:r>
        <w:rPr>
          <w:rStyle w:val="Strong"/>
        </w:rPr>
        <w:t>Estimated value of key goods and services procured for the project (if different to total project value</w:t>
      </w:r>
      <w:r w:rsidR="00423359">
        <w:rPr>
          <w:rStyle w:val="Strong"/>
        </w:rPr>
        <w:t>)</w:t>
      </w:r>
      <w:r w:rsidR="00423359" w:rsidRPr="000846F2">
        <w:rPr>
          <w:rStyle w:val="Strong"/>
        </w:rPr>
        <w:t>:</w:t>
      </w:r>
      <w:r w:rsidR="000846F2" w:rsidRPr="00441FDB">
        <w:t xml:space="preserve"> </w:t>
      </w:r>
      <w:sdt>
        <w:sdtPr>
          <w:rPr>
            <w:rStyle w:val="PlaceholderText"/>
          </w:rPr>
          <w:id w:val="186419581"/>
          <w:placeholder>
            <w:docPart w:val="1FE663690AA84FB195B1CB35DD8FE358"/>
          </w:placeholder>
        </w:sdtPr>
        <w:sdtEndPr>
          <w:rPr>
            <w:rStyle w:val="PlaceholderText"/>
          </w:rPr>
        </w:sdtEndPr>
        <w:sdtContent>
          <w:r w:rsidR="006952C9" w:rsidRPr="00423359">
            <w:rPr>
              <w:rStyle w:val="PlaceholderText"/>
              <w:color w:val="auto"/>
            </w:rPr>
            <w:t>$ 237million AUD</w:t>
          </w:r>
        </w:sdtContent>
      </w:sdt>
    </w:p>
    <w:p w:rsidR="00E45719" w:rsidRDefault="00E45719" w:rsidP="00D86FD2">
      <w:pPr>
        <w:spacing w:line="360" w:lineRule="auto"/>
        <w:rPr>
          <w:rStyle w:val="Strong"/>
        </w:rPr>
      </w:pPr>
      <w:r>
        <w:rPr>
          <w:rStyle w:val="Strong"/>
        </w:rPr>
        <w:t>Project location:</w:t>
      </w:r>
      <w:r w:rsidRPr="00E45719">
        <w:t xml:space="preserve"> </w:t>
      </w:r>
      <w:sdt>
        <w:sdtPr>
          <w:id w:val="-783187857"/>
          <w:placeholder>
            <w:docPart w:val="F8CFB959B0A04A1CAC8504EAB4955194"/>
          </w:placeholder>
        </w:sdtPr>
        <w:sdtEndPr/>
        <w:sdtContent>
          <w:r w:rsidR="006952C9" w:rsidRPr="006952C9">
            <w:t>The Thales Australia Centre, WTC Northbank Wharf, Atrium Lobby Level, Siddeley Street, Melbourne, VIC 3005, Australia</w:t>
          </w:r>
        </w:sdtContent>
      </w:sdt>
    </w:p>
    <w:p w:rsidR="00E45719" w:rsidRDefault="00E45719" w:rsidP="00D86FD2">
      <w:pPr>
        <w:spacing w:line="360" w:lineRule="auto"/>
        <w:rPr>
          <w:rStyle w:val="Strong"/>
        </w:rPr>
      </w:pPr>
      <w:r>
        <w:rPr>
          <w:rStyle w:val="Strong"/>
        </w:rPr>
        <w:t>Link to project information:</w:t>
      </w:r>
      <w:r w:rsidRPr="00E45719">
        <w:t xml:space="preserve"> </w:t>
      </w:r>
      <w:sdt>
        <w:sdtPr>
          <w:id w:val="-886650641"/>
          <w:placeholder>
            <w:docPart w:val="70EF713EA7A5467DBA89C005FDA61B45"/>
          </w:placeholder>
        </w:sdtPr>
        <w:sdtEndPr/>
        <w:sdtContent>
          <w:sdt>
            <w:sdtPr>
              <w:rPr>
                <w:rFonts w:cs="Arial"/>
              </w:rPr>
              <w:id w:val="2055038227"/>
              <w:placeholder>
                <w:docPart w:val="0F4D03FD2D414582933F80F1EA8DC4A7"/>
              </w:placeholder>
            </w:sdtPr>
            <w:sdtEndPr/>
            <w:sdtContent>
              <w:hyperlink r:id="rId12" w:history="1">
                <w:r w:rsidR="006952C9" w:rsidRPr="00A632D1">
                  <w:rPr>
                    <w:rStyle w:val="Hyperlink"/>
                    <w:rFonts w:cs="Arial"/>
                  </w:rPr>
                  <w:t>https://www.thalesgroup.com/en/countries/asia-pacific/australia/aerospace/air-traffic-management</w:t>
                </w:r>
              </w:hyperlink>
              <w:r w:rsidR="006952C9" w:rsidRPr="00A632D1">
                <w:rPr>
                  <w:rFonts w:cs="Arial"/>
                </w:rPr>
                <w:t xml:space="preserve"> </w:t>
              </w:r>
            </w:sdtContent>
          </w:sdt>
        </w:sdtContent>
      </w:sdt>
    </w:p>
    <w:p w:rsidR="00E45719" w:rsidRDefault="00E45719" w:rsidP="00E45719">
      <w:pPr>
        <w:rPr>
          <w:rStyle w:val="Strong"/>
        </w:rPr>
      </w:pPr>
      <w:r>
        <w:rPr>
          <w:rStyle w:val="Strong"/>
        </w:rPr>
        <w:t>Project contact for procurement information:</w:t>
      </w:r>
      <w:r w:rsidRPr="00E45719">
        <w:t xml:space="preserve"> </w:t>
      </w:r>
      <w:sdt>
        <w:sdtPr>
          <w:id w:val="512961548"/>
          <w:placeholder>
            <w:docPart w:val="DA10A35400CA46009E74A29DCD6179A2"/>
          </w:placeholder>
        </w:sdtPr>
        <w:sdtEndPr/>
        <w:sdtContent>
          <w:r w:rsidR="006952C9">
            <w:t xml:space="preserve">Rajesh Patil, Programme Procurement Manager, 612 8630 4000, </w:t>
          </w:r>
          <w:hyperlink r:id="rId13" w:history="1">
            <w:r w:rsidR="006952C9" w:rsidRPr="007F2452">
              <w:rPr>
                <w:rStyle w:val="Hyperlink"/>
              </w:rPr>
              <w:t>Rajesh.Patil@thalesgroup.com.au</w:t>
            </w:r>
          </w:hyperlink>
          <w:r w:rsidR="006952C9">
            <w:t xml:space="preserve"> </w:t>
          </w:r>
        </w:sdtContent>
      </w:sdt>
    </w:p>
    <w:p w:rsidR="00E45719" w:rsidRDefault="00E45719" w:rsidP="00E45719">
      <w:pPr>
        <w:pStyle w:val="Heading2"/>
      </w:pPr>
      <w:r w:rsidRPr="00E45719">
        <w:t xml:space="preserve">2. </w:t>
      </w:r>
      <w:r>
        <w:t>Opportunities for Australian industry involvement</w:t>
      </w:r>
    </w:p>
    <w:p w:rsidR="00DE6265" w:rsidRPr="00A632D1" w:rsidRDefault="00DE6265" w:rsidP="00DE6265">
      <w:pPr>
        <w:jc w:val="center"/>
        <w:rPr>
          <w:rFonts w:cs="Arial"/>
          <w:b/>
          <w:u w:val="single"/>
          <w:lang w:val="en-US"/>
        </w:rPr>
      </w:pPr>
    </w:p>
    <w:tbl>
      <w:tblPr>
        <w:tblStyle w:val="TableGrid"/>
        <w:tblW w:w="9209" w:type="dxa"/>
        <w:tblLayout w:type="fixed"/>
        <w:tblLook w:val="04A0" w:firstRow="1" w:lastRow="0" w:firstColumn="1" w:lastColumn="0" w:noHBand="0" w:noVBand="1"/>
        <w:tblCaption w:val="Table to list expected goods and services to be purchased"/>
      </w:tblPr>
      <w:tblGrid>
        <w:gridCol w:w="6091"/>
        <w:gridCol w:w="1559"/>
        <w:gridCol w:w="1559"/>
      </w:tblGrid>
      <w:tr w:rsidR="006C03EF" w:rsidRPr="00A632D1" w:rsidTr="006C03EF">
        <w:tc>
          <w:tcPr>
            <w:tcW w:w="6091" w:type="dxa"/>
          </w:tcPr>
          <w:p w:rsidR="00DE6265" w:rsidRPr="00A632D1" w:rsidRDefault="00DE6265" w:rsidP="00207018">
            <w:pPr>
              <w:rPr>
                <w:rStyle w:val="Strong"/>
                <w:rFonts w:cs="Arial"/>
              </w:rPr>
            </w:pPr>
            <w:r w:rsidRPr="00A632D1">
              <w:rPr>
                <w:rStyle w:val="Strong"/>
                <w:rFonts w:cs="Arial"/>
              </w:rPr>
              <w:t>List of goods and services to be procured for the project and the expected opportunity for industry participation</w:t>
            </w:r>
          </w:p>
        </w:tc>
        <w:tc>
          <w:tcPr>
            <w:tcW w:w="1559" w:type="dxa"/>
          </w:tcPr>
          <w:p w:rsidR="00DE6265" w:rsidRPr="00A632D1" w:rsidRDefault="00DE6265" w:rsidP="00207018">
            <w:pPr>
              <w:jc w:val="center"/>
              <w:rPr>
                <w:rStyle w:val="Strong"/>
                <w:rFonts w:cs="Arial"/>
              </w:rPr>
            </w:pPr>
            <w:r w:rsidRPr="00A632D1">
              <w:rPr>
                <w:rStyle w:val="Strong"/>
                <w:rFonts w:cs="Arial"/>
              </w:rPr>
              <w:t>Opportunities for Australian suppliers</w:t>
            </w:r>
          </w:p>
        </w:tc>
        <w:tc>
          <w:tcPr>
            <w:tcW w:w="1559" w:type="dxa"/>
          </w:tcPr>
          <w:p w:rsidR="00DE6265" w:rsidRPr="00A632D1" w:rsidRDefault="00DE6265" w:rsidP="00207018">
            <w:pPr>
              <w:jc w:val="center"/>
              <w:rPr>
                <w:rStyle w:val="Strong"/>
                <w:rFonts w:cs="Arial"/>
              </w:rPr>
            </w:pPr>
            <w:r w:rsidRPr="00A632D1">
              <w:rPr>
                <w:rStyle w:val="Strong"/>
                <w:rFonts w:cs="Arial"/>
              </w:rPr>
              <w:t>Opportunities for overseas suppliers</w:t>
            </w:r>
          </w:p>
        </w:tc>
      </w:tr>
      <w:tr w:rsidR="00DE6265" w:rsidRPr="00A632D1" w:rsidTr="006C03EF">
        <w:tc>
          <w:tcPr>
            <w:tcW w:w="9209" w:type="dxa"/>
            <w:gridSpan w:val="3"/>
          </w:tcPr>
          <w:p w:rsidR="00DE6265" w:rsidRPr="00A632D1" w:rsidRDefault="00DE6265" w:rsidP="00207018">
            <w:pPr>
              <w:jc w:val="center"/>
              <w:rPr>
                <w:rFonts w:cs="Arial"/>
                <w:b/>
              </w:rPr>
            </w:pPr>
            <w:r w:rsidRPr="00A632D1">
              <w:rPr>
                <w:rFonts w:cs="Arial"/>
                <w:b/>
              </w:rPr>
              <w:t>GOODS/PRODUCTS</w:t>
            </w:r>
          </w:p>
        </w:tc>
      </w:tr>
      <w:tr w:rsidR="006C03EF" w:rsidRPr="00A632D1" w:rsidTr="00682665">
        <w:trPr>
          <w:trHeight w:val="532"/>
        </w:trPr>
        <w:sdt>
          <w:sdtPr>
            <w:rPr>
              <w:rFonts w:cs="Arial"/>
              <w:sz w:val="18"/>
              <w:szCs w:val="18"/>
            </w:rPr>
            <w:id w:val="335347321"/>
          </w:sdtPr>
          <w:sdtEndPr/>
          <w:sdtContent>
            <w:tc>
              <w:tcPr>
                <w:tcW w:w="6091" w:type="dxa"/>
                <w:vAlign w:val="center"/>
              </w:tcPr>
              <w:p w:rsidR="00DE6265" w:rsidRPr="00A632D1" w:rsidRDefault="00DE6265" w:rsidP="00682665">
                <w:pPr>
                  <w:spacing w:line="360" w:lineRule="auto"/>
                  <w:rPr>
                    <w:rFonts w:cs="Arial"/>
                    <w:sz w:val="18"/>
                    <w:szCs w:val="18"/>
                  </w:rPr>
                </w:pPr>
                <w:r w:rsidRPr="00A632D1">
                  <w:rPr>
                    <w:rFonts w:cs="Arial"/>
                    <w:sz w:val="18"/>
                    <w:szCs w:val="18"/>
                  </w:rPr>
                  <w:t>VOICE COMMUNICATION SYSTEM (VCS) &amp; AIRFIELD MANAGEMENT SYSTEM (AFMS)</w:t>
                </w:r>
              </w:p>
            </w:tc>
          </w:sdtContent>
        </w:sdt>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c>
          <w:tcPr>
            <w:tcW w:w="6091" w:type="dxa"/>
            <w:vAlign w:val="center"/>
          </w:tcPr>
          <w:p w:rsidR="00DE6265" w:rsidRPr="00A632D1" w:rsidRDefault="00DE6265" w:rsidP="00682665">
            <w:pPr>
              <w:spacing w:line="360" w:lineRule="auto"/>
              <w:rPr>
                <w:rFonts w:cs="Arial"/>
                <w:sz w:val="18"/>
                <w:szCs w:val="18"/>
              </w:rPr>
            </w:pPr>
            <w:r w:rsidRPr="00A632D1">
              <w:rPr>
                <w:rFonts w:cs="Arial"/>
                <w:sz w:val="18"/>
                <w:szCs w:val="18"/>
              </w:rPr>
              <w:t>SECURING CONTENT MANAEMENT SYSTEM USING CONTROL &amp; MONITORING SYSTEM</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c>
          <w:tcPr>
            <w:tcW w:w="6091" w:type="dxa"/>
            <w:vAlign w:val="center"/>
          </w:tcPr>
          <w:p w:rsidR="00DE6265" w:rsidRPr="00A632D1" w:rsidRDefault="00DE6265" w:rsidP="00682665">
            <w:pPr>
              <w:spacing w:line="360" w:lineRule="auto"/>
              <w:rPr>
                <w:rFonts w:cs="Arial"/>
                <w:sz w:val="18"/>
                <w:szCs w:val="18"/>
              </w:rPr>
            </w:pPr>
            <w:r w:rsidRPr="00A632D1">
              <w:rPr>
                <w:rFonts w:cs="Arial"/>
                <w:sz w:val="18"/>
                <w:szCs w:val="18"/>
              </w:rPr>
              <w:t>RECORDING &amp; REPLAY SOFTWARE SOLUTION FOR AIR TRAFFIC MANAGEMENT</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spacing w:line="360" w:lineRule="auto"/>
              <w:rPr>
                <w:rFonts w:cs="Arial"/>
                <w:sz w:val="18"/>
                <w:szCs w:val="18"/>
              </w:rPr>
            </w:pPr>
            <w:r w:rsidRPr="00A632D1">
              <w:rPr>
                <w:rFonts w:cs="Arial"/>
                <w:sz w:val="18"/>
                <w:szCs w:val="18"/>
              </w:rPr>
              <w:t>COMMERCIAL OFF-THE-SHELF (COTS) IT HARDWARE: MONITORS [Standard Resolution]</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NO</w:t>
            </w:r>
          </w:p>
        </w:tc>
      </w:tr>
      <w:tr w:rsidR="006C03EF" w:rsidRPr="00A632D1" w:rsidTr="00682665">
        <w:trPr>
          <w:trHeight w:val="70"/>
        </w:trPr>
        <w:tc>
          <w:tcPr>
            <w:tcW w:w="6091" w:type="dxa"/>
            <w:vAlign w:val="center"/>
          </w:tcPr>
          <w:p w:rsidR="00DE6265" w:rsidRPr="00A632D1" w:rsidRDefault="00DE6265" w:rsidP="00682665">
            <w:pPr>
              <w:spacing w:line="360" w:lineRule="auto"/>
              <w:rPr>
                <w:rFonts w:cs="Arial"/>
                <w:sz w:val="18"/>
                <w:szCs w:val="18"/>
              </w:rPr>
            </w:pPr>
            <w:r w:rsidRPr="00A632D1">
              <w:rPr>
                <w:rFonts w:cs="Arial"/>
                <w:sz w:val="18"/>
                <w:szCs w:val="18"/>
              </w:rPr>
              <w:t>COMMERCIAL OFF-THE-SHELF (COTS) IT HARDWARE: AIR TRAFFIC CONTROL DISPLAYS [High Resolution]</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spacing w:line="360" w:lineRule="auto"/>
              <w:rPr>
                <w:rFonts w:cs="Arial"/>
                <w:sz w:val="18"/>
                <w:szCs w:val="18"/>
              </w:rPr>
            </w:pPr>
            <w:r w:rsidRPr="00A632D1">
              <w:rPr>
                <w:rFonts w:cs="Arial"/>
                <w:sz w:val="18"/>
                <w:szCs w:val="18"/>
              </w:rPr>
              <w:t>COMMERCIAL OFF-THE-SHELF (COTS) IT HARDWARE WORKSTATIONS [Standard and High Performance]</w:t>
            </w:r>
          </w:p>
        </w:tc>
        <w:tc>
          <w:tcPr>
            <w:tcW w:w="1559" w:type="dxa"/>
            <w:vAlign w:val="center"/>
          </w:tcPr>
          <w:p w:rsidR="00DE6265" w:rsidRPr="00A632D1" w:rsidDel="00F73CD3"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Del="00F73CD3" w:rsidRDefault="00DE6265" w:rsidP="00682665">
            <w:pPr>
              <w:rPr>
                <w:rFonts w:cs="Arial"/>
                <w:sz w:val="18"/>
                <w:szCs w:val="18"/>
              </w:rPr>
            </w:pPr>
            <w:r w:rsidRPr="00A632D1">
              <w:rPr>
                <w:rFonts w:cs="Arial"/>
                <w:sz w:val="18"/>
                <w:szCs w:val="18"/>
              </w:rPr>
              <w:t>NO</w:t>
            </w:r>
          </w:p>
        </w:tc>
      </w:tr>
      <w:tr w:rsidR="006C03EF" w:rsidRPr="00A632D1" w:rsidTr="00682665">
        <w:trPr>
          <w:trHeight w:val="70"/>
        </w:trPr>
        <w:tc>
          <w:tcPr>
            <w:tcW w:w="6091" w:type="dxa"/>
            <w:vAlign w:val="center"/>
          </w:tcPr>
          <w:p w:rsidR="00DE6265" w:rsidRPr="00A632D1" w:rsidRDefault="00DE6265" w:rsidP="00682665">
            <w:pPr>
              <w:spacing w:line="360" w:lineRule="auto"/>
              <w:rPr>
                <w:rFonts w:cs="Arial"/>
                <w:sz w:val="18"/>
                <w:szCs w:val="18"/>
              </w:rPr>
            </w:pPr>
            <w:r w:rsidRPr="00A632D1">
              <w:rPr>
                <w:rFonts w:cs="Arial"/>
                <w:sz w:val="18"/>
                <w:szCs w:val="18"/>
              </w:rPr>
              <w:lastRenderedPageBreak/>
              <w:t>COMMERCIAL OFF-THE-SHELF (COTS) IT HARDWARE SERVERS [Standard and High Performance]</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NO</w:t>
            </w:r>
          </w:p>
        </w:tc>
      </w:tr>
      <w:tr w:rsidR="006C03EF" w:rsidRPr="00A632D1" w:rsidTr="00682665">
        <w:trPr>
          <w:trHeight w:val="70"/>
        </w:trPr>
        <w:tc>
          <w:tcPr>
            <w:tcW w:w="6091" w:type="dxa"/>
            <w:vAlign w:val="center"/>
          </w:tcPr>
          <w:p w:rsidR="00DE6265" w:rsidRPr="00A632D1" w:rsidRDefault="00DE6265" w:rsidP="00682665">
            <w:pPr>
              <w:spacing w:line="360" w:lineRule="auto"/>
              <w:rPr>
                <w:rFonts w:cs="Arial"/>
                <w:sz w:val="18"/>
                <w:szCs w:val="18"/>
              </w:rPr>
            </w:pPr>
            <w:r w:rsidRPr="00A632D1">
              <w:rPr>
                <w:rFonts w:cs="Arial"/>
                <w:sz w:val="18"/>
                <w:szCs w:val="18"/>
              </w:rPr>
              <w:t>COMMERCIAL OFF-THE-SHELF (COTS) IT HARDWARE STORAGE DEVICES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NO</w:t>
            </w:r>
          </w:p>
        </w:tc>
      </w:tr>
      <w:tr w:rsidR="006C03EF" w:rsidRPr="00A632D1" w:rsidTr="00682665">
        <w:trPr>
          <w:trHeight w:val="70"/>
        </w:trPr>
        <w:tc>
          <w:tcPr>
            <w:tcW w:w="6091" w:type="dxa"/>
            <w:vAlign w:val="center"/>
          </w:tcPr>
          <w:p w:rsidR="00DE6265" w:rsidRPr="00A632D1" w:rsidRDefault="00DE6265" w:rsidP="00682665">
            <w:pPr>
              <w:spacing w:line="360" w:lineRule="auto"/>
              <w:rPr>
                <w:rFonts w:cs="Arial"/>
                <w:sz w:val="18"/>
                <w:szCs w:val="18"/>
              </w:rPr>
            </w:pPr>
            <w:r w:rsidRPr="00A632D1">
              <w:rPr>
                <w:rFonts w:cs="Arial"/>
                <w:sz w:val="18"/>
                <w:szCs w:val="18"/>
              </w:rPr>
              <w:t>COMMERCIAL OFF-THE-SHELF (COTS) IT HARDWARE NETWORK SWITCHES, WAN &amp;ROUTERS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NO</w:t>
            </w:r>
          </w:p>
        </w:tc>
      </w:tr>
      <w:tr w:rsidR="006C03EF" w:rsidRPr="00A632D1" w:rsidTr="00682665">
        <w:trPr>
          <w:trHeight w:val="70"/>
        </w:trPr>
        <w:tc>
          <w:tcPr>
            <w:tcW w:w="6091" w:type="dxa"/>
            <w:vAlign w:val="center"/>
          </w:tcPr>
          <w:p w:rsidR="00DE6265" w:rsidRPr="00A632D1" w:rsidRDefault="00DE6265" w:rsidP="00682665">
            <w:pPr>
              <w:spacing w:line="360" w:lineRule="auto"/>
              <w:rPr>
                <w:rFonts w:cs="Arial"/>
                <w:sz w:val="18"/>
                <w:szCs w:val="18"/>
              </w:rPr>
            </w:pPr>
            <w:r w:rsidRPr="00A632D1">
              <w:rPr>
                <w:rFonts w:cs="Arial"/>
                <w:sz w:val="18"/>
                <w:szCs w:val="18"/>
              </w:rPr>
              <w:t>COMMERCIAL OFF-THE-SHELF (COTS) IT HARDWARE: SCREEN GRABBERS</w:t>
            </w:r>
          </w:p>
        </w:tc>
        <w:tc>
          <w:tcPr>
            <w:tcW w:w="1559" w:type="dxa"/>
            <w:vAlign w:val="center"/>
          </w:tcPr>
          <w:p w:rsidR="00DE6265" w:rsidRPr="00A632D1" w:rsidRDefault="00DE6265" w:rsidP="00682665">
            <w:pPr>
              <w:rPr>
                <w:rFonts w:cs="Arial"/>
                <w:sz w:val="18"/>
                <w:szCs w:val="18"/>
              </w:rPr>
            </w:pPr>
            <w:r w:rsidRPr="00A632D1">
              <w:rPr>
                <w:rFonts w:cs="Arial"/>
                <w:sz w:val="18"/>
                <w:szCs w:val="18"/>
              </w:rPr>
              <w:t>NO</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spacing w:line="360" w:lineRule="auto"/>
              <w:rPr>
                <w:rFonts w:cs="Arial"/>
                <w:sz w:val="18"/>
                <w:szCs w:val="18"/>
              </w:rPr>
            </w:pPr>
            <w:r w:rsidRPr="00A632D1">
              <w:rPr>
                <w:rFonts w:cs="Arial"/>
                <w:sz w:val="18"/>
                <w:szCs w:val="18"/>
              </w:rPr>
              <w:t>COMMERCIAL OFF-THE-SHELF (COTS) OFFICE FURNITURE</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NO</w:t>
            </w:r>
          </w:p>
        </w:tc>
      </w:tr>
      <w:tr w:rsidR="006C03EF" w:rsidRPr="00A632D1" w:rsidTr="00682665">
        <w:trPr>
          <w:trHeight w:val="70"/>
        </w:trPr>
        <w:tc>
          <w:tcPr>
            <w:tcW w:w="6091" w:type="dxa"/>
            <w:vAlign w:val="center"/>
          </w:tcPr>
          <w:p w:rsidR="00DE6265" w:rsidRPr="00A632D1" w:rsidRDefault="00DE6265" w:rsidP="00682665">
            <w:pPr>
              <w:spacing w:line="360" w:lineRule="auto"/>
              <w:rPr>
                <w:rFonts w:cs="Arial"/>
                <w:sz w:val="18"/>
                <w:szCs w:val="18"/>
              </w:rPr>
            </w:pPr>
            <w:r w:rsidRPr="00A632D1">
              <w:rPr>
                <w:rFonts w:cs="Arial"/>
                <w:sz w:val="18"/>
                <w:szCs w:val="18"/>
              </w:rPr>
              <w:t>CUSTOMISED SPECIAL PURPOSE CONSOLES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spacing w:line="360" w:lineRule="auto"/>
              <w:rPr>
                <w:rFonts w:cs="Arial"/>
                <w:sz w:val="18"/>
                <w:szCs w:val="18"/>
              </w:rPr>
            </w:pPr>
            <w:r w:rsidRPr="00A632D1">
              <w:rPr>
                <w:rFonts w:cs="Arial"/>
                <w:sz w:val="18"/>
                <w:szCs w:val="18"/>
              </w:rPr>
              <w:t>COMMERCIAL OFF-THE-SHELF SOFTWARE LICENSES BASED ON REQUIRED KNOWN FUNCTIONALITIES AT THIS STAGE</w:t>
            </w:r>
            <w:r>
              <w:rPr>
                <w:rFonts w:cs="Arial"/>
                <w:sz w:val="18"/>
                <w:szCs w:val="18"/>
              </w:rPr>
              <w:t xml:space="preserve"> OF THE PROJECT</w:t>
            </w:r>
          </w:p>
        </w:tc>
        <w:tc>
          <w:tcPr>
            <w:tcW w:w="1559" w:type="dxa"/>
            <w:vAlign w:val="center"/>
          </w:tcPr>
          <w:p w:rsidR="00DE6265" w:rsidRPr="00A632D1" w:rsidRDefault="00DE6265" w:rsidP="00682665">
            <w:pPr>
              <w:rPr>
                <w:rFonts w:cs="Arial"/>
                <w:sz w:val="18"/>
                <w:szCs w:val="18"/>
              </w:rPr>
            </w:pPr>
            <w:r>
              <w:rPr>
                <w:rFonts w:cs="Arial"/>
                <w:sz w:val="18"/>
                <w:szCs w:val="18"/>
              </w:rPr>
              <w:t>YES</w:t>
            </w:r>
          </w:p>
        </w:tc>
        <w:tc>
          <w:tcPr>
            <w:tcW w:w="1559" w:type="dxa"/>
            <w:vAlign w:val="center"/>
          </w:tcPr>
          <w:p w:rsidR="00DE6265" w:rsidRPr="00A632D1" w:rsidRDefault="00DE6265" w:rsidP="00682665">
            <w:pPr>
              <w:rPr>
                <w:rFonts w:cs="Arial"/>
                <w:sz w:val="18"/>
                <w:szCs w:val="18"/>
              </w:rPr>
            </w:pPr>
            <w:r>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sz w:val="18"/>
                <w:szCs w:val="18"/>
              </w:rPr>
            </w:pPr>
            <w:r w:rsidRPr="00A632D1">
              <w:rPr>
                <w:rFonts w:cs="Arial"/>
                <w:sz w:val="18"/>
                <w:szCs w:val="18"/>
              </w:rPr>
              <w:t>Dot.Net Framework, NTP Software Recording server client for NTP server and for connected video grabbers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sz w:val="18"/>
                <w:szCs w:val="18"/>
              </w:rPr>
            </w:pPr>
            <w:r w:rsidRPr="00A632D1">
              <w:rPr>
                <w:rFonts w:cs="Arial"/>
                <w:sz w:val="18"/>
                <w:szCs w:val="18"/>
              </w:rPr>
              <w:t>WinPcap Library used by Ethernet Raw Data Collector, Web-Browser used for recording</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sz w:val="18"/>
                <w:szCs w:val="18"/>
              </w:rPr>
            </w:pPr>
            <w:r w:rsidRPr="00A632D1">
              <w:rPr>
                <w:rFonts w:cs="Arial"/>
                <w:sz w:val="18"/>
                <w:szCs w:val="18"/>
              </w:rPr>
              <w:t>Enterprise Linux Platform</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sz w:val="18"/>
                <w:szCs w:val="18"/>
              </w:rPr>
            </w:pPr>
            <w:r w:rsidRPr="00A632D1">
              <w:rPr>
                <w:rFonts w:cs="Arial"/>
                <w:sz w:val="18"/>
                <w:szCs w:val="18"/>
              </w:rPr>
              <w:t>Real time data monitoring Operating System to process metrics collected from Servers, Workstations, network devices and virtual devices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sz w:val="18"/>
                <w:szCs w:val="18"/>
              </w:rPr>
            </w:pPr>
            <w:r w:rsidRPr="00A632D1">
              <w:rPr>
                <w:rFonts w:cs="Arial"/>
                <w:sz w:val="18"/>
                <w:szCs w:val="18"/>
              </w:rPr>
              <w:t>Relational database management system</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sz w:val="18"/>
                <w:szCs w:val="18"/>
              </w:rPr>
            </w:pPr>
            <w:r w:rsidRPr="00A632D1">
              <w:rPr>
                <w:rFonts w:cs="Arial"/>
                <w:sz w:val="18"/>
                <w:szCs w:val="18"/>
              </w:rPr>
              <w:t>Apache HTTP Server, Application Server Framework, Python Language bindings for Selenium WebDriver</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sz w:val="18"/>
                <w:szCs w:val="18"/>
              </w:rPr>
            </w:pPr>
            <w:r w:rsidRPr="00A632D1">
              <w:rPr>
                <w:rFonts w:cs="Arial"/>
                <w:sz w:val="18"/>
                <w:szCs w:val="18"/>
              </w:rPr>
              <w:t>Proxy for using W3C WebDriver compatible clients to interact with Gecko-based browsers &amp; PHP development IDE for Control &amp; Monitoring System</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sz w:val="18"/>
                <w:szCs w:val="18"/>
              </w:rPr>
            </w:pPr>
            <w:r w:rsidRPr="00A632D1">
              <w:rPr>
                <w:rFonts w:cs="Arial"/>
                <w:sz w:val="18"/>
                <w:szCs w:val="18"/>
              </w:rPr>
              <w:t>Antivirus Software using Reputation Rating Checking</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sz w:val="18"/>
                <w:szCs w:val="18"/>
              </w:rPr>
            </w:pPr>
            <w:r w:rsidRPr="00A632D1">
              <w:rPr>
                <w:rFonts w:cs="Arial"/>
                <w:sz w:val="18"/>
                <w:szCs w:val="18"/>
              </w:rPr>
              <w:t>Network Segmentation and Segregation</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sz w:val="18"/>
                <w:szCs w:val="18"/>
              </w:rPr>
            </w:pPr>
            <w:r w:rsidRPr="00A632D1">
              <w:rPr>
                <w:rFonts w:cs="Arial"/>
                <w:sz w:val="18"/>
                <w:szCs w:val="18"/>
              </w:rPr>
              <w:t>Windows Server 2016 Datacentre Edition</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658"/>
        </w:trPr>
        <w:tc>
          <w:tcPr>
            <w:tcW w:w="6091" w:type="dxa"/>
            <w:vAlign w:val="center"/>
          </w:tcPr>
          <w:p w:rsidR="00DE6265" w:rsidRPr="00A632D1" w:rsidRDefault="00DE6265" w:rsidP="00682665">
            <w:pPr>
              <w:pStyle w:val="ListParagraph"/>
              <w:numPr>
                <w:ilvl w:val="0"/>
                <w:numId w:val="3"/>
              </w:numPr>
              <w:spacing w:before="120" w:line="360" w:lineRule="auto"/>
              <w:rPr>
                <w:rFonts w:cs="Arial"/>
                <w:sz w:val="18"/>
                <w:szCs w:val="18"/>
              </w:rPr>
            </w:pPr>
            <w:r w:rsidRPr="00A632D1">
              <w:rPr>
                <w:rFonts w:cs="Arial"/>
                <w:sz w:val="18"/>
                <w:szCs w:val="18"/>
              </w:rPr>
              <w:t>Multi-Sensor Data Fusion, Interoperability &amp; Data Exchange</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sz w:val="18"/>
                <w:szCs w:val="18"/>
              </w:rPr>
            </w:pPr>
            <w:r w:rsidRPr="00A632D1">
              <w:rPr>
                <w:rFonts w:cs="Arial"/>
                <w:sz w:val="18"/>
                <w:szCs w:val="18"/>
              </w:rPr>
              <w:t>Middleware for Air Traffic Management Applications &amp; UBSS Config Tool, Air-Ground Datalink Tool</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sz w:val="18"/>
                <w:szCs w:val="18"/>
              </w:rPr>
            </w:pPr>
            <w:r w:rsidRPr="00A632D1">
              <w:rPr>
                <w:rFonts w:cs="Arial"/>
                <w:sz w:val="18"/>
                <w:szCs w:val="18"/>
              </w:rPr>
              <w:t>Active Directory services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sz w:val="18"/>
                <w:szCs w:val="18"/>
              </w:rPr>
            </w:pPr>
            <w:r w:rsidRPr="00A632D1">
              <w:rPr>
                <w:rFonts w:cs="Arial"/>
                <w:sz w:val="18"/>
                <w:szCs w:val="18"/>
              </w:rPr>
              <w:t>Domain Control and SecurID Auth Manager</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sz w:val="18"/>
                <w:szCs w:val="18"/>
              </w:rPr>
            </w:pPr>
            <w:r w:rsidRPr="00A632D1">
              <w:rPr>
                <w:rFonts w:cs="Arial"/>
                <w:sz w:val="18"/>
                <w:szCs w:val="18"/>
              </w:rPr>
              <w:t>Network Policy Server</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sz w:val="18"/>
                <w:szCs w:val="18"/>
              </w:rPr>
            </w:pPr>
            <w:r w:rsidRPr="00A632D1">
              <w:rPr>
                <w:rFonts w:cs="Arial"/>
                <w:sz w:val="18"/>
                <w:szCs w:val="18"/>
              </w:rPr>
              <w:t>Two Factor Authentication, Password Vault Web Access, Privileged Session Manager, Manage Technical Users Access and Central Policy Manager</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sz w:val="18"/>
                <w:szCs w:val="18"/>
              </w:rPr>
            </w:pPr>
            <w:r w:rsidRPr="00A632D1">
              <w:rPr>
                <w:rFonts w:cs="Arial"/>
                <w:sz w:val="18"/>
                <w:szCs w:val="18"/>
              </w:rPr>
              <w:t>Multifactor Authentication, Certificate Management and Threat Intelligence</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sz w:val="18"/>
                <w:szCs w:val="18"/>
              </w:rPr>
            </w:pPr>
            <w:r w:rsidRPr="00A632D1">
              <w:rPr>
                <w:rFonts w:cs="Arial"/>
                <w:sz w:val="18"/>
                <w:szCs w:val="18"/>
              </w:rPr>
              <w:t>Analysis Engine, SIEM Analytics &amp; Smarts, Forensic Database, SIEM Database Respiratory, Zone Collector</w:t>
            </w:r>
          </w:p>
          <w:p w:rsidR="00DE6265" w:rsidRPr="00A632D1" w:rsidRDefault="00DE6265" w:rsidP="00682665">
            <w:pPr>
              <w:pStyle w:val="ListParagraph"/>
              <w:numPr>
                <w:ilvl w:val="0"/>
                <w:numId w:val="0"/>
              </w:numPr>
              <w:spacing w:line="360" w:lineRule="auto"/>
              <w:ind w:left="360"/>
              <w:rPr>
                <w:rFonts w:cs="Arial"/>
                <w:i/>
                <w:sz w:val="18"/>
                <w:szCs w:val="18"/>
              </w:rPr>
            </w:pPr>
            <w:r w:rsidRPr="00A632D1">
              <w:rPr>
                <w:rFonts w:cs="Arial"/>
                <w:i/>
                <w:sz w:val="18"/>
                <w:szCs w:val="18"/>
              </w:rPr>
              <w:t>[*SIEM – Security Information and Event Management]</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sz w:val="18"/>
                <w:szCs w:val="18"/>
              </w:rPr>
            </w:pPr>
            <w:r w:rsidRPr="00A632D1">
              <w:rPr>
                <w:rFonts w:cs="Arial"/>
                <w:sz w:val="18"/>
                <w:szCs w:val="18"/>
              </w:rPr>
              <w:t>SIEM Log Collector &amp; Vulnerability Assessment Tool</w:t>
            </w:r>
          </w:p>
          <w:p w:rsidR="00DE6265" w:rsidRPr="00A632D1" w:rsidRDefault="00DE6265" w:rsidP="00682665">
            <w:pPr>
              <w:pStyle w:val="ListParagraph"/>
              <w:numPr>
                <w:ilvl w:val="0"/>
                <w:numId w:val="0"/>
              </w:numPr>
              <w:spacing w:line="360" w:lineRule="auto"/>
              <w:ind w:left="360"/>
              <w:rPr>
                <w:rFonts w:cs="Arial"/>
                <w:sz w:val="18"/>
                <w:szCs w:val="18"/>
              </w:rPr>
            </w:pPr>
            <w:r w:rsidRPr="00A632D1">
              <w:rPr>
                <w:rFonts w:cs="Arial"/>
                <w:i/>
                <w:sz w:val="18"/>
                <w:szCs w:val="18"/>
              </w:rPr>
              <w:t>[*SIEM – Security Information and Event Management]</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color w:val="000000"/>
              </w:rPr>
            </w:pPr>
            <w:r w:rsidRPr="00A632D1">
              <w:rPr>
                <w:rFonts w:cs="Arial"/>
                <w:color w:val="000000"/>
              </w:rPr>
              <w:t>Configuration Enforcement, Device &amp; Port Control, Application Whitelist applications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color w:val="000000"/>
              </w:rPr>
            </w:pPr>
            <w:r w:rsidRPr="00A632D1">
              <w:rPr>
                <w:rFonts w:cs="Arial"/>
                <w:color w:val="000000"/>
              </w:rPr>
              <w:t>File Integrity Monitoring, Removable Device Access Control, Detect File Integrity</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color w:val="000000"/>
              </w:rPr>
            </w:pPr>
            <w:r w:rsidRPr="00A632D1">
              <w:rPr>
                <w:rFonts w:cs="Arial"/>
                <w:color w:val="000000"/>
              </w:rPr>
              <w:t>Antivirus, Antivirus for Sheep Dip, HIPS / Firewall</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color w:val="000000"/>
              </w:rPr>
            </w:pPr>
            <w:r w:rsidRPr="00A632D1">
              <w:rPr>
                <w:rFonts w:cs="Arial"/>
                <w:color w:val="000000"/>
              </w:rPr>
              <w:t>Harden Operating System related to Servers and Workstations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color w:val="000000"/>
              </w:rPr>
            </w:pPr>
            <w:r w:rsidRPr="00A632D1">
              <w:rPr>
                <w:rFonts w:cs="Arial"/>
                <w:color w:val="000000"/>
              </w:rPr>
              <w:t>Root File System, TMCS database services, TMCS Application Server &amp; Framework, Java Runtime Environment</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color w:val="000000"/>
              </w:rPr>
            </w:pPr>
            <w:r w:rsidRPr="00A632D1">
              <w:rPr>
                <w:rFonts w:cs="Arial"/>
                <w:color w:val="000000"/>
              </w:rPr>
              <w:t>Microsoft Deployment Toolkit, Cobbler Linux installation server</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82665">
        <w:trPr>
          <w:trHeight w:val="70"/>
        </w:trPr>
        <w:tc>
          <w:tcPr>
            <w:tcW w:w="6091" w:type="dxa"/>
            <w:vAlign w:val="center"/>
          </w:tcPr>
          <w:p w:rsidR="00DE6265" w:rsidRPr="00A632D1" w:rsidRDefault="00DE6265" w:rsidP="00682665">
            <w:pPr>
              <w:pStyle w:val="ListParagraph"/>
              <w:numPr>
                <w:ilvl w:val="0"/>
                <w:numId w:val="3"/>
              </w:numPr>
              <w:spacing w:before="120" w:line="360" w:lineRule="auto"/>
              <w:rPr>
                <w:rFonts w:cs="Arial"/>
                <w:color w:val="000000"/>
              </w:rPr>
            </w:pPr>
            <w:r w:rsidRPr="00A632D1">
              <w:rPr>
                <w:rFonts w:cs="Arial"/>
                <w:color w:val="000000"/>
              </w:rPr>
              <w:t>Anisable software provisioning, configuration management, and application-deployment</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c>
          <w:tcPr>
            <w:tcW w:w="1559" w:type="dxa"/>
            <w:vAlign w:val="center"/>
          </w:tcPr>
          <w:p w:rsidR="00DE6265" w:rsidRPr="00A632D1" w:rsidRDefault="00DE6265" w:rsidP="00682665">
            <w:pPr>
              <w:rPr>
                <w:rFonts w:cs="Arial"/>
                <w:sz w:val="18"/>
                <w:szCs w:val="18"/>
              </w:rPr>
            </w:pPr>
            <w:r w:rsidRPr="00A632D1">
              <w:rPr>
                <w:rFonts w:cs="Arial"/>
                <w:sz w:val="18"/>
                <w:szCs w:val="18"/>
              </w:rPr>
              <w:t>YES</w:t>
            </w:r>
          </w:p>
        </w:tc>
      </w:tr>
      <w:tr w:rsidR="006C03EF" w:rsidRPr="00A632D1" w:rsidTr="006C03EF">
        <w:trPr>
          <w:trHeight w:val="70"/>
        </w:trPr>
        <w:tc>
          <w:tcPr>
            <w:tcW w:w="6091" w:type="dxa"/>
          </w:tcPr>
          <w:p w:rsidR="00DE6265" w:rsidRPr="00A632D1" w:rsidRDefault="00DE6265" w:rsidP="00DE6265">
            <w:pPr>
              <w:pStyle w:val="ListParagraph"/>
              <w:numPr>
                <w:ilvl w:val="0"/>
                <w:numId w:val="3"/>
              </w:numPr>
              <w:spacing w:before="120" w:line="360" w:lineRule="auto"/>
              <w:rPr>
                <w:rFonts w:cs="Arial"/>
                <w:color w:val="000000"/>
              </w:rPr>
            </w:pPr>
            <w:r w:rsidRPr="00A632D1">
              <w:rPr>
                <w:rFonts w:cs="Arial"/>
                <w:color w:val="000000"/>
              </w:rPr>
              <w:t>Linux kernel security modules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r>
      <w:tr w:rsidR="006C03EF" w:rsidRPr="00A632D1" w:rsidTr="006C03EF">
        <w:trPr>
          <w:trHeight w:val="70"/>
        </w:trPr>
        <w:tc>
          <w:tcPr>
            <w:tcW w:w="6091" w:type="dxa"/>
          </w:tcPr>
          <w:p w:rsidR="00DE6265" w:rsidRPr="00A632D1" w:rsidRDefault="00DE6265" w:rsidP="00DE6265">
            <w:pPr>
              <w:pStyle w:val="ListParagraph"/>
              <w:numPr>
                <w:ilvl w:val="0"/>
                <w:numId w:val="3"/>
              </w:numPr>
              <w:spacing w:before="120" w:line="360" w:lineRule="auto"/>
              <w:rPr>
                <w:rFonts w:cs="Arial"/>
                <w:color w:val="000000"/>
              </w:rPr>
            </w:pPr>
            <w:r w:rsidRPr="00A632D1">
              <w:rPr>
                <w:rFonts w:cs="Arial"/>
                <w:color w:val="000000"/>
              </w:rPr>
              <w:t>Test tool for Modbus interfaces: Modbus Poll, Modbus Slave, WSMBT, WSMBS, and MBAXP</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r>
      <w:tr w:rsidR="006C03EF" w:rsidRPr="00A632D1" w:rsidTr="006C03EF">
        <w:trPr>
          <w:trHeight w:val="70"/>
        </w:trPr>
        <w:tc>
          <w:tcPr>
            <w:tcW w:w="6091" w:type="dxa"/>
          </w:tcPr>
          <w:p w:rsidR="00DE6265" w:rsidRPr="00A632D1" w:rsidRDefault="00DE6265" w:rsidP="00207018">
            <w:pPr>
              <w:spacing w:after="0" w:line="360" w:lineRule="auto"/>
              <w:rPr>
                <w:rFonts w:cs="Arial"/>
                <w:sz w:val="18"/>
                <w:szCs w:val="18"/>
              </w:rPr>
            </w:pPr>
            <w:r w:rsidRPr="00A632D1">
              <w:rPr>
                <w:rFonts w:cs="Arial"/>
                <w:sz w:val="18"/>
                <w:szCs w:val="18"/>
              </w:rPr>
              <w:t xml:space="preserve">COMMERCIAL IT RACKS AND CABINETS </w:t>
            </w:r>
          </w:p>
          <w:p w:rsidR="00DE6265" w:rsidRPr="00A632D1" w:rsidRDefault="00DE6265" w:rsidP="00207018">
            <w:pPr>
              <w:spacing w:line="360" w:lineRule="auto"/>
              <w:rPr>
                <w:rFonts w:cs="Arial"/>
                <w:sz w:val="18"/>
                <w:szCs w:val="18"/>
              </w:rPr>
            </w:pPr>
            <w:r w:rsidRPr="00A632D1">
              <w:rPr>
                <w:rFonts w:cs="Arial"/>
                <w:sz w:val="18"/>
                <w:szCs w:val="18"/>
              </w:rPr>
              <w:t>(STANDARD IT LOCAKABLE 24U, 42U RACKS)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r>
      <w:tr w:rsidR="006C03EF" w:rsidRPr="00A632D1" w:rsidTr="006C03EF">
        <w:trPr>
          <w:trHeight w:val="70"/>
        </w:trPr>
        <w:tc>
          <w:tcPr>
            <w:tcW w:w="6091" w:type="dxa"/>
          </w:tcPr>
          <w:p w:rsidR="00DE6265" w:rsidRPr="00A632D1" w:rsidRDefault="00DE6265" w:rsidP="00207018">
            <w:pPr>
              <w:spacing w:line="360" w:lineRule="auto"/>
              <w:rPr>
                <w:rFonts w:cs="Arial"/>
                <w:sz w:val="18"/>
                <w:szCs w:val="18"/>
              </w:rPr>
            </w:pPr>
            <w:r w:rsidRPr="00A632D1">
              <w:rPr>
                <w:rFonts w:cs="Arial"/>
                <w:sz w:val="18"/>
                <w:szCs w:val="18"/>
              </w:rPr>
              <w:t>SECURITY CONSTRUCTION EQUIPMENT CLASSIFICATION (SCEC) APPROVED IT RACKS &amp; CABINETS (CLASS B, C, etc.)</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r w:rsidR="00A6581F">
              <w:rPr>
                <w:rFonts w:cs="Arial"/>
                <w:sz w:val="18"/>
                <w:szCs w:val="18"/>
              </w:rPr>
              <w:t>*</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NO</w:t>
            </w:r>
          </w:p>
        </w:tc>
      </w:tr>
      <w:tr w:rsidR="006C03EF" w:rsidRPr="00A632D1" w:rsidTr="006C03EF">
        <w:trPr>
          <w:trHeight w:val="70"/>
        </w:trPr>
        <w:tc>
          <w:tcPr>
            <w:tcW w:w="6091" w:type="dxa"/>
          </w:tcPr>
          <w:p w:rsidR="00DE6265" w:rsidRPr="00A632D1" w:rsidRDefault="00DE6265" w:rsidP="00207018">
            <w:pPr>
              <w:spacing w:line="360" w:lineRule="auto"/>
              <w:rPr>
                <w:rFonts w:cs="Arial"/>
                <w:sz w:val="18"/>
                <w:szCs w:val="18"/>
              </w:rPr>
            </w:pPr>
            <w:r w:rsidRPr="00A632D1">
              <w:rPr>
                <w:rFonts w:cs="Arial"/>
                <w:sz w:val="18"/>
                <w:szCs w:val="18"/>
              </w:rPr>
              <w:t xml:space="preserve">TIME SYSTEMS </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r>
      <w:tr w:rsidR="006C03EF" w:rsidRPr="00A632D1" w:rsidTr="006C03EF">
        <w:trPr>
          <w:trHeight w:val="70"/>
        </w:trPr>
        <w:tc>
          <w:tcPr>
            <w:tcW w:w="6091" w:type="dxa"/>
          </w:tcPr>
          <w:p w:rsidR="00DE6265" w:rsidRPr="00A632D1" w:rsidRDefault="00DE6265" w:rsidP="00207018">
            <w:pPr>
              <w:spacing w:line="360" w:lineRule="auto"/>
              <w:rPr>
                <w:rFonts w:cs="Arial"/>
                <w:sz w:val="18"/>
                <w:szCs w:val="18"/>
              </w:rPr>
            </w:pPr>
            <w:r w:rsidRPr="00A632D1">
              <w:rPr>
                <w:rFonts w:cs="Arial"/>
                <w:sz w:val="18"/>
                <w:szCs w:val="18"/>
              </w:rPr>
              <w:t>KEYBOARD VIRTUAL MOUSE (KVM)</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r>
      <w:tr w:rsidR="006C03EF" w:rsidRPr="00A632D1" w:rsidTr="006C03EF">
        <w:trPr>
          <w:trHeight w:val="70"/>
        </w:trPr>
        <w:tc>
          <w:tcPr>
            <w:tcW w:w="6091" w:type="dxa"/>
          </w:tcPr>
          <w:p w:rsidR="00DE6265" w:rsidRPr="00A632D1" w:rsidRDefault="00DE6265" w:rsidP="00207018">
            <w:pPr>
              <w:spacing w:line="360" w:lineRule="auto"/>
              <w:rPr>
                <w:rFonts w:cs="Arial"/>
                <w:sz w:val="18"/>
                <w:szCs w:val="18"/>
              </w:rPr>
            </w:pPr>
            <w:r w:rsidRPr="00A632D1">
              <w:rPr>
                <w:rFonts w:cs="Arial"/>
                <w:sz w:val="18"/>
                <w:szCs w:val="18"/>
              </w:rPr>
              <w:t>DATA DIODES (SECURITY FILTERS)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NO</w:t>
            </w:r>
          </w:p>
        </w:tc>
      </w:tr>
      <w:tr w:rsidR="006C03EF" w:rsidRPr="00A632D1" w:rsidTr="006C03EF">
        <w:trPr>
          <w:trHeight w:val="70"/>
        </w:trPr>
        <w:tc>
          <w:tcPr>
            <w:tcW w:w="6091" w:type="dxa"/>
          </w:tcPr>
          <w:p w:rsidR="00DE6265" w:rsidRPr="00A632D1" w:rsidRDefault="00DE6265" w:rsidP="00207018">
            <w:pPr>
              <w:spacing w:line="360" w:lineRule="auto"/>
              <w:rPr>
                <w:rFonts w:cs="Arial"/>
                <w:sz w:val="18"/>
                <w:szCs w:val="18"/>
              </w:rPr>
            </w:pPr>
            <w:r w:rsidRPr="00A632D1">
              <w:rPr>
                <w:rFonts w:cs="Arial"/>
                <w:sz w:val="18"/>
                <w:szCs w:val="18"/>
              </w:rPr>
              <w:t>NETWORK SECURITY GATEWAYS &amp; FIREWALLS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r>
      <w:tr w:rsidR="006C03EF" w:rsidRPr="00A632D1" w:rsidTr="006C03EF">
        <w:trPr>
          <w:trHeight w:val="70"/>
        </w:trPr>
        <w:tc>
          <w:tcPr>
            <w:tcW w:w="6091" w:type="dxa"/>
          </w:tcPr>
          <w:p w:rsidR="00DE6265" w:rsidRPr="00A632D1" w:rsidRDefault="00DE6265" w:rsidP="00207018">
            <w:pPr>
              <w:spacing w:line="360" w:lineRule="auto"/>
              <w:rPr>
                <w:rFonts w:cs="Arial"/>
                <w:sz w:val="18"/>
                <w:szCs w:val="18"/>
              </w:rPr>
            </w:pPr>
            <w:r w:rsidRPr="00A632D1">
              <w:rPr>
                <w:rFonts w:cs="Arial"/>
                <w:sz w:val="18"/>
                <w:szCs w:val="18"/>
              </w:rPr>
              <w:t xml:space="preserve">IT PERIPHERALS </w:t>
            </w:r>
          </w:p>
          <w:p w:rsidR="00DE6265" w:rsidRPr="00A632D1" w:rsidRDefault="00DE6265" w:rsidP="00207018">
            <w:pPr>
              <w:spacing w:line="360" w:lineRule="auto"/>
              <w:rPr>
                <w:rFonts w:cs="Arial"/>
                <w:sz w:val="18"/>
                <w:szCs w:val="18"/>
              </w:rPr>
            </w:pPr>
            <w:r w:rsidRPr="00A632D1">
              <w:rPr>
                <w:rFonts w:cs="Arial"/>
                <w:sz w:val="18"/>
                <w:szCs w:val="18"/>
              </w:rPr>
              <w:t>(KEYBOARD, MOUSE, CABLE TRAYS, PRINTERS, POWER DISTRIBUTION UNITS, AUTOMATIC TRANSFER UNITS, etc.)</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NO</w:t>
            </w:r>
          </w:p>
        </w:tc>
      </w:tr>
      <w:tr w:rsidR="00DE6265" w:rsidRPr="00A632D1" w:rsidTr="006C03EF">
        <w:trPr>
          <w:trHeight w:val="430"/>
        </w:trPr>
        <w:tc>
          <w:tcPr>
            <w:tcW w:w="9209" w:type="dxa"/>
            <w:gridSpan w:val="3"/>
            <w:shd w:val="clear" w:color="auto" w:fill="D9D9D9" w:themeFill="background1" w:themeFillShade="D9"/>
            <w:vAlign w:val="center"/>
          </w:tcPr>
          <w:p w:rsidR="00DE6265" w:rsidRPr="00A632D1" w:rsidRDefault="00DE6265" w:rsidP="00D86FD2">
            <w:pPr>
              <w:spacing w:line="360" w:lineRule="auto"/>
              <w:ind w:right="-245"/>
              <w:jc w:val="center"/>
              <w:rPr>
                <w:rFonts w:cs="Arial"/>
                <w:sz w:val="18"/>
                <w:szCs w:val="18"/>
              </w:rPr>
            </w:pPr>
            <w:r w:rsidRPr="00A632D1">
              <w:rPr>
                <w:rFonts w:cs="Arial"/>
                <w:b/>
                <w:sz w:val="18"/>
                <w:szCs w:val="18"/>
              </w:rPr>
              <w:t>SERVICES</w:t>
            </w:r>
          </w:p>
        </w:tc>
      </w:tr>
      <w:tr w:rsidR="006C03EF" w:rsidRPr="00A632D1" w:rsidTr="006C03EF">
        <w:trPr>
          <w:trHeight w:val="70"/>
        </w:trPr>
        <w:tc>
          <w:tcPr>
            <w:tcW w:w="6091" w:type="dxa"/>
          </w:tcPr>
          <w:p w:rsidR="00DE6265" w:rsidRPr="00A632D1" w:rsidRDefault="00DE6265" w:rsidP="00207018">
            <w:pPr>
              <w:spacing w:line="360" w:lineRule="auto"/>
              <w:rPr>
                <w:rFonts w:cs="Arial"/>
                <w:b/>
                <w:sz w:val="18"/>
                <w:szCs w:val="18"/>
              </w:rPr>
            </w:pPr>
            <w:r w:rsidRPr="00A632D1">
              <w:rPr>
                <w:rFonts w:cs="Arial"/>
                <w:sz w:val="18"/>
                <w:szCs w:val="18"/>
              </w:rPr>
              <w:t>SITE ELECTRICAL, INSTALLATION &amp; COMMISSIONING</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NO</w:t>
            </w:r>
          </w:p>
        </w:tc>
      </w:tr>
      <w:tr w:rsidR="006C03EF" w:rsidRPr="00A632D1" w:rsidTr="006C03EF">
        <w:trPr>
          <w:trHeight w:val="70"/>
        </w:trPr>
        <w:tc>
          <w:tcPr>
            <w:tcW w:w="6091" w:type="dxa"/>
          </w:tcPr>
          <w:p w:rsidR="00DE6265" w:rsidRPr="00A632D1" w:rsidRDefault="00DE6265" w:rsidP="00207018">
            <w:pPr>
              <w:spacing w:line="360" w:lineRule="auto"/>
              <w:rPr>
                <w:rFonts w:cs="Arial"/>
                <w:sz w:val="18"/>
                <w:szCs w:val="18"/>
              </w:rPr>
            </w:pPr>
            <w:r w:rsidRPr="00A632D1">
              <w:rPr>
                <w:rFonts w:cs="Arial"/>
                <w:sz w:val="18"/>
                <w:szCs w:val="18"/>
              </w:rPr>
              <w:t>ACCEPTANCE, VERIFICATION AND VALIDATION (AV&amp;V)</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NO</w:t>
            </w:r>
          </w:p>
        </w:tc>
      </w:tr>
      <w:tr w:rsidR="006C03EF" w:rsidRPr="00A632D1" w:rsidTr="006C03EF">
        <w:trPr>
          <w:trHeight w:val="70"/>
        </w:trPr>
        <w:tc>
          <w:tcPr>
            <w:tcW w:w="6091" w:type="dxa"/>
          </w:tcPr>
          <w:p w:rsidR="00DE6265" w:rsidRPr="00A632D1" w:rsidRDefault="00DE6265" w:rsidP="00207018">
            <w:pPr>
              <w:spacing w:line="360" w:lineRule="auto"/>
              <w:rPr>
                <w:rFonts w:cs="Arial"/>
                <w:sz w:val="18"/>
                <w:szCs w:val="18"/>
              </w:rPr>
            </w:pPr>
            <w:r w:rsidRPr="00A632D1">
              <w:rPr>
                <w:rFonts w:cs="Arial"/>
                <w:sz w:val="18"/>
                <w:szCs w:val="18"/>
              </w:rPr>
              <w:t>FRIEGHT, LOGISTICS AND WAREHOUSING</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NO</w:t>
            </w:r>
          </w:p>
        </w:tc>
      </w:tr>
      <w:tr w:rsidR="006C03EF" w:rsidRPr="00A632D1" w:rsidTr="006C03EF">
        <w:trPr>
          <w:trHeight w:val="70"/>
        </w:trPr>
        <w:tc>
          <w:tcPr>
            <w:tcW w:w="6091" w:type="dxa"/>
          </w:tcPr>
          <w:p w:rsidR="00DE6265" w:rsidRPr="00A632D1" w:rsidRDefault="00DE6265" w:rsidP="00207018">
            <w:pPr>
              <w:spacing w:line="360" w:lineRule="auto"/>
              <w:rPr>
                <w:rFonts w:cs="Arial"/>
                <w:sz w:val="18"/>
                <w:szCs w:val="18"/>
              </w:rPr>
            </w:pPr>
            <w:r w:rsidRPr="00A632D1">
              <w:rPr>
                <w:rFonts w:cs="Arial"/>
                <w:sz w:val="18"/>
                <w:szCs w:val="18"/>
              </w:rPr>
              <w:t xml:space="preserve">CONSULTANCY SERVICES </w:t>
            </w:r>
          </w:p>
        </w:tc>
        <w:tc>
          <w:tcPr>
            <w:tcW w:w="1559" w:type="dxa"/>
            <w:vAlign w:val="center"/>
          </w:tcPr>
          <w:p w:rsidR="00DE6265" w:rsidRPr="00A632D1" w:rsidRDefault="00DE6265" w:rsidP="00D86FD2">
            <w:pPr>
              <w:jc w:val="center"/>
              <w:rPr>
                <w:rFonts w:cs="Arial"/>
                <w:sz w:val="18"/>
                <w:szCs w:val="18"/>
              </w:rPr>
            </w:pPr>
          </w:p>
        </w:tc>
        <w:tc>
          <w:tcPr>
            <w:tcW w:w="1559" w:type="dxa"/>
            <w:vAlign w:val="center"/>
          </w:tcPr>
          <w:p w:rsidR="00DE6265" w:rsidRPr="00A632D1" w:rsidRDefault="00DE6265" w:rsidP="00D86FD2">
            <w:pPr>
              <w:jc w:val="center"/>
              <w:rPr>
                <w:rFonts w:cs="Arial"/>
                <w:sz w:val="18"/>
                <w:szCs w:val="18"/>
              </w:rPr>
            </w:pPr>
          </w:p>
        </w:tc>
      </w:tr>
      <w:tr w:rsidR="006C03EF" w:rsidRPr="00A632D1" w:rsidTr="006C03EF">
        <w:trPr>
          <w:trHeight w:val="70"/>
        </w:trPr>
        <w:tc>
          <w:tcPr>
            <w:tcW w:w="6091" w:type="dxa"/>
          </w:tcPr>
          <w:p w:rsidR="00DE6265" w:rsidRPr="00A632D1" w:rsidRDefault="00DE6265" w:rsidP="00DE6265">
            <w:pPr>
              <w:pStyle w:val="ListParagraph"/>
              <w:numPr>
                <w:ilvl w:val="0"/>
                <w:numId w:val="3"/>
              </w:numPr>
              <w:spacing w:before="120" w:line="360" w:lineRule="auto"/>
              <w:rPr>
                <w:rFonts w:cs="Arial"/>
                <w:sz w:val="18"/>
                <w:szCs w:val="18"/>
              </w:rPr>
            </w:pPr>
            <w:r w:rsidRPr="00A632D1">
              <w:rPr>
                <w:rFonts w:cs="Arial"/>
                <w:sz w:val="18"/>
                <w:szCs w:val="18"/>
              </w:rPr>
              <w:t>EMI/EMC CONSULTANTS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r w:rsidR="00A6581F">
              <w:rPr>
                <w:rFonts w:cs="Arial"/>
                <w:sz w:val="18"/>
                <w:szCs w:val="18"/>
              </w:rPr>
              <w:t>*</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NO</w:t>
            </w:r>
          </w:p>
        </w:tc>
      </w:tr>
      <w:tr w:rsidR="006C03EF" w:rsidRPr="00A632D1" w:rsidTr="006C03EF">
        <w:trPr>
          <w:trHeight w:val="70"/>
        </w:trPr>
        <w:tc>
          <w:tcPr>
            <w:tcW w:w="6091" w:type="dxa"/>
          </w:tcPr>
          <w:p w:rsidR="00DE6265" w:rsidRPr="00A632D1" w:rsidRDefault="00DE6265" w:rsidP="00DE6265">
            <w:pPr>
              <w:pStyle w:val="ListParagraph"/>
              <w:numPr>
                <w:ilvl w:val="0"/>
                <w:numId w:val="3"/>
              </w:numPr>
              <w:spacing w:before="120" w:line="360" w:lineRule="auto"/>
              <w:rPr>
                <w:rFonts w:cs="Arial"/>
                <w:sz w:val="18"/>
                <w:szCs w:val="18"/>
              </w:rPr>
            </w:pPr>
            <w:r w:rsidRPr="00A632D1">
              <w:rPr>
                <w:rFonts w:cs="Arial"/>
                <w:sz w:val="18"/>
                <w:szCs w:val="18"/>
              </w:rPr>
              <w:t>ERGONOMICS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NO</w:t>
            </w:r>
          </w:p>
        </w:tc>
      </w:tr>
      <w:tr w:rsidR="006C03EF" w:rsidRPr="00A632D1" w:rsidTr="006C03EF">
        <w:trPr>
          <w:trHeight w:val="70"/>
        </w:trPr>
        <w:tc>
          <w:tcPr>
            <w:tcW w:w="6091" w:type="dxa"/>
          </w:tcPr>
          <w:p w:rsidR="00DE6265" w:rsidRPr="00A632D1" w:rsidRDefault="00DE6265" w:rsidP="00DE6265">
            <w:pPr>
              <w:pStyle w:val="ListParagraph"/>
              <w:numPr>
                <w:ilvl w:val="0"/>
                <w:numId w:val="3"/>
              </w:numPr>
              <w:spacing w:before="120" w:line="360" w:lineRule="auto"/>
              <w:rPr>
                <w:rFonts w:cs="Arial"/>
                <w:sz w:val="18"/>
                <w:szCs w:val="18"/>
              </w:rPr>
            </w:pPr>
            <w:r w:rsidRPr="00A632D1">
              <w:rPr>
                <w:rFonts w:cs="Arial"/>
                <w:sz w:val="18"/>
                <w:szCs w:val="18"/>
              </w:rPr>
              <w:t>HUMAN FACTORS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NO</w:t>
            </w:r>
          </w:p>
        </w:tc>
      </w:tr>
      <w:tr w:rsidR="006C03EF" w:rsidRPr="00A632D1" w:rsidTr="006C03EF">
        <w:trPr>
          <w:trHeight w:val="70"/>
        </w:trPr>
        <w:tc>
          <w:tcPr>
            <w:tcW w:w="6091" w:type="dxa"/>
          </w:tcPr>
          <w:p w:rsidR="00DE6265" w:rsidRPr="00A632D1" w:rsidRDefault="00DE6265" w:rsidP="00DE6265">
            <w:pPr>
              <w:pStyle w:val="ListParagraph"/>
              <w:numPr>
                <w:ilvl w:val="0"/>
                <w:numId w:val="3"/>
              </w:numPr>
              <w:spacing w:before="120" w:line="360" w:lineRule="auto"/>
              <w:rPr>
                <w:rFonts w:cs="Arial"/>
                <w:sz w:val="18"/>
                <w:szCs w:val="18"/>
              </w:rPr>
            </w:pPr>
            <w:r w:rsidRPr="00A632D1">
              <w:rPr>
                <w:rFonts w:cs="Arial"/>
                <w:sz w:val="18"/>
                <w:szCs w:val="18"/>
              </w:rPr>
              <w:t>SOFTWARE ENGINEERING</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NO</w:t>
            </w:r>
          </w:p>
        </w:tc>
      </w:tr>
      <w:tr w:rsidR="006C03EF" w:rsidRPr="00A632D1" w:rsidTr="006C03EF">
        <w:trPr>
          <w:trHeight w:val="70"/>
        </w:trPr>
        <w:tc>
          <w:tcPr>
            <w:tcW w:w="6091" w:type="dxa"/>
          </w:tcPr>
          <w:p w:rsidR="00DE6265" w:rsidRPr="00A632D1" w:rsidRDefault="00DE6265" w:rsidP="00DE6265">
            <w:pPr>
              <w:pStyle w:val="ListParagraph"/>
              <w:numPr>
                <w:ilvl w:val="0"/>
                <w:numId w:val="3"/>
              </w:numPr>
              <w:spacing w:before="120" w:line="360" w:lineRule="auto"/>
              <w:rPr>
                <w:rFonts w:cs="Arial"/>
                <w:sz w:val="18"/>
                <w:szCs w:val="18"/>
              </w:rPr>
            </w:pPr>
            <w:r w:rsidRPr="00A632D1">
              <w:rPr>
                <w:rFonts w:cs="Arial"/>
                <w:sz w:val="18"/>
                <w:szCs w:val="18"/>
              </w:rPr>
              <w:t>SITE DESIGN</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NO</w:t>
            </w:r>
          </w:p>
        </w:tc>
      </w:tr>
      <w:tr w:rsidR="006C03EF" w:rsidRPr="00A632D1" w:rsidTr="006C03EF">
        <w:trPr>
          <w:trHeight w:val="70"/>
        </w:trPr>
        <w:tc>
          <w:tcPr>
            <w:tcW w:w="6091" w:type="dxa"/>
          </w:tcPr>
          <w:p w:rsidR="00DE6265" w:rsidRPr="00A632D1" w:rsidRDefault="00DE6265" w:rsidP="00DE6265">
            <w:pPr>
              <w:pStyle w:val="ListParagraph"/>
              <w:numPr>
                <w:ilvl w:val="0"/>
                <w:numId w:val="3"/>
              </w:numPr>
              <w:spacing w:before="120" w:line="360" w:lineRule="auto"/>
              <w:rPr>
                <w:rFonts w:cs="Arial"/>
                <w:sz w:val="18"/>
                <w:szCs w:val="18"/>
              </w:rPr>
            </w:pPr>
            <w:r w:rsidRPr="00A632D1">
              <w:rPr>
                <w:rFonts w:cs="Arial"/>
                <w:sz w:val="18"/>
                <w:szCs w:val="18"/>
              </w:rPr>
              <w:t>ELECTRICAL ENGINEERING</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NO</w:t>
            </w:r>
          </w:p>
        </w:tc>
      </w:tr>
      <w:tr w:rsidR="006C03EF" w:rsidRPr="00A632D1" w:rsidTr="006C03EF">
        <w:trPr>
          <w:trHeight w:val="70"/>
        </w:trPr>
        <w:tc>
          <w:tcPr>
            <w:tcW w:w="6091" w:type="dxa"/>
          </w:tcPr>
          <w:p w:rsidR="00DE6265" w:rsidRPr="00A632D1" w:rsidRDefault="00DE6265" w:rsidP="00DE6265">
            <w:pPr>
              <w:pStyle w:val="ListParagraph"/>
              <w:numPr>
                <w:ilvl w:val="0"/>
                <w:numId w:val="3"/>
              </w:numPr>
              <w:spacing w:before="120" w:line="360" w:lineRule="auto"/>
              <w:rPr>
                <w:rFonts w:cs="Arial"/>
                <w:sz w:val="18"/>
                <w:szCs w:val="18"/>
              </w:rPr>
            </w:pPr>
            <w:r w:rsidRPr="00A632D1">
              <w:rPr>
                <w:rFonts w:cs="Arial"/>
                <w:sz w:val="18"/>
                <w:szCs w:val="18"/>
              </w:rPr>
              <w:t>QLD DESIGN AUTHORITY</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NO</w:t>
            </w:r>
          </w:p>
        </w:tc>
      </w:tr>
      <w:tr w:rsidR="006C03EF" w:rsidRPr="00A632D1" w:rsidTr="006C03EF">
        <w:trPr>
          <w:trHeight w:val="70"/>
        </w:trPr>
        <w:tc>
          <w:tcPr>
            <w:tcW w:w="6091" w:type="dxa"/>
          </w:tcPr>
          <w:p w:rsidR="00DE6265" w:rsidRPr="00A632D1" w:rsidRDefault="00DE6265" w:rsidP="00DE6265">
            <w:pPr>
              <w:pStyle w:val="ListParagraph"/>
              <w:numPr>
                <w:ilvl w:val="0"/>
                <w:numId w:val="3"/>
              </w:numPr>
              <w:spacing w:before="120" w:line="360" w:lineRule="auto"/>
              <w:rPr>
                <w:rFonts w:cs="Arial"/>
                <w:sz w:val="18"/>
                <w:szCs w:val="18"/>
              </w:rPr>
            </w:pPr>
            <w:r w:rsidRPr="00A632D1">
              <w:rPr>
                <w:rFonts w:cs="Arial"/>
                <w:sz w:val="18"/>
                <w:szCs w:val="18"/>
              </w:rPr>
              <w:t>SAFETY &amp; SECURITY</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NO</w:t>
            </w:r>
          </w:p>
        </w:tc>
      </w:tr>
      <w:tr w:rsidR="006C03EF" w:rsidRPr="00A632D1" w:rsidTr="006C03EF">
        <w:trPr>
          <w:trHeight w:val="70"/>
        </w:trPr>
        <w:tc>
          <w:tcPr>
            <w:tcW w:w="6091" w:type="dxa"/>
          </w:tcPr>
          <w:p w:rsidR="00DE6265" w:rsidRPr="00A632D1" w:rsidRDefault="00DE6265" w:rsidP="00DE6265">
            <w:pPr>
              <w:pStyle w:val="ListParagraph"/>
              <w:numPr>
                <w:ilvl w:val="0"/>
                <w:numId w:val="3"/>
              </w:numPr>
              <w:spacing w:before="120" w:line="360" w:lineRule="auto"/>
              <w:rPr>
                <w:rFonts w:cs="Arial"/>
                <w:sz w:val="18"/>
                <w:szCs w:val="18"/>
              </w:rPr>
            </w:pPr>
            <w:r w:rsidRPr="00A632D1">
              <w:rPr>
                <w:rFonts w:cs="Arial"/>
                <w:sz w:val="18"/>
                <w:szCs w:val="18"/>
              </w:rPr>
              <w:t>SYSTEM ENGINEERING</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NO</w:t>
            </w:r>
          </w:p>
        </w:tc>
      </w:tr>
      <w:tr w:rsidR="006C03EF" w:rsidRPr="00A632D1" w:rsidTr="006C03EF">
        <w:trPr>
          <w:trHeight w:val="70"/>
        </w:trPr>
        <w:tc>
          <w:tcPr>
            <w:tcW w:w="6091" w:type="dxa"/>
          </w:tcPr>
          <w:p w:rsidR="00DE6265" w:rsidRPr="00A632D1" w:rsidRDefault="00DE6265" w:rsidP="00207018">
            <w:pPr>
              <w:spacing w:line="360" w:lineRule="auto"/>
              <w:rPr>
                <w:rFonts w:cs="Arial"/>
                <w:sz w:val="18"/>
                <w:szCs w:val="18"/>
              </w:rPr>
            </w:pPr>
            <w:r w:rsidRPr="00A632D1">
              <w:rPr>
                <w:rFonts w:cs="Arial"/>
                <w:sz w:val="18"/>
                <w:szCs w:val="18"/>
              </w:rPr>
              <w:t>CLOUD HOSTING SERVICES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YES</w:t>
            </w:r>
          </w:p>
        </w:tc>
        <w:tc>
          <w:tcPr>
            <w:tcW w:w="1559" w:type="dxa"/>
            <w:vAlign w:val="center"/>
          </w:tcPr>
          <w:p w:rsidR="00DE6265" w:rsidRPr="00A632D1" w:rsidRDefault="00DE6265" w:rsidP="00D86FD2">
            <w:pPr>
              <w:jc w:val="center"/>
              <w:rPr>
                <w:rFonts w:cs="Arial"/>
                <w:sz w:val="18"/>
                <w:szCs w:val="18"/>
              </w:rPr>
            </w:pPr>
            <w:r w:rsidRPr="00A632D1">
              <w:rPr>
                <w:rFonts w:cs="Arial"/>
                <w:sz w:val="18"/>
                <w:szCs w:val="18"/>
              </w:rPr>
              <w:t>NO</w:t>
            </w:r>
          </w:p>
        </w:tc>
      </w:tr>
      <w:tr w:rsidR="00DE6265" w:rsidRPr="00A632D1" w:rsidTr="006C03EF">
        <w:trPr>
          <w:trHeight w:val="70"/>
        </w:trPr>
        <w:tc>
          <w:tcPr>
            <w:tcW w:w="9209" w:type="dxa"/>
            <w:gridSpan w:val="3"/>
          </w:tcPr>
          <w:p w:rsidR="00484C35" w:rsidRPr="00484C35" w:rsidRDefault="00484C35" w:rsidP="00484C35">
            <w:pPr>
              <w:rPr>
                <w:rFonts w:cs="Arial"/>
                <w:i/>
                <w:sz w:val="18"/>
                <w:szCs w:val="18"/>
              </w:rPr>
            </w:pPr>
            <w:r>
              <w:rPr>
                <w:rFonts w:cs="Arial"/>
                <w:i/>
                <w:sz w:val="18"/>
                <w:szCs w:val="18"/>
              </w:rPr>
              <w:t>*</w:t>
            </w:r>
            <w:r w:rsidR="00DE6265" w:rsidRPr="00D86FD2">
              <w:rPr>
                <w:rFonts w:cs="Arial"/>
                <w:i/>
                <w:sz w:val="18"/>
                <w:szCs w:val="18"/>
              </w:rPr>
              <w:t xml:space="preserve"> Supplier Contract Award completed. </w:t>
            </w:r>
            <w:r w:rsidRPr="00484C35">
              <w:rPr>
                <w:rFonts w:cs="Arial"/>
                <w:i/>
                <w:sz w:val="18"/>
                <w:szCs w:val="18"/>
              </w:rPr>
              <w:t>An Australian supplier means an entity that has an ABN or an ACN.</w:t>
            </w:r>
          </w:p>
          <w:p w:rsidR="00DE6265" w:rsidRPr="00484C35" w:rsidRDefault="00484C35" w:rsidP="00207018">
            <w:pPr>
              <w:rPr>
                <w:rFonts w:cs="Arial"/>
                <w:i/>
                <w:sz w:val="18"/>
                <w:szCs w:val="18"/>
              </w:rPr>
            </w:pPr>
            <w:r>
              <w:rPr>
                <w:rFonts w:cs="Arial"/>
                <w:i/>
                <w:sz w:val="18"/>
                <w:szCs w:val="18"/>
              </w:rPr>
              <w:t>Note</w:t>
            </w:r>
            <w:r w:rsidRPr="00484C35">
              <w:rPr>
                <w:rFonts w:cs="Arial"/>
                <w:i/>
                <w:sz w:val="18"/>
                <w:szCs w:val="18"/>
              </w:rPr>
              <w:t>: The information provided in the table above is based on an initial assessment by the company. Any questions or issues should be raised with the project contact.</w:t>
            </w:r>
          </w:p>
        </w:tc>
      </w:tr>
    </w:tbl>
    <w:p w:rsidR="00DE6265" w:rsidRPr="00DE6265" w:rsidRDefault="00DE6265" w:rsidP="009C430F"/>
    <w:p w:rsidR="00E45719" w:rsidRDefault="00E45719" w:rsidP="00E45719">
      <w:pPr>
        <w:pStyle w:val="Heading2"/>
      </w:pPr>
      <w:r>
        <w:t>3. Communication Strategy</w:t>
      </w:r>
    </w:p>
    <w:sdt>
      <w:sdtPr>
        <w:id w:val="628297186"/>
        <w:placeholder>
          <w:docPart w:val="64CF48C855E445B9ABF8A73251E35A5F"/>
        </w:placeholder>
      </w:sdtPr>
      <w:sdtEndPr/>
      <w:sdtContent>
        <w:p w:rsidR="00E45719" w:rsidRPr="00E45719" w:rsidRDefault="00423359" w:rsidP="00D86FD2">
          <w:pPr>
            <w:pStyle w:val="ListParagraph"/>
            <w:spacing w:line="360" w:lineRule="auto"/>
          </w:pPr>
          <w:r>
            <w:t xml:space="preserve">The CMATS project </w:t>
          </w:r>
          <w:r w:rsidR="00DF0487">
            <w:t>supported by</w:t>
          </w:r>
          <w:r>
            <w:t xml:space="preserve"> Thales Australia will organise supplier Innovation and industry networking forums</w:t>
          </w:r>
          <w:r w:rsidR="00F269DD">
            <w:t>,</w:t>
          </w:r>
          <w:r>
            <w:t xml:space="preserve"> conferences</w:t>
          </w:r>
          <w:r w:rsidR="00F269DD">
            <w:t xml:space="preserve">, </w:t>
          </w:r>
          <w:r>
            <w:t>technology</w:t>
          </w:r>
          <w:r w:rsidR="00F269DD">
            <w:t xml:space="preserve"> and consulting workshops either</w:t>
          </w:r>
          <w:r w:rsidR="00F269DD" w:rsidRPr="00F269DD">
            <w:t xml:space="preserve"> </w:t>
          </w:r>
          <w:r w:rsidR="00F269DD">
            <w:t>in conjunction with Industry networks such as Australian Industry Defence Network</w:t>
          </w:r>
          <w:r w:rsidR="00A52DA9">
            <w:t xml:space="preserve"> (AIDN)</w:t>
          </w:r>
          <w:r w:rsidR="00F269DD">
            <w:t>, Australian Defence Alliance</w:t>
          </w:r>
          <w:r w:rsidR="00A52DA9">
            <w:t xml:space="preserve"> (ADA)</w:t>
          </w:r>
          <w:r w:rsidR="00F269DD">
            <w:t xml:space="preserve"> and Industry Capability Network</w:t>
          </w:r>
          <w:r w:rsidR="00A52DA9">
            <w:t xml:space="preserve"> (ICN)</w:t>
          </w:r>
          <w:r w:rsidR="00F269DD">
            <w:t xml:space="preserve"> or directly with suppliers.</w:t>
          </w:r>
        </w:p>
      </w:sdtContent>
    </w:sdt>
    <w:p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rsidR="00F33D1C" w:rsidRDefault="00DF0487" w:rsidP="00D86FD2">
          <w:pPr>
            <w:pStyle w:val="ListParagraph"/>
            <w:spacing w:line="360" w:lineRule="auto"/>
          </w:pPr>
          <w:r>
            <w:t>The CMATS project supported by Thales Australia</w:t>
          </w:r>
          <w:r w:rsidR="004175FF">
            <w:t xml:space="preserve">’s Procurement and Global Supply Chain teams </w:t>
          </w:r>
          <w:r>
            <w:t xml:space="preserve">will engage all tiers of Australian suppliers </w:t>
          </w:r>
          <w:r w:rsidR="004175FF">
            <w:t>identified through Thales market research, category teams and Industry networks</w:t>
          </w:r>
          <w:r w:rsidR="00A52DA9">
            <w:t xml:space="preserve"> such as AIDN, ICN, ADA</w:t>
          </w:r>
          <w:r w:rsidR="004175FF">
            <w:t xml:space="preserve"> </w:t>
          </w:r>
          <w:r>
            <w:t xml:space="preserve">for values greater than $250 thousand publically advertised through Thales procurement’s e-Acquisition webpage </w:t>
          </w:r>
          <w:r w:rsidR="004175FF">
            <w:t>across all project needs.</w:t>
          </w:r>
        </w:p>
      </w:sdtContent>
    </w:sdt>
    <w:p w:rsidR="00F33D1C" w:rsidRDefault="00F33D1C" w:rsidP="00F33D1C">
      <w:pPr>
        <w:pStyle w:val="Heading2"/>
      </w:pPr>
      <w:r>
        <w:t>5. Opportunities for longer-term participation</w:t>
      </w:r>
    </w:p>
    <w:sdt>
      <w:sdtPr>
        <w:id w:val="-1724510948"/>
        <w:placeholder>
          <w:docPart w:val="6C2CD4AC58584EEB8548E5FD9AFACE07"/>
        </w:placeholder>
      </w:sdtPr>
      <w:sdtEndPr/>
      <w:sdtContent>
        <w:p w:rsidR="00F702E3" w:rsidRPr="00F702E3" w:rsidRDefault="004175FF" w:rsidP="00D86FD2">
          <w:pPr>
            <w:pStyle w:val="ListParagraph"/>
            <w:spacing w:line="360" w:lineRule="auto"/>
          </w:pPr>
          <w:r>
            <w:t xml:space="preserve">The CMATS project supported by Thales Australia team will engage </w:t>
          </w:r>
          <w:r w:rsidR="00A52DA9" w:rsidRPr="00A632D1">
            <w:rPr>
              <w:rFonts w:cs="Arial"/>
            </w:rPr>
            <w:t>Industry organisations such as AIDN</w:t>
          </w:r>
          <w:r w:rsidR="00A52DA9">
            <w:rPr>
              <w:rFonts w:cs="Arial"/>
            </w:rPr>
            <w:t>, ADA</w:t>
          </w:r>
          <w:r w:rsidR="00A52DA9" w:rsidRPr="00A632D1">
            <w:rPr>
              <w:rFonts w:cs="Arial"/>
            </w:rPr>
            <w:t xml:space="preserve"> and ICN </w:t>
          </w:r>
          <w:r w:rsidR="00A52DA9">
            <w:rPr>
              <w:rFonts w:cs="Arial"/>
            </w:rPr>
            <w:t xml:space="preserve">to </w:t>
          </w:r>
          <w:r w:rsidR="00A52DA9" w:rsidRPr="00A632D1">
            <w:rPr>
              <w:rFonts w:cs="Arial"/>
            </w:rPr>
            <w:t xml:space="preserve">provide the </w:t>
          </w:r>
          <w:r w:rsidR="00A52DA9">
            <w:rPr>
              <w:rFonts w:cs="Arial"/>
            </w:rPr>
            <w:t>Australian s</w:t>
          </w:r>
          <w:r w:rsidR="00A52DA9" w:rsidRPr="00A632D1">
            <w:rPr>
              <w:rFonts w:cs="Arial"/>
            </w:rPr>
            <w:t>uppliers an opportunity to localise and participate across a broad range of products and services through technology transfer methods</w:t>
          </w:r>
          <w:r w:rsidR="00A52DA9">
            <w:rPr>
              <w:rFonts w:cs="Arial"/>
            </w:rPr>
            <w:t xml:space="preserve"> and </w:t>
          </w:r>
          <w:r w:rsidR="00A52DA9" w:rsidRPr="00A632D1">
            <w:rPr>
              <w:rFonts w:cs="Arial"/>
            </w:rPr>
            <w:t>OEM representation</w:t>
          </w:r>
          <w:r w:rsidR="00A52DA9">
            <w:rPr>
              <w:rFonts w:cs="Arial"/>
            </w:rPr>
            <w:t xml:space="preserve">. </w:t>
          </w:r>
        </w:p>
        <w:p w:rsidR="00F702E3" w:rsidRPr="00F702E3" w:rsidRDefault="00A52DA9" w:rsidP="00D86FD2">
          <w:pPr>
            <w:pStyle w:val="ListParagraph"/>
            <w:spacing w:line="360" w:lineRule="auto"/>
          </w:pPr>
          <w:r>
            <w:rPr>
              <w:rFonts w:cs="Arial"/>
            </w:rPr>
            <w:t xml:space="preserve">Thales will also engage its </w:t>
          </w:r>
          <w:r w:rsidRPr="00A632D1">
            <w:rPr>
              <w:rFonts w:cs="Arial"/>
            </w:rPr>
            <w:t xml:space="preserve">Global Supply Chain team </w:t>
          </w:r>
          <w:r>
            <w:rPr>
              <w:rFonts w:cs="Arial"/>
            </w:rPr>
            <w:t>to</w:t>
          </w:r>
          <w:r w:rsidRPr="00A632D1">
            <w:rPr>
              <w:rFonts w:cs="Arial"/>
            </w:rPr>
            <w:t xml:space="preserve"> provide local companies an opportunity to participate in </w:t>
          </w:r>
          <w:r>
            <w:rPr>
              <w:rFonts w:cs="Arial"/>
            </w:rPr>
            <w:t>r</w:t>
          </w:r>
          <w:r w:rsidRPr="00A632D1">
            <w:rPr>
              <w:rFonts w:cs="Arial"/>
            </w:rPr>
            <w:t xml:space="preserve">esearch &amp; </w:t>
          </w:r>
          <w:r>
            <w:rPr>
              <w:rFonts w:cs="Arial"/>
            </w:rPr>
            <w:t>d</w:t>
          </w:r>
          <w:r w:rsidRPr="00A632D1">
            <w:rPr>
              <w:rFonts w:cs="Arial"/>
            </w:rPr>
            <w:t>evelopment projects for future programs through STEM initiatives</w:t>
          </w:r>
          <w:r>
            <w:rPr>
              <w:rFonts w:cs="Arial"/>
            </w:rPr>
            <w:t xml:space="preserve"> and</w:t>
          </w:r>
          <w:r w:rsidRPr="00A632D1">
            <w:rPr>
              <w:rFonts w:cs="Arial"/>
            </w:rPr>
            <w:t xml:space="preserve"> Innovation weeks</w:t>
          </w:r>
          <w:r>
            <w:rPr>
              <w:rFonts w:cs="Arial"/>
            </w:rPr>
            <w:t xml:space="preserve">. </w:t>
          </w:r>
        </w:p>
        <w:p w:rsidR="00F33D1C" w:rsidRDefault="00A52DA9" w:rsidP="00D86FD2">
          <w:pPr>
            <w:pStyle w:val="ListParagraph"/>
            <w:spacing w:line="360" w:lineRule="auto"/>
          </w:pPr>
          <w:r>
            <w:rPr>
              <w:rFonts w:cs="Arial"/>
            </w:rPr>
            <w:t>Australian</w:t>
          </w:r>
          <w:r w:rsidRPr="00185E88">
            <w:rPr>
              <w:rFonts w:cs="Arial"/>
            </w:rPr>
            <w:t xml:space="preserve"> </w:t>
          </w:r>
          <w:r>
            <w:rPr>
              <w:rFonts w:cs="Arial"/>
            </w:rPr>
            <w:t>s</w:t>
          </w:r>
          <w:r w:rsidRPr="00185E88">
            <w:rPr>
              <w:rFonts w:cs="Arial"/>
            </w:rPr>
            <w:t xml:space="preserve">uppliers that are not successful </w:t>
          </w:r>
          <w:r>
            <w:rPr>
              <w:rFonts w:cs="Arial"/>
            </w:rPr>
            <w:t>in securing a contract will be offered in writing the opportunity for feedback/debrief on their tender/application including advice and opportunities to be more competitive in the industry</w:t>
          </w:r>
        </w:p>
      </w:sdtContent>
    </w:sdt>
    <w:p w:rsidR="00F33D1C" w:rsidRDefault="00F33D1C" w:rsidP="00F33D1C">
      <w:pPr>
        <w:pStyle w:val="Heading2"/>
      </w:pPr>
      <w:r>
        <w:t>6. Procedures and Resources</w:t>
      </w:r>
    </w:p>
    <w:sdt>
      <w:sdtPr>
        <w:id w:val="-486781717"/>
        <w:placeholder>
          <w:docPart w:val="AC27FE5B46524048B1E2D671E94AC235"/>
        </w:placeholder>
      </w:sdtPr>
      <w:sdtEndPr/>
      <w:sdtContent>
        <w:p w:rsidR="00F702E3" w:rsidRDefault="004A49B2" w:rsidP="00D86FD2">
          <w:pPr>
            <w:pStyle w:val="ListParagraph"/>
            <w:spacing w:line="360" w:lineRule="auto"/>
          </w:pPr>
          <w:r>
            <w:t xml:space="preserve">The CMATS project supported by Thales Australia will use its standard operating procedures and reference systems to conduct business activities and manage risks. This reference system outlines the processes, governance and related documents as standard templates that need to be used for </w:t>
          </w:r>
          <w:r w:rsidR="00F702E3">
            <w:t>s</w:t>
          </w:r>
          <w:r>
            <w:t xml:space="preserve">upplier engagement, </w:t>
          </w:r>
          <w:r w:rsidR="00F702E3">
            <w:t>a</w:t>
          </w:r>
          <w:r>
            <w:t xml:space="preserve">udits, performance and relationship managements. </w:t>
          </w:r>
        </w:p>
        <w:p w:rsidR="00F702E3" w:rsidRDefault="00F702E3" w:rsidP="00D86FD2">
          <w:pPr>
            <w:pStyle w:val="ListParagraph"/>
            <w:spacing w:line="360" w:lineRule="auto"/>
          </w:pPr>
          <w:r w:rsidRPr="00A632D1">
            <w:rPr>
              <w:rFonts w:cs="Arial"/>
            </w:rPr>
            <w:t>The Programme Procurement Manager (PPM) listed as the Project/Procurement officer and the Director Procurement for Thales Australia &amp; NZ will ensure the AIP plan is monitored and reported in accordance with the Contractual requirements to Airservices Australia CMATS project team</w:t>
          </w:r>
        </w:p>
        <w:p w:rsidR="00F33D1C" w:rsidRDefault="007A5501" w:rsidP="009D2270">
          <w:pPr>
            <w:pStyle w:val="ListParagraph"/>
            <w:numPr>
              <w:ilvl w:val="0"/>
              <w:numId w:val="0"/>
            </w:numPr>
            <w:ind w:left="360"/>
          </w:pPr>
        </w:p>
      </w:sdtContent>
    </w:sdt>
    <w:p w:rsidR="00D60A56" w:rsidRDefault="00D60A56">
      <w:pPr>
        <w:spacing w:after="0"/>
        <w:rPr>
          <w:b/>
        </w:rPr>
      </w:pPr>
    </w:p>
    <w:sectPr w:rsidR="00D60A5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64F" w:rsidRDefault="007B264F" w:rsidP="007F331A">
      <w:pPr>
        <w:spacing w:after="0"/>
      </w:pPr>
      <w:r>
        <w:separator/>
      </w:r>
    </w:p>
  </w:endnote>
  <w:endnote w:type="continuationSeparator" w:id="0">
    <w:p w:rsidR="007B264F" w:rsidRDefault="007B264F"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31A" w:rsidRDefault="007F331A" w:rsidP="007F331A">
    <w:pPr>
      <w:pStyle w:val="Footnote"/>
    </w:pPr>
    <w:r>
      <w:t>Department of Industry</w:t>
    </w:r>
    <w:r w:rsidR="0072274C">
      <w:t xml:space="preserve">, </w:t>
    </w:r>
    <w:r w:rsidR="006C404E">
      <w:t>Science</w:t>
    </w:r>
    <w:r w:rsidR="006942A6">
      <w:t>, Energy and Resources</w:t>
    </w:r>
  </w:p>
  <w:p w:rsidR="007F331A" w:rsidRDefault="007F331A" w:rsidP="007F331A">
    <w:pPr>
      <w:pStyle w:val="Footnote"/>
    </w:pPr>
    <w:r>
      <w:t>AIP Plan Executive Summary</w:t>
    </w:r>
  </w:p>
  <w:p w:rsidR="007F331A" w:rsidRDefault="007F331A" w:rsidP="007F331A">
    <w:pPr>
      <w:pStyle w:val="Footnote"/>
    </w:pPr>
    <w:r>
      <w:t xml:space="preserve">Version </w:t>
    </w:r>
    <w:r w:rsidR="00FB046E">
      <w:t>3</w:t>
    </w:r>
    <w:r>
      <w:t>.</w:t>
    </w:r>
    <w:r w:rsidR="006942A6">
      <w:t>5</w:t>
    </w:r>
    <w:r w:rsidR="006C404E">
      <w:t xml:space="preserve"> </w:t>
    </w:r>
    <w:r w:rsidR="006942A6">
      <w:t>March 2020</w:t>
    </w:r>
  </w:p>
  <w:p w:rsidR="007F331A" w:rsidRPr="002032CF" w:rsidRDefault="007A5501"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1</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64F" w:rsidRDefault="007B264F" w:rsidP="007F331A">
      <w:pPr>
        <w:spacing w:after="0"/>
      </w:pPr>
      <w:r>
        <w:separator/>
      </w:r>
    </w:p>
  </w:footnote>
  <w:footnote w:type="continuationSeparator" w:id="0">
    <w:p w:rsidR="007B264F" w:rsidRDefault="007B264F"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1C93"/>
    <w:multiLevelType w:val="hybridMultilevel"/>
    <w:tmpl w:val="BB962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1F2A89"/>
    <w:multiLevelType w:val="hybridMultilevel"/>
    <w:tmpl w:val="1104350C"/>
    <w:lvl w:ilvl="0" w:tplc="FA7AD14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6FDF0F5B"/>
    <w:multiLevelType w:val="hybridMultilevel"/>
    <w:tmpl w:val="1CEC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846F2"/>
    <w:rsid w:val="000F1764"/>
    <w:rsid w:val="00130956"/>
    <w:rsid w:val="00142AAC"/>
    <w:rsid w:val="001964CB"/>
    <w:rsid w:val="001C0400"/>
    <w:rsid w:val="002032CF"/>
    <w:rsid w:val="00244FC4"/>
    <w:rsid w:val="00334757"/>
    <w:rsid w:val="00357EF2"/>
    <w:rsid w:val="003A08E3"/>
    <w:rsid w:val="003A295E"/>
    <w:rsid w:val="003B0746"/>
    <w:rsid w:val="003E763D"/>
    <w:rsid w:val="003F68D5"/>
    <w:rsid w:val="00412EDE"/>
    <w:rsid w:val="004175FF"/>
    <w:rsid w:val="00423359"/>
    <w:rsid w:val="004279CD"/>
    <w:rsid w:val="00431963"/>
    <w:rsid w:val="00441FDB"/>
    <w:rsid w:val="00464BF1"/>
    <w:rsid w:val="00484C35"/>
    <w:rsid w:val="004A49B2"/>
    <w:rsid w:val="004A658C"/>
    <w:rsid w:val="00515E17"/>
    <w:rsid w:val="0057513A"/>
    <w:rsid w:val="0061431F"/>
    <w:rsid w:val="00632568"/>
    <w:rsid w:val="00661DC0"/>
    <w:rsid w:val="00682665"/>
    <w:rsid w:val="006942A6"/>
    <w:rsid w:val="006952C9"/>
    <w:rsid w:val="006C03EF"/>
    <w:rsid w:val="006C404E"/>
    <w:rsid w:val="006F2D6B"/>
    <w:rsid w:val="00721E21"/>
    <w:rsid w:val="0072274C"/>
    <w:rsid w:val="00747D7C"/>
    <w:rsid w:val="00780224"/>
    <w:rsid w:val="007A5501"/>
    <w:rsid w:val="007B264F"/>
    <w:rsid w:val="007F331A"/>
    <w:rsid w:val="00907971"/>
    <w:rsid w:val="00945B6E"/>
    <w:rsid w:val="0099611A"/>
    <w:rsid w:val="009C3EAC"/>
    <w:rsid w:val="009C430F"/>
    <w:rsid w:val="009D2270"/>
    <w:rsid w:val="00A5285B"/>
    <w:rsid w:val="00A52DA9"/>
    <w:rsid w:val="00A60AE8"/>
    <w:rsid w:val="00A6581F"/>
    <w:rsid w:val="00AB13F6"/>
    <w:rsid w:val="00AF7278"/>
    <w:rsid w:val="00B463AA"/>
    <w:rsid w:val="00BB702E"/>
    <w:rsid w:val="00BE6541"/>
    <w:rsid w:val="00BE6A9F"/>
    <w:rsid w:val="00D60A56"/>
    <w:rsid w:val="00D86FD2"/>
    <w:rsid w:val="00D90F08"/>
    <w:rsid w:val="00DB097E"/>
    <w:rsid w:val="00DE5045"/>
    <w:rsid w:val="00DE6265"/>
    <w:rsid w:val="00DF0487"/>
    <w:rsid w:val="00E013A9"/>
    <w:rsid w:val="00E20C9B"/>
    <w:rsid w:val="00E45719"/>
    <w:rsid w:val="00F269DD"/>
    <w:rsid w:val="00F33D1C"/>
    <w:rsid w:val="00F55DCE"/>
    <w:rsid w:val="00F702E3"/>
    <w:rsid w:val="00FB0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DA47BDE-FDF9-4E72-8475-F7969750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basedOn w:val="Normal"/>
    <w:uiPriority w:val="72"/>
    <w:qFormat/>
    <w:rsid w:val="00F33D1C"/>
    <w:pPr>
      <w:numPr>
        <w:numId w:val="1"/>
      </w:numPr>
      <w:ind w:left="360"/>
      <w:contextualSpacing/>
    </w:pPr>
  </w:style>
  <w:style w:type="character" w:styleId="PlaceholderText">
    <w:name w:val="Placeholder Text"/>
    <w:basedOn w:val="DefaultParagraphFont"/>
    <w:uiPriority w:val="99"/>
    <w:semiHidden/>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character" w:styleId="Hyperlink">
    <w:name w:val="Hyperlink"/>
    <w:uiPriority w:val="99"/>
    <w:rsid w:val="006952C9"/>
    <w:rPr>
      <w:color w:val="0000FF"/>
      <w:u w:val="single"/>
    </w:rPr>
  </w:style>
  <w:style w:type="character" w:customStyle="1" w:styleId="UnresolvedMention">
    <w:name w:val="Unresolved Mention"/>
    <w:basedOn w:val="DefaultParagraphFont"/>
    <w:uiPriority w:val="99"/>
    <w:semiHidden/>
    <w:unhideWhenUsed/>
    <w:rsid w:val="006952C9"/>
    <w:rPr>
      <w:color w:val="605E5C"/>
      <w:shd w:val="clear" w:color="auto" w:fill="E1DFDD"/>
    </w:rPr>
  </w:style>
  <w:style w:type="paragraph" w:styleId="Revision">
    <w:name w:val="Revision"/>
    <w:hidden/>
    <w:uiPriority w:val="99"/>
    <w:semiHidden/>
    <w:rsid w:val="0042335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ajesh.Patil@thalesgroup.com.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halesgroup.com/en/countries/asia-pacific/australia/aerospace/air-traffic-manag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6D16A7" w:rsidP="006D16A7">
          <w:pPr>
            <w:pStyle w:val="AD73DB9D7E324E3186F15BE2264B00913"/>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6D16A7" w:rsidP="006D16A7">
          <w:pPr>
            <w:pStyle w:val="37E3051ACA004B479418465069F77C1D3"/>
          </w:pPr>
          <w:r>
            <w:rPr>
              <w:rStyle w:val="PlaceholderText"/>
            </w:rPr>
            <w:t>Provide project description</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6D16A7" w:rsidP="006D16A7">
          <w:pPr>
            <w:pStyle w:val="F8CFB959B0A04A1CAC8504EAB49551943"/>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6D16A7" w:rsidP="006D16A7">
          <w:pPr>
            <w:pStyle w:val="70EF713EA7A5467DBA89C005FDA61B453"/>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6D16A7" w:rsidP="006D16A7">
          <w:pPr>
            <w:pStyle w:val="DA10A35400CA46009E74A29DCD6179A23"/>
          </w:pPr>
          <w:r>
            <w:rPr>
              <w:rStyle w:val="PlaceholderText"/>
            </w:rPr>
            <w:t>Provide the name, phone number and email address of the contact person</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6D16A7" w:rsidP="006D16A7">
          <w:pPr>
            <w:pStyle w:val="64CF48C855E445B9ABF8A73251E35A5F3"/>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6D16A7" w:rsidP="006D16A7">
          <w:pPr>
            <w:pStyle w:val="A0543810C72B43C181B02CE4FAA96DEC3"/>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6D16A7" w:rsidP="006D16A7">
          <w:pPr>
            <w:pStyle w:val="6C2CD4AC58584EEB8548E5FD9AFACE073"/>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6D16A7" w:rsidP="006D16A7">
          <w:pPr>
            <w:pStyle w:val="AC27FE5B46524048B1E2D671E94AC2353"/>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0F4D03FD2D414582933F80F1EA8DC4A7"/>
        <w:category>
          <w:name w:val="General"/>
          <w:gallery w:val="placeholder"/>
        </w:category>
        <w:types>
          <w:type w:val="bbPlcHdr"/>
        </w:types>
        <w:behaviors>
          <w:behavior w:val="content"/>
        </w:behaviors>
        <w:guid w:val="{83E71F7C-FE17-464E-B303-96EF5C301757}"/>
      </w:docPartPr>
      <w:docPartBody>
        <w:p w:rsidR="00432F46" w:rsidRDefault="008D4A8E" w:rsidP="008D4A8E">
          <w:pPr>
            <w:pStyle w:val="0F4D03FD2D414582933F80F1EA8DC4A7"/>
          </w:pPr>
          <w:r>
            <w:rPr>
              <w:rStyle w:val="PlaceholderText"/>
            </w:rPr>
            <w:t>Provide a link to the organisation’s 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1DF0"/>
    <w:multiLevelType w:val="multilevel"/>
    <w:tmpl w:val="858AA77E"/>
    <w:lvl w:ilvl="0">
      <w:start w:val="1"/>
      <w:numFmt w:val="decimal"/>
      <w:pStyle w:val="64CF48C855E445B9ABF8A73251E35A5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012704"/>
    <w:rsid w:val="000D351E"/>
    <w:rsid w:val="000F69A5"/>
    <w:rsid w:val="00165273"/>
    <w:rsid w:val="001C55A4"/>
    <w:rsid w:val="00432F46"/>
    <w:rsid w:val="006D16A7"/>
    <w:rsid w:val="008D4A8E"/>
    <w:rsid w:val="008F5BB6"/>
    <w:rsid w:val="009C7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8D4A8E"/>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AD73DB9D7E324E3186F15BE2264B00911">
    <w:name w:val="AD73DB9D7E324E3186F15BE2264B00911"/>
    <w:rsid w:val="000D351E"/>
    <w:pPr>
      <w:spacing w:after="120" w:line="240" w:lineRule="auto"/>
    </w:pPr>
    <w:rPr>
      <w:rFonts w:ascii="Arial" w:eastAsia="Times New Roman" w:hAnsi="Arial" w:cs="Times New Roman"/>
      <w:sz w:val="20"/>
      <w:szCs w:val="20"/>
    </w:rPr>
  </w:style>
  <w:style w:type="paragraph" w:customStyle="1" w:styleId="37E3051ACA004B479418465069F77C1D1">
    <w:name w:val="37E3051ACA004B479418465069F77C1D1"/>
    <w:rsid w:val="000D351E"/>
    <w:pPr>
      <w:spacing w:after="120" w:line="240" w:lineRule="auto"/>
    </w:pPr>
    <w:rPr>
      <w:rFonts w:ascii="Arial" w:eastAsia="Times New Roman" w:hAnsi="Arial" w:cs="Times New Roman"/>
      <w:sz w:val="20"/>
      <w:szCs w:val="20"/>
    </w:rPr>
  </w:style>
  <w:style w:type="paragraph" w:customStyle="1" w:styleId="F8CFB959B0A04A1CAC8504EAB49551941">
    <w:name w:val="F8CFB959B0A04A1CAC8504EAB49551941"/>
    <w:rsid w:val="000D351E"/>
    <w:pPr>
      <w:spacing w:after="120" w:line="240" w:lineRule="auto"/>
    </w:pPr>
    <w:rPr>
      <w:rFonts w:ascii="Arial" w:eastAsia="Times New Roman" w:hAnsi="Arial" w:cs="Times New Roman"/>
      <w:sz w:val="20"/>
      <w:szCs w:val="20"/>
    </w:rPr>
  </w:style>
  <w:style w:type="paragraph" w:customStyle="1" w:styleId="70EF713EA7A5467DBA89C005FDA61B451">
    <w:name w:val="70EF713EA7A5467DBA89C005FDA61B451"/>
    <w:rsid w:val="000D351E"/>
    <w:pPr>
      <w:spacing w:after="120" w:line="240" w:lineRule="auto"/>
    </w:pPr>
    <w:rPr>
      <w:rFonts w:ascii="Arial" w:eastAsia="Times New Roman" w:hAnsi="Arial" w:cs="Times New Roman"/>
      <w:sz w:val="20"/>
      <w:szCs w:val="20"/>
    </w:rPr>
  </w:style>
  <w:style w:type="paragraph" w:customStyle="1" w:styleId="DA10A35400CA46009E74A29DCD6179A21">
    <w:name w:val="DA10A35400CA46009E74A29DCD6179A21"/>
    <w:rsid w:val="000D351E"/>
    <w:pPr>
      <w:spacing w:after="120" w:line="240" w:lineRule="auto"/>
    </w:pPr>
    <w:rPr>
      <w:rFonts w:ascii="Arial" w:eastAsia="Times New Roman" w:hAnsi="Arial" w:cs="Times New Roman"/>
      <w:sz w:val="20"/>
      <w:szCs w:val="20"/>
    </w:rPr>
  </w:style>
  <w:style w:type="paragraph" w:customStyle="1" w:styleId="B56BA666558B49F8B855AE4B20EA6C381">
    <w:name w:val="B56BA666558B49F8B855AE4B20EA6C381"/>
    <w:rsid w:val="000D351E"/>
    <w:pPr>
      <w:spacing w:after="120" w:line="240" w:lineRule="auto"/>
    </w:pPr>
    <w:rPr>
      <w:rFonts w:ascii="Arial" w:eastAsia="Times New Roman" w:hAnsi="Arial" w:cs="Times New Roman"/>
      <w:sz w:val="20"/>
      <w:szCs w:val="20"/>
    </w:rPr>
  </w:style>
  <w:style w:type="paragraph" w:customStyle="1" w:styleId="A0F9DC13668A44099383AE743A0BC14A1">
    <w:name w:val="A0F9DC13668A44099383AE743A0BC14A1"/>
    <w:rsid w:val="000D351E"/>
    <w:pPr>
      <w:spacing w:after="120" w:line="240" w:lineRule="auto"/>
    </w:pPr>
    <w:rPr>
      <w:rFonts w:ascii="Arial" w:eastAsia="Times New Roman" w:hAnsi="Arial" w:cs="Times New Roman"/>
      <w:sz w:val="20"/>
      <w:szCs w:val="20"/>
    </w:rPr>
  </w:style>
  <w:style w:type="paragraph" w:customStyle="1" w:styleId="AFC4747282A0402CA16004305193CC4E1">
    <w:name w:val="AFC4747282A0402CA16004305193CC4E1"/>
    <w:rsid w:val="000D351E"/>
    <w:pPr>
      <w:spacing w:after="120" w:line="240" w:lineRule="auto"/>
    </w:pPr>
    <w:rPr>
      <w:rFonts w:ascii="Arial" w:eastAsia="Times New Roman" w:hAnsi="Arial" w:cs="Times New Roman"/>
      <w:sz w:val="20"/>
      <w:szCs w:val="20"/>
    </w:rPr>
  </w:style>
  <w:style w:type="paragraph" w:customStyle="1" w:styleId="64CF48C855E445B9ABF8A73251E35A5F1">
    <w:name w:val="64CF48C855E445B9ABF8A73251E35A5F1"/>
    <w:rsid w:val="000D351E"/>
    <w:pPr>
      <w:numPr>
        <w:numId w:val="1"/>
      </w:num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1">
    <w:name w:val="A0543810C72B43C181B02CE4FAA96DEC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1">
    <w:name w:val="6C2CD4AC58584EEB8548E5FD9AFACE07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1">
    <w:name w:val="AC27FE5B46524048B1E2D671E94AC235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2">
    <w:name w:val="AD73DB9D7E324E3186F15BE2264B00912"/>
    <w:rsid w:val="000D351E"/>
    <w:pPr>
      <w:spacing w:after="120" w:line="240" w:lineRule="auto"/>
    </w:pPr>
    <w:rPr>
      <w:rFonts w:ascii="Arial" w:eastAsia="Times New Roman" w:hAnsi="Arial" w:cs="Times New Roman"/>
      <w:sz w:val="20"/>
      <w:szCs w:val="20"/>
    </w:rPr>
  </w:style>
  <w:style w:type="paragraph" w:customStyle="1" w:styleId="37E3051ACA004B479418465069F77C1D2">
    <w:name w:val="37E3051ACA004B479418465069F77C1D2"/>
    <w:rsid w:val="000D351E"/>
    <w:pPr>
      <w:spacing w:after="120" w:line="240" w:lineRule="auto"/>
    </w:pPr>
    <w:rPr>
      <w:rFonts w:ascii="Arial" w:eastAsia="Times New Roman" w:hAnsi="Arial" w:cs="Times New Roman"/>
      <w:sz w:val="20"/>
      <w:szCs w:val="20"/>
    </w:rPr>
  </w:style>
  <w:style w:type="paragraph" w:customStyle="1" w:styleId="F8CFB959B0A04A1CAC8504EAB49551942">
    <w:name w:val="F8CFB959B0A04A1CAC8504EAB49551942"/>
    <w:rsid w:val="000D351E"/>
    <w:pPr>
      <w:spacing w:after="120" w:line="240" w:lineRule="auto"/>
    </w:pPr>
    <w:rPr>
      <w:rFonts w:ascii="Arial" w:eastAsia="Times New Roman" w:hAnsi="Arial" w:cs="Times New Roman"/>
      <w:sz w:val="20"/>
      <w:szCs w:val="20"/>
    </w:rPr>
  </w:style>
  <w:style w:type="paragraph" w:customStyle="1" w:styleId="70EF713EA7A5467DBA89C005FDA61B452">
    <w:name w:val="70EF713EA7A5467DBA89C005FDA61B452"/>
    <w:rsid w:val="000D351E"/>
    <w:pPr>
      <w:spacing w:after="120" w:line="240" w:lineRule="auto"/>
    </w:pPr>
    <w:rPr>
      <w:rFonts w:ascii="Arial" w:eastAsia="Times New Roman" w:hAnsi="Arial" w:cs="Times New Roman"/>
      <w:sz w:val="20"/>
      <w:szCs w:val="20"/>
    </w:rPr>
  </w:style>
  <w:style w:type="paragraph" w:customStyle="1" w:styleId="DA10A35400CA46009E74A29DCD6179A22">
    <w:name w:val="DA10A35400CA46009E74A29DCD6179A22"/>
    <w:rsid w:val="000D351E"/>
    <w:pPr>
      <w:spacing w:after="120" w:line="240" w:lineRule="auto"/>
    </w:pPr>
    <w:rPr>
      <w:rFonts w:ascii="Arial" w:eastAsia="Times New Roman" w:hAnsi="Arial" w:cs="Times New Roman"/>
      <w:sz w:val="20"/>
      <w:szCs w:val="20"/>
    </w:rPr>
  </w:style>
  <w:style w:type="paragraph" w:customStyle="1" w:styleId="B56BA666558B49F8B855AE4B20EA6C382">
    <w:name w:val="B56BA666558B49F8B855AE4B20EA6C382"/>
    <w:rsid w:val="000D351E"/>
    <w:pPr>
      <w:spacing w:after="120" w:line="240" w:lineRule="auto"/>
    </w:pPr>
    <w:rPr>
      <w:rFonts w:ascii="Arial" w:eastAsia="Times New Roman" w:hAnsi="Arial" w:cs="Times New Roman"/>
      <w:sz w:val="20"/>
      <w:szCs w:val="20"/>
    </w:rPr>
  </w:style>
  <w:style w:type="paragraph" w:customStyle="1" w:styleId="A0F9DC13668A44099383AE743A0BC14A2">
    <w:name w:val="A0F9DC13668A44099383AE743A0BC14A2"/>
    <w:rsid w:val="000D351E"/>
    <w:pPr>
      <w:spacing w:after="120" w:line="240" w:lineRule="auto"/>
    </w:pPr>
    <w:rPr>
      <w:rFonts w:ascii="Arial" w:eastAsia="Times New Roman" w:hAnsi="Arial" w:cs="Times New Roman"/>
      <w:sz w:val="20"/>
      <w:szCs w:val="20"/>
    </w:rPr>
  </w:style>
  <w:style w:type="paragraph" w:customStyle="1" w:styleId="AFC4747282A0402CA16004305193CC4E2">
    <w:name w:val="AFC4747282A0402CA16004305193CC4E2"/>
    <w:rsid w:val="000D351E"/>
    <w:pPr>
      <w:spacing w:after="120" w:line="240" w:lineRule="auto"/>
    </w:pPr>
    <w:rPr>
      <w:rFonts w:ascii="Arial" w:eastAsia="Times New Roman" w:hAnsi="Arial" w:cs="Times New Roman"/>
      <w:sz w:val="20"/>
      <w:szCs w:val="20"/>
    </w:rPr>
  </w:style>
  <w:style w:type="paragraph" w:customStyle="1" w:styleId="64CF48C855E445B9ABF8A73251E35A5F2">
    <w:name w:val="64CF48C855E445B9ABF8A73251E35A5F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2">
    <w:name w:val="A0543810C72B43C181B02CE4FAA96DEC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2">
    <w:name w:val="6C2CD4AC58584EEB8548E5FD9AFACE07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2">
    <w:name w:val="AC27FE5B46524048B1E2D671E94AC235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3">
    <w:name w:val="AD73DB9D7E324E3186F15BE2264B00913"/>
    <w:rsid w:val="006D16A7"/>
    <w:pPr>
      <w:spacing w:after="120" w:line="240" w:lineRule="auto"/>
    </w:pPr>
    <w:rPr>
      <w:rFonts w:ascii="Arial" w:eastAsia="Times New Roman" w:hAnsi="Arial" w:cs="Times New Roman"/>
      <w:sz w:val="20"/>
      <w:szCs w:val="20"/>
    </w:rPr>
  </w:style>
  <w:style w:type="paragraph" w:customStyle="1" w:styleId="37E3051ACA004B479418465069F77C1D3">
    <w:name w:val="37E3051ACA004B479418465069F77C1D3"/>
    <w:rsid w:val="006D16A7"/>
    <w:pPr>
      <w:spacing w:after="120" w:line="240" w:lineRule="auto"/>
    </w:pPr>
    <w:rPr>
      <w:rFonts w:ascii="Arial" w:eastAsia="Times New Roman" w:hAnsi="Arial" w:cs="Times New Roman"/>
      <w:sz w:val="20"/>
      <w:szCs w:val="20"/>
    </w:rPr>
  </w:style>
  <w:style w:type="paragraph" w:customStyle="1" w:styleId="F8CFB959B0A04A1CAC8504EAB49551943">
    <w:name w:val="F8CFB959B0A04A1CAC8504EAB49551943"/>
    <w:rsid w:val="006D16A7"/>
    <w:pPr>
      <w:spacing w:after="120" w:line="240" w:lineRule="auto"/>
    </w:pPr>
    <w:rPr>
      <w:rFonts w:ascii="Arial" w:eastAsia="Times New Roman" w:hAnsi="Arial" w:cs="Times New Roman"/>
      <w:sz w:val="20"/>
      <w:szCs w:val="20"/>
    </w:rPr>
  </w:style>
  <w:style w:type="paragraph" w:customStyle="1" w:styleId="70EF713EA7A5467DBA89C005FDA61B453">
    <w:name w:val="70EF713EA7A5467DBA89C005FDA61B453"/>
    <w:rsid w:val="006D16A7"/>
    <w:pPr>
      <w:spacing w:after="120" w:line="240" w:lineRule="auto"/>
    </w:pPr>
    <w:rPr>
      <w:rFonts w:ascii="Arial" w:eastAsia="Times New Roman" w:hAnsi="Arial" w:cs="Times New Roman"/>
      <w:sz w:val="20"/>
      <w:szCs w:val="20"/>
    </w:rPr>
  </w:style>
  <w:style w:type="paragraph" w:customStyle="1" w:styleId="DA10A35400CA46009E74A29DCD6179A23">
    <w:name w:val="DA10A35400CA46009E74A29DCD6179A23"/>
    <w:rsid w:val="006D16A7"/>
    <w:pPr>
      <w:spacing w:after="120" w:line="240" w:lineRule="auto"/>
    </w:pPr>
    <w:rPr>
      <w:rFonts w:ascii="Arial" w:eastAsia="Times New Roman" w:hAnsi="Arial" w:cs="Times New Roman"/>
      <w:sz w:val="20"/>
      <w:szCs w:val="20"/>
    </w:rPr>
  </w:style>
  <w:style w:type="paragraph" w:customStyle="1" w:styleId="B56BA666558B49F8B855AE4B20EA6C383">
    <w:name w:val="B56BA666558B49F8B855AE4B20EA6C383"/>
    <w:rsid w:val="006D16A7"/>
    <w:pPr>
      <w:spacing w:after="120" w:line="240" w:lineRule="auto"/>
    </w:pPr>
    <w:rPr>
      <w:rFonts w:ascii="Arial" w:eastAsia="Times New Roman" w:hAnsi="Arial" w:cs="Times New Roman"/>
      <w:sz w:val="20"/>
      <w:szCs w:val="20"/>
    </w:rPr>
  </w:style>
  <w:style w:type="paragraph" w:customStyle="1" w:styleId="A0F9DC13668A44099383AE743A0BC14A3">
    <w:name w:val="A0F9DC13668A44099383AE743A0BC14A3"/>
    <w:rsid w:val="006D16A7"/>
    <w:pPr>
      <w:spacing w:after="120" w:line="240" w:lineRule="auto"/>
    </w:pPr>
    <w:rPr>
      <w:rFonts w:ascii="Arial" w:eastAsia="Times New Roman" w:hAnsi="Arial" w:cs="Times New Roman"/>
      <w:sz w:val="20"/>
      <w:szCs w:val="20"/>
    </w:rPr>
  </w:style>
  <w:style w:type="paragraph" w:customStyle="1" w:styleId="AFC4747282A0402CA16004305193CC4E3">
    <w:name w:val="AFC4747282A0402CA16004305193CC4E3"/>
    <w:rsid w:val="006D16A7"/>
    <w:pPr>
      <w:spacing w:after="120" w:line="240" w:lineRule="auto"/>
    </w:pPr>
    <w:rPr>
      <w:rFonts w:ascii="Arial" w:eastAsia="Times New Roman" w:hAnsi="Arial" w:cs="Times New Roman"/>
      <w:sz w:val="20"/>
      <w:szCs w:val="20"/>
    </w:rPr>
  </w:style>
  <w:style w:type="paragraph" w:customStyle="1" w:styleId="64CF48C855E445B9ABF8A73251E35A5F3">
    <w:name w:val="64CF48C855E445B9ABF8A73251E35A5F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3">
    <w:name w:val="A0543810C72B43C181B02CE4FAA96DEC3"/>
    <w:rsid w:val="006D16A7"/>
    <w:pPr>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3">
    <w:name w:val="6C2CD4AC58584EEB8548E5FD9AFACE07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3">
    <w:name w:val="AC27FE5B46524048B1E2D671E94AC2353"/>
    <w:rsid w:val="006D16A7"/>
    <w:pPr>
      <w:spacing w:after="120" w:line="240" w:lineRule="auto"/>
      <w:ind w:left="360" w:hanging="360"/>
      <w:contextualSpacing/>
    </w:pPr>
    <w:rPr>
      <w:rFonts w:ascii="Arial" w:eastAsia="Times New Roman" w:hAnsi="Arial" w:cs="Times New Roman"/>
      <w:sz w:val="20"/>
      <w:szCs w:val="20"/>
    </w:rPr>
  </w:style>
  <w:style w:type="paragraph" w:customStyle="1" w:styleId="064B2328758A4BBE81F2D9A0A47AB9AC">
    <w:name w:val="064B2328758A4BBE81F2D9A0A47AB9AC"/>
    <w:rsid w:val="008D4A8E"/>
    <w:pPr>
      <w:spacing w:after="160" w:line="259" w:lineRule="auto"/>
    </w:pPr>
  </w:style>
  <w:style w:type="paragraph" w:customStyle="1" w:styleId="0F4D03FD2D414582933F80F1EA8DC4A7">
    <w:name w:val="0F4D03FD2D414582933F80F1EA8DC4A7"/>
    <w:rsid w:val="008D4A8E"/>
    <w:pPr>
      <w:spacing w:after="160" w:line="259" w:lineRule="auto"/>
    </w:pPr>
  </w:style>
  <w:style w:type="paragraph" w:customStyle="1" w:styleId="E91D722F916844F9B05054468F8C5320">
    <w:name w:val="E91D722F916844F9B05054468F8C5320"/>
    <w:rsid w:val="008D4A8E"/>
    <w:pPr>
      <w:spacing w:after="160" w:line="259" w:lineRule="auto"/>
    </w:pPr>
  </w:style>
  <w:style w:type="paragraph" w:customStyle="1" w:styleId="8865DCE68B1542B6A6ACA90FB9B467E6">
    <w:name w:val="8865DCE68B1542B6A6ACA90FB9B467E6"/>
    <w:rsid w:val="008D4A8E"/>
    <w:pPr>
      <w:spacing w:after="160" w:line="259" w:lineRule="auto"/>
    </w:pPr>
  </w:style>
  <w:style w:type="paragraph" w:customStyle="1" w:styleId="F37A481F9C164822845EEA179CD3DDD8">
    <w:name w:val="F37A481F9C164822845EEA179CD3DDD8"/>
    <w:rsid w:val="008D4A8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5B0F898161E45841419861F54F501" ma:contentTypeVersion="29" ma:contentTypeDescription="Create a new document." ma:contentTypeScope="" ma:versionID="e5b60c21212aab0034bb4af4fec2e601">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69432a09b731054580532aeb477ba2d5"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3abd1c0c7bd4d66b784ef4fa32239ba xmlns="498945f5-0448-4b4c-97d9-fcd4d7a5a1b1">
      <Terms xmlns="http://schemas.microsoft.com/office/infopath/2007/PartnerControls"/>
    </a3abd1c0c7bd4d66b784ef4fa32239ba>
    <TaxCatchAll xmlns="498945f5-0448-4b4c-97d9-fcd4d7a5a1b1">
      <Value>426</Value>
      <Value>131</Value>
      <Value>25</Value>
      <Value>199</Value>
      <Value>2606</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TermInfo xmlns="http://schemas.microsoft.com/office/infopath/2007/PartnerControls">
          <TermName xmlns="http://schemas.microsoft.com/office/infopath/2007/PartnerControls">Content Management</TermName>
          <TermId xmlns="http://schemas.microsoft.com/office/infopath/2007/PartnerControls">b8ab16e1-7441-4c98-b89a-7745dc046b5e</TermId>
        </TermInfo>
      </Term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kd778f5e510a4594a7afeace431f608b>
    <d0152e49f1a7499baf10632c118877c0 xmlns="498945f5-0448-4b4c-97d9-fcd4d7a5a1b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46e4187b-f204-4589-bbeb-a903d185cdad</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498945f5-0448-4b4c-97d9-fcd4d7a5a1b1">A3PSR54DD4M5-1752746618-1103</_dlc_DocId>
    <_dlc_DocIdUrl xmlns="498945f5-0448-4b4c-97d9-fcd4d7a5a1b1">
      <Url>https://dochub/div/sectoralgrowthpolicy/businessfunctions/australianindustryparticipation/policydevelopment/_layouts/15/DocIdRedir.aspx?ID=A3PSR54DD4M5-1752746618-1103</Url>
      <Description>A3PSR54DD4M5-1752746618-1103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9C325-EC95-4F17-8B90-AA7E713BFAA4}">
  <ds:schemaRefs>
    <ds:schemaRef ds:uri="http://schemas.microsoft.com/sharepoint/events"/>
  </ds:schemaRefs>
</ds:datastoreItem>
</file>

<file path=customXml/itemProps2.xml><?xml version="1.0" encoding="utf-8"?>
<ds:datastoreItem xmlns:ds="http://schemas.openxmlformats.org/officeDocument/2006/customXml" ds:itemID="{38EB93DA-3A9F-4B29-918B-303A8F400BD0}">
  <ds:schemaRefs>
    <ds:schemaRef ds:uri="http://schemas.microsoft.com/sharepoint/v3/contenttype/forms"/>
  </ds:schemaRefs>
</ds:datastoreItem>
</file>

<file path=customXml/itemProps3.xml><?xml version="1.0" encoding="utf-8"?>
<ds:datastoreItem xmlns:ds="http://schemas.openxmlformats.org/officeDocument/2006/customXml" ds:itemID="{FE1B6383-AA82-4083-BA64-426F6296D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C2552-5BA9-435B-97BF-908E1C63BA1B}">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98945f5-0448-4b4c-97d9-fcd4d7a5a1b1"/>
    <ds:schemaRef ds:uri="http://www.w3.org/XML/1998/namespace"/>
    <ds:schemaRef ds:uri="http://purl.org/dc/dcmitype/"/>
  </ds:schemaRefs>
</ds:datastoreItem>
</file>

<file path=customXml/itemProps5.xml><?xml version="1.0" encoding="utf-8"?>
<ds:datastoreItem xmlns:ds="http://schemas.openxmlformats.org/officeDocument/2006/customXml" ds:itemID="{A27DBD39-510C-44A4-ACB4-376785A5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1322</Words>
  <Characters>7536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Dent, Michael</cp:lastModifiedBy>
  <cp:revision>2</cp:revision>
  <cp:lastPrinted>2013-02-27T05:06:00Z</cp:lastPrinted>
  <dcterms:created xsi:type="dcterms:W3CDTF">2020-07-31T02:19:00Z</dcterms:created>
  <dcterms:modified xsi:type="dcterms:W3CDTF">2020-07-31T02:19:00Z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0x010100D575B0F898161E45841419861F54F501</vt:lpwstr>
  </property>
  <property fmtid="{D5CDD505-2E9C-101B-9397-08002B2CF9AE}" pid="7" name="DocHub_Year">
    <vt:lpwstr>2606;#2020|6a3660c5-15bd-4052-a0a1-6237663b7600</vt:lpwstr>
  </property>
  <property fmtid="{D5CDD505-2E9C-101B-9397-08002B2CF9AE}" pid="8" name="DocHub_DocStatus">
    <vt:lpwstr>426;#Final|46e4187b-f204-4589-bbeb-a903d185cdad</vt:lpwstr>
  </property>
  <property fmtid="{D5CDD505-2E9C-101B-9397-08002B2CF9AE}" pid="9" name="DocHub_ProjectProponent">
    <vt:lpwstr/>
  </property>
  <property fmtid="{D5CDD505-2E9C-101B-9397-08002B2CF9AE}" pid="10" name="DocHub_DocumentType">
    <vt:lpwstr>131;#Template|9b48ba34-650a-488d-9fe8-e5181e10b797</vt:lpwstr>
  </property>
  <property fmtid="{D5CDD505-2E9C-101B-9397-08002B2CF9AE}" pid="11" name="DocHub_SecurityClassification">
    <vt:lpwstr>25;#For Official Use Only|11f6fb0b-52ce-4109-8f7f-521b2a62f692</vt:lpwstr>
  </property>
  <property fmtid="{D5CDD505-2E9C-101B-9397-08002B2CF9AE}" pid="12" name="DocHub_AIPProcess">
    <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199;#Content Management|b8ab16e1-7441-4c98-b89a-7745dc046b5e</vt:lpwstr>
  </property>
  <property fmtid="{D5CDD505-2E9C-101B-9397-08002B2CF9AE}" pid="17" name="DocHub_AIPCategory">
    <vt:lpwstr/>
  </property>
  <property fmtid="{D5CDD505-2E9C-101B-9397-08002B2CF9AE}" pid="18" name="DocHub_Keywords">
    <vt:lpwstr/>
  </property>
  <property fmtid="{D5CDD505-2E9C-101B-9397-08002B2CF9AE}" pid="19" name="_dlc_DocIdItemGuid">
    <vt:lpwstr>3f6828bd-b9fb-4e9b-bc5c-878c6fbcd055</vt:lpwstr>
  </property>
</Properties>
</file>