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45"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Wed Jun 08 2022 09:44:43 GMT+1 000 (AEST)) *****</w:t>
      </w:r>
    </w:p>
    <w:p>
      <w:pPr>
        <w:spacing w:before="3" w:after="1245" w:line="188" w:lineRule="exact"/>
        <w:sectPr>
          <w:type w:val="nextPage"/>
          <w:pgSz w:w="11904" w:h="16843" w:orient="portrait"/>
          <w:pgMar w:bottom="867" w:top="1040" w:right="847" w:left="557" w:header="720" w:footer="720"/>
          <w:titlePg w:val="false"/>
          <w:textDirection w:val="lrTb"/>
        </w:sectPr>
      </w:pPr>
    </w:p>
    <w:p>
      <w:pPr>
        <w:spacing w:before="0" w:after="153" w:line="240" w:lineRule="auto"/>
        <w:ind w:right="4025" w:left="3629"/>
        <w:jc w:val="left"/>
        <w:textAlignment w:val="baseline"/>
      </w:pPr>
      <w:r>
        <w:drawing>
          <wp:inline>
            <wp:extent cx="1807210" cy="2159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5900"/>
                    </a:xfrm>
                    <a:prstGeom prst="rect"/>
                  </pic:spPr>
                </pic:pic>
              </a:graphicData>
            </a:graphic>
          </wp:inline>
        </w:drawing>
      </w:r>
    </w:p>
    <w:p>
      <w:pPr>
        <w:spacing w:before="0" w:after="344" w:line="396" w:lineRule="exact"/>
        <w:ind w:right="0" w:left="0" w:firstLine="0"/>
        <w:jc w:val="center"/>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Australian Jobs Act 2013</w:t>
      </w:r>
    </w:p>
    <w:p>
      <w:pPr>
        <w:spacing w:before="473" w:after="75" w:line="398"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187.7pt" to="552.9pt,187.7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123" w:after="0" w:line="187" w:lineRule="exact"/>
        <w:ind w:right="0" w:left="288" w:firstLine="0"/>
        <w:jc w:val="left"/>
        <w:textAlignment w:val="baseline"/>
        <w:rPr>
          <w:rFonts w:ascii="Arial" w:hAnsi="Arial" w:eastAsia="Arial"/>
          <w:b w:val="true"/>
          <w:color w:val="000000"/>
          <w:spacing w:val="-2"/>
          <w:w w:val="100"/>
          <w:sz w:val="16"/>
          <w:vertAlign w:val="baseline"/>
          <w:lang w:val="en-US"/>
        </w:rPr>
      </w:pPr>
      <w:r>
        <w:pict>
          <v:line strokeweight="1.2pt" strokecolor="#000000" from="43.9pt,234.5pt" to="538.15pt,234.5pt" style="position:absolute;mso-position-horizontal-relative:page;mso-position-vertical-relative:page;">
            <v:stroke dashstyle="solid"/>
          </v:line>
        </w:pict>
      </w:r>
      <w:r>
        <w:rPr>
          <w:rFonts w:ascii="Arial" w:hAnsi="Arial" w:eastAsia="Arial"/>
          <w:b w:val="true"/>
          <w:color w:val="000000"/>
          <w:spacing w:val="-2"/>
          <w:w w:val="100"/>
          <w:sz w:val="16"/>
          <w:vertAlign w:val="baseline"/>
          <w:lang w:val="en-US"/>
        </w:rPr>
        <w:t xml:space="preserve">Nominated project proponent: </w:t>
      </w:r>
      <w:r>
        <w:rPr>
          <w:rFonts w:ascii="Arial" w:hAnsi="Arial" w:eastAsia="Arial"/>
          <w:color w:val="000000"/>
          <w:spacing w:val="-2"/>
          <w:w w:val="100"/>
          <w:sz w:val="16"/>
          <w:vertAlign w:val="baseline"/>
          <w:lang w:val="en-US"/>
        </w:rPr>
        <w:t xml:space="preserve">Stockland Development Pty Ltd</w:t>
      </w:r>
    </w:p>
    <w:p>
      <w:pPr>
        <w:spacing w:before="348" w:after="0" w:line="398" w:lineRule="exact"/>
        <w:ind w:right="0" w:left="504" w:firstLine="0"/>
        <w:jc w:val="left"/>
        <w:textAlignment w:val="baseline"/>
        <w:rPr>
          <w:rFonts w:ascii="Arial" w:hAnsi="Arial" w:eastAsia="Arial"/>
          <w:color w:val="000000"/>
          <w:spacing w:val="3"/>
          <w:w w:val="95"/>
          <w:sz w:val="34"/>
          <w:vertAlign w:val="baseline"/>
          <w:lang w:val="en-US"/>
        </w:rPr>
      </w:pPr>
      <w:r>
        <w:rPr>
          <w:rFonts w:ascii="Arial" w:hAnsi="Arial" w:eastAsia="Arial"/>
          <w:color w:val="000000"/>
          <w:spacing w:val="3"/>
          <w:w w:val="95"/>
          <w:sz w:val="34"/>
          <w:vertAlign w:val="baseline"/>
          <w:lang w:val="en-US"/>
        </w:rPr>
        <w:t xml:space="preserve">Project details</w:t>
      </w:r>
    </w:p>
    <w:p>
      <w:pPr>
        <w:spacing w:before="349" w:after="0" w:line="186"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Affinity Place</w:t>
      </w:r>
    </w:p>
    <w:p>
      <w:pPr>
        <w:spacing w:before="150" w:after="0" w:line="186"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110 – 122 Walker Street North Sydney 2060</w:t>
      </w:r>
    </w:p>
    <w:p>
      <w:pPr>
        <w:spacing w:before="135" w:after="0" w:line="186"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Other productive facility</w:t>
      </w:r>
    </w:p>
    <w:p>
      <w:pPr>
        <w:spacing w:before="155" w:after="0" w:line="186"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36" w:after="0" w:line="186"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Capital expenditure: $ 900,000,000</w:t>
      </w:r>
    </w:p>
    <w:p>
      <w:pPr>
        <w:spacing w:before="117" w:after="0" w:line="220" w:lineRule="exact"/>
        <w:ind w:right="792" w:left="50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Description: Affinity Place at 110 Walker Street is a commercial development, with basement parking, end of trip facilities and retail to ground floor and podium. Development will be approximately 58,500sqm NLA over 51 levels; PCA Premium grade workplace and will be targeting 5 Star NABERS Energy and 6 Star Green Star.</w:t>
      </w:r>
    </w:p>
    <w:p>
      <w:pPr>
        <w:spacing w:before="136" w:after="6620" w:line="186"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Completion date: 31 Mar 2027</w:t>
      </w:r>
    </w:p>
    <w:p>
      <w:pPr>
        <w:spacing w:before="136" w:after="6620" w:line="186"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1 of 5</w:t>
      </w:r>
    </w:p>
    <w:p>
      <w:pPr>
        <w:sectPr>
          <w:type w:val="continuous"/>
          <w:pgSz w:w="11904" w:h="16843" w:orient="portrait"/>
          <w:pgMar w:bottom="867" w:top="1040" w:right="1026" w:left="977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70pt;height:50.25pt;z-index:-1000;margin-left:105.6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13" w:line="188" w:lineRule="exact"/>
                    <w:ind w:right="0" w:left="0" w:firstLine="0"/>
                    <w:jc w:val="center"/>
                    <w:textAlignment w:val="baseline"/>
                    <w:rPr>
                      <w:rFonts w:ascii="Times New Roman" w:hAnsi="Times New Roman" w:eastAsia="Times New Roman"/>
                      <w:color w:val="000000"/>
                      <w:spacing w:val="-2"/>
                      <w:w w:val="100"/>
                      <w:sz w:val="16"/>
                      <w:vertAlign w:val="baseline"/>
                      <w:lang w:val="en-US"/>
                    </w:rPr>
                  </w:pPr>
                  <w:r>
                    <w:rPr>
                      <w:rFonts w:ascii="Times New Roman" w:hAnsi="Times New Roman" w:eastAsia="Times New Roman"/>
                      <w:color w:val="000000"/>
                      <w:spacing w:val="-2"/>
                      <w:w w:val="100"/>
                      <w:sz w:val="16"/>
                      <w:vertAlign w:val="baseline"/>
                      <w:lang w:val="en-US"/>
                    </w:rPr>
                    <w:t xml:space="preserve">***** DRAFT not approved by AIP Authority (printed on Wed Jun 08 2022 09:44:43 GMT+1 000 (AEST)) *****</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88pt;height:352.05pt;z-index:-999;margin-left:50.65pt;margin-top:102.25pt;mso-wrap-distance-left:0pt;mso-wrap-distance-right:0pt;mso-position-horizontal-relative:page;mso-position-vertical-relative:page">
            <w10:wrap type="square" side="both"/>
            <v:fill opacity="1" o:opacity2="1" recolor="f" rotate="f" type="solid"/>
            <v:textbox inset="0pt, 0pt, 0pt, 0pt">
              <w:txbxContent>
                <w:p>
                  <w:pPr>
                    <w:spacing w:before="5" w:after="0" w:line="399" w:lineRule="exact"/>
                    <w:ind w:right="0" w:left="0" w:firstLine="0"/>
                    <w:jc w:val="left"/>
                    <w:textAlignment w:val="baseline"/>
                    <w:rPr>
                      <w:rFonts w:ascii="Arial" w:hAnsi="Arial" w:eastAsia="Arial"/>
                      <w:color w:val="000000"/>
                      <w:spacing w:val="0"/>
                      <w:w w:val="95"/>
                      <w:sz w:val="35"/>
                      <w:vertAlign w:val="baseline"/>
                      <w:lang w:val="en-US"/>
                    </w:rPr>
                  </w:pPr>
                  <w:r>
                    <w:rPr>
                      <w:rFonts w:ascii="Arial" w:hAnsi="Arial" w:eastAsia="Arial"/>
                      <w:color w:val="000000"/>
                      <w:spacing w:val="0"/>
                      <w:w w:val="95"/>
                      <w:sz w:val="35"/>
                      <w:vertAlign w:val="baseline"/>
                      <w:lang w:val="en-US"/>
                    </w:rPr>
                    <w:t xml:space="preserve">Key goods and services</w:t>
                  </w:r>
                </w:p>
                <w:p>
                  <w:pPr>
                    <w:spacing w:before="34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p>
                  <w:pPr>
                    <w:spacing w:before="191" w:after="0" w:line="145" w:lineRule="exact"/>
                    <w:ind w:right="0" w:left="0" w:firstLine="0"/>
                    <w:jc w:val="center"/>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Opportunities for</w:t>
                  </w:r>
                </w:p>
                <w:p>
                  <w:pPr>
                    <w:spacing w:before="0" w:after="0" w:line="123" w:lineRule="exact"/>
                    <w:ind w:right="0" w:left="2664" w:firstLine="0"/>
                    <w:jc w:val="left"/>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Opportunities for</w:t>
                  </w:r>
                </w:p>
                <w:p>
                  <w:pPr>
                    <w:tabs>
                      <w:tab w:val="left" w:leader="none" w:pos="2592"/>
                      <w:tab w:val="right" w:leader="none" w:pos="5688"/>
                    </w:tabs>
                    <w:spacing w:before="0" w:after="0" w:line="188"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	</w:t>
                  </w:r>
                  <w:r>
                    <w:rPr>
                      <w:rFonts w:ascii="Arial" w:hAnsi="Arial" w:eastAsia="Arial"/>
                      <w:b w:val="true"/>
                      <w:color w:val="000000"/>
                      <w:spacing w:val="0"/>
                      <w:w w:val="100"/>
                      <w:sz w:val="17"/>
                      <w:vertAlign w:val="baseline"/>
                      <w:lang w:val="en-US"/>
                    </w:rPr>
                    <w:t xml:space="preserve">Australian entities </w:t>
                  </w:r>
                  <w:r>
                    <w:rPr>
                      <w:rFonts w:ascii="Arial" w:hAnsi="Arial" w:eastAsia="Arial"/>
                      <w:b w:val="true"/>
                      <w:color w:val="000000"/>
                      <w:spacing w:val="0"/>
                      <w:w w:val="100"/>
                      <w:sz w:val="12"/>
                      <w:vertAlign w:val="baseline"/>
                      <w:lang w:val="en-US"/>
                    </w:rPr>
                    <w:t xml:space="preserve">*	</w:t>
                  </w:r>
                  <w:r>
                    <w:rPr>
                      <w:rFonts w:ascii="Arial" w:hAnsi="Arial" w:eastAsia="Arial"/>
                      <w:b w:val="true"/>
                      <w:color w:val="000000"/>
                      <w:spacing w:val="0"/>
                      <w:w w:val="100"/>
                      <w:sz w:val="17"/>
                      <w:vertAlign w:val="baseline"/>
                      <w:lang w:val="en-US"/>
                    </w:rPr>
                    <w:t xml:space="preserve">non-Australian</w:t>
                  </w:r>
                </w:p>
                <w:p>
                  <w:pPr>
                    <w:spacing w:before="0" w:after="0" w:line="175" w:lineRule="exact"/>
                    <w:ind w:right="0" w:left="0" w:firstLine="0"/>
                    <w:jc w:val="center"/>
                    <w:textAlignment w:val="baseline"/>
                    <w:rPr>
                      <w:rFonts w:ascii="Arial" w:hAnsi="Arial" w:eastAsia="Arial"/>
                      <w:b w:val="true"/>
                      <w:color w:val="000000"/>
                      <w:spacing w:val="-5"/>
                      <w:w w:val="100"/>
                      <w:sz w:val="17"/>
                      <w:vertAlign w:val="baseline"/>
                      <w:lang w:val="en-US"/>
                    </w:rPr>
                  </w:pPr>
                  <w:r>
                    <w:rPr>
                      <w:rFonts w:ascii="Arial" w:hAnsi="Arial" w:eastAsia="Arial"/>
                      <w:b w:val="true"/>
                      <w:color w:val="000000"/>
                      <w:spacing w:val="-5"/>
                      <w:w w:val="100"/>
                      <w:sz w:val="17"/>
                      <w:vertAlign w:val="baseline"/>
                      <w:lang w:val="en-US"/>
                    </w:rPr>
                    <w:t xml:space="preserve">entities</w:t>
                  </w:r>
                </w:p>
                <w:p>
                  <w:pPr>
                    <w:tabs>
                      <w:tab w:val="left" w:leader="none" w:pos="3168"/>
                      <w:tab w:val="right" w:leader="none" w:pos="5256"/>
                    </w:tabs>
                    <w:spacing w:before="33"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Concrete and Reinforcement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Formwork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Structural Steelwork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29"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Wall Finishes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3"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Waterproofing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Demolition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Architectural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Engineering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Engineering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29"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Mechanical Engineering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3"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Structural Engineering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Facade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Floor Finishes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Furniture, Fixtures and Equipment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Hydraulic Components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168"/>
                      <w:tab w:val="right" w:leader="none" w:pos="5256"/>
                    </w:tabs>
                    <w:spacing w:before="29"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Mechanical Components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168"/>
                      <w:tab w:val="right" w:leader="none" w:pos="5256"/>
                    </w:tabs>
                    <w:spacing w:before="33"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Components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Fire Components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Scaffolding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Excavation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Vertical Transport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168"/>
                      <w:tab w:val="right" w:leader="none" w:pos="5256"/>
                    </w:tabs>
                    <w:spacing w:before="29"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Landscaping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right" w:leader="none" w:pos="5256"/>
                    </w:tabs>
                    <w:spacing w:before="33"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Building Maintenance Unit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168"/>
                      <w:tab w:val="right" w:leader="none" w:pos="5256"/>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Joinery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94.3pt;height:22.15pt;z-index:-998;margin-left:50.65pt;margin-top:454.3pt;mso-wrap-distance-left:0pt;mso-wrap-distance-right:0pt;mso-position-horizontal-relative:page;mso-position-vertical-relative:page">
            <w10:wrap type="square" side="both"/>
            <v:fill opacity="1" o:opacity2="1" recolor="f" rotate="f" type="solid"/>
            <v:textbox inset="0pt, 0pt, 0pt, 0pt">
              <w:txbxContent>
                <w:p>
                  <w:pPr>
                    <w:spacing w:before="2" w:after="0" w:line="215"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Integrated Communications </w:t>
                  </w:r>
                  <w:r>
                    <w:rPr>
                      <w:rFonts w:ascii="Arial" w:hAnsi="Arial" w:eastAsia="Arial"/>
                      <w:color w:val="000000"/>
                      <w:spacing w:val="-4"/>
                      <w:w w:val="100"/>
                      <w:sz w:val="16"/>
                      <w:vertAlign w:val="baseline"/>
                      <w:lang w:val="en-US"/>
                    </w:rPr>
                    <w:t xml:space="preserve">Network (ICN)</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88pt;height:288.95pt;z-index:-997;margin-left:50.65pt;margin-top:476.4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168"/>
                      <w:tab w:val="left" w:leader="none" w:pos="4896"/>
                    </w:tabs>
                    <w:spacing w:before="33" w:after="0" w:line="187"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Hard Landscaping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No</w:t>
                  </w:r>
                </w:p>
                <w:p>
                  <w:pPr>
                    <w:tabs>
                      <w:tab w:val="left" w:leader="none" w:pos="3168"/>
                      <w:tab w:val="left" w:leader="none" w:pos="4896"/>
                    </w:tabs>
                    <w:spacing w:before="2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Blockwork	</w:t>
                  </w:r>
                  <w:r>
                    <w:rPr>
                      <w:rFonts w:ascii="Arial" w:hAnsi="Arial" w:eastAsia="Arial"/>
                      <w:color w:val="000000"/>
                      <w:spacing w:val="3"/>
                      <w:w w:val="100"/>
                      <w:sz w:val="16"/>
                      <w:vertAlign w:val="baseline"/>
                      <w:lang w:val="en-US"/>
                    </w:rPr>
                    <w:t xml:space="preserve">Yes	</w:t>
                  </w:r>
                  <w:r>
                    <w:rPr>
                      <w:rFonts w:ascii="Arial" w:hAnsi="Arial" w:eastAsia="Arial"/>
                      <w:color w:val="000000"/>
                      <w:spacing w:val="3"/>
                      <w:w w:val="100"/>
                      <w:sz w:val="16"/>
                      <w:vertAlign w:val="baseline"/>
                      <w:lang w:val="en-US"/>
                    </w:rPr>
                    <w:t xml:space="preserve">No</w:t>
                  </w:r>
                </w:p>
                <w:p>
                  <w:pPr>
                    <w:tabs>
                      <w:tab w:val="left" w:leader="none" w:pos="3168"/>
                      <w:tab w:val="left" w:leader="none" w:pos="4896"/>
                    </w:tabs>
                    <w:spacing w:before="33" w:after="0" w:line="187"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Painting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No</w:t>
                  </w:r>
                </w:p>
                <w:p>
                  <w:pPr>
                    <w:tabs>
                      <w:tab w:val="left" w:leader="none" w:pos="3168"/>
                      <w:tab w:val="left" w:leader="none" w:pos="4896"/>
                    </w:tabs>
                    <w:spacing w:before="34" w:after="0" w:line="187"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Access Flooring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No</w:t>
                  </w:r>
                </w:p>
                <w:p>
                  <w:pPr>
                    <w:spacing w:before="310" w:after="0" w:line="91" w:lineRule="exact"/>
                    <w:ind w:right="0" w:left="0" w:firstLine="0"/>
                    <w:jc w:val="left"/>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w:t>
                  </w:r>
                </w:p>
                <w:p>
                  <w:pPr>
                    <w:spacing w:before="0" w:after="0" w:line="22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Project standards:</w:t>
                  </w:r>
                </w:p>
                <w:p>
                  <w:pPr>
                    <w:spacing w:before="122" w:after="3480" w:line="220" w:lineRule="exact"/>
                    <w:ind w:right="0" w:left="64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35.35pt;height:22.05pt;z-index:-996;margin-left:353.05pt;margin-top:162.25pt;mso-wrap-distance-left:0pt;mso-wrap-distance-right:0pt;mso-position-horizontal-relative:page;mso-position-vertical-relative:page">
            <w10:wrap type="square" side="both"/>
            <v:fill opacity="1" o:opacity2="1" recolor="f" rotate="f" type="solid"/>
            <v:textbox inset="0pt, 0pt, 0pt, 0pt">
              <w:txbxContent>
                <w:p>
                  <w:pPr>
                    <w:spacing w:before="0" w:after="0" w:line="213" w:lineRule="exact"/>
                    <w:ind w:right="0" w:left="0" w:firstLine="0"/>
                    <w:jc w:val="both"/>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Explanation for no opportunities for Australian entities</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93.7pt;height:22.15pt;z-index:-995;margin-left:144.95pt;margin-top:454.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096"/>
                    </w:tabs>
                    <w:spacing w:before="135" w:after="110" w:line="187" w:lineRule="exact"/>
                    <w:ind w:right="0" w:left="129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55.4pt;height:13.6pt;z-index:-994;margin-left:487.8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5"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5</w:t>
                  </w:r>
                </w:p>
              </w:txbxContent>
            </v:textbox>
          </v:shape>
        </w:pict>
      </w:r>
    </w:p>
    <w:p>
      <w:pPr>
        <w:sectPr>
          <w:type w:val="nextPage"/>
          <w:pgSz w:w="11904" w:h="16843" w:orient="portrait"/>
          <w:pgMar w:bottom="890" w:top="752" w:right="1040" w:left="1013" w:header="720" w:footer="720"/>
          <w:titlePg w:val="false"/>
          <w:textDirection w:val="lrTb"/>
        </w:sectPr>
      </w:pPr>
    </w:p>
    <w:p>
      <w:pPr>
        <w:spacing w:before="3" w:after="813" w:line="188" w:lineRule="exact"/>
        <w:ind w:right="0" w:left="0" w:firstLine="0"/>
        <w:jc w:val="center"/>
        <w:textAlignment w:val="baseline"/>
        <w:rPr>
          <w:rFonts w:ascii="Times New Roman" w:hAnsi="Times New Roman" w:eastAsia="Times New Roman"/>
          <w:color w:val="000000"/>
          <w:spacing w:val="-2"/>
          <w:w w:val="100"/>
          <w:sz w:val="16"/>
          <w:vertAlign w:val="baseline"/>
          <w:lang w:val="en-US"/>
        </w:rPr>
      </w:pPr>
      <w:r>
        <w:rPr>
          <w:rFonts w:ascii="Times New Roman" w:hAnsi="Times New Roman" w:eastAsia="Times New Roman"/>
          <w:color w:val="000000"/>
          <w:spacing w:val="-2"/>
          <w:w w:val="100"/>
          <w:sz w:val="16"/>
          <w:vertAlign w:val="baseline"/>
          <w:lang w:val="en-US"/>
        </w:rPr>
        <w:t xml:space="preserve">***** DRAFT not approved by AIP Authority (printed on Wed Jun 08 2022 09:44:43 GMT+1 000 (AEST)) *****</w:t>
      </w:r>
    </w:p>
    <w:p>
      <w:pPr>
        <w:spacing w:before="3" w:after="813" w:line="188" w:lineRule="exact"/>
        <w:sectPr>
          <w:type w:val="nextPage"/>
          <w:pgSz w:w="11904" w:h="16843" w:orient="portrait"/>
          <w:pgMar w:bottom="867" w:top="1040" w:right="2392" w:left="2112" w:header="720" w:footer="720"/>
          <w:titlePg w:val="false"/>
          <w:textDirection w:val="lrTb"/>
        </w:sectPr>
      </w:pPr>
    </w:p>
    <w:p>
      <w:pPr>
        <w:spacing w:before="0" w:after="0" w:line="395"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4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76" w:after="0" w:line="187" w:lineRule="exact"/>
        <w:ind w:right="0" w:left="216"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Contact person name </w:t>
      </w:r>
      <w:r>
        <w:rPr>
          <w:rFonts w:ascii="Arial" w:hAnsi="Arial" w:eastAsia="Arial"/>
          <w:color w:val="000000"/>
          <w:spacing w:val="2"/>
          <w:w w:val="100"/>
          <w:sz w:val="16"/>
          <w:vertAlign w:val="baseline"/>
          <w:lang w:val="en-US"/>
        </w:rPr>
        <w:t xml:space="preserve">Martin Hills</w:t>
      </w:r>
    </w:p>
    <w:p>
      <w:pPr>
        <w:spacing w:before="34" w:after="0" w:line="187"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Senior Project Manager</w:t>
      </w:r>
    </w:p>
    <w:p>
      <w:pPr>
        <w:spacing w:before="29" w:after="0" w:line="187"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0408150027</w:t>
      </w:r>
    </w:p>
    <w:p>
      <w:pPr>
        <w:spacing w:before="33" w:after="0" w:line="187"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martin.hills@stockland.com.au</w:t>
        </w:r>
      </w:hyperlink>
      <w:r>
        <w:rPr>
          <w:rFonts w:ascii="Arial" w:hAnsi="Arial" w:eastAsia="Arial"/>
          <w:color w:val="000000"/>
          <w:spacing w:val="0"/>
          <w:w w:val="100"/>
          <w:sz w:val="16"/>
          <w:vertAlign w:val="baseline"/>
          <w:lang w:val="en-US"/>
        </w:rPr>
        <w:t xml:space="preserve">
</w:t>
      </w:r>
    </w:p>
    <w:p>
      <w:pPr>
        <w:spacing w:before="160" w:after="0" w:line="220" w:lineRule="exact"/>
        <w:ind w:right="288"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proponent website: A website will be created through the design development phase of the project. This will be regularly updated through all stages of the project up to completion and into the operation of the building.</w:t>
      </w:r>
    </w:p>
    <w:p>
      <w:pPr>
        <w:spacing w:before="101" w:after="0" w:line="221" w:lineRule="exact"/>
        <w:ind w:right="72"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opportunities website: A website will be created through the design development phase of the project. This will be regularly updated through all stages of the project up to completion and into the operation of the building. Please note that a separate link for specific project opportunities will be created within the project proponent website at a later date closer construction commencement.</w:t>
      </w:r>
    </w:p>
    <w:p>
      <w:pPr>
        <w:spacing w:before="149" w:after="0" w:line="187"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4" w:after="0" w:line="187"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Issue media releases or ASX announcements on project developments and opportunities</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463" w:after="0" w:line="397"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4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35"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2"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29"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197"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95" w:after="4301" w:line="221" w:lineRule="exact"/>
        <w:ind w:right="216"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Stockland will provide feedback to all unsuccessful suppliers and contractors and will endeavour to outline why the supplier or contractor was unsuccessful in their submission. We will aim to note any training recommendations that may assist them in the future.</w:t>
      </w:r>
    </w:p>
    <w:p>
      <w:pPr>
        <w:spacing w:before="95" w:after="4301" w:line="221" w:lineRule="exact"/>
        <w:sectPr>
          <w:type w:val="continuous"/>
          <w:pgSz w:w="11904" w:h="16843" w:orient="portrait"/>
          <w:pgMar w:bottom="867" w:top="1040" w:right="150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3 of 5</w:t>
      </w:r>
    </w:p>
    <w:p>
      <w:pPr>
        <w:sectPr>
          <w:type w:val="continuous"/>
          <w:pgSz w:w="11904" w:h="16843" w:orient="portrait"/>
          <w:pgMar w:bottom="867" w:top="1040" w:right="1034" w:left="9770" w:header="720" w:footer="720"/>
          <w:titlePg w:val="false"/>
          <w:textDirection w:val="lrTb"/>
        </w:sectPr>
      </w:pPr>
    </w:p>
    <w:p>
      <w:pPr>
        <w:spacing w:before="3" w:after="0" w:line="188" w:lineRule="exact"/>
        <w:ind w:right="36"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Wed Jun 08 2022 09:44:43 GMT+1 000 (AEST)) *****</w:t>
      </w:r>
    </w:p>
    <w:p>
      <w:pPr>
        <w:spacing w:before="901" w:after="100"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p>
      <w:pPr>
        <w:spacing w:before="122" w:after="0" w:line="190" w:lineRule="exact"/>
        <w:ind w:right="36" w:left="0" w:firstLine="0"/>
        <w:jc w:val="left"/>
        <w:textAlignment w:val="baseline"/>
        <w:rPr>
          <w:rFonts w:ascii="Arial" w:hAnsi="Arial" w:eastAsia="Arial"/>
          <w:b w:val="true"/>
          <w:color w:val="000000"/>
          <w:spacing w:val="-5"/>
          <w:w w:val="100"/>
          <w:sz w:val="17"/>
          <w:vertAlign w:val="baseline"/>
          <w:lang w:val="en-US"/>
        </w:rPr>
      </w:pPr>
      <w:r>
        <w:pict>
          <v:line strokeweight="1.2pt" strokecolor="#000000" from="43.9pt,148.55pt" to="538.15pt,148.55pt" style="position:absolute;mso-position-horizontal-relative:page;mso-position-vertical-relative:page;">
            <v:stroke dashstyle="solid"/>
          </v:line>
        </w:pict>
      </w:r>
      <w:r>
        <w:rPr>
          <w:rFonts w:ascii="Arial" w:hAnsi="Arial" w:eastAsia="Arial"/>
          <w:b w:val="true"/>
          <w:color w:val="000000"/>
          <w:spacing w:val="-5"/>
          <w:w w:val="100"/>
          <w:sz w:val="17"/>
          <w:vertAlign w:val="baseline"/>
          <w:lang w:val="en-US"/>
        </w:rPr>
        <w:t xml:space="preserve">Nominated facility operator: </w:t>
      </w:r>
      <w:r>
        <w:rPr>
          <w:rFonts w:ascii="Arial" w:hAnsi="Arial" w:eastAsia="Arial"/>
          <w:color w:val="000000"/>
          <w:spacing w:val="-5"/>
          <w:w w:val="100"/>
          <w:sz w:val="16"/>
          <w:vertAlign w:val="baseline"/>
          <w:lang w:val="en-US"/>
        </w:rPr>
        <w:t xml:space="preserve">Stockland Development Pty Ltd</w:t>
      </w:r>
    </w:p>
    <w:p>
      <w:pPr>
        <w:spacing w:before="342" w:after="0" w:line="397" w:lineRule="exact"/>
        <w:ind w:right="36" w:left="144"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Facility details</w:t>
      </w:r>
    </w:p>
    <w:p>
      <w:pPr>
        <w:spacing w:before="349" w:after="0" w:line="187" w:lineRule="exact"/>
        <w:ind w:right="36"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Name: Affinity Place</w:t>
      </w:r>
    </w:p>
    <w:p>
      <w:pPr>
        <w:spacing w:before="135" w:after="0" w:line="187" w:lineRule="exact"/>
        <w:ind w:right="36"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110 – 122 Walker Street North Sydney 2060</w:t>
      </w:r>
    </w:p>
    <w:p>
      <w:pPr>
        <w:spacing w:before="154" w:after="0" w:line="187" w:lineRule="exact"/>
        <w:ind w:right="36"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Type: Other productive facility</w:t>
      </w:r>
    </w:p>
    <w:p>
      <w:pPr>
        <w:spacing w:before="405" w:after="0" w:line="397" w:lineRule="exact"/>
        <w:ind w:right="36" w:left="144"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Key goods and services</w:t>
      </w:r>
    </w:p>
    <w:p>
      <w:pPr>
        <w:spacing w:before="350" w:after="149" w:line="187" w:lineRule="exact"/>
        <w:ind w:right="36"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bl>
      <w:tblPr>
        <w:jc w:val="left"/>
        <w:tblLayout w:type="fixed"/>
        <w:tblCellMar>
          <w:left w:w="0" w:type="dxa"/>
          <w:right w:w="0" w:type="dxa"/>
        </w:tblCellMar>
      </w:tblPr>
      <w:tblGrid>
        <w:gridCol w:w="1685"/>
        <w:gridCol w:w="2013"/>
        <w:gridCol w:w="1671"/>
        <w:gridCol w:w="4711"/>
      </w:tblGrid>
      <w:tr>
        <w:trPr>
          <w:trHeight w:val="695" w:hRule="exact"/>
        </w:trPr>
        <w:tc>
          <w:tcPr>
            <w:tcW w:w="1685" w:type="dxa"/>
            <w:tcBorders>
              <w:top w:val="none"/>
              <w:left w:val="none"/>
              <w:bottom w:val="none"/>
              <w:right w:val="none"/>
            </w:tcBorders>
            <w:textDirection w:val="lrTb"/>
            <w:vAlign w:val="top"/>
          </w:tcPr>
          <w:p>
            <w:pPr>
              <w:spacing w:before="101" w:after="138" w:line="221" w:lineRule="exact"/>
              <w:ind w:right="0" w:left="144"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w:t>
            </w:r>
          </w:p>
        </w:tc>
        <w:tc>
          <w:tcPr>
            <w:tcW w:w="2013" w:type="dxa"/>
            <w:tcBorders>
              <w:top w:val="none"/>
              <w:left w:val="none"/>
              <w:bottom w:val="none"/>
              <w:right w:val="none"/>
            </w:tcBorders>
            <w:textDirection w:val="lrTb"/>
            <w:vAlign w:val="top"/>
          </w:tcPr>
          <w:p>
            <w:pPr>
              <w:spacing w:before="97" w:after="142" w:line="221" w:lineRule="exact"/>
              <w:ind w:right="0" w:left="180" w:firstLine="0"/>
              <w:jc w:val="center"/>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</w:t>
              <w:br/>
            </w:r>
            <w:r>
              <w:rPr>
                <w:rFonts w:ascii="Arial" w:hAnsi="Arial" w:eastAsia="Arial"/>
                <w:b w:val="true"/>
                <w:color w:val="000000"/>
                <w:spacing w:val="0"/>
                <w:w w:val="100"/>
                <w:sz w:val="17"/>
                <w:vertAlign w:val="baseline"/>
                <w:lang w:val="en-US"/>
              </w:rPr>
              <w:t xml:space="preserve">Australian entities</w:t>
            </w:r>
            <w:r>
              <w:rPr>
                <w:rFonts w:ascii="Arial" w:hAnsi="Arial" w:eastAsia="Arial"/>
                <w:b w:val="true"/>
                <w:color w:val="000000"/>
                <w:spacing w:val="0"/>
                <w:w w:val="100"/>
                <w:sz w:val="17"/>
                <w:vertAlign w:val="superscript"/>
                <w:lang w:val="en-US"/>
              </w:rPr>
              <w:t xml:space="preserve">*</w:t>
            </w:r>
            <w:r>
              <w:rPr>
                <w:rFonts w:ascii="Arial" w:hAnsi="Arial" w:eastAsia="Arial"/>
                <w:b w:val="true"/>
                <w:color w:val="000000"/>
                <w:spacing w:val="0"/>
                <w:w w:val="100"/>
                <w:sz w:val="12"/>
                <w:vertAlign w:val="baseline"/>
                <w:lang w:val="en-US"/>
              </w:rPr>
              <w:t xml:space="preserve">
</w:t>
            </w:r>
          </w:p>
        </w:tc>
        <w:tc>
          <w:tcPr>
            <w:tcW w:w="1671" w:type="dxa"/>
            <w:tcBorders>
              <w:top w:val="none"/>
              <w:left w:val="none"/>
              <w:bottom w:val="none"/>
              <w:right w:val="none"/>
            </w:tcBorders>
            <w:textDirection w:val="lrTb"/>
            <w:vAlign w:val="top"/>
          </w:tcPr>
          <w:p>
            <w:pPr>
              <w:spacing w:before="0" w:after="18" w:line="221" w:lineRule="exact"/>
              <w:ind w:right="0" w:left="0" w:firstLine="0"/>
              <w:jc w:val="center"/>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</w:t>
              <w:br/>
            </w:r>
            <w:r>
              <w:rPr>
                <w:rFonts w:ascii="Arial" w:hAnsi="Arial" w:eastAsia="Arial"/>
                <w:b w:val="true"/>
                <w:color w:val="000000"/>
                <w:spacing w:val="0"/>
                <w:w w:val="100"/>
                <w:sz w:val="17"/>
                <w:vertAlign w:val="baseline"/>
                <w:lang w:val="en-US"/>
              </w:rPr>
              <w:t xml:space="preserve">non-Australian</w:t>
              <w:br/>
            </w:r>
            <w:r>
              <w:rPr>
                <w:rFonts w:ascii="Arial" w:hAnsi="Arial" w:eastAsia="Arial"/>
                <w:b w:val="true"/>
                <w:color w:val="000000"/>
                <w:spacing w:val="0"/>
                <w:w w:val="100"/>
                <w:sz w:val="17"/>
                <w:vertAlign w:val="baseline"/>
                <w:lang w:val="en-US"/>
              </w:rPr>
              <w:t xml:space="preserve">entities</w:t>
            </w:r>
          </w:p>
        </w:tc>
        <w:tc>
          <w:tcPr>
            <w:tcW w:w="4711" w:type="dxa"/>
            <w:tcBorders>
              <w:top w:val="none"/>
              <w:left w:val="none"/>
              <w:bottom w:val="none"/>
              <w:right w:val="none"/>
            </w:tcBorders>
            <w:textDirection w:val="lrTb"/>
            <w:vAlign w:val="top"/>
          </w:tcPr>
          <w:p>
            <w:pPr>
              <w:spacing w:before="101" w:after="138" w:line="221" w:lineRule="exact"/>
              <w:ind w:right="1080" w:left="144" w:firstLine="0"/>
              <w:jc w:val="left"/>
              <w:textAlignment w:val="baseline"/>
              <w:rPr>
                <w:rFonts w:ascii="Arial" w:hAnsi="Arial" w:eastAsia="Arial"/>
                <w:b w:val="true"/>
                <w:color w:val="000000"/>
                <w:spacing w:val="-7"/>
                <w:w w:val="100"/>
                <w:sz w:val="17"/>
                <w:vertAlign w:val="baseline"/>
                <w:lang w:val="en-US"/>
              </w:rPr>
            </w:pPr>
            <w:r>
              <w:rPr>
                <w:rFonts w:ascii="Arial" w:hAnsi="Arial" w:eastAsia="Arial"/>
                <w:b w:val="true"/>
                <w:color w:val="000000"/>
                <w:spacing w:val="-7"/>
                <w:w w:val="100"/>
                <w:sz w:val="17"/>
                <w:vertAlign w:val="baseline"/>
                <w:lang w:val="en-US"/>
              </w:rPr>
              <w:t xml:space="preserve">Explanation for no opportunities for Australian entities</w:t>
            </w:r>
          </w:p>
        </w:tc>
      </w:tr>
    </w:tbl>
    <w:p>
      <w:pPr>
        <w:tabs>
          <w:tab w:val="left" w:leader="none" w:pos="2664"/>
          <w:tab w:val="left" w:leader="none" w:pos="4464"/>
        </w:tabs>
        <w:spacing w:before="1" w:after="0" w:line="187" w:lineRule="exact"/>
        <w:ind w:right="36" w:left="144"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Building Maintenance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2664"/>
          <w:tab w:val="left" w:leader="none" w:pos="4464"/>
        </w:tabs>
        <w:spacing w:before="29" w:after="0" w:line="187" w:lineRule="exact"/>
        <w:ind w:right="36"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Cleaning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2664"/>
          <w:tab w:val="left" w:leader="none" w:pos="4464"/>
        </w:tabs>
        <w:spacing w:before="33" w:after="0" w:line="187" w:lineRule="exact"/>
        <w:ind w:right="36" w:left="144"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Retail Services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2664"/>
          <w:tab w:val="left" w:leader="none" w:pos="4464"/>
        </w:tabs>
        <w:spacing w:before="34" w:after="0" w:line="187" w:lineRule="exact"/>
        <w:ind w:right="36" w:left="144"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Operations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spacing w:before="203" w:after="0" w:line="338" w:lineRule="exact"/>
        <w:ind w:right="36" w:left="144" w:firstLine="0"/>
        <w:jc w:val="left"/>
        <w:textAlignment w:val="baseline"/>
        <w:rPr>
          <w:rFonts w:ascii="Arial" w:hAnsi="Arial" w:eastAsia="Arial"/>
          <w:color w:val="000000"/>
          <w:spacing w:val="0"/>
          <w:w w:val="100"/>
          <w:sz w:val="12"/>
          <w:vertAlign w:val="superscript"/>
          <w:lang w:val="en-US"/>
        </w:rPr>
      </w:pPr>
      <w:r>
        <w:rPr>
          <w:rFonts w:ascii="Arial" w:hAnsi="Arial" w:eastAsia="Arial"/>
          <w:color w:val="000000"/>
          <w:spacing w:val="0"/>
          <w:w w:val="100"/>
          <w:sz w:val="12"/>
          <w:vertAlign w:val="superscript"/>
          <w:lang w:val="en-US"/>
        </w:rPr>
        <w:t xml:space="preserve">*</w:t>
      </w: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Facility standards:</w:t>
      </w:r>
    </w:p>
    <w:p>
      <w:pPr>
        <w:spacing w:before="100" w:after="5640" w:line="221" w:lineRule="exact"/>
        <w:ind w:right="36" w:left="79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p>
      <w:pPr>
        <w:spacing w:before="4" w:after="0" w:line="249" w:lineRule="exact"/>
        <w:ind w:right="36" w:left="0" w:firstLine="0"/>
        <w:jc w:val="right"/>
        <w:textAlignment w:val="baseline"/>
        <w:rPr>
          <w:rFonts w:ascii="Times New Roman" w:hAnsi="Times New Roman" w:eastAsia="Times New Roman"/>
          <w:color w:val="000000"/>
          <w:spacing w:val="8"/>
          <w:w w:val="100"/>
          <w:sz w:val="22"/>
          <w:vertAlign w:val="baseline"/>
          <w:lang w:val="en-US"/>
        </w:rPr>
      </w:pPr>
      <w:r>
        <w:rPr>
          <w:rFonts w:ascii="Times New Roman" w:hAnsi="Times New Roman" w:eastAsia="Times New Roman"/>
          <w:color w:val="000000"/>
          <w:spacing w:val="8"/>
          <w:w w:val="100"/>
          <w:sz w:val="22"/>
          <w:vertAlign w:val="baseline"/>
          <w:lang w:val="en-US"/>
        </w:rPr>
        <w:t xml:space="preserve">Page 4 of 5</w:t>
      </w:r>
    </w:p>
    <w:p>
      <w:pPr>
        <w:sectPr>
          <w:type w:val="nextPage"/>
          <w:pgSz w:w="11904" w:h="16843" w:orient="portrait"/>
          <w:pgMar w:bottom="867" w:top="1040" w:right="946" w:left="878" w:header="720" w:footer="720"/>
          <w:titlePg w:val="false"/>
          <w:textDirection w:val="lrTb"/>
        </w:sectPr>
      </w:pPr>
    </w:p>
    <w:p>
      <w:pPr>
        <w:spacing w:before="3" w:after="813" w:line="188" w:lineRule="exact"/>
        <w:ind w:right="0" w:left="0" w:firstLine="0"/>
        <w:jc w:val="center"/>
        <w:textAlignment w:val="baseline"/>
        <w:rPr>
          <w:rFonts w:ascii="Times New Roman" w:hAnsi="Times New Roman" w:eastAsia="Times New Roman"/>
          <w:color w:val="000000"/>
          <w:spacing w:val="-2"/>
          <w:w w:val="100"/>
          <w:sz w:val="16"/>
          <w:vertAlign w:val="baseline"/>
          <w:lang w:val="en-US"/>
        </w:rPr>
      </w:pPr>
      <w:r>
        <w:rPr>
          <w:rFonts w:ascii="Times New Roman" w:hAnsi="Times New Roman" w:eastAsia="Times New Roman"/>
          <w:color w:val="000000"/>
          <w:spacing w:val="-2"/>
          <w:w w:val="100"/>
          <w:sz w:val="16"/>
          <w:vertAlign w:val="baseline"/>
          <w:lang w:val="en-US"/>
        </w:rPr>
        <w:t xml:space="preserve">***** DRAFT not approved by AIP Authority (printed on Wed Jun 08 2022 09:44:43 GMT+1 000 (AEST)) *****</w:t>
      </w:r>
    </w:p>
    <w:p>
      <w:pPr>
        <w:spacing w:before="3" w:after="813" w:line="188" w:lineRule="exact"/>
        <w:sectPr>
          <w:type w:val="nextPage"/>
          <w:pgSz w:w="11904" w:h="16843" w:orient="portrait"/>
          <w:pgMar w:bottom="867" w:top="1040" w:right="2392" w:left="2112" w:header="720" w:footer="720"/>
          <w:titlePg w:val="false"/>
          <w:textDirection w:val="lrTb"/>
        </w:sectPr>
      </w:pPr>
    </w:p>
    <w:p>
      <w:pPr>
        <w:spacing w:before="0" w:after="0" w:line="395"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49" w:after="0" w:line="187"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Facility operator’s contact person for supplier enquiries:</w:t>
      </w:r>
    </w:p>
    <w:p>
      <w:pPr>
        <w:spacing w:before="135" w:after="0" w:line="187"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Jamie Loader</w:t>
      </w:r>
    </w:p>
    <w:p>
      <w:pPr>
        <w:spacing w:before="34" w:after="0" w:line="187"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Senior Manager, National Operations</w:t>
      </w:r>
    </w:p>
    <w:p>
      <w:pPr>
        <w:spacing w:before="34" w:after="0" w:line="187" w:lineRule="exact"/>
        <w:ind w:right="0" w:left="720"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Phone number </w:t>
      </w:r>
      <w:r>
        <w:rPr>
          <w:rFonts w:ascii="Arial" w:hAnsi="Arial" w:eastAsia="Arial"/>
          <w:color w:val="000000"/>
          <w:spacing w:val="-1"/>
          <w:w w:val="100"/>
          <w:sz w:val="16"/>
          <w:vertAlign w:val="baseline"/>
          <w:lang w:val="en-US"/>
        </w:rPr>
        <w:t xml:space="preserve">0488298871</w:t>
      </w:r>
    </w:p>
    <w:p>
      <w:pPr>
        <w:spacing w:before="29" w:after="0" w:line="187"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2">
        <w:r>
          <w:rPr>
            <w:rFonts w:ascii="Arial" w:hAnsi="Arial" w:eastAsia="Arial"/>
            <w:color w:val="0000FF"/>
            <w:spacing w:val="0"/>
            <w:w w:val="100"/>
            <w:sz w:val="16"/>
            <w:u w:val="single"/>
            <w:vertAlign w:val="baseline"/>
            <w:lang w:val="en-US"/>
          </w:rPr>
          <w:t xml:space="preserve">Jamie.Loader@stockland.com.au</w:t>
        </w:r>
      </w:hyperlink>
      <w:r>
        <w:rPr>
          <w:rFonts w:ascii="Arial" w:hAnsi="Arial" w:eastAsia="Arial"/>
          <w:color w:val="000000"/>
          <w:spacing w:val="0"/>
          <w:w w:val="100"/>
          <w:sz w:val="16"/>
          <w:vertAlign w:val="baseline"/>
          <w:lang w:val="en-US"/>
        </w:rPr>
        <w:t xml:space="preserve">
</w:t>
      </w:r>
    </w:p>
    <w:p>
      <w:pPr>
        <w:spacing w:before="168" w:after="0" w:line="216" w:lineRule="exact"/>
        <w:ind w:right="36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operator website: A website will be created through the design development phase of the project. This will be regularly updated through all stages of the project up to completion and into the operation of the building.</w:t>
      </w:r>
    </w:p>
    <w:p>
      <w:pPr>
        <w:spacing w:before="119" w:after="0" w:line="221"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Facility opportunities website: A website will be created through the design development phase of the project. This will be regularly updated through all stages of the project up to completion and into the operation of the building. Please note that a separate link for specific operational related opportunities will be created within the project proponent website at a later date through the construction phase of the development.</w:t>
      </w:r>
    </w:p>
    <w:p>
      <w:pPr>
        <w:spacing w:before="135" w:after="0" w:line="187"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49"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3" w:after="0" w:line="187"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Engage with vendor identification agencies on project opportunities and bid processes</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468" w:after="0" w:line="397"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0"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29"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2"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192"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06" w:after="4622" w:line="216" w:lineRule="exact"/>
        <w:ind w:right="216"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Stockland will provide feedback to all unsuccessful suppliers and contractors and will endeavour to outline why the supplier or contractor was unsuccessful in their submission. We will aim to note any training recommendations that may assist them in the future.</w:t>
      </w:r>
    </w:p>
    <w:p>
      <w:pPr>
        <w:spacing w:before="106" w:after="4622" w:line="216" w:lineRule="exact"/>
        <w:sectPr>
          <w:type w:val="continuous"/>
          <w:pgSz w:w="11904" w:h="16843" w:orient="portrait"/>
          <w:pgMar w:bottom="867" w:top="1040" w:right="150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5 of 5</w:t>
      </w:r>
    </w:p>
    <w:sectPr>
      <w:type w:val="continuous"/>
      <w:pgSz w:w="11904" w:h="16843" w:orient="portrait"/>
      <w:pgMar w:bottom="867" w:top="1040" w:right="1026" w:left="975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martin.hills@stockland.com.au"/><Relationship Id="dhId2" Type="http://schemas.openxmlformats.org/officeDocument/2006/relationships/hyperlink" TargetMode="External" Target="mailto:Jamie.Loader@stockland.com.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cp:coreProperties>
</file>