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6CA07B53"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A55E82">
            <w:t xml:space="preserve">Robe River Mining Co. Pty. Limited (ACN 008 694 246) in its capacity as manager and agent for and on behalf of the participants </w:t>
          </w:r>
          <w:r w:rsidR="00AE2D96">
            <w:t xml:space="preserve">in the Robe River Joint Venture </w:t>
          </w:r>
          <w:r w:rsidR="00347CC5">
            <w:t>(</w:t>
          </w:r>
          <w:r w:rsidR="00347CC5">
            <w:rPr>
              <w:b/>
            </w:rPr>
            <w:t>Proponent</w:t>
          </w:r>
          <w:r w:rsidR="00347CC5">
            <w:t>)</w:t>
          </w:r>
        </w:sdtContent>
      </w:sdt>
    </w:p>
    <w:p w14:paraId="0BCA9705" w14:textId="174E692A"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DF21AB" w:rsidRPr="00C17361">
            <w:t>Robe Valley Sustaining Project</w:t>
          </w:r>
          <w:r w:rsidR="00DF5C54">
            <w:t xml:space="preserve"> (</w:t>
          </w:r>
          <w:r w:rsidR="00DF5C54">
            <w:rPr>
              <w:b/>
            </w:rPr>
            <w:t>Project)</w:t>
          </w:r>
        </w:sdtContent>
      </w:sdt>
    </w:p>
    <w:p w14:paraId="1973FD1D" w14:textId="77777777" w:rsidR="00A55E82" w:rsidRDefault="00E45719" w:rsidP="00E45719">
      <w:pPr>
        <w:rPr>
          <w:rStyle w:val="Strong"/>
        </w:rPr>
      </w:pPr>
      <w:r>
        <w:rPr>
          <w:rStyle w:val="Strong"/>
        </w:rPr>
        <w:t>Description of the project:</w:t>
      </w:r>
    </w:p>
    <w:p w14:paraId="6429EFA6" w14:textId="37DBA7D2" w:rsidR="00A55E82" w:rsidRDefault="00A55E82" w:rsidP="00E45719">
      <w:r>
        <w:t>The upgrade and expansion of the Mesa B/C/H iron ore deposits to sustain existing Robe Valley production.</w:t>
      </w:r>
    </w:p>
    <w:p w14:paraId="00C1E814" w14:textId="49F02E71" w:rsidR="00A55E82" w:rsidRDefault="00FE1D1B" w:rsidP="00E45719">
      <w:r>
        <w:t>The Project includes:</w:t>
      </w:r>
      <w:r w:rsidR="00A55E82">
        <w:t xml:space="preserve"> </w:t>
      </w:r>
    </w:p>
    <w:p w14:paraId="72778B03" w14:textId="04053C88" w:rsidR="00A55E82" w:rsidRDefault="00A55E82" w:rsidP="00A55E82">
      <w:pPr>
        <w:pStyle w:val="ListParagraph"/>
        <w:numPr>
          <w:ilvl w:val="0"/>
          <w:numId w:val="2"/>
        </w:numPr>
      </w:pPr>
      <w:r>
        <w:t xml:space="preserve">Haul roads connecting existing facilities (including a bridge over existing rail line); </w:t>
      </w:r>
    </w:p>
    <w:p w14:paraId="6D3332A2" w14:textId="40CC2B55" w:rsidR="00A55E82" w:rsidRDefault="00A55E82" w:rsidP="00A55E82">
      <w:pPr>
        <w:pStyle w:val="ListParagraph"/>
        <w:numPr>
          <w:ilvl w:val="0"/>
          <w:numId w:val="2"/>
        </w:numPr>
      </w:pPr>
      <w:r>
        <w:t>Additional production support infrastructure and modifications to existing processing infrastructure;</w:t>
      </w:r>
    </w:p>
    <w:p w14:paraId="25EB86C3" w14:textId="77777777" w:rsidR="00A55E82" w:rsidRDefault="00A55E82" w:rsidP="00A55E82">
      <w:pPr>
        <w:pStyle w:val="ListParagraph"/>
        <w:numPr>
          <w:ilvl w:val="0"/>
          <w:numId w:val="2"/>
        </w:numPr>
      </w:pPr>
      <w:r>
        <w:t xml:space="preserve">wet processing facility;  </w:t>
      </w:r>
    </w:p>
    <w:p w14:paraId="578E808F" w14:textId="77777777" w:rsidR="00A55E82" w:rsidRDefault="00A55E82" w:rsidP="00A55E82">
      <w:pPr>
        <w:pStyle w:val="ListParagraph"/>
        <w:numPr>
          <w:ilvl w:val="0"/>
          <w:numId w:val="2"/>
        </w:numPr>
      </w:pPr>
      <w:r>
        <w:t xml:space="preserve">waste fines storage facility; </w:t>
      </w:r>
    </w:p>
    <w:p w14:paraId="72AF301C" w14:textId="77777777" w:rsidR="00A55E82" w:rsidRDefault="00A55E82" w:rsidP="00A55E82">
      <w:pPr>
        <w:pStyle w:val="ListParagraph"/>
        <w:numPr>
          <w:ilvl w:val="0"/>
          <w:numId w:val="2"/>
        </w:numPr>
      </w:pPr>
      <w:r>
        <w:t xml:space="preserve">water supply infrastructure; </w:t>
      </w:r>
    </w:p>
    <w:p w14:paraId="30640761" w14:textId="77777777" w:rsidR="00A55E82" w:rsidRDefault="00A55E82" w:rsidP="00A55E82">
      <w:pPr>
        <w:pStyle w:val="ListParagraph"/>
        <w:numPr>
          <w:ilvl w:val="0"/>
          <w:numId w:val="2"/>
        </w:numPr>
      </w:pPr>
      <w:r>
        <w:t xml:space="preserve">extending existing communications infrastructure; </w:t>
      </w:r>
    </w:p>
    <w:p w14:paraId="164C5CB9" w14:textId="77777777" w:rsidR="00A55E82" w:rsidRDefault="00A55E82" w:rsidP="00A55E82">
      <w:pPr>
        <w:pStyle w:val="ListParagraph"/>
        <w:numPr>
          <w:ilvl w:val="0"/>
          <w:numId w:val="2"/>
        </w:numPr>
      </w:pPr>
      <w:r>
        <w:t xml:space="preserve">power supply upgrades (including 15km of overhead power line); </w:t>
      </w:r>
    </w:p>
    <w:p w14:paraId="01A14203" w14:textId="77777777" w:rsidR="00A55E82" w:rsidRDefault="00A55E82" w:rsidP="00A55E82">
      <w:pPr>
        <w:pStyle w:val="ListParagraph"/>
        <w:numPr>
          <w:ilvl w:val="0"/>
          <w:numId w:val="2"/>
        </w:numPr>
      </w:pPr>
      <w:r>
        <w:t xml:space="preserve">non-process infrastructure (heavy vehicle workshop, tyre change, wash-down and refuelling facilities); </w:t>
      </w:r>
    </w:p>
    <w:p w14:paraId="7814B321" w14:textId="77777777" w:rsidR="00A55E82" w:rsidRDefault="00A55E82" w:rsidP="00A55E82">
      <w:pPr>
        <w:pStyle w:val="ListParagraph"/>
        <w:numPr>
          <w:ilvl w:val="0"/>
          <w:numId w:val="2"/>
        </w:numPr>
      </w:pPr>
      <w:r>
        <w:t xml:space="preserve">temporary construction accommodation; and </w:t>
      </w:r>
    </w:p>
    <w:p w14:paraId="73A72BAD" w14:textId="4D28DFE7" w:rsidR="00A55E82" w:rsidRDefault="00A55E82" w:rsidP="00A55E82">
      <w:pPr>
        <w:pStyle w:val="ListParagraph"/>
        <w:numPr>
          <w:ilvl w:val="0"/>
          <w:numId w:val="2"/>
        </w:numPr>
      </w:pPr>
      <w:r>
        <w:t>upgrading existing facilities in Pannawonica town (to support ongoing mining operations).</w:t>
      </w:r>
    </w:p>
    <w:p w14:paraId="761048E5" w14:textId="34227A29" w:rsidR="00E45719" w:rsidRPr="00D52FDB" w:rsidRDefault="000B0DCC" w:rsidP="00E45719">
      <w:pPr>
        <w:rPr>
          <w:rStyle w:val="Strong"/>
          <w:b w:val="0"/>
        </w:rPr>
      </w:pPr>
      <w:sdt>
        <w:sdtPr>
          <w:rPr>
            <w:b/>
          </w:rPr>
          <w:id w:val="1192803413"/>
          <w:placeholder>
            <w:docPart w:val="3055BFACA091498B84EE0388A8E4B75A"/>
          </w:placeholder>
        </w:sdtPr>
        <w:sdtEndPr/>
        <w:sdtContent>
          <w:r w:rsidR="002549C0">
            <w:br/>
          </w:r>
          <w:r w:rsidR="00C17361">
            <w:t>Project approval</w:t>
          </w:r>
          <w:r w:rsidR="00517D2C">
            <w:t xml:space="preserve">: </w:t>
          </w:r>
          <w:r w:rsidR="00DF5C54">
            <w:t>2018</w:t>
          </w:r>
          <w:r w:rsidR="00C17361">
            <w:t xml:space="preserve"> </w:t>
          </w:r>
          <w:r w:rsidR="002549C0">
            <w:br/>
          </w:r>
          <w:r w:rsidR="00C17361">
            <w:t>Site construction</w:t>
          </w:r>
          <w:r w:rsidR="00DF5C54">
            <w:t>:</w:t>
          </w:r>
          <w:r w:rsidR="00517D2C">
            <w:t xml:space="preserve"> </w:t>
          </w:r>
          <w:r w:rsidR="00C17361">
            <w:t xml:space="preserve">2019 </w:t>
          </w:r>
          <w:bookmarkStart w:id="0" w:name="_GoBack"/>
          <w:bookmarkEnd w:id="0"/>
          <w:r w:rsidR="002549C0">
            <w:br/>
          </w:r>
          <w:r w:rsidR="00C17361">
            <w:t>Completion date</w:t>
          </w:r>
          <w:r w:rsidR="00DF5C54">
            <w:t>:</w:t>
          </w:r>
          <w:r w:rsidR="00C17361">
            <w:t xml:space="preserve"> </w:t>
          </w:r>
          <w:r w:rsidR="00517D2C">
            <w:t>2</w:t>
          </w:r>
          <w:r w:rsidR="00DF5C54">
            <w:t>021</w:t>
          </w:r>
          <w:r w:rsidR="006D6BE5">
            <w:t xml:space="preserve">    </w:t>
          </w:r>
          <w:r w:rsidR="006D6BE5">
            <w:br/>
          </w:r>
          <w:r w:rsidR="006D6BE5">
            <w:br/>
          </w:r>
          <w:r w:rsidR="006D6BE5" w:rsidRPr="00D52FDB">
            <w:rPr>
              <w:rStyle w:val="Strong"/>
              <w:b w:val="0"/>
            </w:rPr>
            <w:t xml:space="preserve">The Proponent has engaged Calibre Professional Services One Pty Ltd as the Project’s Engineering, Procurement and Construction Management (EPCM) contractor. </w:t>
          </w:r>
        </w:sdtContent>
      </w:sdt>
    </w:p>
    <w:p w14:paraId="69C96E3A" w14:textId="2D9DF9CB"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517D2C">
            <w:t>Greater than $500,000,000 (AUD)</w:t>
          </w:r>
        </w:sdtContent>
      </w:sdt>
    </w:p>
    <w:p w14:paraId="6F969CC8" w14:textId="516E98BF"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DF5C54">
            <w:t xml:space="preserve">Approx. </w:t>
          </w:r>
          <w:r w:rsidR="00DF21AB" w:rsidRPr="00C17361">
            <w:t>120km south-west of Karratha in the Pilbara region of Western Australia.</w:t>
          </w:r>
          <w:r w:rsidR="00DF21AB">
            <w:rPr>
              <w:rStyle w:val="PlaceholderText"/>
            </w:rPr>
            <w:t xml:space="preserve"> </w:t>
          </w:r>
        </w:sdtContent>
      </w:sdt>
    </w:p>
    <w:p w14:paraId="00098C36" w14:textId="651A4DF8"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2" w:history="1">
            <w:r w:rsidR="005B1035" w:rsidRPr="008A7238">
              <w:rPr>
                <w:rStyle w:val="Hyperlink"/>
              </w:rPr>
              <w:t>www.riotinto.icn.org.au</w:t>
            </w:r>
          </w:hyperlink>
          <w:r w:rsidR="00A47184" w:rsidRPr="00A47184">
            <w:rPr>
              <w:rStyle w:val="PlaceholderText"/>
              <w:color w:val="auto"/>
            </w:rPr>
            <w:t xml:space="preserve"> </w:t>
          </w:r>
        </w:sdtContent>
      </w:sdt>
    </w:p>
    <w:p w14:paraId="0954A84C" w14:textId="7E11A8F5"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93415B">
            <w:br/>
          </w:r>
          <w:r w:rsidR="00DF21AB">
            <w:t>Paul Langworthy</w:t>
          </w:r>
          <w:r w:rsidR="0093415B">
            <w:br/>
            <w:t>Manager Contracts</w:t>
          </w:r>
          <w:r w:rsidR="00DF21AB">
            <w:t>,</w:t>
          </w:r>
          <w:r w:rsidR="0093415B">
            <w:t xml:space="preserve"> Rio Tinto Projects</w:t>
          </w:r>
          <w:r w:rsidR="0093415B">
            <w:br/>
          </w:r>
          <w:r w:rsidR="002549C0">
            <w:t xml:space="preserve">Tel </w:t>
          </w:r>
          <w:r w:rsidR="0093415B">
            <w:t xml:space="preserve">+61 </w:t>
          </w:r>
          <w:r w:rsidR="00F61C4A">
            <w:t>8 9205 2398</w:t>
          </w:r>
          <w:r w:rsidR="0093415B">
            <w:br/>
          </w:r>
          <w:r w:rsidR="002549C0">
            <w:t xml:space="preserve">Email </w:t>
          </w:r>
          <w:hyperlink r:id="rId13" w:history="1">
            <w:r w:rsidR="00BC3477" w:rsidRPr="008A7238">
              <w:rPr>
                <w:rStyle w:val="Hyperlink"/>
              </w:rPr>
              <w:t>paul.langworthy@riotinto.com</w:t>
            </w:r>
          </w:hyperlink>
          <w:r w:rsidR="00BC3477">
            <w:t xml:space="preserve"> </w:t>
          </w:r>
        </w:sdtContent>
      </w:sdt>
    </w:p>
    <w:p w14:paraId="0FC91353" w14:textId="7644AFC4" w:rsidR="00700EBB" w:rsidRPr="00700EBB" w:rsidRDefault="00A55E82" w:rsidP="00700EBB">
      <w:r>
        <w:rPr>
          <w:rStyle w:val="Strong"/>
        </w:rPr>
        <w:t>O</w:t>
      </w:r>
      <w:r w:rsidR="00700EBB" w:rsidRPr="00700EBB">
        <w:rPr>
          <w:rStyle w:val="Strong"/>
        </w:rPr>
        <w:t>ther project proponents involved in the project:</w:t>
      </w:r>
      <w:r w:rsidR="00700EBB" w:rsidRPr="00E45719">
        <w:t xml:space="preserve"> </w:t>
      </w:r>
      <w:sdt>
        <w:sdtPr>
          <w:id w:val="-1286039720"/>
          <w:placeholder>
            <w:docPart w:val="E212CCF96A6D4D6BAAC64F394060C9A4"/>
          </w:placeholder>
        </w:sdtPr>
        <w:sdtEndPr/>
        <w:sdtContent>
          <w:r w:rsidR="00C17361">
            <w:t xml:space="preserve">Not applicable. </w:t>
          </w:r>
        </w:sdtContent>
      </w:sdt>
    </w:p>
    <w:p w14:paraId="2DBEB784" w14:textId="77777777" w:rsidR="00A47184" w:rsidRDefault="00A47184">
      <w:pPr>
        <w:spacing w:before="0" w:after="0"/>
        <w:rPr>
          <w:rFonts w:ascii="Calibri" w:hAnsi="Calibri"/>
          <w:b/>
          <w:u w:val="single"/>
        </w:rPr>
      </w:pPr>
      <w:r>
        <w:br w:type="page"/>
      </w:r>
    </w:p>
    <w:p w14:paraId="2FF722A0" w14:textId="3AECE94B" w:rsidR="00E45719" w:rsidRDefault="00E45719" w:rsidP="00E45719">
      <w:pPr>
        <w:pStyle w:val="Heading2"/>
      </w:pPr>
      <w:r w:rsidRPr="00E45719">
        <w:lastRenderedPageBreak/>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3"/>
        <w:gridCol w:w="1981"/>
        <w:gridCol w:w="1982"/>
      </w:tblGrid>
      <w:tr w:rsidR="008862FC" w14:paraId="5A0E9496" w14:textId="77777777" w:rsidTr="008862FC">
        <w:trPr>
          <w:tblHeader/>
        </w:trPr>
        <w:tc>
          <w:tcPr>
            <w:tcW w:w="5070" w:type="dxa"/>
          </w:tcPr>
          <w:p w14:paraId="36F822BF" w14:textId="77777777" w:rsidR="008862FC" w:rsidRPr="00AF4C3E" w:rsidRDefault="00DC7C1C" w:rsidP="00AF4C3E">
            <w:pPr>
              <w:rPr>
                <w:rStyle w:val="Strong"/>
              </w:rPr>
            </w:pPr>
            <w:r>
              <w:rPr>
                <w:rStyle w:val="Strong"/>
              </w:rPr>
              <w:t>Expected opportunities</w:t>
            </w:r>
          </w:p>
        </w:tc>
        <w:tc>
          <w:tcPr>
            <w:tcW w:w="1984"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5" w:type="dxa"/>
          </w:tcPr>
          <w:p w14:paraId="5537D5B6" w14:textId="77777777" w:rsidR="008862FC" w:rsidRDefault="008862FC" w:rsidP="00D8571B">
            <w:r>
              <w:rPr>
                <w:rStyle w:val="Strong"/>
              </w:rPr>
              <w:t>Opportunities for non-Australian entities</w:t>
            </w:r>
          </w:p>
        </w:tc>
      </w:tr>
      <w:tr w:rsidR="003F7120" w:rsidRPr="00144BE0" w14:paraId="30E47D1D" w14:textId="77777777" w:rsidTr="004E7FC2">
        <w:tc>
          <w:tcPr>
            <w:tcW w:w="5070" w:type="dxa"/>
            <w:vAlign w:val="center"/>
          </w:tcPr>
          <w:p w14:paraId="00F87F16" w14:textId="0A210865" w:rsidR="003F7120" w:rsidRDefault="003F7120" w:rsidP="008E267B">
            <w:r w:rsidRPr="007C2348">
              <w:rPr>
                <w:rStyle w:val="Strong"/>
              </w:rPr>
              <w:t>Services</w:t>
            </w:r>
          </w:p>
        </w:tc>
        <w:tc>
          <w:tcPr>
            <w:tcW w:w="1984" w:type="dxa"/>
          </w:tcPr>
          <w:p w14:paraId="58301461" w14:textId="77777777" w:rsidR="003F7120" w:rsidRDefault="003F7120" w:rsidP="00D8571B"/>
        </w:tc>
        <w:tc>
          <w:tcPr>
            <w:tcW w:w="1985" w:type="dxa"/>
          </w:tcPr>
          <w:p w14:paraId="478ABF94" w14:textId="77777777" w:rsidR="003F7120" w:rsidRDefault="003F7120" w:rsidP="00D8571B"/>
        </w:tc>
      </w:tr>
      <w:tr w:rsidR="003F7120" w:rsidRPr="00144BE0" w14:paraId="12491DE9" w14:textId="77777777" w:rsidTr="004E7FC2">
        <w:tc>
          <w:tcPr>
            <w:tcW w:w="5070" w:type="dxa"/>
          </w:tcPr>
          <w:p w14:paraId="553A03FD" w14:textId="1A0D2840" w:rsidR="003F7120" w:rsidRPr="007C2348" w:rsidRDefault="003F7120" w:rsidP="008E267B">
            <w:r w:rsidRPr="00FE3AE1">
              <w:t xml:space="preserve">Bulk </w:t>
            </w:r>
            <w:r>
              <w:t xml:space="preserve">and Civil </w:t>
            </w:r>
            <w:r w:rsidRPr="00FE3AE1">
              <w:t xml:space="preserve">Earthworks </w:t>
            </w:r>
          </w:p>
        </w:tc>
        <w:tc>
          <w:tcPr>
            <w:tcW w:w="1984" w:type="dxa"/>
          </w:tcPr>
          <w:p w14:paraId="2DB7DD4C" w14:textId="05CDD700" w:rsidR="003F7120" w:rsidRPr="00D615D8" w:rsidRDefault="003F7120" w:rsidP="00D8571B">
            <w:r w:rsidRPr="00D52FDB">
              <w:rPr>
                <w:rStyle w:val="PlaceholderText"/>
                <w:color w:val="auto"/>
              </w:rPr>
              <w:t>YES</w:t>
            </w:r>
          </w:p>
        </w:tc>
        <w:tc>
          <w:tcPr>
            <w:tcW w:w="1985" w:type="dxa"/>
          </w:tcPr>
          <w:p w14:paraId="01B18507" w14:textId="44BDD3DF" w:rsidR="003F7120" w:rsidRPr="00D615D8" w:rsidRDefault="003F7120" w:rsidP="00D8571B">
            <w:r w:rsidRPr="00D615D8">
              <w:t>NO</w:t>
            </w:r>
          </w:p>
        </w:tc>
      </w:tr>
      <w:tr w:rsidR="003F7120" w:rsidRPr="00144BE0" w14:paraId="73A265E0" w14:textId="77777777" w:rsidTr="004E7FC2">
        <w:tc>
          <w:tcPr>
            <w:tcW w:w="5070" w:type="dxa"/>
          </w:tcPr>
          <w:p w14:paraId="76D988DD" w14:textId="382B3098" w:rsidR="003F7120" w:rsidRPr="00FE3AE1" w:rsidRDefault="003F7120" w:rsidP="008E267B">
            <w:r w:rsidRPr="00FE3AE1">
              <w:t xml:space="preserve">Process Plant Structural, Mechanical and Piping  </w:t>
            </w:r>
          </w:p>
        </w:tc>
        <w:tc>
          <w:tcPr>
            <w:tcW w:w="1984" w:type="dxa"/>
          </w:tcPr>
          <w:p w14:paraId="12648537" w14:textId="6BF4188C" w:rsidR="003F7120" w:rsidRPr="00D615D8" w:rsidRDefault="003F7120" w:rsidP="00D8571B">
            <w:r w:rsidRPr="00D52FDB">
              <w:rPr>
                <w:rStyle w:val="PlaceholderText"/>
                <w:color w:val="auto"/>
              </w:rPr>
              <w:t>YES</w:t>
            </w:r>
          </w:p>
        </w:tc>
        <w:tc>
          <w:tcPr>
            <w:tcW w:w="1985" w:type="dxa"/>
          </w:tcPr>
          <w:p w14:paraId="35575D48" w14:textId="0E5EB131" w:rsidR="003F7120" w:rsidRPr="00D615D8" w:rsidRDefault="003F7120" w:rsidP="00D8571B">
            <w:r w:rsidRPr="00D52FDB">
              <w:rPr>
                <w:rStyle w:val="PlaceholderText"/>
                <w:color w:val="auto"/>
              </w:rPr>
              <w:t>NO</w:t>
            </w:r>
          </w:p>
        </w:tc>
      </w:tr>
      <w:tr w:rsidR="003F7120" w:rsidRPr="00144BE0" w14:paraId="046EEAA5" w14:textId="77777777" w:rsidTr="004E7FC2">
        <w:tc>
          <w:tcPr>
            <w:tcW w:w="5070" w:type="dxa"/>
          </w:tcPr>
          <w:p w14:paraId="39FAE689" w14:textId="2E2C708B" w:rsidR="003F7120" w:rsidRPr="00FE3AE1" w:rsidRDefault="003F7120" w:rsidP="008E267B">
            <w:r w:rsidRPr="00FE3AE1">
              <w:t>Design and construction of Non-Process Infrastructure Facilities – including</w:t>
            </w:r>
            <w:r>
              <w:t xml:space="preserve"> buildings and</w:t>
            </w:r>
            <w:r w:rsidRPr="00FE3AE1">
              <w:t xml:space="preserve"> </w:t>
            </w:r>
            <w:r>
              <w:t>h</w:t>
            </w:r>
            <w:r w:rsidRPr="00FE3AE1">
              <w:t xml:space="preserve">eavy </w:t>
            </w:r>
            <w:r>
              <w:t>v</w:t>
            </w:r>
            <w:r w:rsidRPr="00FE3AE1">
              <w:t>ehicle refuelling facilities</w:t>
            </w:r>
          </w:p>
        </w:tc>
        <w:tc>
          <w:tcPr>
            <w:tcW w:w="1984" w:type="dxa"/>
          </w:tcPr>
          <w:p w14:paraId="696AF227" w14:textId="79E64B9A" w:rsidR="003F7120" w:rsidRPr="00D615D8" w:rsidRDefault="003F7120" w:rsidP="00D8571B">
            <w:r w:rsidRPr="00D52FDB">
              <w:rPr>
                <w:rStyle w:val="PlaceholderText"/>
                <w:color w:val="auto"/>
              </w:rPr>
              <w:t>YES</w:t>
            </w:r>
          </w:p>
        </w:tc>
        <w:tc>
          <w:tcPr>
            <w:tcW w:w="1985" w:type="dxa"/>
          </w:tcPr>
          <w:p w14:paraId="46D8C0F2" w14:textId="12EF3B40" w:rsidR="003F7120" w:rsidRPr="00D615D8" w:rsidRDefault="003F7120" w:rsidP="00D8571B">
            <w:r w:rsidRPr="00D52FDB">
              <w:rPr>
                <w:rStyle w:val="PlaceholderText"/>
                <w:color w:val="auto"/>
              </w:rPr>
              <w:t>NO</w:t>
            </w:r>
          </w:p>
        </w:tc>
      </w:tr>
      <w:tr w:rsidR="003F7120" w:rsidRPr="00144BE0" w14:paraId="62B23F0D" w14:textId="77777777" w:rsidTr="004E7FC2">
        <w:tc>
          <w:tcPr>
            <w:tcW w:w="5070" w:type="dxa"/>
          </w:tcPr>
          <w:p w14:paraId="257F1C03" w14:textId="6B29C5D0" w:rsidR="003F7120" w:rsidRPr="00FE3AE1" w:rsidRDefault="003F7120" w:rsidP="008E267B">
            <w:r w:rsidRPr="00FE3AE1">
              <w:t>Water Supply Infrastructure</w:t>
            </w:r>
          </w:p>
        </w:tc>
        <w:tc>
          <w:tcPr>
            <w:tcW w:w="1984" w:type="dxa"/>
          </w:tcPr>
          <w:p w14:paraId="18627808" w14:textId="3C96B293" w:rsidR="003F7120" w:rsidRPr="00D615D8" w:rsidRDefault="003F7120" w:rsidP="00D8571B">
            <w:r w:rsidRPr="00D52FDB">
              <w:rPr>
                <w:rStyle w:val="PlaceholderText"/>
                <w:color w:val="auto"/>
              </w:rPr>
              <w:t>YES</w:t>
            </w:r>
          </w:p>
        </w:tc>
        <w:tc>
          <w:tcPr>
            <w:tcW w:w="1985" w:type="dxa"/>
          </w:tcPr>
          <w:p w14:paraId="14A395B0" w14:textId="7C4D8E89" w:rsidR="003F7120" w:rsidRPr="00D615D8" w:rsidRDefault="003F7120" w:rsidP="00D8571B">
            <w:r w:rsidRPr="00D52FDB">
              <w:rPr>
                <w:rStyle w:val="PlaceholderText"/>
                <w:color w:val="auto"/>
              </w:rPr>
              <w:t>NO</w:t>
            </w:r>
          </w:p>
        </w:tc>
      </w:tr>
      <w:tr w:rsidR="003F7120" w:rsidRPr="00144BE0" w14:paraId="6DF6741B" w14:textId="77777777" w:rsidTr="004E7FC2">
        <w:tc>
          <w:tcPr>
            <w:tcW w:w="5070" w:type="dxa"/>
          </w:tcPr>
          <w:p w14:paraId="490DF28D" w14:textId="22D12586" w:rsidR="003F7120" w:rsidRPr="00FE3AE1" w:rsidRDefault="003F7120" w:rsidP="008E267B">
            <w:r w:rsidRPr="00FE3AE1">
              <w:rPr>
                <w:rFonts w:eastAsia="Calibri" w:cs="Calibri"/>
                <w:szCs w:val="22"/>
              </w:rPr>
              <w:t>Extension of the existing communications infrastructure</w:t>
            </w:r>
          </w:p>
        </w:tc>
        <w:tc>
          <w:tcPr>
            <w:tcW w:w="1984" w:type="dxa"/>
          </w:tcPr>
          <w:p w14:paraId="371EE54A" w14:textId="4C9946F1" w:rsidR="003F7120" w:rsidRPr="00D615D8" w:rsidRDefault="003F7120" w:rsidP="00D8571B">
            <w:r w:rsidRPr="00D52FDB">
              <w:rPr>
                <w:rStyle w:val="PlaceholderText"/>
                <w:color w:val="auto"/>
              </w:rPr>
              <w:t>YES</w:t>
            </w:r>
          </w:p>
        </w:tc>
        <w:tc>
          <w:tcPr>
            <w:tcW w:w="1985" w:type="dxa"/>
          </w:tcPr>
          <w:p w14:paraId="374F0819" w14:textId="2F436D69" w:rsidR="003F7120" w:rsidRPr="00D615D8" w:rsidRDefault="003F7120" w:rsidP="00D8571B">
            <w:r w:rsidRPr="00D52FDB">
              <w:rPr>
                <w:rStyle w:val="PlaceholderText"/>
                <w:color w:val="auto"/>
              </w:rPr>
              <w:t>NO</w:t>
            </w:r>
          </w:p>
        </w:tc>
      </w:tr>
      <w:tr w:rsidR="003F7120" w:rsidRPr="00144BE0" w14:paraId="1C4EA162" w14:textId="77777777" w:rsidTr="004E7FC2">
        <w:tc>
          <w:tcPr>
            <w:tcW w:w="5070" w:type="dxa"/>
          </w:tcPr>
          <w:p w14:paraId="57DF55D2" w14:textId="0F91F4B0" w:rsidR="003F7120" w:rsidRPr="00FE3AE1" w:rsidRDefault="003F7120" w:rsidP="008E267B">
            <w:pPr>
              <w:rPr>
                <w:rFonts w:eastAsia="Calibri" w:cs="Calibri"/>
                <w:szCs w:val="22"/>
              </w:rPr>
            </w:pPr>
            <w:r w:rsidRPr="004A7FBD">
              <w:t>U</w:t>
            </w:r>
            <w:r w:rsidRPr="004A7FBD">
              <w:rPr>
                <w:rFonts w:eastAsia="Calibri" w:cs="Calibri"/>
                <w:szCs w:val="22"/>
              </w:rPr>
              <w:t>pgrades to the existing power supply includes 10km of overhead power line and supporting infrastructure</w:t>
            </w:r>
          </w:p>
        </w:tc>
        <w:tc>
          <w:tcPr>
            <w:tcW w:w="1984" w:type="dxa"/>
          </w:tcPr>
          <w:p w14:paraId="2DEC3993" w14:textId="6D64AD5F" w:rsidR="003F7120" w:rsidRPr="00D615D8" w:rsidRDefault="003F7120" w:rsidP="00D8571B">
            <w:r w:rsidRPr="00D615D8">
              <w:t>YES</w:t>
            </w:r>
          </w:p>
        </w:tc>
        <w:tc>
          <w:tcPr>
            <w:tcW w:w="1985" w:type="dxa"/>
          </w:tcPr>
          <w:p w14:paraId="5A697F89" w14:textId="4A5C0082" w:rsidR="003F7120" w:rsidRPr="00D615D8" w:rsidRDefault="003F7120" w:rsidP="00D8571B">
            <w:r w:rsidRPr="00D615D8">
              <w:t>NO</w:t>
            </w:r>
          </w:p>
        </w:tc>
      </w:tr>
      <w:tr w:rsidR="003F7120" w:rsidRPr="00144BE0" w14:paraId="0E5D452F" w14:textId="77777777" w:rsidTr="004E7FC2">
        <w:tc>
          <w:tcPr>
            <w:tcW w:w="5070" w:type="dxa"/>
          </w:tcPr>
          <w:p w14:paraId="48D094AD" w14:textId="2B33CBBB" w:rsidR="003F7120" w:rsidRPr="004A7FBD" w:rsidRDefault="003F7120" w:rsidP="008E267B">
            <w:r w:rsidRPr="00FE3AE1">
              <w:t>Temporary Construction Accommodation</w:t>
            </w:r>
          </w:p>
        </w:tc>
        <w:tc>
          <w:tcPr>
            <w:tcW w:w="1984" w:type="dxa"/>
          </w:tcPr>
          <w:p w14:paraId="04E47CE7" w14:textId="7D1B8C7D" w:rsidR="003F7120" w:rsidRPr="00D615D8" w:rsidRDefault="003F7120" w:rsidP="00D8571B">
            <w:r w:rsidRPr="00D615D8">
              <w:t>YES</w:t>
            </w:r>
          </w:p>
        </w:tc>
        <w:tc>
          <w:tcPr>
            <w:tcW w:w="1985" w:type="dxa"/>
          </w:tcPr>
          <w:p w14:paraId="4C986B68" w14:textId="24E98329" w:rsidR="003F7120" w:rsidRPr="00D615D8" w:rsidRDefault="003F7120" w:rsidP="00D8571B">
            <w:r w:rsidRPr="00D615D8">
              <w:t>NO</w:t>
            </w:r>
          </w:p>
        </w:tc>
      </w:tr>
      <w:tr w:rsidR="003F7120" w:rsidRPr="00144BE0" w14:paraId="5EABA847" w14:textId="77777777" w:rsidTr="004E7FC2">
        <w:tc>
          <w:tcPr>
            <w:tcW w:w="5070" w:type="dxa"/>
          </w:tcPr>
          <w:p w14:paraId="27A39524" w14:textId="7A63875A" w:rsidR="003F7120" w:rsidRPr="00FE3AE1" w:rsidRDefault="003F7120" w:rsidP="008E267B">
            <w:r w:rsidRPr="004A7FBD">
              <w:rPr>
                <w:rFonts w:eastAsia="Calibri" w:cs="Calibri"/>
                <w:szCs w:val="22"/>
              </w:rPr>
              <w:t>Upgrade to the existing Pannawonica FIFO village</w:t>
            </w:r>
          </w:p>
        </w:tc>
        <w:tc>
          <w:tcPr>
            <w:tcW w:w="1984" w:type="dxa"/>
          </w:tcPr>
          <w:p w14:paraId="499D43E5" w14:textId="574C868C" w:rsidR="003F7120" w:rsidRPr="00D615D8" w:rsidRDefault="003F7120" w:rsidP="00D8571B">
            <w:r w:rsidRPr="00D615D8">
              <w:t>YES</w:t>
            </w:r>
          </w:p>
        </w:tc>
        <w:tc>
          <w:tcPr>
            <w:tcW w:w="1985" w:type="dxa"/>
          </w:tcPr>
          <w:p w14:paraId="31427C69" w14:textId="2DD296A1" w:rsidR="003F7120" w:rsidRPr="00D615D8" w:rsidRDefault="003F7120" w:rsidP="00D8571B">
            <w:r w:rsidRPr="00D615D8">
              <w:t>NO</w:t>
            </w:r>
          </w:p>
        </w:tc>
      </w:tr>
      <w:tr w:rsidR="003F7120" w:rsidRPr="00144BE0" w14:paraId="09D7FEE3" w14:textId="77777777" w:rsidTr="004E7FC2">
        <w:tc>
          <w:tcPr>
            <w:tcW w:w="5070" w:type="dxa"/>
          </w:tcPr>
          <w:p w14:paraId="16C6E6FE" w14:textId="3E5A0B81" w:rsidR="003F7120" w:rsidRPr="004A7FBD" w:rsidRDefault="003F7120" w:rsidP="008E267B">
            <w:pPr>
              <w:rPr>
                <w:rFonts w:eastAsia="Calibri" w:cs="Calibri"/>
                <w:szCs w:val="22"/>
              </w:rPr>
            </w:pPr>
            <w:r w:rsidRPr="00FE3AE1">
              <w:t>33kV Power Distribution</w:t>
            </w:r>
          </w:p>
        </w:tc>
        <w:tc>
          <w:tcPr>
            <w:tcW w:w="1984" w:type="dxa"/>
          </w:tcPr>
          <w:p w14:paraId="67986621" w14:textId="1F7820D1" w:rsidR="003F7120" w:rsidRPr="00D615D8" w:rsidRDefault="003F7120" w:rsidP="00D8571B">
            <w:r w:rsidRPr="00D615D8">
              <w:t>YES</w:t>
            </w:r>
          </w:p>
        </w:tc>
        <w:tc>
          <w:tcPr>
            <w:tcW w:w="1985" w:type="dxa"/>
          </w:tcPr>
          <w:p w14:paraId="5C92E13E" w14:textId="5E8FBA4E" w:rsidR="003F7120" w:rsidRPr="00D615D8" w:rsidRDefault="003F7120" w:rsidP="00D8571B">
            <w:r w:rsidRPr="00D615D8">
              <w:t>NO</w:t>
            </w:r>
          </w:p>
        </w:tc>
      </w:tr>
      <w:tr w:rsidR="003F7120" w:rsidRPr="00144BE0" w14:paraId="7058FD66" w14:textId="77777777" w:rsidTr="004E7FC2">
        <w:tc>
          <w:tcPr>
            <w:tcW w:w="5070" w:type="dxa"/>
          </w:tcPr>
          <w:p w14:paraId="60D180BC" w14:textId="20FE23CC" w:rsidR="003F7120" w:rsidRPr="00FE3AE1" w:rsidRDefault="003F7120" w:rsidP="008E267B">
            <w:r w:rsidRPr="00FE3AE1">
              <w:t>Supply and Installation of Electrical and Instrumentation Systems</w:t>
            </w:r>
          </w:p>
        </w:tc>
        <w:tc>
          <w:tcPr>
            <w:tcW w:w="1984" w:type="dxa"/>
          </w:tcPr>
          <w:p w14:paraId="6044A441" w14:textId="50B0189C" w:rsidR="003F7120" w:rsidRPr="00D615D8" w:rsidRDefault="003F7120" w:rsidP="00D8571B">
            <w:r w:rsidRPr="00D615D8">
              <w:t>YES</w:t>
            </w:r>
          </w:p>
        </w:tc>
        <w:tc>
          <w:tcPr>
            <w:tcW w:w="1985" w:type="dxa"/>
          </w:tcPr>
          <w:p w14:paraId="445E4A66" w14:textId="0EACE7CD" w:rsidR="003F7120" w:rsidRPr="00D615D8" w:rsidRDefault="003F7120" w:rsidP="00D8571B">
            <w:r w:rsidRPr="00D615D8">
              <w:t>NO</w:t>
            </w:r>
          </w:p>
        </w:tc>
      </w:tr>
      <w:tr w:rsidR="003F7120" w:rsidRPr="00144BE0" w14:paraId="2D47A13E" w14:textId="77777777" w:rsidTr="004E7FC2">
        <w:tc>
          <w:tcPr>
            <w:tcW w:w="5070" w:type="dxa"/>
          </w:tcPr>
          <w:p w14:paraId="5720B2F4" w14:textId="30019B4B" w:rsidR="003F7120" w:rsidRPr="00FE3AE1" w:rsidRDefault="003F7120" w:rsidP="008E267B">
            <w:r w:rsidRPr="00FE3AE1">
              <w:rPr>
                <w:color w:val="000000"/>
              </w:rPr>
              <w:t xml:space="preserve">Rail bridge </w:t>
            </w:r>
            <w:r>
              <w:rPr>
                <w:color w:val="000000"/>
              </w:rPr>
              <w:t>m</w:t>
            </w:r>
            <w:r w:rsidRPr="00FE3AE1">
              <w:rPr>
                <w:color w:val="000000"/>
              </w:rPr>
              <w:t>odifications</w:t>
            </w:r>
          </w:p>
        </w:tc>
        <w:tc>
          <w:tcPr>
            <w:tcW w:w="1984" w:type="dxa"/>
          </w:tcPr>
          <w:p w14:paraId="1C7E2C9C" w14:textId="48AF68EF" w:rsidR="003F7120" w:rsidRPr="00D615D8" w:rsidRDefault="003F7120" w:rsidP="00D8571B">
            <w:r w:rsidRPr="00D615D8">
              <w:t>YES</w:t>
            </w:r>
          </w:p>
        </w:tc>
        <w:tc>
          <w:tcPr>
            <w:tcW w:w="1985" w:type="dxa"/>
          </w:tcPr>
          <w:p w14:paraId="2F821AB7" w14:textId="0C5966C1" w:rsidR="003F7120" w:rsidRPr="00D615D8" w:rsidRDefault="003F7120" w:rsidP="00D8571B">
            <w:r w:rsidRPr="00D615D8">
              <w:t>NO</w:t>
            </w:r>
          </w:p>
        </w:tc>
      </w:tr>
      <w:tr w:rsidR="003F7120" w:rsidRPr="00144BE0" w14:paraId="6B38F4C7" w14:textId="77777777" w:rsidTr="004E7FC2">
        <w:tc>
          <w:tcPr>
            <w:tcW w:w="5070" w:type="dxa"/>
          </w:tcPr>
          <w:p w14:paraId="2ED78DE5" w14:textId="03136EDB" w:rsidR="003F7120" w:rsidRPr="00FE3AE1" w:rsidRDefault="003F7120" w:rsidP="008E267B">
            <w:pPr>
              <w:rPr>
                <w:color w:val="000000"/>
              </w:rPr>
            </w:pPr>
            <w:r>
              <w:rPr>
                <w:color w:val="000000"/>
              </w:rPr>
              <w:t>Shop detailing</w:t>
            </w:r>
          </w:p>
        </w:tc>
        <w:tc>
          <w:tcPr>
            <w:tcW w:w="1984" w:type="dxa"/>
          </w:tcPr>
          <w:p w14:paraId="1E6B4623" w14:textId="1B908514" w:rsidR="003F7120" w:rsidRPr="00D615D8" w:rsidRDefault="003F7120" w:rsidP="00D8571B">
            <w:r w:rsidRPr="00D615D8">
              <w:t>YES</w:t>
            </w:r>
          </w:p>
        </w:tc>
        <w:tc>
          <w:tcPr>
            <w:tcW w:w="1985" w:type="dxa"/>
          </w:tcPr>
          <w:p w14:paraId="146E6C2F" w14:textId="124E089E" w:rsidR="003F7120" w:rsidRPr="00D615D8" w:rsidRDefault="003F7120" w:rsidP="00D8571B">
            <w:r w:rsidRPr="00D615D8">
              <w:t>NO</w:t>
            </w:r>
          </w:p>
        </w:tc>
      </w:tr>
      <w:tr w:rsidR="003F7120" w:rsidRPr="00144BE0" w14:paraId="635B7569" w14:textId="77777777" w:rsidTr="004E7FC2">
        <w:tc>
          <w:tcPr>
            <w:tcW w:w="5070" w:type="dxa"/>
          </w:tcPr>
          <w:p w14:paraId="3FA1AC0D" w14:textId="46B4272B" w:rsidR="003F7120" w:rsidRDefault="003F7120" w:rsidP="008E267B">
            <w:pPr>
              <w:rPr>
                <w:color w:val="000000"/>
              </w:rPr>
            </w:pPr>
            <w:r>
              <w:rPr>
                <w:color w:val="000000"/>
              </w:rPr>
              <w:t>Survey services</w:t>
            </w:r>
          </w:p>
        </w:tc>
        <w:tc>
          <w:tcPr>
            <w:tcW w:w="1984" w:type="dxa"/>
          </w:tcPr>
          <w:p w14:paraId="3852371B" w14:textId="084F774A" w:rsidR="003F7120" w:rsidRPr="00D615D8" w:rsidRDefault="003F7120" w:rsidP="00D8571B">
            <w:r w:rsidRPr="00D615D8">
              <w:t>YES</w:t>
            </w:r>
          </w:p>
        </w:tc>
        <w:tc>
          <w:tcPr>
            <w:tcW w:w="1985" w:type="dxa"/>
          </w:tcPr>
          <w:p w14:paraId="4518CC1E" w14:textId="6B9FFD1D" w:rsidR="003F7120" w:rsidRPr="00D615D8" w:rsidRDefault="003F7120" w:rsidP="00D8571B">
            <w:r w:rsidRPr="00D615D8">
              <w:t>NO</w:t>
            </w:r>
          </w:p>
        </w:tc>
      </w:tr>
      <w:tr w:rsidR="003F7120" w:rsidRPr="00144BE0" w14:paraId="3F9C973F" w14:textId="77777777" w:rsidTr="004E7FC2">
        <w:tc>
          <w:tcPr>
            <w:tcW w:w="5070" w:type="dxa"/>
          </w:tcPr>
          <w:p w14:paraId="00870818" w14:textId="756314A4" w:rsidR="003F7120" w:rsidRDefault="003F7120" w:rsidP="008E267B">
            <w:pPr>
              <w:rPr>
                <w:color w:val="000000"/>
              </w:rPr>
            </w:pPr>
            <w:r>
              <w:rPr>
                <w:color w:val="000000"/>
              </w:rPr>
              <w:t>Temporary concrete batch plant</w:t>
            </w:r>
          </w:p>
        </w:tc>
        <w:tc>
          <w:tcPr>
            <w:tcW w:w="1984" w:type="dxa"/>
          </w:tcPr>
          <w:p w14:paraId="574E255C" w14:textId="751BBFBA" w:rsidR="003F7120" w:rsidRPr="00D615D8" w:rsidRDefault="003F7120" w:rsidP="00D8571B">
            <w:r w:rsidRPr="00D615D8">
              <w:t>YES</w:t>
            </w:r>
          </w:p>
        </w:tc>
        <w:tc>
          <w:tcPr>
            <w:tcW w:w="1985" w:type="dxa"/>
          </w:tcPr>
          <w:p w14:paraId="6BFC0D71" w14:textId="44972ED7" w:rsidR="003F7120" w:rsidRPr="00D615D8" w:rsidRDefault="003F7120" w:rsidP="00D8571B">
            <w:r w:rsidRPr="00D615D8">
              <w:t>NO</w:t>
            </w:r>
          </w:p>
        </w:tc>
      </w:tr>
      <w:tr w:rsidR="003F7120" w:rsidRPr="00144BE0" w14:paraId="410B2476" w14:textId="77777777" w:rsidTr="004E7FC2">
        <w:tc>
          <w:tcPr>
            <w:tcW w:w="5070" w:type="dxa"/>
            <w:vAlign w:val="center"/>
          </w:tcPr>
          <w:p w14:paraId="679C0478" w14:textId="63829104" w:rsidR="003F7120" w:rsidRDefault="003F7120" w:rsidP="008E267B">
            <w:pPr>
              <w:rPr>
                <w:color w:val="000000"/>
              </w:rPr>
            </w:pPr>
            <w:r w:rsidRPr="00AA79F4">
              <w:rPr>
                <w:rStyle w:val="Strong"/>
              </w:rPr>
              <w:t xml:space="preserve">Goods </w:t>
            </w:r>
          </w:p>
        </w:tc>
        <w:tc>
          <w:tcPr>
            <w:tcW w:w="1984" w:type="dxa"/>
          </w:tcPr>
          <w:p w14:paraId="6764606F" w14:textId="77777777" w:rsidR="003F7120" w:rsidRPr="00D615D8" w:rsidRDefault="003F7120" w:rsidP="00D8571B"/>
        </w:tc>
        <w:tc>
          <w:tcPr>
            <w:tcW w:w="1985" w:type="dxa"/>
          </w:tcPr>
          <w:p w14:paraId="10D4714C" w14:textId="77777777" w:rsidR="003F7120" w:rsidRPr="00D615D8" w:rsidRDefault="003F7120" w:rsidP="00D8571B"/>
        </w:tc>
      </w:tr>
      <w:tr w:rsidR="003F7120" w:rsidRPr="00144BE0" w14:paraId="5A3BED24" w14:textId="77777777" w:rsidTr="004E7FC2">
        <w:tc>
          <w:tcPr>
            <w:tcW w:w="5070" w:type="dxa"/>
          </w:tcPr>
          <w:p w14:paraId="4A1FD3E7" w14:textId="480551FF" w:rsidR="003F7120" w:rsidRPr="00AA79F4" w:rsidRDefault="003F7120" w:rsidP="008E267B">
            <w:r>
              <w:t>F</w:t>
            </w:r>
            <w:r w:rsidRPr="00AA79F4">
              <w:t>ixed plant equipment</w:t>
            </w:r>
          </w:p>
        </w:tc>
        <w:tc>
          <w:tcPr>
            <w:tcW w:w="1984" w:type="dxa"/>
          </w:tcPr>
          <w:p w14:paraId="42112F3E" w14:textId="0F278E43" w:rsidR="003F7120" w:rsidRPr="00D615D8" w:rsidRDefault="003F7120" w:rsidP="00D8571B">
            <w:r w:rsidRPr="00D615D8">
              <w:t>YES</w:t>
            </w:r>
          </w:p>
        </w:tc>
        <w:tc>
          <w:tcPr>
            <w:tcW w:w="1985" w:type="dxa"/>
          </w:tcPr>
          <w:p w14:paraId="284E2DB3" w14:textId="7B896605" w:rsidR="003F7120" w:rsidRPr="00D615D8" w:rsidRDefault="003F7120" w:rsidP="00D8571B">
            <w:r w:rsidRPr="00D615D8">
              <w:t>NO</w:t>
            </w:r>
          </w:p>
        </w:tc>
      </w:tr>
      <w:tr w:rsidR="003F7120" w:rsidRPr="00144BE0" w14:paraId="7782EEE2" w14:textId="77777777" w:rsidTr="004E7FC2">
        <w:tc>
          <w:tcPr>
            <w:tcW w:w="5070" w:type="dxa"/>
          </w:tcPr>
          <w:p w14:paraId="6FBDABE2" w14:textId="75135A4C" w:rsidR="003F7120" w:rsidRDefault="003F7120" w:rsidP="008E267B">
            <w:r>
              <w:rPr>
                <w:color w:val="000000"/>
              </w:rPr>
              <w:t>E</w:t>
            </w:r>
            <w:r w:rsidRPr="00AA79F4">
              <w:rPr>
                <w:color w:val="000000"/>
              </w:rPr>
              <w:t>lectric motors</w:t>
            </w:r>
          </w:p>
        </w:tc>
        <w:tc>
          <w:tcPr>
            <w:tcW w:w="1984" w:type="dxa"/>
          </w:tcPr>
          <w:p w14:paraId="5A77F2F4" w14:textId="027BFBBE" w:rsidR="003F7120" w:rsidRPr="00D615D8" w:rsidRDefault="003F7120" w:rsidP="00D8571B">
            <w:r w:rsidRPr="00D615D8">
              <w:t>YES</w:t>
            </w:r>
          </w:p>
        </w:tc>
        <w:tc>
          <w:tcPr>
            <w:tcW w:w="1985" w:type="dxa"/>
          </w:tcPr>
          <w:p w14:paraId="46B060EB" w14:textId="69754B50" w:rsidR="003F7120" w:rsidRPr="00D615D8" w:rsidRDefault="003F7120" w:rsidP="00D8571B">
            <w:r w:rsidRPr="00D615D8">
              <w:t>NO</w:t>
            </w:r>
          </w:p>
        </w:tc>
      </w:tr>
      <w:tr w:rsidR="003F7120" w:rsidRPr="00144BE0" w14:paraId="5D4ACD10" w14:textId="77777777" w:rsidTr="004E7FC2">
        <w:tc>
          <w:tcPr>
            <w:tcW w:w="5070" w:type="dxa"/>
          </w:tcPr>
          <w:p w14:paraId="47AFC6EE" w14:textId="19A9CA0A" w:rsidR="003F7120" w:rsidRDefault="003F7120" w:rsidP="008E267B">
            <w:pPr>
              <w:rPr>
                <w:color w:val="000000"/>
              </w:rPr>
            </w:pPr>
            <w:r>
              <w:rPr>
                <w:color w:val="000000"/>
              </w:rPr>
              <w:t>E</w:t>
            </w:r>
            <w:r w:rsidRPr="00AA79F4">
              <w:rPr>
                <w:color w:val="000000"/>
              </w:rPr>
              <w:t>lectrical transformers and switchgear</w:t>
            </w:r>
          </w:p>
        </w:tc>
        <w:tc>
          <w:tcPr>
            <w:tcW w:w="1984" w:type="dxa"/>
          </w:tcPr>
          <w:p w14:paraId="3D6F706D" w14:textId="21B89257" w:rsidR="003F7120" w:rsidRPr="00D615D8" w:rsidRDefault="003F7120" w:rsidP="00D8571B">
            <w:r w:rsidRPr="00D615D8">
              <w:t>YES</w:t>
            </w:r>
          </w:p>
        </w:tc>
        <w:tc>
          <w:tcPr>
            <w:tcW w:w="1985" w:type="dxa"/>
          </w:tcPr>
          <w:p w14:paraId="7738E8E0" w14:textId="4C487AEC" w:rsidR="003F7120" w:rsidRPr="00D615D8" w:rsidRDefault="00517D2C" w:rsidP="00D8571B">
            <w:r>
              <w:t>YES</w:t>
            </w:r>
          </w:p>
        </w:tc>
      </w:tr>
      <w:tr w:rsidR="003F7120" w:rsidRPr="00144BE0" w14:paraId="202C1C17" w14:textId="77777777" w:rsidTr="004E7FC2">
        <w:tc>
          <w:tcPr>
            <w:tcW w:w="5070" w:type="dxa"/>
          </w:tcPr>
          <w:p w14:paraId="2101C456" w14:textId="573E5008" w:rsidR="003F7120" w:rsidRDefault="003F7120" w:rsidP="008E267B">
            <w:pPr>
              <w:rPr>
                <w:color w:val="000000"/>
              </w:rPr>
            </w:pPr>
            <w:r>
              <w:rPr>
                <w:color w:val="000000"/>
              </w:rPr>
              <w:t>C</w:t>
            </w:r>
            <w:r w:rsidRPr="00AA79F4">
              <w:rPr>
                <w:color w:val="000000"/>
              </w:rPr>
              <w:t>onveyor belting</w:t>
            </w:r>
          </w:p>
        </w:tc>
        <w:tc>
          <w:tcPr>
            <w:tcW w:w="1984" w:type="dxa"/>
          </w:tcPr>
          <w:p w14:paraId="5BD5DC06" w14:textId="0C912D28" w:rsidR="003F7120" w:rsidRPr="00D615D8" w:rsidRDefault="003F7120" w:rsidP="00D8571B">
            <w:r w:rsidRPr="00D615D8">
              <w:t>YES</w:t>
            </w:r>
          </w:p>
        </w:tc>
        <w:tc>
          <w:tcPr>
            <w:tcW w:w="1985" w:type="dxa"/>
          </w:tcPr>
          <w:p w14:paraId="3666C8A4" w14:textId="3754EBF0" w:rsidR="003F7120" w:rsidRPr="00D615D8" w:rsidRDefault="00517D2C" w:rsidP="00D8571B">
            <w:r>
              <w:t>YES</w:t>
            </w:r>
          </w:p>
        </w:tc>
      </w:tr>
      <w:tr w:rsidR="003F7120" w:rsidRPr="00144BE0" w14:paraId="3C6E9645" w14:textId="77777777" w:rsidTr="004E7FC2">
        <w:tc>
          <w:tcPr>
            <w:tcW w:w="5070" w:type="dxa"/>
          </w:tcPr>
          <w:p w14:paraId="091D1258" w14:textId="7987B20D" w:rsidR="003F7120" w:rsidRDefault="003F7120" w:rsidP="008E267B">
            <w:pPr>
              <w:rPr>
                <w:color w:val="000000"/>
              </w:rPr>
            </w:pPr>
            <w:r w:rsidRPr="00AA79F4">
              <w:lastRenderedPageBreak/>
              <w:t>Heavy Mobile Equipment</w:t>
            </w:r>
          </w:p>
        </w:tc>
        <w:tc>
          <w:tcPr>
            <w:tcW w:w="1984" w:type="dxa"/>
          </w:tcPr>
          <w:p w14:paraId="3B5568BA" w14:textId="65C68685" w:rsidR="003F7120" w:rsidRPr="00D615D8" w:rsidRDefault="003F7120" w:rsidP="00D8571B">
            <w:r w:rsidRPr="00D615D8">
              <w:t>NO</w:t>
            </w:r>
          </w:p>
        </w:tc>
        <w:tc>
          <w:tcPr>
            <w:tcW w:w="1985" w:type="dxa"/>
          </w:tcPr>
          <w:p w14:paraId="569F683B" w14:textId="0C238871" w:rsidR="003F7120" w:rsidRPr="00D615D8" w:rsidRDefault="003F7120" w:rsidP="00D8571B">
            <w:r w:rsidRPr="00D615D8">
              <w:t>YES</w:t>
            </w:r>
          </w:p>
        </w:tc>
      </w:tr>
      <w:tr w:rsidR="003F7120" w:rsidRPr="00144BE0" w14:paraId="514007EC" w14:textId="77777777" w:rsidTr="004E7FC2">
        <w:tc>
          <w:tcPr>
            <w:tcW w:w="5070" w:type="dxa"/>
          </w:tcPr>
          <w:p w14:paraId="381F2364" w14:textId="6217FB6E" w:rsidR="003F7120" w:rsidRPr="00AA79F4" w:rsidRDefault="003F7120" w:rsidP="00A55E82">
            <w:r w:rsidRPr="00AA79F4">
              <w:t>Light Mob</w:t>
            </w:r>
            <w:r w:rsidR="00A55E82">
              <w:t>i</w:t>
            </w:r>
            <w:r w:rsidRPr="00AA79F4">
              <w:t>le Equipment</w:t>
            </w:r>
          </w:p>
        </w:tc>
        <w:tc>
          <w:tcPr>
            <w:tcW w:w="1984" w:type="dxa"/>
          </w:tcPr>
          <w:p w14:paraId="1D9D7D36" w14:textId="70CDAA34" w:rsidR="003F7120" w:rsidRPr="00D615D8" w:rsidRDefault="003F7120" w:rsidP="00D8571B">
            <w:r w:rsidRPr="00D615D8">
              <w:t>YES</w:t>
            </w:r>
          </w:p>
        </w:tc>
        <w:tc>
          <w:tcPr>
            <w:tcW w:w="1985" w:type="dxa"/>
          </w:tcPr>
          <w:p w14:paraId="3DD937D7" w14:textId="1D078EBE" w:rsidR="003F7120" w:rsidRPr="00D615D8" w:rsidRDefault="003F7120" w:rsidP="00D8571B">
            <w:r w:rsidRPr="00D615D8">
              <w:t>NO</w:t>
            </w:r>
          </w:p>
        </w:tc>
      </w:tr>
    </w:tbl>
    <w:p w14:paraId="45F22733" w14:textId="3B24CA41" w:rsidR="00E45719" w:rsidRPr="00144BE0" w:rsidRDefault="00A5285B" w:rsidP="00EE570C">
      <w:pPr>
        <w:pStyle w:val="Disclaimer"/>
      </w:pPr>
      <w:r w:rsidRPr="00144BE0">
        <w:t xml:space="preserve">Disclaimer: The information provided in the table above is based on an initial assessment by the </w:t>
      </w:r>
      <w:r w:rsidR="00A55E82">
        <w:t>Proponent</w:t>
      </w:r>
      <w:r w:rsidRPr="00144BE0">
        <w:t>.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66537367" w:rsidR="00FD7639" w:rsidRPr="00F07286" w:rsidRDefault="000B0DCC" w:rsidP="003F7120">
            <w:sdt>
              <w:sdtPr>
                <w:id w:val="1886287692"/>
                <w:placeholder>
                  <w:docPart w:val="B465C03A2E384D599716270F8CB02C91"/>
                </w:placeholder>
              </w:sdtPr>
              <w:sdtEndPr/>
              <w:sdtContent>
                <w:r w:rsidR="003F7120" w:rsidRPr="003E6379">
                  <w:rPr>
                    <w:b/>
                  </w:rPr>
                  <w:t>Heavy Mobile Equipment (HME)</w:t>
                </w:r>
                <w:r w:rsidR="003F7120" w:rsidRPr="003E6379">
                  <w:t xml:space="preserve"> will be sourced from international suppliers as the local industry does not produce the requisite vehicles/equipment, as confirmed by current assessment of the market by the Proponent. Sourcing HME from known international suppliers is also necessary to ensure the commonality of stock holding within the Rio Tinto Iron Ore business and provide the autonomous haul truck solution.</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47182DBA" w14:textId="29153DB7" w:rsidR="000E4E23" w:rsidRDefault="0006378F" w:rsidP="0006378F">
          <w:r>
            <w:t xml:space="preserve">The Project will predominantly be built to </w:t>
          </w:r>
          <w:r w:rsidR="00B613CB">
            <w:t>Rio Tinto</w:t>
          </w:r>
          <w:r>
            <w:t xml:space="preserve">’s internal standards. These standards are based on </w:t>
          </w:r>
          <w:r w:rsidR="00B613CB">
            <w:t xml:space="preserve">Australian Standards and commonly utilised International Standards (unless otherwise justified due to specific technological, commercial, intellectual property or similar requirements). </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sdt>
          <w:sdtPr>
            <w:id w:val="499157628"/>
            <w:placeholder>
              <w:docPart w:val="FDF41C0D0A2941D5B6C79D51C4CD884E"/>
            </w:placeholder>
          </w:sdtPr>
          <w:sdtEndPr/>
          <w:sdtContent>
            <w:p w14:paraId="0910B6A0" w14:textId="387E39A9" w:rsidR="00DF5C54" w:rsidRDefault="00DF5C54" w:rsidP="00DF5C54">
              <w:pPr>
                <w:pStyle w:val="ListParagraph"/>
                <w:numPr>
                  <w:ilvl w:val="0"/>
                  <w:numId w:val="0"/>
                </w:numPr>
                <w:ind w:left="360"/>
              </w:pPr>
              <w:r>
                <w:t>In support of AIP, the following actions and</w:t>
              </w:r>
              <w:r w:rsidR="00BC3477">
                <w:t xml:space="preserve"> initiatives will be undertaken:</w:t>
              </w:r>
              <w:r>
                <w:t xml:space="preserve"> </w:t>
              </w:r>
            </w:p>
            <w:p w14:paraId="613ABEF0" w14:textId="77777777" w:rsidR="00DF5C54" w:rsidRDefault="00DF5C54" w:rsidP="00DF5C54">
              <w:pPr>
                <w:pStyle w:val="ListParagraph"/>
                <w:numPr>
                  <w:ilvl w:val="0"/>
                  <w:numId w:val="0"/>
                </w:numPr>
                <w:ind w:left="360"/>
              </w:pPr>
            </w:p>
            <w:p w14:paraId="25BBDA7A" w14:textId="1CD55B52" w:rsidR="00DF5C54" w:rsidRDefault="00D615D8" w:rsidP="00DF5C54">
              <w:pPr>
                <w:pStyle w:val="ListParagraph"/>
              </w:pPr>
              <w:r>
                <w:t>Development of a</w:t>
              </w:r>
              <w:r w:rsidR="00DF5C54">
                <w:t xml:space="preserve"> partnership with the Industry Capability Network of Western Australia (</w:t>
              </w:r>
              <w:r w:rsidR="00DF5C54" w:rsidRPr="0006378F">
                <w:rPr>
                  <w:b/>
                </w:rPr>
                <w:t>ICNWA</w:t>
              </w:r>
              <w:r w:rsidR="00DF5C54">
                <w:t xml:space="preserve">) to create a Project </w:t>
              </w:r>
              <w:r w:rsidR="00A55E82">
                <w:t>web page (</w:t>
              </w:r>
              <w:r w:rsidR="00A55E82" w:rsidRPr="00A55E82">
                <w:rPr>
                  <w:b/>
                </w:rPr>
                <w:t>ICN Project Portal</w:t>
              </w:r>
              <w:r w:rsidR="00A55E82">
                <w:t>)</w:t>
              </w:r>
              <w:r w:rsidR="00DF5C54">
                <w:t xml:space="preserve">, detailing a range of work packages for the supply of key goods and services and allowing suppliers to register full or partial scope interests. </w:t>
              </w:r>
            </w:p>
            <w:p w14:paraId="32B93344" w14:textId="034472F4" w:rsidR="00DF5C54" w:rsidRDefault="00D615D8" w:rsidP="00DF5C54">
              <w:pPr>
                <w:pStyle w:val="ListParagraph"/>
              </w:pPr>
              <w:r>
                <w:t>Publication of the o</w:t>
              </w:r>
              <w:r w:rsidR="00DF5C54">
                <w:t>utcomes of tender awards for the supply of key goods and services advertised for Exp</w:t>
              </w:r>
              <w:r w:rsidR="00A55E82">
                <w:t>ression of Interest on the ICN</w:t>
              </w:r>
              <w:r w:rsidR="00DF5C54">
                <w:t xml:space="preserve"> Project </w:t>
              </w:r>
              <w:r w:rsidR="0013756C">
                <w:t>Portal</w:t>
              </w:r>
              <w:r w:rsidR="00DF5C54">
                <w:t xml:space="preserve">. </w:t>
              </w:r>
            </w:p>
            <w:p w14:paraId="05F09358" w14:textId="09D941CB" w:rsidR="00DF5C54" w:rsidRDefault="00D615D8" w:rsidP="00DF5C54">
              <w:pPr>
                <w:pStyle w:val="ListParagraph"/>
              </w:pPr>
              <w:r>
                <w:t>Encourage</w:t>
              </w:r>
              <w:r w:rsidR="00A55E82">
                <w:t xml:space="preserve">ment of </w:t>
              </w:r>
              <w:r>
                <w:t>t</w:t>
              </w:r>
              <w:r w:rsidR="00DF5C54">
                <w:t xml:space="preserve">enderers to utilise ICN Project </w:t>
              </w:r>
              <w:r w:rsidR="00A55E82">
                <w:t>Portal</w:t>
              </w:r>
              <w:r w:rsidR="00DF5C54">
                <w:t xml:space="preserve">. </w:t>
              </w:r>
            </w:p>
            <w:p w14:paraId="6F604B56" w14:textId="4CB7538C" w:rsidR="00ED7A0D" w:rsidRDefault="005A5474" w:rsidP="00DF5C54">
              <w:pPr>
                <w:pStyle w:val="ListParagraph"/>
              </w:pPr>
              <w:r>
                <w:t>Publication of o</w:t>
              </w:r>
              <w:r w:rsidR="00ED7A0D">
                <w:t xml:space="preserve">ther </w:t>
              </w:r>
              <w:r w:rsidR="00225858">
                <w:t xml:space="preserve">selected </w:t>
              </w:r>
              <w:r w:rsidR="00ED7A0D">
                <w:t xml:space="preserve">opportunities on the Rio Tinto Procurement </w:t>
              </w:r>
              <w:r w:rsidR="00833172">
                <w:t xml:space="preserve">(RTP) Local Procurement </w:t>
              </w:r>
              <w:r w:rsidR="00ED7A0D">
                <w:t>Platform</w:t>
              </w:r>
              <w:r w:rsidR="00833172">
                <w:t xml:space="preserve"> (LPP)</w:t>
              </w:r>
              <w:r w:rsidR="00ED7A0D">
                <w:t xml:space="preserve">. </w:t>
              </w:r>
            </w:p>
            <w:p w14:paraId="79515010" w14:textId="62BD05D0" w:rsidR="00DF5C54" w:rsidRDefault="00D615D8" w:rsidP="00DF5C54">
              <w:pPr>
                <w:pStyle w:val="ListParagraph"/>
              </w:pPr>
              <w:r>
                <w:t xml:space="preserve">Provision of </w:t>
              </w:r>
              <w:r w:rsidR="00DF5C54">
                <w:t>fact sheet</w:t>
              </w:r>
              <w:r>
                <w:t>s</w:t>
              </w:r>
              <w:r w:rsidR="00DF5C54">
                <w:t xml:space="preserve"> and generic pre-qualification requirements </w:t>
              </w:r>
              <w:r>
                <w:t xml:space="preserve">via </w:t>
              </w:r>
              <w:r w:rsidR="00DF5C54">
                <w:t xml:space="preserve">the </w:t>
              </w:r>
              <w:r w:rsidR="00833172">
                <w:t>ICN Project Portal</w:t>
              </w:r>
              <w:r w:rsidR="00DF5C54">
                <w:t xml:space="preserve">. </w:t>
              </w:r>
            </w:p>
            <w:p w14:paraId="3F795F63" w14:textId="3BB3D7F3" w:rsidR="00DF5C54" w:rsidRDefault="00DF5C54" w:rsidP="00DF5C54">
              <w:pPr>
                <w:pStyle w:val="ListParagraph"/>
              </w:pPr>
              <w:r>
                <w:t xml:space="preserve">Media releases </w:t>
              </w:r>
              <w:r w:rsidR="00D615D8">
                <w:t xml:space="preserve">to </w:t>
              </w:r>
              <w:r>
                <w:t>publicise significant contract awards.</w:t>
              </w:r>
            </w:p>
            <w:p w14:paraId="2E4D3042" w14:textId="77777777" w:rsidR="00DF5C54" w:rsidRDefault="00DF5C54" w:rsidP="00DF5C54">
              <w:pPr>
                <w:pStyle w:val="ListParagraph"/>
              </w:pPr>
              <w:r>
                <w:t>Ensuring contractors are aware of Project AIP commitments.</w:t>
              </w:r>
            </w:p>
            <w:p w14:paraId="62411EE7" w14:textId="77777777" w:rsidR="00DF5C54" w:rsidRDefault="00DF5C54" w:rsidP="00DF5C54">
              <w:pPr>
                <w:pStyle w:val="ListParagraph"/>
              </w:pPr>
              <w:r>
                <w:t>Provision of training to company and EPCM procurement staff on AIP requirements.</w:t>
              </w:r>
            </w:p>
            <w:p w14:paraId="4116A8E3" w14:textId="35E00887" w:rsidR="00E45719" w:rsidRPr="00E45719" w:rsidRDefault="00DF5C54" w:rsidP="00DF5C54">
              <w:pPr>
                <w:pStyle w:val="ListParagraph"/>
              </w:pPr>
              <w:r>
                <w:t>Provision of feedback to unsuccessful tenderers (on request).</w:t>
              </w:r>
            </w:p>
          </w:sdtContent>
        </w:sd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7D899FE9" w14:textId="1DB1BA44" w:rsidR="00D03292" w:rsidRDefault="00DF5C54" w:rsidP="00DF5C54">
          <w:pPr>
            <w:pStyle w:val="ListParagraph"/>
            <w:numPr>
              <w:ilvl w:val="0"/>
              <w:numId w:val="0"/>
            </w:numPr>
            <w:ind w:left="360"/>
          </w:pPr>
          <w:r>
            <w:t xml:space="preserve">Not applicable. </w:t>
          </w:r>
          <w:r w:rsidR="00D03292">
            <w:t xml:space="preserve">  </w:t>
          </w:r>
        </w:p>
        <w:p w14:paraId="1DDC44E3" w14:textId="5BDD5C14" w:rsidR="00D60A56" w:rsidRPr="00084E22" w:rsidRDefault="000B0DCC" w:rsidP="00D03292">
          <w:pPr>
            <w:pStyle w:val="ListParagraph"/>
            <w:numPr>
              <w:ilvl w:val="0"/>
              <w:numId w:val="0"/>
            </w:numPr>
            <w:ind w:left="360"/>
          </w:pPr>
        </w:p>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6F12" w14:textId="77777777" w:rsidR="003849C6" w:rsidRDefault="003849C6" w:rsidP="007F331A">
      <w:pPr>
        <w:spacing w:after="0"/>
      </w:pPr>
      <w:r>
        <w:separator/>
      </w:r>
    </w:p>
  </w:endnote>
  <w:endnote w:type="continuationSeparator" w:id="0">
    <w:p w14:paraId="4E89ACB6" w14:textId="77777777" w:rsidR="003849C6" w:rsidRDefault="003849C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3B7F34FC" w:rsidR="00391C18" w:rsidRDefault="00391C18" w:rsidP="0078593E">
    <w:pPr>
      <w:pStyle w:val="Footnote"/>
    </w:pPr>
    <w:r>
      <w:t xml:space="preserve">AIP </w:t>
    </w:r>
    <w:r w:rsidR="00A55E82">
      <w:t>P</w:t>
    </w:r>
    <w:r>
      <w:t xml:space="preserve">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5A9EB540" w:rsidR="007F331A" w:rsidRDefault="007F331A" w:rsidP="0078593E">
    <w:pPr>
      <w:pStyle w:val="Footnote"/>
    </w:pPr>
    <w:r>
      <w:t xml:space="preserve">Version </w:t>
    </w:r>
    <w:r w:rsidR="00282ABE">
      <w:t>1</w:t>
    </w:r>
    <w:r>
      <w:t>.</w:t>
    </w:r>
    <w:r w:rsidR="00A55E82">
      <w:t>0</w:t>
    </w:r>
    <w:r>
      <w:t xml:space="preserve"> </w:t>
    </w:r>
    <w:r w:rsidR="00A55E82">
      <w:t xml:space="preserve">August </w:t>
    </w:r>
    <w:r>
      <w:t>201</w:t>
    </w:r>
    <w:r w:rsidR="000A5D00">
      <w:t>8</w:t>
    </w:r>
  </w:p>
  <w:p w14:paraId="643966AA" w14:textId="77777777" w:rsidR="007F331A" w:rsidRPr="002032CF" w:rsidRDefault="000B0DCC"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5B1035">
          <w:rPr>
            <w:noProof/>
            <w:szCs w:val="16"/>
          </w:rPr>
          <w:t>3</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5FAC" w14:textId="77777777" w:rsidR="003849C6" w:rsidRDefault="003849C6" w:rsidP="007F331A">
      <w:pPr>
        <w:spacing w:after="0"/>
      </w:pPr>
      <w:r>
        <w:separator/>
      </w:r>
    </w:p>
  </w:footnote>
  <w:footnote w:type="continuationSeparator" w:id="0">
    <w:p w14:paraId="680F26A5" w14:textId="77777777" w:rsidR="003849C6" w:rsidRDefault="003849C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F1C432E"/>
    <w:multiLevelType w:val="hybridMultilevel"/>
    <w:tmpl w:val="FCCA7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6378F"/>
    <w:rsid w:val="00084E22"/>
    <w:rsid w:val="00092840"/>
    <w:rsid w:val="000A5D00"/>
    <w:rsid w:val="000B0DCC"/>
    <w:rsid w:val="000B5660"/>
    <w:rsid w:val="000E4E23"/>
    <w:rsid w:val="000F1764"/>
    <w:rsid w:val="0013756C"/>
    <w:rsid w:val="00144BE0"/>
    <w:rsid w:val="0019332F"/>
    <w:rsid w:val="00195CD7"/>
    <w:rsid w:val="001964CB"/>
    <w:rsid w:val="00196BC4"/>
    <w:rsid w:val="001A06E2"/>
    <w:rsid w:val="001C7979"/>
    <w:rsid w:val="001E1B65"/>
    <w:rsid w:val="002032CF"/>
    <w:rsid w:val="00225858"/>
    <w:rsid w:val="00244FC4"/>
    <w:rsid w:val="00251113"/>
    <w:rsid w:val="002549C0"/>
    <w:rsid w:val="00282ABE"/>
    <w:rsid w:val="00300662"/>
    <w:rsid w:val="00304970"/>
    <w:rsid w:val="0033145F"/>
    <w:rsid w:val="00334757"/>
    <w:rsid w:val="00335D8E"/>
    <w:rsid w:val="00347CC5"/>
    <w:rsid w:val="00371E40"/>
    <w:rsid w:val="003849C6"/>
    <w:rsid w:val="00391C18"/>
    <w:rsid w:val="003B0746"/>
    <w:rsid w:val="003B1BC2"/>
    <w:rsid w:val="003B7F3F"/>
    <w:rsid w:val="003F7120"/>
    <w:rsid w:val="00412EDE"/>
    <w:rsid w:val="004279CD"/>
    <w:rsid w:val="0046348C"/>
    <w:rsid w:val="00467764"/>
    <w:rsid w:val="00477ACD"/>
    <w:rsid w:val="004B70FC"/>
    <w:rsid w:val="004C1EB5"/>
    <w:rsid w:val="00517D2C"/>
    <w:rsid w:val="00536B0D"/>
    <w:rsid w:val="00537BA8"/>
    <w:rsid w:val="0057513A"/>
    <w:rsid w:val="005860CE"/>
    <w:rsid w:val="005861E6"/>
    <w:rsid w:val="00587ADB"/>
    <w:rsid w:val="005A4F9E"/>
    <w:rsid w:val="005A5474"/>
    <w:rsid w:val="005B1035"/>
    <w:rsid w:val="00607EDF"/>
    <w:rsid w:val="0061227B"/>
    <w:rsid w:val="006160AF"/>
    <w:rsid w:val="00632568"/>
    <w:rsid w:val="00645886"/>
    <w:rsid w:val="00652DB5"/>
    <w:rsid w:val="0068067F"/>
    <w:rsid w:val="00694BEF"/>
    <w:rsid w:val="006A2243"/>
    <w:rsid w:val="006A76BF"/>
    <w:rsid w:val="006B118E"/>
    <w:rsid w:val="006D6BE5"/>
    <w:rsid w:val="006F5C72"/>
    <w:rsid w:val="00700EBB"/>
    <w:rsid w:val="00702597"/>
    <w:rsid w:val="00730291"/>
    <w:rsid w:val="0078593E"/>
    <w:rsid w:val="007F331A"/>
    <w:rsid w:val="00815CBD"/>
    <w:rsid w:val="00833172"/>
    <w:rsid w:val="008367F1"/>
    <w:rsid w:val="008862FC"/>
    <w:rsid w:val="008E267B"/>
    <w:rsid w:val="00907971"/>
    <w:rsid w:val="0093415B"/>
    <w:rsid w:val="009818F3"/>
    <w:rsid w:val="009C3EAC"/>
    <w:rsid w:val="00A47184"/>
    <w:rsid w:val="00A5285B"/>
    <w:rsid w:val="00A55E82"/>
    <w:rsid w:val="00A850BA"/>
    <w:rsid w:val="00A903F6"/>
    <w:rsid w:val="00AE1E30"/>
    <w:rsid w:val="00AE2D96"/>
    <w:rsid w:val="00AF4C3E"/>
    <w:rsid w:val="00B24058"/>
    <w:rsid w:val="00B463AA"/>
    <w:rsid w:val="00B613CB"/>
    <w:rsid w:val="00B757D5"/>
    <w:rsid w:val="00B837DF"/>
    <w:rsid w:val="00BA3852"/>
    <w:rsid w:val="00BB702E"/>
    <w:rsid w:val="00BC3477"/>
    <w:rsid w:val="00BE140A"/>
    <w:rsid w:val="00BE6541"/>
    <w:rsid w:val="00C17361"/>
    <w:rsid w:val="00D03292"/>
    <w:rsid w:val="00D420B0"/>
    <w:rsid w:val="00D52FDB"/>
    <w:rsid w:val="00D60A56"/>
    <w:rsid w:val="00D615D8"/>
    <w:rsid w:val="00D8571B"/>
    <w:rsid w:val="00DB210C"/>
    <w:rsid w:val="00DC7C1C"/>
    <w:rsid w:val="00DF21AB"/>
    <w:rsid w:val="00DF5C54"/>
    <w:rsid w:val="00E041EE"/>
    <w:rsid w:val="00E05FDA"/>
    <w:rsid w:val="00E20C9B"/>
    <w:rsid w:val="00E45719"/>
    <w:rsid w:val="00E45998"/>
    <w:rsid w:val="00E93BB7"/>
    <w:rsid w:val="00EA4885"/>
    <w:rsid w:val="00EA78E2"/>
    <w:rsid w:val="00ED7A0D"/>
    <w:rsid w:val="00EE570C"/>
    <w:rsid w:val="00F33D1C"/>
    <w:rsid w:val="00F61C4A"/>
    <w:rsid w:val="00F9714B"/>
    <w:rsid w:val="00FB046E"/>
    <w:rsid w:val="00FD7639"/>
    <w:rsid w:val="00FE1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92ECB"/>
  <w15:docId w15:val="{4CFB7520-88B8-4CD7-B63F-10F2FB4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A47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ul.langworthy@riotint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iotinto.icn.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olt\AppData\Local\Microsoft\Windows\Temporary%20Internet%20Files\Content.MSO\216D8DE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FDF41C0D0A2941D5B6C79D51C4CD884E"/>
        <w:category>
          <w:name w:val="General"/>
          <w:gallery w:val="placeholder"/>
        </w:category>
        <w:types>
          <w:type w:val="bbPlcHdr"/>
        </w:types>
        <w:behaviors>
          <w:behavior w:val="content"/>
        </w:behaviors>
        <w:guid w:val="{CD4079BD-7D30-47D4-A820-A2E9E9DC2BF4}"/>
      </w:docPartPr>
      <w:docPartBody>
        <w:p w:rsidR="00BD462B" w:rsidRDefault="00BC0423" w:rsidP="00BC0423">
          <w:pPr>
            <w:pStyle w:val="FDF41C0D0A2941D5B6C79D51C4CD884E"/>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9C"/>
    <w:rsid w:val="003A379C"/>
    <w:rsid w:val="004037B1"/>
    <w:rsid w:val="005B29F9"/>
    <w:rsid w:val="00B30DBA"/>
    <w:rsid w:val="00BC0423"/>
    <w:rsid w:val="00BD462B"/>
    <w:rsid w:val="00EC4E8C"/>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0423"/>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FDF41C0D0A2941D5B6C79D51C4CD884E">
    <w:name w:val="FDF41C0D0A2941D5B6C79D51C4CD884E"/>
    <w:rsid w:val="00BC042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Project Phase</TermName>
          <TermId>3a2eedb2-5b49-454c-9c83-eea3cbb1d29e</TermId>
        </TermInfo>
      </Terms>
    </a3abd1c0c7bd4d66b784ef4fa32239ba>
    <TaxCatchAll xmlns="498945f5-0448-4b4c-97d9-fcd4d7a5a1b1">
      <Value>436</Value>
      <Value>1362</Value>
      <Value>3</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Rio Tinto</TermName>
          <TermId>422ffb80-4e73-48fb-869b-9c1d844b59c2</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A3PSR54DD4M5-1731987098-1184</_dlc_DocId>
    <_dlc_DocIdUrl xmlns="498945f5-0448-4b4c-97d9-fcd4d7a5a1b1">
      <Url>https://dochub/div/sectoralgrowthpolicy/businessfunctions/australianindustryparticipation/australianindustryparticipationauthority/australianjobsact2013/_layouts/15/DocIdRedir.aspx?ID=A3PSR54DD4M5-1731987098-1184</Url>
      <Description>A3PSR54DD4M5-1731987098-1184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eade017be248fa6ba8232fa76acb4ab0">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3cad3f1bbe5f36c9ffb8cac5243a6f26"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file>

<file path=customXml/itemProps2.xml><?xml version="1.0" encoding="utf-8"?>
<ds:datastoreItem xmlns:ds="http://schemas.openxmlformats.org/officeDocument/2006/customXml" ds:itemID="{81CA6155-43E7-4138-852B-B32E441D4EE2}"/>
</file>

<file path=customXml/itemProps3.xml><?xml version="1.0" encoding="utf-8"?>
<ds:datastoreItem xmlns:ds="http://schemas.openxmlformats.org/officeDocument/2006/customXml" ds:itemID="{DEC86033-E0A9-43DA-BA4A-5DE5E1C91DF3}"/>
</file>

<file path=customXml/itemProps4.xml><?xml version="1.0" encoding="utf-8"?>
<ds:datastoreItem xmlns:ds="http://schemas.openxmlformats.org/officeDocument/2006/customXml" ds:itemID="{AAF8E447-51F6-40F5-BCEE-149515D8754B}"/>
</file>

<file path=customXml/itemProps5.xml><?xml version="1.0" encoding="utf-8"?>
<ds:datastoreItem xmlns:ds="http://schemas.openxmlformats.org/officeDocument/2006/customXml" ds:itemID="{1F7957EC-1CFB-4AD0-8615-805A07DA1AE8}"/>
</file>

<file path=docProps/app.xml><?xml version="1.0" encoding="utf-8"?>
<Properties xmlns="http://schemas.openxmlformats.org/officeDocument/2006/extended-properties" xmlns:vt="http://schemas.openxmlformats.org/officeDocument/2006/docPropsVTypes">
  <Template>216D8DE2</Template>
  <TotalTime>17</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creator>Swarbrick, Richard</dc:creator>
  <cp:lastModifiedBy>Swarbrick, Richard</cp:lastModifiedBy>
  <cp:revision>5</cp:revision>
  <cp:lastPrinted>2018-08-21T04:08:00Z</cp:lastPrinted>
  <dcterms:created xsi:type="dcterms:W3CDTF">2018-08-21T03:39:00Z</dcterms:created>
  <dcterms:modified xsi:type="dcterms:W3CDTF">2018-08-21T05:28:00Z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436;#Rio Tinto|422ffb80-4e73-48fb-869b-9c1d844b59c2</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1362;#Project Phase|3a2eedb2-5b49-454c-9c83-eea3cbb1d29e</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d9881a98-2a64-4dd4-ab57-a0a4ab87b121</vt:lpwstr>
  </property>
</Properties>
</file>