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3" w:after="638" w:line="240" w:lineRule="auto"/>
        <w:ind w:right="19" w:left="0"/>
        <w:jc w:val="left"/>
        <w:textAlignment w:val="baseline"/>
      </w:pPr>
      <w:r>
        <w:drawing>
          <wp:inline>
            <wp:extent cx="3251835" cy="49085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3" w:after="638" w:line="240" w:lineRule="auto"/>
        <w:sectPr>
          <w:type w:val="nextPage"/>
          <w:pgSz w:w="11904" w:h="16843" w:orient="portrait"/>
          <w:pgMar w:bottom="1747" w:top="2680" w:right="5727" w:left="1037" w:header="720" w:footer="720"/>
          <w:titlePg w:val="false"/>
          <w:textDirection w:val="lrTb"/>
        </w:sectPr>
      </w:pPr>
    </w:p>
    <w:p>
      <w:pPr>
        <w:pageBreakBefore w:val="false"/>
        <w:spacing w:before="0" w:after="354" w:line="418" w:lineRule="exact"/>
        <w:ind w:right="0" w:left="0" w:firstLine="0"/>
        <w:jc w:val="center"/>
        <w:textAlignment w:val="baseline"/>
        <w:rPr>
          <w:rFonts w:ascii="Arial" w:hAnsi="Arial" w:eastAsia="Arial"/>
          <w:color w:val="202B34"/>
          <w:spacing w:val="0"/>
          <w:w w:val="95"/>
          <w:sz w:val="34"/>
          <w:vertAlign w:val="baseline"/>
          <w:lang w:val="en-US"/>
        </w:rPr>
      </w:pPr>
      <w:r>
        <w:rPr>
          <w:rFonts w:ascii="Arial" w:hAnsi="Arial" w:eastAsia="Arial"/>
          <w:color w:val="202B34"/>
          <w:spacing w:val="0"/>
          <w:w w:val="95"/>
          <w:sz w:val="34"/>
          <w:vertAlign w:val="baseline"/>
          <w:lang w:val="en-US"/>
        </w:rPr>
        <w:t xml:space="preserve">Australian Industry Participation (AIP) plan</w:t>
        <w:br/>
      </w:r>
      <w:r>
        <w:rPr>
          <w:rFonts w:ascii="Arial" w:hAnsi="Arial" w:eastAsia="Arial"/>
          <w:color w:val="202B34"/>
          <w:spacing w:val="0"/>
          <w:w w:val="95"/>
          <w:sz w:val="34"/>
          <w:vertAlign w:val="baseline"/>
          <w:lang w:val="en-US"/>
        </w:rPr>
        <w:t xml:space="preserve">Executive Summary</w:t>
      </w:r>
    </w:p>
    <w:p>
      <w:pPr>
        <w:pageBreakBefore w:val="false"/>
        <w:spacing w:before="759" w:after="166" w:line="444" w:lineRule="exact"/>
        <w:ind w:right="0" w:left="216" w:firstLine="0"/>
        <w:jc w:val="left"/>
        <w:textAlignment w:val="baseline"/>
        <w:rPr>
          <w:rFonts w:ascii="Arial" w:hAnsi="Arial" w:eastAsia="Arial"/>
          <w:color w:val="202B34"/>
          <w:spacing w:val="10"/>
          <w:w w:val="95"/>
          <w:sz w:val="38"/>
          <w:vertAlign w:val="baseline"/>
          <w:lang w:val="en-US"/>
        </w:rPr>
      </w:pPr>
      <w:r>
        <w:pict>
          <v:line strokeweight="2.4pt" strokecolor="#D3D6E2" from="42.95pt,266.15pt" to="553pt,266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202B34"/>
          <w:spacing w:val="10"/>
          <w:w w:val="95"/>
          <w:sz w:val="38"/>
          <w:vertAlign w:val="baseline"/>
          <w:lang w:val="en-US"/>
        </w:rPr>
        <w:t xml:space="preserve">1.Organisation and project details</w:t>
      </w:r>
    </w:p>
    <w:p>
      <w:pPr>
        <w:pageBreakBefore w:val="false"/>
        <w:spacing w:before="242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3"/>
          <w:w w:val="100"/>
          <w:sz w:val="17"/>
          <w:vertAlign w:val="baseline"/>
          <w:lang w:val="en-US"/>
        </w:rPr>
      </w:pPr>
      <w:r>
        <w:pict>
          <v:line strokeweight="1.2pt" strokecolor="#202B34" from="42.95pt,334.55pt" to="553pt,334.5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202B34"/>
          <w:spacing w:val="-3"/>
          <w:w w:val="100"/>
          <w:sz w:val="17"/>
          <w:vertAlign w:val="baseline"/>
          <w:lang w:val="en-US"/>
        </w:rPr>
        <w:t xml:space="preserve">Company/organisation name: </w:t>
      </w: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GREAT BARRIER REEF FOUNDATION</w:t>
      </w:r>
    </w:p>
    <w:p>
      <w:pPr>
        <w:pageBreakBefore w:val="false"/>
        <w:spacing w:before="26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9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9"/>
          <w:w w:val="100"/>
          <w:sz w:val="17"/>
          <w:vertAlign w:val="baseline"/>
          <w:lang w:val="en-US"/>
        </w:rPr>
        <w:t xml:space="preserve">Project name:</w:t>
      </w:r>
    </w:p>
    <w:p>
      <w:pPr>
        <w:pageBreakBefore w:val="false"/>
        <w:spacing w:before="30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3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3"/>
          <w:w w:val="100"/>
          <w:sz w:val="17"/>
          <w:vertAlign w:val="baseline"/>
          <w:lang w:val="en-US"/>
        </w:rPr>
        <w:t xml:space="preserve">Description of the project: </w:t>
      </w: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The Reef Trust Partnership is a $443.3 million six-year agreement between the Department of the Environment and</w:t>
      </w:r>
    </w:p>
    <w:p>
      <w:pPr>
        <w:pageBreakBefore w:val="false"/>
        <w:spacing w:before="33" w:after="0" w:line="183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Energy, which manages the Reef Trust, and the Great Barrier Reef Foundation. The Partnership has been established to build on and support delivery</w:t>
      </w:r>
    </w:p>
    <w:p>
      <w:pPr>
        <w:pageBreakBefore w:val="false"/>
        <w:spacing w:before="38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of the joint Australian and Queensland Governments Reef 2050 Long-Term Sustainability Plan. The principal objective of the Partnership is to achieve</w:t>
      </w:r>
    </w:p>
    <w:p>
      <w:pPr>
        <w:pageBreakBefore w:val="false"/>
        <w:spacing w:before="39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significant, measurable improvement in the health of the Great Barrier Reef World Heritage Area in accordance with the Reef 2050 Plan and</w:t>
      </w:r>
    </w:p>
    <w:p>
      <w:pPr>
        <w:pageBreakBefore w:val="false"/>
        <w:spacing w:before="39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underpinned by innovation, science and community engagement. The Partnership will spend:</w:t>
      </w:r>
    </w:p>
    <w:p>
      <w:pPr>
        <w:pageBreakBefore w:val="false"/>
        <w:spacing w:before="34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- $200,649,000 on water quality improvement activities</w:t>
      </w:r>
    </w:p>
    <w:p>
      <w:pPr>
        <w:pageBreakBefore w:val="false"/>
        <w:spacing w:before="38" w:after="0" w:line="181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- $57,800,000 on crown-of-thorns starfish control activities</w:t>
      </w:r>
    </w:p>
    <w:p>
      <w:pPr>
        <w:pageBreakBefore w:val="false"/>
        <w:spacing w:before="40" w:after="0" w:line="183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- $100,000,000 on Reef restoration and adaptation science activities</w:t>
      </w:r>
    </w:p>
    <w:p>
      <w:pPr>
        <w:pageBreakBefore w:val="false"/>
        <w:spacing w:before="38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- $22,349,000 on Traditional Owner and community activities</w:t>
      </w:r>
    </w:p>
    <w:p>
      <w:pPr>
        <w:pageBreakBefore w:val="false"/>
        <w:spacing w:before="39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- $40,000,000 on integrated reporting and monitoring activities; and</w:t>
      </w:r>
    </w:p>
    <w:p>
      <w:pPr>
        <w:pageBreakBefore w:val="false"/>
        <w:spacing w:before="39" w:after="0" w:line="182" w:lineRule="exact"/>
        <w:ind w:right="0" w:left="0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- $22,505,000 on administration activities (plus interest earned on invested funds up to a maximum of 10% of total grant funds provided)</w:t>
      </w:r>
    </w:p>
    <w:p>
      <w:pPr>
        <w:pageBreakBefore w:val="false"/>
        <w:spacing w:before="252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6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6"/>
          <w:w w:val="100"/>
          <w:sz w:val="17"/>
          <w:vertAlign w:val="baseline"/>
          <w:lang w:val="en-US"/>
        </w:rPr>
        <w:t xml:space="preserve">Estimated capital expenditure/total value of the project: </w:t>
      </w:r>
      <w:r>
        <w:rPr>
          <w:rFonts w:ascii="Arial" w:hAnsi="Arial" w:eastAsia="Arial"/>
          <w:color w:val="202B34"/>
          <w:spacing w:val="-6"/>
          <w:w w:val="100"/>
          <w:sz w:val="16"/>
          <w:vertAlign w:val="baseline"/>
          <w:lang w:val="en-US"/>
        </w:rPr>
        <w:t xml:space="preserve">$443,303,000 AUD</w:t>
      </w:r>
    </w:p>
    <w:p>
      <w:pPr>
        <w:pageBreakBefore w:val="false"/>
        <w:spacing w:before="31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7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7"/>
          <w:w w:val="100"/>
          <w:sz w:val="17"/>
          <w:vertAlign w:val="baseline"/>
          <w:lang w:val="en-US"/>
        </w:rPr>
        <w:t xml:space="preserve">Estimated total value of key goods and services: </w:t>
      </w:r>
      <w:r>
        <w:rPr>
          <w:rFonts w:ascii="Arial" w:hAnsi="Arial" w:eastAsia="Arial"/>
          <w:color w:val="202B34"/>
          <w:spacing w:val="-7"/>
          <w:w w:val="100"/>
          <w:sz w:val="16"/>
          <w:vertAlign w:val="baseline"/>
          <w:lang w:val="en-US"/>
        </w:rPr>
        <w:t xml:space="preserve">$440,705,000 AUD</w:t>
      </w:r>
    </w:p>
    <w:p>
      <w:pPr>
        <w:pageBreakBefore w:val="false"/>
        <w:spacing w:before="31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4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4"/>
          <w:w w:val="100"/>
          <w:sz w:val="17"/>
          <w:vertAlign w:val="baseline"/>
          <w:lang w:val="en-US"/>
        </w:rPr>
        <w:t xml:space="preserve">Project location: </w:t>
      </w: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Great Barrier Reef World Heritage Area and associated catchments, Queensland</w:t>
      </w:r>
    </w:p>
    <w:p>
      <w:pPr>
        <w:pageBreakBefore w:val="false"/>
        <w:spacing w:before="31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3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3"/>
          <w:w w:val="100"/>
          <w:sz w:val="17"/>
          <w:vertAlign w:val="baseline"/>
          <w:lang w:val="en-US"/>
        </w:rPr>
        <w:t xml:space="preserve">Link to project information: </w:t>
      </w:r>
      <w:hyperlink r:id="dhId1">
        <w:r>
          <w:rPr>
            <w:rFonts w:ascii="Arial" w:hAnsi="Arial" w:eastAsia="Arial"/>
            <w:color w:val="0000FF"/>
            <w:spacing w:val="-3"/>
            <w:w w:val="100"/>
            <w:sz w:val="16"/>
            <w:u w:val="single"/>
            <w:vertAlign w:val="baseline"/>
            <w:lang w:val="en-US"/>
          </w:rPr>
          <w:t xml:space="preserve">www.barrierreef.org</w:t>
        </w:r>
      </w:hyperlink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spacing w:before="31" w:after="0" w:line="19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5"/>
          <w:w w:val="100"/>
          <w:sz w:val="17"/>
          <w:vertAlign w:val="baseline"/>
          <w:lang w:val="en-US"/>
        </w:rPr>
        <w:t xml:space="preserve">Contact person for procurement information:</w:t>
      </w:r>
    </w:p>
    <w:p>
      <w:pPr>
        <w:pageBreakBefore w:val="false"/>
        <w:spacing w:before="26" w:after="0" w:line="190" w:lineRule="exact"/>
        <w:ind w:right="0" w:left="648" w:firstLine="0"/>
        <w:jc w:val="left"/>
        <w:textAlignment w:val="baseline"/>
        <w:rPr>
          <w:rFonts w:ascii="Arial" w:hAnsi="Arial" w:eastAsia="Arial"/>
          <w:b w:val="true"/>
          <w:color w:val="202B34"/>
          <w:spacing w:val="-4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4"/>
          <w:w w:val="100"/>
          <w:sz w:val="17"/>
          <w:vertAlign w:val="baseline"/>
          <w:lang w:val="en-US"/>
        </w:rPr>
        <w:t xml:space="preserve">Name: </w:t>
      </w: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Damien Dennis</w:t>
      </w:r>
    </w:p>
    <w:p>
      <w:pPr>
        <w:pageBreakBefore w:val="false"/>
        <w:spacing w:before="30" w:after="0" w:line="190" w:lineRule="exact"/>
        <w:ind w:right="0" w:left="648" w:firstLine="0"/>
        <w:jc w:val="left"/>
        <w:textAlignment w:val="baseline"/>
        <w:rPr>
          <w:rFonts w:ascii="Arial" w:hAnsi="Arial" w:eastAsia="Arial"/>
          <w:b w:val="true"/>
          <w:color w:val="202B34"/>
          <w:spacing w:val="-7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7"/>
          <w:w w:val="100"/>
          <w:sz w:val="17"/>
          <w:vertAlign w:val="baseline"/>
          <w:lang w:val="en-US"/>
        </w:rPr>
        <w:t xml:space="preserve">Phone number: </w:t>
      </w:r>
      <w:r>
        <w:rPr>
          <w:rFonts w:ascii="Arial" w:hAnsi="Arial" w:eastAsia="Arial"/>
          <w:color w:val="202B34"/>
          <w:spacing w:val="-7"/>
          <w:w w:val="100"/>
          <w:sz w:val="16"/>
          <w:vertAlign w:val="baseline"/>
          <w:lang w:val="en-US"/>
        </w:rPr>
        <w:t xml:space="preserve">0731710413</w:t>
      </w:r>
    </w:p>
    <w:p>
      <w:pPr>
        <w:pageBreakBefore w:val="false"/>
        <w:spacing w:before="31" w:after="671" w:line="190" w:lineRule="exact"/>
        <w:ind w:right="0" w:left="648" w:firstLine="0"/>
        <w:jc w:val="left"/>
        <w:textAlignment w:val="baseline"/>
        <w:rPr>
          <w:rFonts w:ascii="Arial" w:hAnsi="Arial" w:eastAsia="Arial"/>
          <w:b w:val="true"/>
          <w:color w:val="202B34"/>
          <w:spacing w:val="-5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-5"/>
          <w:w w:val="100"/>
          <w:sz w:val="17"/>
          <w:vertAlign w:val="baseline"/>
          <w:lang w:val="en-US"/>
        </w:rPr>
        <w:t xml:space="preserve">Email address: </w:t>
      </w:r>
      <w:hyperlink r:id="dhId2">
        <w:r>
          <w:rPr>
            <w:rFonts w:ascii="Arial" w:hAnsi="Arial" w:eastAsia="Arial"/>
            <w:color w:val="0000FF"/>
            <w:spacing w:val="-5"/>
            <w:w w:val="100"/>
            <w:sz w:val="16"/>
            <w:u w:val="single"/>
            <w:vertAlign w:val="baseline"/>
            <w:lang w:val="en-US"/>
          </w:rPr>
          <w:t xml:space="preserve">ddennis@barrierreef.org</w:t>
        </w:r>
      </w:hyperlink>
      <w:r>
        <w:rPr>
          <w:rFonts w:ascii="Arial" w:hAnsi="Arial" w:eastAsia="Arial"/>
          <w:color w:val="202B34"/>
          <w:spacing w:val="-5"/>
          <w:w w:val="100"/>
          <w:sz w:val="16"/>
          <w:vertAlign w:val="baseline"/>
          <w:lang w:val="en-US"/>
        </w:rPr>
        <w:t xml:space="preserve">
</w:t>
      </w:r>
    </w:p>
    <w:p>
      <w:pPr>
        <w:pageBreakBefore w:val="false"/>
        <w:spacing w:before="0" w:after="146" w:line="442" w:lineRule="exact"/>
        <w:ind w:right="0" w:left="216" w:firstLine="0"/>
        <w:jc w:val="left"/>
        <w:textAlignment w:val="baseline"/>
        <w:rPr>
          <w:rFonts w:ascii="Arial" w:hAnsi="Arial" w:eastAsia="Arial"/>
          <w:color w:val="202B34"/>
          <w:spacing w:val="10"/>
          <w:w w:val="95"/>
          <w:sz w:val="38"/>
          <w:vertAlign w:val="baseline"/>
          <w:lang w:val="en-US"/>
        </w:rPr>
      </w:pPr>
      <w:r>
        <w:rPr>
          <w:rFonts w:ascii="Arial" w:hAnsi="Arial" w:eastAsia="Arial"/>
          <w:color w:val="202B34"/>
          <w:spacing w:val="10"/>
          <w:w w:val="95"/>
          <w:sz w:val="38"/>
          <w:vertAlign w:val="baseline"/>
          <w:lang w:val="en-US"/>
        </w:rPr>
        <w:t xml:space="preserve">2. Opportunities to supply goods and services</w:t>
      </w:r>
    </w:p>
    <w:p>
      <w:pPr>
        <w:spacing w:before="180" w:after="0" w:line="20" w:lineRule="exact"/>
      </w:pPr>
      <w:r>
        <w:pict>
          <v:line strokeweight="1.2pt" strokecolor="#202B34" from="42.95pt,650.65pt" to="553pt,650.6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Ind w:w="120" w:type="dxa"/>
        <w:tblLayout w:type="fixed"/>
        <w:tblCellMar>
          <w:left w:w="0" w:type="dxa"/>
          <w:right w:w="0" w:type="dxa"/>
        </w:tblCellMar>
      </w:tblPr>
      <w:tblGrid>
        <w:gridCol w:w="6970"/>
        <w:gridCol w:w="1478"/>
        <w:gridCol w:w="1498"/>
      </w:tblGrid>
      <w:tr>
        <w:trPr>
          <w:trHeight w:val="869" w:hRule="exact"/>
        </w:trPr>
        <w:tc>
          <w:tcPr>
            <w:tcW w:w="7090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209" w:after="219" w:line="220" w:lineRule="exact"/>
              <w:ind w:right="180" w:left="108" w:firstLine="0"/>
              <w:jc w:val="both"/>
              <w:textAlignment w:val="baseline"/>
              <w:rPr>
                <w:rFonts w:ascii="Arial" w:hAnsi="Arial" w:eastAsia="Arial"/>
                <w:b w:val="true"/>
                <w:color w:val="202B34"/>
                <w:spacing w:val="-7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02B34"/>
                <w:spacing w:val="-7"/>
                <w:w w:val="100"/>
                <w:sz w:val="17"/>
                <w:vertAlign w:val="baseline"/>
                <w:lang w:val="en-US"/>
              </w:rPr>
              <w:t xml:space="preserve">List of goods and services to be procured for the project and the expected opportunity for industry participation</w:t>
            </w:r>
          </w:p>
        </w:tc>
        <w:tc>
          <w:tcPr>
            <w:tcW w:w="856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81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  <w:t xml:space="preserve">Opportunities for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  <w:t xml:space="preserve">Australian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  <w:t xml:space="preserve">suppliers *</w:t>
            </w:r>
          </w:p>
        </w:tc>
        <w:tc>
          <w:tcPr>
            <w:tcW w:w="1006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81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  <w:t xml:space="preserve">Opportunities for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  <w:t xml:space="preserve">international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7"/>
                <w:vertAlign w:val="baseline"/>
                <w:lang w:val="en-US"/>
              </w:rPr>
              <w:t xml:space="preserve">suppliers</w:t>
            </w:r>
          </w:p>
        </w:tc>
      </w:tr>
      <w:tr>
        <w:trPr>
          <w:trHeight w:val="595" w:hRule="exact"/>
        </w:trPr>
        <w:tc>
          <w:tcPr>
            <w:tcW w:w="7090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2" w:after="96" w:line="221" w:lineRule="exact"/>
              <w:ind w:right="144" w:left="108" w:firstLine="0"/>
              <w:jc w:val="both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On ground activities to reduce pollutant loads running to GBR Includes programs aimed at improving land mgmt through adoption of best mgmt practices refer Annual Work Plan</w:t>
            </w:r>
          </w:p>
        </w:tc>
        <w:tc>
          <w:tcPr>
            <w:tcW w:w="856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80" w:line="18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6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80" w:line="18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</w:tbl>
    <w:p>
      <w:pPr>
        <w:sectPr>
          <w:type w:val="continuous"/>
          <w:pgSz w:w="11904" w:h="16843" w:orient="portrait"/>
          <w:pgMar w:bottom="1747" w:top="2680" w:right="845" w:left="859" w:header="720" w:footer="720"/>
          <w:titlePg w:val="false"/>
          <w:textDirection w:val="lrTb"/>
        </w:sectPr>
      </w:pPr>
    </w:p>
    <w:p>
      <w:pPr>
        <w:spacing w:before="22" w:after="0" w:line="20" w:lineRule="exact"/>
      </w:pPr>
    </w:p>
    <w:tbl>
      <w:tblPr>
        <w:jc w:val="left"/>
        <w:tblInd w:w="127" w:type="dxa"/>
        <w:tblLayout w:type="fixed"/>
        <w:tblCellMar>
          <w:left w:w="0" w:type="dxa"/>
          <w:right w:w="0" w:type="dxa"/>
        </w:tblCellMar>
      </w:tblPr>
      <w:tblGrid>
        <w:gridCol w:w="6970"/>
        <w:gridCol w:w="1478"/>
        <w:gridCol w:w="1498"/>
      </w:tblGrid>
      <w:tr>
        <w:trPr>
          <w:trHeight w:val="710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62" w:after="203" w:line="220" w:lineRule="exact"/>
              <w:ind w:right="144" w:left="72" w:firstLine="0"/>
              <w:jc w:val="both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Water Quality conservation and protection of less disturbed catchments including contribution to land stewardship objectives.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96" w:after="423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96" w:after="423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1" w:after="78" w:line="221" w:lineRule="exact"/>
              <w:ind w:right="216" w:left="108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Water Quality Traditional Owner (TO) led reef protection inititives direct investment in planning and mgmt for improved water quality capacity &amp; opportunities for TO enterprises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30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30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76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1" w:after="73" w:line="221" w:lineRule="exact"/>
              <w:ind w:right="540" w:left="72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Water Quality Innovation and system change - new systems, technologies, financing options to support improvement activities and achieve enduring impact.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5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5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23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10" w:after="126" w:line="186" w:lineRule="exact"/>
              <w:ind w:right="0" w:left="101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COTS manual in water control.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3" w:after="183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3" w:after="183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17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10" w:after="120" w:line="186" w:lineRule="exact"/>
              <w:ind w:right="0" w:left="101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COTS - Control Innovation feasibiltiy and design study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7" w:after="183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7" w:after="183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6" w:after="77" w:line="221" w:lineRule="exact"/>
              <w:ind w:right="216" w:left="72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COTS innovation forum &amp; long term funding strategy to present options to support long term funding for COTS mgmt. Independant scientific reviews of control program effectiveness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6" w:after="72" w:line="221" w:lineRule="exact"/>
              <w:ind w:right="180" w:left="72" w:firstLine="0"/>
              <w:jc w:val="both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COTS community driven activities for expanded involvement in control. TO activities - identification and delivery of training for TO led manual in water control activities.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61" w:after="87" w:line="216" w:lineRule="exact"/>
              <w:ind w:right="360" w:left="108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-4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-4"/>
                <w:w w:val="100"/>
                <w:sz w:val="16"/>
                <w:vertAlign w:val="baseline"/>
                <w:lang w:val="en-US"/>
              </w:rPr>
              <w:t xml:space="preserve">RRAS TO stakeholder engagement. Regulatory activities, Modeling &amp; Decision support systems, Agriculture based program areas including cryopreservation, moving coral and rubble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0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2" w:after="83" w:line="220" w:lineRule="exact"/>
              <w:ind w:right="108" w:left="108" w:firstLine="0"/>
              <w:jc w:val="both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RRAS Solar radiation mgmt, systems engineering &amp; integrated logistics, develop automation &amp; mass production tech, Program mgmt &amp; logistics, TO led reef protection initiatives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18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120" w:line="186" w:lineRule="exact"/>
              <w:ind w:right="0" w:left="101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Establish TO futures fund, land &amp; sea action &amp; investment planning.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8" w:after="178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8" w:after="178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6" w:after="72" w:line="221" w:lineRule="exact"/>
              <w:ind w:right="36" w:left="72" w:firstLine="0"/>
              <w:jc w:val="both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Community - data collection, reporting and application, local reef restoration, collaborative community projects, knowledge exchange &amp; community action plans.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61" w:after="87" w:line="216" w:lineRule="exact"/>
              <w:ind w:right="504" w:left="108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Community - National reef protection challenge, communication case studies, support enduring investment partnership models, empower community heroes.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0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2" w:after="83" w:line="220" w:lineRule="exact"/>
              <w:ind w:right="216" w:left="108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IMR- Essential coral reef monitoring, scoping developing &amp; prototyping an operational reef decision support platform. TO led monitoring &amp; reporting inititives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18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120" w:line="186" w:lineRule="exact"/>
              <w:ind w:right="0" w:left="101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IMR- Design and implentation of a technology transformation fund supported by industry.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8" w:after="178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8" w:after="178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6" w:after="72" w:line="221" w:lineRule="exact"/>
              <w:ind w:right="468" w:left="108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GBRF Administation activites including, Training services, facilitation, communications, project management, legal, software, audit, advisory, staffing, premises, infratructure etc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61" w:after="87" w:line="216" w:lineRule="exact"/>
              <w:ind w:right="324" w:left="72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-3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-3"/>
                <w:w w:val="100"/>
                <w:sz w:val="16"/>
                <w:vertAlign w:val="baseline"/>
                <w:lang w:val="en-US"/>
              </w:rPr>
              <w:t xml:space="preserve">COTS Control Innovation - Research and Development program to implement recomendations of feasibiliy study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0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2" w:after="83" w:line="220" w:lineRule="exact"/>
              <w:ind w:right="108" w:left="72" w:firstLine="0"/>
              <w:jc w:val="both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WQ On ground activities to reduce pollutant loads improving land mgmt practices through adoption of best mgmt practices in fertilisar and pesticide application in the cane industry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9" w:after="260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81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1" w:after="78" w:line="221" w:lineRule="exact"/>
              <w:ind w:right="324" w:left="72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WQ On ground activities to reduce pollutant loads through adoption of grazing best practices in the cattle industry to reduce fine sediment from erosion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30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30" w:after="255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590" w:hRule="exact"/>
        </w:trPr>
        <w:tc>
          <w:tcPr>
            <w:tcW w:w="7097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51" w:after="87" w:line="221" w:lineRule="exact"/>
              <w:ind w:right="216" w:left="72" w:firstLine="0"/>
              <w:jc w:val="left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WQ On gound activities to reduce pollutant loads through major landscape remediation, including of alluvial gullies and stream banks to reduce fine sediment</w:t>
            </w:r>
          </w:p>
        </w:tc>
        <w:tc>
          <w:tcPr>
            <w:tcW w:w="8575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5" w:after="269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25" w:after="269" w:line="18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202B34"/>
                <w:spacing w:val="0"/>
                <w:w w:val="100"/>
                <w:sz w:val="16"/>
                <w:vertAlign w:val="baseline"/>
                <w:lang w:val="en-US"/>
              </w:rPr>
              <w:t xml:space="preserve">No</w:t>
            </w:r>
          </w:p>
        </w:tc>
      </w:tr>
    </w:tbl>
    <w:p>
      <w:pPr>
        <w:spacing w:before="0" w:after="315" w:line="20" w:lineRule="exact"/>
      </w:pPr>
    </w:p>
    <w:p>
      <w:pPr>
        <w:pageBreakBefore w:val="false"/>
        <w:spacing w:before="1" w:after="0" w:line="186" w:lineRule="exact"/>
        <w:ind w:right="0" w:left="144" w:firstLine="0"/>
        <w:jc w:val="left"/>
        <w:textAlignment w:val="baseline"/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* An Australian supplier means an entity that has an ABN or an ACN</w:t>
      </w:r>
    </w:p>
    <w:p>
      <w:pPr>
        <w:sectPr>
          <w:type w:val="nextPage"/>
          <w:pgSz w:w="11904" w:h="16843" w:orient="portrait"/>
          <w:pgMar w:bottom="1947" w:top="3400" w:right="852" w:left="852" w:header="720" w:footer="720"/>
          <w:titlePg w:val="false"/>
          <w:textDirection w:val="lrTb"/>
        </w:sectPr>
      </w:pPr>
    </w:p>
    <w:p>
      <w:pPr>
        <w:pageBreakBefore w:val="false"/>
        <w:spacing w:before="0" w:after="0" w:line="204" w:lineRule="exact"/>
        <w:ind w:right="576" w:left="72" w:firstLine="0"/>
        <w:jc w:val="left"/>
        <w:textAlignment w:val="baseline"/>
        <w:rPr>
          <w:rFonts w:ascii="Arial" w:hAnsi="Arial" w:eastAsia="Arial"/>
          <w:color w:val="202B34"/>
          <w:spacing w:val="0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0"/>
          <w:w w:val="100"/>
          <w:sz w:val="16"/>
          <w:vertAlign w:val="baseline"/>
          <w:lang w:val="en-US"/>
        </w:rPr>
        <w:t xml:space="preserve">Disclaimer: The information provided in the table above is based on an initial assessment by the company. Any questions or issues should be raised with the project contact.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214" w:after="672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Australian standards and certifications will be required for the key goods and services in this project.</w:t>
      </w:r>
    </w:p>
    <w:p>
      <w:pPr>
        <w:pageBreakBefore w:val="false"/>
        <w:spacing w:before="0" w:after="146" w:line="442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8"/>
          <w:w w:val="95"/>
          <w:sz w:val="38"/>
          <w:vertAlign w:val="baseline"/>
          <w:lang w:val="en-US"/>
        </w:rPr>
      </w:pPr>
      <w:r>
        <w:rPr>
          <w:rFonts w:ascii="Arial" w:hAnsi="Arial" w:eastAsia="Arial"/>
          <w:color w:val="202B34"/>
          <w:spacing w:val="8"/>
          <w:w w:val="95"/>
          <w:sz w:val="38"/>
          <w:vertAlign w:val="baseline"/>
          <w:lang w:val="en-US"/>
        </w:rPr>
        <w:t xml:space="preserve">3. Communicating and providing opportunities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203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</w:pPr>
      <w:r>
        <w:pict>
          <v:line strokeweight="1.2pt" strokecolor="#202B34" from="42.6pt,236.65pt" to="552.65pt,236.6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  <w:t xml:space="preserve">Project website OR Project supplier portal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6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  <w:t xml:space="preserve">Liaison with industry associations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0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Public announcements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4"/>
          <w:w w:val="100"/>
          <w:sz w:val="16"/>
          <w:vertAlign w:val="baseline"/>
          <w:lang w:val="en-US"/>
        </w:rPr>
        <w:t xml:space="preserve">Media releases – national broadsheet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6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Media releases – industry magazines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99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  <w:t xml:space="preserve">Social media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  <w:t xml:space="preserve">Workshops/industry briefings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1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  <w:t xml:space="preserve">Direct contact with Australian industry (phone/email/letter)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Promote opportunities to Australian industry in the early stages of the project, including information on how to prequalify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Make tender documents available to all possible suppliers at the same time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1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Allow reasonable and equal time for submissions/responses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94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Conduct workshops that provide sector specific information on how to prepare bids against tenders including information on how to prequalify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6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Create, publish and distribute an AIP policy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0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Include requirement in tender documents that successful tenderers comply with AIP plan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Establish reporting requirement that shows how the AIP plan has been implemented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6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All tenders from Australian and overseas suppliers will be assessed on the same basis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0" w:after="561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The organisation will ensure all AIP plan obligations will flow down to contractors and subcontractors</w:t>
      </w:r>
    </w:p>
    <w:p>
      <w:pPr>
        <w:pageBreakBefore w:val="false"/>
        <w:spacing w:before="0" w:after="151" w:line="442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5"/>
          <w:w w:val="95"/>
          <w:sz w:val="38"/>
          <w:vertAlign w:val="baseline"/>
          <w:lang w:val="en-US"/>
        </w:rPr>
      </w:pPr>
      <w:r>
        <w:rPr>
          <w:rFonts w:ascii="Arial" w:hAnsi="Arial" w:eastAsia="Arial"/>
          <w:color w:val="202B34"/>
          <w:spacing w:val="5"/>
          <w:w w:val="95"/>
          <w:sz w:val="38"/>
          <w:vertAlign w:val="baseline"/>
          <w:lang w:val="en-US"/>
        </w:rPr>
        <w:t xml:space="preserve">4. Facilitating future opportunities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208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pict>
          <v:line strokeweight="1.2pt" strokecolor="#202B34" from="42.6pt,541.45pt" to="552.65pt,541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Support and assist project suppliers to adopt specific standards and accreditations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Encourage project suppliers to undertake research and development and innovative activities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1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Provide strategic feedback to the Commonwealth on emerging trends in industry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2"/>
          <w:w w:val="100"/>
          <w:sz w:val="16"/>
          <w:vertAlign w:val="baseline"/>
          <w:lang w:val="en-US"/>
        </w:rPr>
        <w:t xml:space="preserve">Provide references for high performing suppliers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75" w:after="571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Provide unsuccessful tenderers with appropriate feedback to encourage future performance</w:t>
      </w:r>
    </w:p>
    <w:p>
      <w:pPr>
        <w:pageBreakBefore w:val="false"/>
        <w:spacing w:before="0" w:after="147" w:line="442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6"/>
          <w:w w:val="95"/>
          <w:sz w:val="38"/>
          <w:vertAlign w:val="baseline"/>
          <w:lang w:val="en-US"/>
        </w:rPr>
      </w:pPr>
      <w:r>
        <w:rPr>
          <w:rFonts w:ascii="Arial" w:hAnsi="Arial" w:eastAsia="Arial"/>
          <w:color w:val="202B34"/>
          <w:spacing w:val="6"/>
          <w:w w:val="95"/>
          <w:sz w:val="38"/>
          <w:vertAlign w:val="baseline"/>
          <w:lang w:val="en-US"/>
        </w:rPr>
        <w:t xml:space="preserve">5. Implementation resources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204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pict>
          <v:line strokeweight="1.2pt" strokecolor="#202B34" from="42.6pt,676.55pt" to="552.65pt,676.5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The organisation will record and/or retain evidence to demonstrate implementation of the approved AIP plan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504"/>
        </w:tabs>
        <w:spacing w:before="80" w:after="0" w:line="203" w:lineRule="exact"/>
        <w:ind w:right="0" w:left="288" w:firstLine="0"/>
        <w:jc w:val="left"/>
        <w:textAlignment w:val="baseline"/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</w:pPr>
      <w:r>
        <w:rPr>
          <w:rFonts w:ascii="Arial" w:hAnsi="Arial" w:eastAsia="Arial"/>
          <w:color w:val="202B34"/>
          <w:spacing w:val="-3"/>
          <w:w w:val="100"/>
          <w:sz w:val="16"/>
          <w:vertAlign w:val="baseline"/>
          <w:lang w:val="en-US"/>
        </w:rPr>
        <w:t xml:space="preserve">Develop systems to identify inappropriate action under the AIP plan and to monitor/record the corrective action taken</w:t>
      </w:r>
    </w:p>
    <w:sectPr>
      <w:type w:val="nextPage"/>
      <w:pgSz w:w="11904" w:h="16843" w:orient="portrait"/>
      <w:pgMar w:bottom="2227" w:top="2620" w:right="852" w:left="85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216"/>
        </w:tabs>
      </w:pPr>
      <w:rPr>
        <w:rFonts w:ascii="Symbol" w:hAnsi="Symbol" w:eastAsia="Symbol"/>
        <w:color w:val="202B34"/>
        <w:spacing w:val="-3"/>
        <w:w w:val="100"/>
        <w:sz w:val="16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www.barrierreef.org"/><Relationship Id="dhId2" Type="http://schemas.openxmlformats.org/officeDocument/2006/relationships/hyperlink" TargetMode="External" Target="mailto:ddennis@barrierreef.org"/><Relationship Id="prId1" Type="http://schemas.openxmlformats.org/officeDocument/2006/relationships/image" Target="media/image1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þÿ</dc:title>
</cp:coreProperties>
</file>