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fontTable0.xml" ContentType="application/vnd.openxmlformats-officedocument.wordprocessingml.fontTa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286A7EA" w14:textId="77777777" w:rsidR="00CD458D" w:rsidRDefault="00672FD7">
      <w:pPr>
        <w:spacing w:before="3" w:after="616"/>
        <w:ind w:right="19"/>
        <w:textAlignment w:val="baseline"/>
      </w:pPr>
      <w:r>
        <w:rPr>
          <w:noProof/>
          <w:lang w:val="en-AU" w:eastAsia="en-AU"/>
        </w:rPr>
        <w:drawing>
          <wp:inline distT="0" distB="0" distL="0" distR="0" wp14:anchorId="410A8DF5" wp14:editId="4CF4D010">
            <wp:extent cx="3251835" cy="490855"/>
            <wp:effectExtent l="0" t="0" r="0" b="0"/>
            <wp:docPr id="1" name="Picture"/>
            <wp:cNvGraphicFramePr/>
            <a:graphic xmlns:a="http://schemas.openxmlformats.org/drawingml/2006/main">
              <a:graphicData uri="http://schemas.openxmlformats.org/drawingml/2006/picture">
                <pic:pic xmlns:pic="http://schemas.openxmlformats.org/drawingml/2006/picture">
                  <pic:nvPicPr>
                    <pic:cNvPr id="1" name="Picture"/>
                    <pic:cNvPicPr preferRelativeResize="0"/>
                  </pic:nvPicPr>
                  <pic:blipFill>
                    <a:blip r:embed="rId9"/>
                    <a:stretch>
                      <a:fillRect/>
                    </a:stretch>
                  </pic:blipFill>
                  <pic:spPr>
                    <a:xfrm>
                      <a:off x="0" y="0"/>
                      <a:ext cx="3251835" cy="490855"/>
                    </a:xfrm>
                    <a:prstGeom prst="rect">
                      <a:avLst/>
                    </a:prstGeom>
                  </pic:spPr>
                </pic:pic>
              </a:graphicData>
            </a:graphic>
          </wp:inline>
        </w:drawing>
      </w:r>
    </w:p>
    <w:p w14:paraId="52E48044" w14:textId="77777777" w:rsidR="00CD458D" w:rsidRDefault="00CD458D">
      <w:pPr>
        <w:spacing w:before="3" w:after="616"/>
        <w:sectPr w:rsidR="00CD458D">
          <w:pgSz w:w="11904" w:h="16843"/>
          <w:pgMar w:top="2680" w:right="5727" w:bottom="1627" w:left="1037" w:header="720" w:footer="720" w:gutter="0"/>
          <w:cols w:space="720"/>
        </w:sectPr>
      </w:pPr>
    </w:p>
    <w:p w14:paraId="23199CC0" w14:textId="77777777" w:rsidR="00CD458D" w:rsidRDefault="00672FD7">
      <w:pPr>
        <w:spacing w:after="364" w:line="424" w:lineRule="exact"/>
        <w:jc w:val="center"/>
        <w:textAlignment w:val="baseline"/>
        <w:rPr>
          <w:rFonts w:ascii="Tahoma" w:eastAsia="Tahoma" w:hAnsi="Tahoma"/>
          <w:color w:val="202B34"/>
          <w:sz w:val="33"/>
        </w:rPr>
      </w:pPr>
      <w:r>
        <w:rPr>
          <w:rFonts w:ascii="Tahoma" w:eastAsia="Tahoma" w:hAnsi="Tahoma"/>
          <w:color w:val="202B34"/>
          <w:sz w:val="33"/>
        </w:rPr>
        <w:t xml:space="preserve">Australian Industry Participation (AIP) plan </w:t>
      </w:r>
      <w:r>
        <w:rPr>
          <w:rFonts w:ascii="Tahoma" w:eastAsia="Tahoma" w:hAnsi="Tahoma"/>
          <w:color w:val="202B34"/>
          <w:sz w:val="33"/>
        </w:rPr>
        <w:br/>
        <w:t>Executive Summary</w:t>
      </w:r>
    </w:p>
    <w:p w14:paraId="289F48BE" w14:textId="77777777" w:rsidR="00CD458D" w:rsidRDefault="007B57EF">
      <w:pPr>
        <w:spacing w:before="742" w:after="177" w:line="450" w:lineRule="exact"/>
        <w:ind w:left="216"/>
        <w:textAlignment w:val="baseline"/>
        <w:rPr>
          <w:rFonts w:ascii="Tahoma" w:eastAsia="Tahoma" w:hAnsi="Tahoma"/>
          <w:color w:val="202B34"/>
          <w:spacing w:val="11"/>
          <w:sz w:val="36"/>
        </w:rPr>
      </w:pPr>
      <w:r>
        <w:pict w14:anchorId="66DECA68">
          <v:line id="_x0000_s1031" style="position:absolute;left:0;text-align:left;z-index:251655168;mso-position-horizontal-relative:page;mso-position-vertical-relative:page" from="42.95pt,266.15pt" to="553pt,266.15pt" strokecolor="#d3d6e2" strokeweight="2.4pt">
            <w10:wrap anchorx="page" anchory="page"/>
          </v:line>
        </w:pict>
      </w:r>
      <w:r w:rsidR="00672FD7">
        <w:rPr>
          <w:rFonts w:ascii="Tahoma" w:eastAsia="Tahoma" w:hAnsi="Tahoma"/>
          <w:color w:val="202B34"/>
          <w:spacing w:val="11"/>
          <w:sz w:val="36"/>
        </w:rPr>
        <w:t>1.Organisation and project details</w:t>
      </w:r>
    </w:p>
    <w:p w14:paraId="01B67672" w14:textId="3FDC1C93" w:rsidR="00CD458D" w:rsidRDefault="007B57EF">
      <w:pPr>
        <w:spacing w:before="235" w:line="196" w:lineRule="exact"/>
        <w:textAlignment w:val="baseline"/>
        <w:rPr>
          <w:rFonts w:ascii="Arial" w:eastAsia="Arial" w:hAnsi="Arial"/>
          <w:b/>
          <w:color w:val="202B34"/>
          <w:spacing w:val="2"/>
          <w:sz w:val="16"/>
        </w:rPr>
      </w:pPr>
      <w:r>
        <w:pict w14:anchorId="0C07D465">
          <v:line id="_x0000_s1030" style="position:absolute;z-index:251656192;mso-position-horizontal-relative:page;mso-position-vertical-relative:page" from="42.95pt,334.55pt" to="553pt,334.55pt" strokecolor="#202b34" strokeweight="1.2pt">
            <w10:wrap anchorx="page" anchory="page"/>
          </v:line>
        </w:pict>
      </w:r>
      <w:r w:rsidR="00672FD7">
        <w:rPr>
          <w:rFonts w:ascii="Arial" w:eastAsia="Arial" w:hAnsi="Arial"/>
          <w:b/>
          <w:color w:val="202B34"/>
          <w:spacing w:val="2"/>
          <w:sz w:val="16"/>
        </w:rPr>
        <w:t xml:space="preserve">Company/organisation name: </w:t>
      </w:r>
      <w:r>
        <w:rPr>
          <w:rFonts w:ascii="Tahoma" w:eastAsia="Tahoma" w:hAnsi="Tahoma"/>
          <w:color w:val="202B34"/>
          <w:spacing w:val="2"/>
          <w:sz w:val="16"/>
        </w:rPr>
        <w:t>CENTRAL QU</w:t>
      </w:r>
      <w:bookmarkStart w:id="0" w:name="_GoBack"/>
      <w:bookmarkEnd w:id="0"/>
      <w:r w:rsidR="00672FD7">
        <w:rPr>
          <w:rFonts w:ascii="Tahoma" w:eastAsia="Tahoma" w:hAnsi="Tahoma"/>
          <w:color w:val="202B34"/>
          <w:spacing w:val="2"/>
          <w:sz w:val="16"/>
        </w:rPr>
        <w:t>EENSLAND UNIVERSITY</w:t>
      </w:r>
    </w:p>
    <w:p w14:paraId="4FEAA996" w14:textId="77777777" w:rsidR="00CD458D" w:rsidRDefault="00672FD7">
      <w:pPr>
        <w:spacing w:before="20" w:line="196" w:lineRule="exact"/>
        <w:textAlignment w:val="baseline"/>
        <w:rPr>
          <w:rFonts w:ascii="Arial" w:eastAsia="Arial" w:hAnsi="Arial"/>
          <w:b/>
          <w:color w:val="202B34"/>
          <w:spacing w:val="-3"/>
          <w:sz w:val="16"/>
        </w:rPr>
      </w:pPr>
      <w:r>
        <w:rPr>
          <w:rFonts w:ascii="Arial" w:eastAsia="Arial" w:hAnsi="Arial"/>
          <w:b/>
          <w:color w:val="202B34"/>
          <w:spacing w:val="-3"/>
          <w:sz w:val="16"/>
        </w:rPr>
        <w:t xml:space="preserve">Project name: </w:t>
      </w:r>
      <w:r>
        <w:rPr>
          <w:rFonts w:ascii="Tahoma" w:eastAsia="Tahoma" w:hAnsi="Tahoma"/>
          <w:color w:val="202B34"/>
          <w:spacing w:val="-3"/>
          <w:sz w:val="16"/>
        </w:rPr>
        <w:t>Infrastructure Package</w:t>
      </w:r>
    </w:p>
    <w:p w14:paraId="7878C5D8" w14:textId="77777777" w:rsidR="00CD458D" w:rsidRDefault="00672FD7">
      <w:pPr>
        <w:spacing w:line="219" w:lineRule="exact"/>
        <w:ind w:right="432"/>
        <w:textAlignment w:val="baseline"/>
        <w:rPr>
          <w:rFonts w:ascii="Arial" w:eastAsia="Arial" w:hAnsi="Arial"/>
          <w:b/>
          <w:color w:val="202B34"/>
          <w:spacing w:val="-5"/>
          <w:sz w:val="16"/>
        </w:rPr>
      </w:pPr>
      <w:r>
        <w:rPr>
          <w:rFonts w:ascii="Arial" w:eastAsia="Arial" w:hAnsi="Arial"/>
          <w:b/>
          <w:color w:val="202B34"/>
          <w:spacing w:val="-5"/>
          <w:sz w:val="16"/>
        </w:rPr>
        <w:t xml:space="preserve">Description of the project: </w:t>
      </w:r>
      <w:r>
        <w:rPr>
          <w:rFonts w:ascii="Tahoma" w:eastAsia="Tahoma" w:hAnsi="Tahoma"/>
          <w:color w:val="202B34"/>
          <w:spacing w:val="-5"/>
          <w:sz w:val="16"/>
        </w:rPr>
        <w:t>Central Queensland University provides higher education services to many Northern Australia communities such as Cairns, Townsville, Mackay, Emerald, Rockhampton, Gladstone and Bundaberg. The University also provide educational assistance and study opportunities through its study hubs located in Charters Towers and Biloela, as well as Broome in Western Australia. The provision of tertiary education opportunities within these regional communities will help to stem the loss of young adults to the major capital cities to pursue higher education. This strategic investment package consists of 29 information technology and campus upgrade/renewal projects to enhance the University’s educational offerings to its northern Australian campuses using the most up to date student learning software platforms and facilities.</w:t>
      </w:r>
    </w:p>
    <w:p w14:paraId="4C4AE4F5" w14:textId="77777777" w:rsidR="00CD458D" w:rsidRDefault="00672FD7">
      <w:pPr>
        <w:numPr>
          <w:ilvl w:val="0"/>
          <w:numId w:val="1"/>
        </w:numPr>
        <w:spacing w:before="222" w:line="220" w:lineRule="exact"/>
        <w:ind w:right="216"/>
        <w:textAlignment w:val="baseline"/>
        <w:rPr>
          <w:rFonts w:ascii="Tahoma" w:eastAsia="Tahoma" w:hAnsi="Tahoma"/>
          <w:color w:val="202B34"/>
          <w:sz w:val="16"/>
        </w:rPr>
      </w:pPr>
      <w:r>
        <w:rPr>
          <w:rFonts w:ascii="Tahoma" w:eastAsia="Tahoma" w:hAnsi="Tahoma"/>
          <w:color w:val="202B34"/>
          <w:sz w:val="16"/>
        </w:rPr>
        <w:t>Personal Student Journey - Digital Experience Platform (ITX) - Project timeline 2021 and 2022. Series of experience based digital transformation projects with multi-year roadmap, delivery partners and software developers.</w:t>
      </w:r>
    </w:p>
    <w:p w14:paraId="703E5DA6" w14:textId="77777777" w:rsidR="00CD458D" w:rsidRDefault="00672FD7">
      <w:pPr>
        <w:numPr>
          <w:ilvl w:val="0"/>
          <w:numId w:val="1"/>
        </w:numPr>
        <w:spacing w:before="2" w:line="220" w:lineRule="exact"/>
        <w:ind w:right="648"/>
        <w:textAlignment w:val="baseline"/>
        <w:rPr>
          <w:rFonts w:ascii="Tahoma" w:eastAsia="Tahoma" w:hAnsi="Tahoma"/>
          <w:color w:val="202B34"/>
          <w:sz w:val="16"/>
        </w:rPr>
      </w:pPr>
      <w:r>
        <w:rPr>
          <w:rFonts w:ascii="Tahoma" w:eastAsia="Tahoma" w:hAnsi="Tahoma"/>
          <w:color w:val="202B34"/>
          <w:sz w:val="16"/>
        </w:rPr>
        <w:t>Learning Spaces (Personal Student Journey - TEX) - Project timeline 2021 and 2022. Physical teaching space technology deployment with preferred supplier to approved designs</w:t>
      </w:r>
    </w:p>
    <w:p w14:paraId="239B908F" w14:textId="77777777" w:rsidR="00CD458D" w:rsidRDefault="00672FD7">
      <w:pPr>
        <w:numPr>
          <w:ilvl w:val="0"/>
          <w:numId w:val="1"/>
        </w:numPr>
        <w:spacing w:before="25" w:line="191" w:lineRule="exact"/>
        <w:textAlignment w:val="baseline"/>
        <w:rPr>
          <w:rFonts w:ascii="Tahoma" w:eastAsia="Tahoma" w:hAnsi="Tahoma"/>
          <w:color w:val="202B34"/>
          <w:spacing w:val="-4"/>
          <w:sz w:val="16"/>
        </w:rPr>
      </w:pPr>
      <w:r>
        <w:rPr>
          <w:rFonts w:ascii="Tahoma" w:eastAsia="Tahoma" w:hAnsi="Tahoma"/>
          <w:color w:val="202B34"/>
          <w:spacing w:val="-4"/>
          <w:sz w:val="16"/>
        </w:rPr>
        <w:t>Student Admin Systems Upgrades and Enhancements. Upgrade and enhance core with ERP Partner over 2021 and 2022.</w:t>
      </w:r>
    </w:p>
    <w:p w14:paraId="22057D1E" w14:textId="77777777" w:rsidR="00CD458D" w:rsidRDefault="00672FD7">
      <w:pPr>
        <w:numPr>
          <w:ilvl w:val="0"/>
          <w:numId w:val="1"/>
        </w:numPr>
        <w:spacing w:before="1" w:line="220" w:lineRule="exact"/>
        <w:ind w:right="432"/>
        <w:textAlignment w:val="baseline"/>
        <w:rPr>
          <w:rFonts w:ascii="Tahoma" w:eastAsia="Tahoma" w:hAnsi="Tahoma"/>
          <w:color w:val="202B34"/>
          <w:sz w:val="16"/>
        </w:rPr>
      </w:pPr>
      <w:r>
        <w:rPr>
          <w:rFonts w:ascii="Tahoma" w:eastAsia="Tahoma" w:hAnsi="Tahoma"/>
          <w:color w:val="202B34"/>
          <w:sz w:val="16"/>
        </w:rPr>
        <w:t>Finance Systems - Upgrade and Enhancements. Upgrade and enhance core with ERP Partner; Intelligent forecasting with Calumo, over 2021 and 2022.</w:t>
      </w:r>
    </w:p>
    <w:p w14:paraId="479DA018" w14:textId="77777777" w:rsidR="00CD458D" w:rsidRDefault="00672FD7">
      <w:pPr>
        <w:numPr>
          <w:ilvl w:val="0"/>
          <w:numId w:val="1"/>
        </w:numPr>
        <w:spacing w:before="30" w:line="191" w:lineRule="exact"/>
        <w:textAlignment w:val="baseline"/>
        <w:rPr>
          <w:rFonts w:ascii="Tahoma" w:eastAsia="Tahoma" w:hAnsi="Tahoma"/>
          <w:color w:val="202B34"/>
          <w:spacing w:val="-4"/>
          <w:sz w:val="16"/>
        </w:rPr>
      </w:pPr>
      <w:r>
        <w:rPr>
          <w:rFonts w:ascii="Tahoma" w:eastAsia="Tahoma" w:hAnsi="Tahoma"/>
          <w:color w:val="202B34"/>
          <w:spacing w:val="-4"/>
          <w:sz w:val="16"/>
        </w:rPr>
        <w:t>AIMS - Enhancements. In-house Academic Information System software development and upgrade.</w:t>
      </w:r>
    </w:p>
    <w:p w14:paraId="05139B67" w14:textId="77777777" w:rsidR="00CD458D" w:rsidRDefault="00672FD7">
      <w:pPr>
        <w:numPr>
          <w:ilvl w:val="0"/>
          <w:numId w:val="1"/>
        </w:numPr>
        <w:spacing w:before="30" w:line="191" w:lineRule="exact"/>
        <w:textAlignment w:val="baseline"/>
        <w:rPr>
          <w:rFonts w:ascii="Tahoma" w:eastAsia="Tahoma" w:hAnsi="Tahoma"/>
          <w:color w:val="202B34"/>
          <w:spacing w:val="-4"/>
          <w:sz w:val="16"/>
        </w:rPr>
      </w:pPr>
      <w:r>
        <w:rPr>
          <w:rFonts w:ascii="Tahoma" w:eastAsia="Tahoma" w:hAnsi="Tahoma"/>
          <w:color w:val="202B34"/>
          <w:spacing w:val="-4"/>
          <w:sz w:val="16"/>
        </w:rPr>
        <w:t>Network Equipment Upgrades - All campuses. Technical upgrades to campus and core network equipment over 20211 and 2022.</w:t>
      </w:r>
    </w:p>
    <w:p w14:paraId="5C3D7A5C" w14:textId="77777777" w:rsidR="00CD458D" w:rsidRDefault="00672FD7">
      <w:pPr>
        <w:numPr>
          <w:ilvl w:val="0"/>
          <w:numId w:val="1"/>
        </w:numPr>
        <w:spacing w:before="30" w:line="191" w:lineRule="exact"/>
        <w:textAlignment w:val="baseline"/>
        <w:rPr>
          <w:rFonts w:ascii="Tahoma" w:eastAsia="Tahoma" w:hAnsi="Tahoma"/>
          <w:color w:val="202B34"/>
          <w:spacing w:val="-3"/>
          <w:sz w:val="16"/>
        </w:rPr>
      </w:pPr>
      <w:r>
        <w:rPr>
          <w:rFonts w:ascii="Tahoma" w:eastAsia="Tahoma" w:hAnsi="Tahoma"/>
          <w:color w:val="202B34"/>
          <w:spacing w:val="-3"/>
          <w:sz w:val="16"/>
        </w:rPr>
        <w:t>Datacentre, Server and Backup Upgrades. Core digital hardware replacement.</w:t>
      </w:r>
    </w:p>
    <w:p w14:paraId="3D8C0140" w14:textId="77777777" w:rsidR="00CD458D" w:rsidRDefault="00672FD7">
      <w:pPr>
        <w:numPr>
          <w:ilvl w:val="0"/>
          <w:numId w:val="1"/>
        </w:numPr>
        <w:spacing w:before="25" w:line="191" w:lineRule="exact"/>
        <w:textAlignment w:val="baseline"/>
        <w:rPr>
          <w:rFonts w:ascii="Tahoma" w:eastAsia="Tahoma" w:hAnsi="Tahoma"/>
          <w:color w:val="202B34"/>
          <w:spacing w:val="-2"/>
          <w:sz w:val="16"/>
        </w:rPr>
      </w:pPr>
      <w:r>
        <w:rPr>
          <w:rFonts w:ascii="Tahoma" w:eastAsia="Tahoma" w:hAnsi="Tahoma"/>
          <w:color w:val="202B34"/>
          <w:spacing w:val="-2"/>
          <w:sz w:val="16"/>
        </w:rPr>
        <w:t>Online Systems Mandatory Upgrades - Digital Learning Environment (Moodle). Upgrade core teaching (LMS) platforms.</w:t>
      </w:r>
    </w:p>
    <w:p w14:paraId="3F18C852" w14:textId="77777777" w:rsidR="00CD458D" w:rsidRDefault="00672FD7">
      <w:pPr>
        <w:numPr>
          <w:ilvl w:val="0"/>
          <w:numId w:val="1"/>
        </w:numPr>
        <w:spacing w:before="29" w:line="192" w:lineRule="exact"/>
        <w:textAlignment w:val="baseline"/>
        <w:rPr>
          <w:rFonts w:ascii="Tahoma" w:eastAsia="Tahoma" w:hAnsi="Tahoma"/>
          <w:color w:val="202B34"/>
          <w:spacing w:val="-2"/>
          <w:sz w:val="16"/>
        </w:rPr>
      </w:pPr>
      <w:r>
        <w:rPr>
          <w:rFonts w:ascii="Tahoma" w:eastAsia="Tahoma" w:hAnsi="Tahoma"/>
          <w:color w:val="202B34"/>
          <w:spacing w:val="-2"/>
          <w:sz w:val="16"/>
        </w:rPr>
        <w:t>Research Systems Upgrade and Expansion. Expanmd systems capability to support diverse research operation as per the multi-year roadmap.</w:t>
      </w:r>
    </w:p>
    <w:p w14:paraId="34C9C3FD" w14:textId="77777777" w:rsidR="00CD458D" w:rsidRDefault="00672FD7">
      <w:pPr>
        <w:numPr>
          <w:ilvl w:val="0"/>
          <w:numId w:val="1"/>
        </w:numPr>
        <w:spacing w:before="29" w:line="192" w:lineRule="exact"/>
        <w:textAlignment w:val="baseline"/>
        <w:rPr>
          <w:rFonts w:ascii="Tahoma" w:eastAsia="Tahoma" w:hAnsi="Tahoma"/>
          <w:color w:val="202B34"/>
          <w:spacing w:val="-3"/>
          <w:sz w:val="16"/>
        </w:rPr>
      </w:pPr>
      <w:r>
        <w:rPr>
          <w:rFonts w:ascii="Tahoma" w:eastAsia="Tahoma" w:hAnsi="Tahoma"/>
          <w:color w:val="202B34"/>
          <w:spacing w:val="-3"/>
          <w:sz w:val="16"/>
        </w:rPr>
        <w:t>Cybersecurity Maturity and Awareness. Implementation of strategic roadmap for cyber resilience. multi-year program.</w:t>
      </w:r>
    </w:p>
    <w:p w14:paraId="3B707E5A" w14:textId="77777777" w:rsidR="00CD458D" w:rsidRDefault="00672FD7">
      <w:pPr>
        <w:numPr>
          <w:ilvl w:val="0"/>
          <w:numId w:val="1"/>
        </w:numPr>
        <w:spacing w:before="1" w:line="220" w:lineRule="exact"/>
        <w:ind w:right="216"/>
        <w:textAlignment w:val="baseline"/>
        <w:rPr>
          <w:rFonts w:ascii="Tahoma" w:eastAsia="Tahoma" w:hAnsi="Tahoma"/>
          <w:color w:val="202B34"/>
          <w:sz w:val="16"/>
        </w:rPr>
      </w:pPr>
      <w:r>
        <w:rPr>
          <w:rFonts w:ascii="Tahoma" w:eastAsia="Tahoma" w:hAnsi="Tahoma"/>
          <w:color w:val="202B34"/>
          <w:sz w:val="16"/>
        </w:rPr>
        <w:t>HE Student Lab Computers - Annual Refresh (4 year cycle) - Frontline teaching labs for delivery - computer hardware. Computer hardware will be replaced in specified labs as per the roll out plan.</w:t>
      </w:r>
    </w:p>
    <w:p w14:paraId="65AC1A6F" w14:textId="77777777" w:rsidR="00CD458D" w:rsidRDefault="00672FD7">
      <w:pPr>
        <w:numPr>
          <w:ilvl w:val="0"/>
          <w:numId w:val="1"/>
        </w:numPr>
        <w:spacing w:before="30" w:line="191" w:lineRule="exact"/>
        <w:textAlignment w:val="baseline"/>
        <w:rPr>
          <w:rFonts w:ascii="Tahoma" w:eastAsia="Tahoma" w:hAnsi="Tahoma"/>
          <w:color w:val="202B34"/>
          <w:spacing w:val="-2"/>
          <w:sz w:val="16"/>
        </w:rPr>
      </w:pPr>
      <w:r>
        <w:rPr>
          <w:rFonts w:ascii="Tahoma" w:eastAsia="Tahoma" w:hAnsi="Tahoma"/>
          <w:color w:val="202B34"/>
          <w:spacing w:val="-2"/>
          <w:sz w:val="16"/>
        </w:rPr>
        <w:t>DataSmart - CQU Data Warehouse and Analytics Platform. Enterprise business intelligence system capability expansion over 2021 and 2022.</w:t>
      </w:r>
    </w:p>
    <w:p w14:paraId="167F0911" w14:textId="77777777" w:rsidR="00CD458D" w:rsidRDefault="00672FD7">
      <w:pPr>
        <w:numPr>
          <w:ilvl w:val="0"/>
          <w:numId w:val="1"/>
        </w:numPr>
        <w:spacing w:before="25" w:line="191" w:lineRule="exact"/>
        <w:textAlignment w:val="baseline"/>
        <w:rPr>
          <w:rFonts w:ascii="Tahoma" w:eastAsia="Tahoma" w:hAnsi="Tahoma"/>
          <w:color w:val="202B34"/>
          <w:spacing w:val="-4"/>
          <w:sz w:val="16"/>
        </w:rPr>
      </w:pPr>
      <w:r>
        <w:rPr>
          <w:rFonts w:ascii="Tahoma" w:eastAsia="Tahoma" w:hAnsi="Tahoma"/>
          <w:color w:val="202B34"/>
          <w:spacing w:val="-4"/>
          <w:sz w:val="16"/>
        </w:rPr>
        <w:t>Be Different IaTD Platform Expansion. Expand technology platform for new course products/markets over 2021 and 2022.</w:t>
      </w:r>
    </w:p>
    <w:p w14:paraId="228B8481" w14:textId="77777777" w:rsidR="00CD458D" w:rsidRDefault="00672FD7">
      <w:pPr>
        <w:numPr>
          <w:ilvl w:val="0"/>
          <w:numId w:val="1"/>
        </w:numPr>
        <w:spacing w:before="29" w:line="192" w:lineRule="exact"/>
        <w:textAlignment w:val="baseline"/>
        <w:rPr>
          <w:rFonts w:ascii="Tahoma" w:eastAsia="Tahoma" w:hAnsi="Tahoma"/>
          <w:color w:val="202B34"/>
          <w:spacing w:val="-3"/>
          <w:sz w:val="16"/>
        </w:rPr>
      </w:pPr>
      <w:r>
        <w:rPr>
          <w:rFonts w:ascii="Tahoma" w:eastAsia="Tahoma" w:hAnsi="Tahoma"/>
          <w:color w:val="202B34"/>
          <w:spacing w:val="-3"/>
          <w:sz w:val="16"/>
        </w:rPr>
        <w:t>Human Capital Management - Enabled Capability. Multi-year delivery, implementation and enhancements as per the project scope.</w:t>
      </w:r>
    </w:p>
    <w:p w14:paraId="5D670C99" w14:textId="77777777" w:rsidR="00CD458D" w:rsidRDefault="00672FD7">
      <w:pPr>
        <w:numPr>
          <w:ilvl w:val="0"/>
          <w:numId w:val="1"/>
        </w:numPr>
        <w:spacing w:before="29" w:line="192" w:lineRule="exact"/>
        <w:textAlignment w:val="baseline"/>
        <w:rPr>
          <w:rFonts w:ascii="Tahoma" w:eastAsia="Tahoma" w:hAnsi="Tahoma"/>
          <w:color w:val="202B34"/>
          <w:spacing w:val="-4"/>
          <w:sz w:val="16"/>
        </w:rPr>
      </w:pPr>
      <w:r>
        <w:rPr>
          <w:rFonts w:ascii="Tahoma" w:eastAsia="Tahoma" w:hAnsi="Tahoma"/>
          <w:color w:val="202B34"/>
          <w:spacing w:val="-4"/>
          <w:sz w:val="16"/>
        </w:rPr>
        <w:t>Enhance International Recruitment through StudyLink. Streamline international recruitment.</w:t>
      </w:r>
    </w:p>
    <w:p w14:paraId="555B2B36" w14:textId="77777777" w:rsidR="00CD458D" w:rsidRDefault="00672FD7">
      <w:pPr>
        <w:numPr>
          <w:ilvl w:val="0"/>
          <w:numId w:val="1"/>
        </w:numPr>
        <w:spacing w:before="29" w:line="191" w:lineRule="exact"/>
        <w:textAlignment w:val="baseline"/>
        <w:rPr>
          <w:rFonts w:ascii="Tahoma" w:eastAsia="Tahoma" w:hAnsi="Tahoma"/>
          <w:color w:val="202B34"/>
          <w:spacing w:val="-4"/>
          <w:sz w:val="16"/>
        </w:rPr>
      </w:pPr>
      <w:r>
        <w:rPr>
          <w:rFonts w:ascii="Tahoma" w:eastAsia="Tahoma" w:hAnsi="Tahoma"/>
          <w:color w:val="202B34"/>
          <w:spacing w:val="-4"/>
          <w:sz w:val="16"/>
        </w:rPr>
        <w:t>Web site - Lead generation enhancements - multi-year delivery expectation.</w:t>
      </w:r>
    </w:p>
    <w:p w14:paraId="2595AA75" w14:textId="77777777" w:rsidR="00CD458D" w:rsidRDefault="00672FD7">
      <w:pPr>
        <w:numPr>
          <w:ilvl w:val="0"/>
          <w:numId w:val="1"/>
        </w:numPr>
        <w:spacing w:before="30" w:line="191" w:lineRule="exact"/>
        <w:textAlignment w:val="baseline"/>
        <w:rPr>
          <w:rFonts w:ascii="Tahoma" w:eastAsia="Tahoma" w:hAnsi="Tahoma"/>
          <w:color w:val="202B34"/>
          <w:spacing w:val="-3"/>
          <w:sz w:val="16"/>
        </w:rPr>
      </w:pPr>
      <w:r>
        <w:rPr>
          <w:rFonts w:ascii="Tahoma" w:eastAsia="Tahoma" w:hAnsi="Tahoma"/>
          <w:color w:val="202B34"/>
          <w:spacing w:val="-3"/>
          <w:sz w:val="16"/>
        </w:rPr>
        <w:t>ACS Hybrid Network/Computer Labs. Phased rollout around teaching terms.</w:t>
      </w:r>
    </w:p>
    <w:p w14:paraId="79B91D4C" w14:textId="77777777" w:rsidR="00CD458D" w:rsidRDefault="00672FD7">
      <w:pPr>
        <w:numPr>
          <w:ilvl w:val="0"/>
          <w:numId w:val="1"/>
        </w:numPr>
        <w:spacing w:before="30" w:line="191" w:lineRule="exact"/>
        <w:textAlignment w:val="baseline"/>
        <w:rPr>
          <w:rFonts w:ascii="Tahoma" w:eastAsia="Tahoma" w:hAnsi="Tahoma"/>
          <w:color w:val="202B34"/>
          <w:spacing w:val="-4"/>
          <w:sz w:val="16"/>
        </w:rPr>
      </w:pPr>
      <w:r>
        <w:rPr>
          <w:rFonts w:ascii="Tahoma" w:eastAsia="Tahoma" w:hAnsi="Tahoma"/>
          <w:color w:val="202B34"/>
          <w:spacing w:val="-4"/>
          <w:sz w:val="16"/>
        </w:rPr>
        <w:t>Digital Transformation - Automate Operations. Series of medium software productivity projects throughout 2021 and 2022.</w:t>
      </w:r>
    </w:p>
    <w:p w14:paraId="4DA5E1CC" w14:textId="77777777" w:rsidR="00CD458D" w:rsidRDefault="00672FD7">
      <w:pPr>
        <w:numPr>
          <w:ilvl w:val="0"/>
          <w:numId w:val="1"/>
        </w:numPr>
        <w:spacing w:line="218" w:lineRule="exact"/>
        <w:ind w:right="360"/>
        <w:textAlignment w:val="baseline"/>
        <w:rPr>
          <w:rFonts w:ascii="Tahoma" w:eastAsia="Tahoma" w:hAnsi="Tahoma"/>
          <w:color w:val="202B34"/>
          <w:sz w:val="16"/>
        </w:rPr>
      </w:pPr>
      <w:r>
        <w:rPr>
          <w:rFonts w:ascii="Tahoma" w:eastAsia="Tahoma" w:hAnsi="Tahoma"/>
          <w:color w:val="202B34"/>
          <w:sz w:val="16"/>
        </w:rPr>
        <w:t>Higher Education Course Delivery Assets. IT enhancements and consulting works, with the addition of specialist equipment to enhance course delivery - multi-year project.</w:t>
      </w:r>
    </w:p>
    <w:p w14:paraId="6FD42C3E" w14:textId="77777777" w:rsidR="00CD458D" w:rsidRDefault="00672FD7">
      <w:pPr>
        <w:numPr>
          <w:ilvl w:val="0"/>
          <w:numId w:val="1"/>
        </w:numPr>
        <w:spacing w:before="29" w:line="192" w:lineRule="exact"/>
        <w:textAlignment w:val="baseline"/>
        <w:rPr>
          <w:rFonts w:ascii="Tahoma" w:eastAsia="Tahoma" w:hAnsi="Tahoma"/>
          <w:color w:val="202B34"/>
          <w:spacing w:val="-4"/>
          <w:sz w:val="16"/>
        </w:rPr>
      </w:pPr>
      <w:r>
        <w:rPr>
          <w:rFonts w:ascii="Tahoma" w:eastAsia="Tahoma" w:hAnsi="Tahoma"/>
          <w:color w:val="202B34"/>
          <w:spacing w:val="-4"/>
          <w:sz w:val="16"/>
        </w:rPr>
        <w:t>Medical School. Project scope to be defined with the expectation construction will be finalised by Dec 2021.</w:t>
      </w:r>
    </w:p>
    <w:p w14:paraId="39B23E42" w14:textId="77777777" w:rsidR="00CD458D" w:rsidRDefault="00672FD7">
      <w:pPr>
        <w:numPr>
          <w:ilvl w:val="0"/>
          <w:numId w:val="1"/>
        </w:numPr>
        <w:spacing w:before="29" w:line="191" w:lineRule="exact"/>
        <w:textAlignment w:val="baseline"/>
        <w:rPr>
          <w:rFonts w:ascii="Tahoma" w:eastAsia="Tahoma" w:hAnsi="Tahoma"/>
          <w:color w:val="202B34"/>
          <w:spacing w:val="-4"/>
          <w:sz w:val="16"/>
        </w:rPr>
      </w:pPr>
      <w:r>
        <w:rPr>
          <w:rFonts w:ascii="Tahoma" w:eastAsia="Tahoma" w:hAnsi="Tahoma"/>
          <w:color w:val="202B34"/>
          <w:spacing w:val="-4"/>
          <w:sz w:val="16"/>
        </w:rPr>
        <w:t>Backlog Maintenance. As per the backlog maintenance schedules for 2021 and 2022.</w:t>
      </w:r>
    </w:p>
    <w:p w14:paraId="060B4E02" w14:textId="77777777" w:rsidR="00CD458D" w:rsidRDefault="00672FD7">
      <w:pPr>
        <w:numPr>
          <w:ilvl w:val="0"/>
          <w:numId w:val="1"/>
        </w:numPr>
        <w:spacing w:before="30" w:line="191" w:lineRule="exact"/>
        <w:textAlignment w:val="baseline"/>
        <w:rPr>
          <w:rFonts w:ascii="Tahoma" w:eastAsia="Tahoma" w:hAnsi="Tahoma"/>
          <w:color w:val="202B34"/>
          <w:spacing w:val="-4"/>
          <w:sz w:val="16"/>
        </w:rPr>
      </w:pPr>
      <w:r>
        <w:rPr>
          <w:rFonts w:ascii="Tahoma" w:eastAsia="Tahoma" w:hAnsi="Tahoma"/>
          <w:color w:val="202B34"/>
          <w:spacing w:val="-4"/>
          <w:sz w:val="16"/>
        </w:rPr>
        <w:t>Security System. Stage 2 installation to be finalised by Dec 2021.</w:t>
      </w:r>
    </w:p>
    <w:p w14:paraId="7ABC6902" w14:textId="77777777" w:rsidR="00CD458D" w:rsidRDefault="00CD458D">
      <w:pPr>
        <w:sectPr w:rsidR="00CD458D">
          <w:type w:val="continuous"/>
          <w:pgSz w:w="11904" w:h="16843"/>
          <w:pgMar w:top="2680" w:right="845" w:bottom="1627" w:left="859" w:header="720" w:footer="720" w:gutter="0"/>
          <w:cols w:space="720"/>
        </w:sectPr>
      </w:pPr>
    </w:p>
    <w:p w14:paraId="29155A1A" w14:textId="77777777" w:rsidR="00CD458D" w:rsidRDefault="00672FD7">
      <w:pPr>
        <w:numPr>
          <w:ilvl w:val="0"/>
          <w:numId w:val="2"/>
        </w:numPr>
        <w:spacing w:before="11" w:line="189" w:lineRule="exact"/>
        <w:textAlignment w:val="baseline"/>
        <w:rPr>
          <w:rFonts w:ascii="Tahoma" w:eastAsia="Tahoma" w:hAnsi="Tahoma"/>
          <w:color w:val="202B34"/>
          <w:sz w:val="15"/>
        </w:rPr>
      </w:pPr>
      <w:r>
        <w:rPr>
          <w:rFonts w:ascii="Tahoma" w:eastAsia="Tahoma" w:hAnsi="Tahoma"/>
          <w:color w:val="202B34"/>
          <w:sz w:val="15"/>
        </w:rPr>
        <w:lastRenderedPageBreak/>
        <w:t>School of Mines. Project running over 2021 and 2022 as per the project scope and milestones.</w:t>
      </w:r>
    </w:p>
    <w:p w14:paraId="332E7256" w14:textId="77777777" w:rsidR="00CD458D" w:rsidRDefault="00672FD7">
      <w:pPr>
        <w:numPr>
          <w:ilvl w:val="0"/>
          <w:numId w:val="2"/>
        </w:numPr>
        <w:spacing w:before="31" w:line="190" w:lineRule="exact"/>
        <w:textAlignment w:val="baseline"/>
        <w:rPr>
          <w:rFonts w:ascii="Tahoma" w:eastAsia="Tahoma" w:hAnsi="Tahoma"/>
          <w:color w:val="202B34"/>
          <w:sz w:val="15"/>
        </w:rPr>
      </w:pPr>
      <w:r>
        <w:rPr>
          <w:rFonts w:ascii="Tahoma" w:eastAsia="Tahoma" w:hAnsi="Tahoma"/>
          <w:color w:val="202B34"/>
          <w:sz w:val="15"/>
        </w:rPr>
        <w:t>Campus Upgrades. Project scope as per refurbishment plan for 2021 and 2022.</w:t>
      </w:r>
    </w:p>
    <w:p w14:paraId="17E50D62" w14:textId="77777777" w:rsidR="00CD458D" w:rsidRDefault="00672FD7">
      <w:pPr>
        <w:numPr>
          <w:ilvl w:val="0"/>
          <w:numId w:val="2"/>
        </w:numPr>
        <w:spacing w:before="31" w:line="190" w:lineRule="exact"/>
        <w:textAlignment w:val="baseline"/>
        <w:rPr>
          <w:rFonts w:ascii="Tahoma" w:eastAsia="Tahoma" w:hAnsi="Tahoma"/>
          <w:color w:val="202B34"/>
          <w:sz w:val="15"/>
        </w:rPr>
      </w:pPr>
      <w:r>
        <w:rPr>
          <w:rFonts w:ascii="Tahoma" w:eastAsia="Tahoma" w:hAnsi="Tahoma"/>
          <w:color w:val="202B34"/>
          <w:sz w:val="15"/>
        </w:rPr>
        <w:t>Underground services study - Final scope of project to be developed prior to tender. Due for start and completion in 2022.</w:t>
      </w:r>
    </w:p>
    <w:p w14:paraId="493F2EA9" w14:textId="77777777" w:rsidR="00CD458D" w:rsidRDefault="00672FD7">
      <w:pPr>
        <w:numPr>
          <w:ilvl w:val="0"/>
          <w:numId w:val="2"/>
        </w:numPr>
        <w:spacing w:before="31" w:line="189" w:lineRule="exact"/>
        <w:textAlignment w:val="baseline"/>
        <w:rPr>
          <w:rFonts w:ascii="Tahoma" w:eastAsia="Tahoma" w:hAnsi="Tahoma"/>
          <w:color w:val="202B34"/>
          <w:sz w:val="15"/>
        </w:rPr>
      </w:pPr>
      <w:r>
        <w:rPr>
          <w:rFonts w:ascii="Tahoma" w:eastAsia="Tahoma" w:hAnsi="Tahoma"/>
          <w:color w:val="202B34"/>
          <w:sz w:val="15"/>
        </w:rPr>
        <w:t>Central Chiller- multi-year staged project, to begin in 2022.</w:t>
      </w:r>
    </w:p>
    <w:p w14:paraId="17EDDCDE" w14:textId="77777777" w:rsidR="00CD458D" w:rsidRDefault="00672FD7">
      <w:pPr>
        <w:numPr>
          <w:ilvl w:val="0"/>
          <w:numId w:val="2"/>
        </w:numPr>
        <w:spacing w:before="32" w:line="189" w:lineRule="exact"/>
        <w:textAlignment w:val="baseline"/>
        <w:rPr>
          <w:rFonts w:ascii="Tahoma" w:eastAsia="Tahoma" w:hAnsi="Tahoma"/>
          <w:color w:val="202B34"/>
          <w:spacing w:val="1"/>
          <w:sz w:val="15"/>
        </w:rPr>
      </w:pPr>
      <w:r>
        <w:rPr>
          <w:rFonts w:ascii="Tahoma" w:eastAsia="Tahoma" w:hAnsi="Tahoma"/>
          <w:color w:val="202B34"/>
          <w:spacing w:val="1"/>
          <w:sz w:val="15"/>
        </w:rPr>
        <w:t>Car Park, Roads and Signage Upgrades. Project deliverables as per the planned maintenance schedule in 2022.</w:t>
      </w:r>
    </w:p>
    <w:p w14:paraId="1B3EF177" w14:textId="77777777" w:rsidR="00CD458D" w:rsidRDefault="00672FD7">
      <w:pPr>
        <w:numPr>
          <w:ilvl w:val="0"/>
          <w:numId w:val="2"/>
        </w:numPr>
        <w:spacing w:before="32" w:line="189" w:lineRule="exact"/>
        <w:textAlignment w:val="baseline"/>
        <w:rPr>
          <w:rFonts w:ascii="Tahoma" w:eastAsia="Tahoma" w:hAnsi="Tahoma"/>
          <w:color w:val="202B34"/>
          <w:sz w:val="15"/>
        </w:rPr>
      </w:pPr>
      <w:r>
        <w:rPr>
          <w:rFonts w:ascii="Tahoma" w:eastAsia="Tahoma" w:hAnsi="Tahoma"/>
          <w:color w:val="202B34"/>
          <w:sz w:val="15"/>
        </w:rPr>
        <w:t>Sustainability. Project scope to be determined in accordance with funding. Works to be started and completed in 2022.</w:t>
      </w:r>
    </w:p>
    <w:p w14:paraId="58C21A47" w14:textId="77777777" w:rsidR="00CD458D" w:rsidRDefault="00672FD7">
      <w:pPr>
        <w:numPr>
          <w:ilvl w:val="0"/>
          <w:numId w:val="2"/>
        </w:numPr>
        <w:spacing w:before="27" w:line="189" w:lineRule="exact"/>
        <w:textAlignment w:val="baseline"/>
        <w:rPr>
          <w:rFonts w:ascii="Tahoma" w:eastAsia="Tahoma" w:hAnsi="Tahoma"/>
          <w:color w:val="202B34"/>
          <w:spacing w:val="1"/>
          <w:sz w:val="15"/>
        </w:rPr>
      </w:pPr>
      <w:r>
        <w:rPr>
          <w:rFonts w:ascii="Tahoma" w:eastAsia="Tahoma" w:hAnsi="Tahoma"/>
          <w:color w:val="202B34"/>
          <w:spacing w:val="1"/>
          <w:sz w:val="15"/>
        </w:rPr>
        <w:t>Solar Power- Scope of works to be finalised, expected completion of installation of solar power in Dec 2022.</w:t>
      </w:r>
    </w:p>
    <w:p w14:paraId="2976EA8A" w14:textId="77777777" w:rsidR="00CD458D" w:rsidRDefault="00672FD7">
      <w:pPr>
        <w:spacing w:before="478" w:line="190" w:lineRule="exact"/>
        <w:textAlignment w:val="baseline"/>
        <w:rPr>
          <w:rFonts w:ascii="Arial" w:eastAsia="Arial" w:hAnsi="Arial"/>
          <w:b/>
          <w:color w:val="202B34"/>
          <w:spacing w:val="-5"/>
          <w:sz w:val="17"/>
        </w:rPr>
      </w:pPr>
      <w:r>
        <w:rPr>
          <w:rFonts w:ascii="Arial" w:eastAsia="Arial" w:hAnsi="Arial"/>
          <w:b/>
          <w:color w:val="202B34"/>
          <w:spacing w:val="-5"/>
          <w:sz w:val="17"/>
        </w:rPr>
        <w:t xml:space="preserve">Estimated capital expenditure/total value of the project: </w:t>
      </w:r>
      <w:r>
        <w:rPr>
          <w:rFonts w:ascii="Tahoma" w:eastAsia="Tahoma" w:hAnsi="Tahoma"/>
          <w:color w:val="202B34"/>
          <w:spacing w:val="-5"/>
          <w:sz w:val="15"/>
        </w:rPr>
        <w:t>$70,000,000 AUD</w:t>
      </w:r>
    </w:p>
    <w:p w14:paraId="52107451" w14:textId="77777777" w:rsidR="00CD458D" w:rsidRDefault="00672FD7">
      <w:pPr>
        <w:spacing w:before="31" w:line="190" w:lineRule="exact"/>
        <w:textAlignment w:val="baseline"/>
        <w:rPr>
          <w:rFonts w:ascii="Arial" w:eastAsia="Arial" w:hAnsi="Arial"/>
          <w:b/>
          <w:color w:val="202B34"/>
          <w:spacing w:val="-5"/>
          <w:sz w:val="17"/>
        </w:rPr>
      </w:pPr>
      <w:r>
        <w:rPr>
          <w:rFonts w:ascii="Arial" w:eastAsia="Arial" w:hAnsi="Arial"/>
          <w:b/>
          <w:color w:val="202B34"/>
          <w:spacing w:val="-5"/>
          <w:sz w:val="17"/>
        </w:rPr>
        <w:t xml:space="preserve">Estimated total value of key goods and services: </w:t>
      </w:r>
      <w:r>
        <w:rPr>
          <w:rFonts w:ascii="Tahoma" w:eastAsia="Tahoma" w:hAnsi="Tahoma"/>
          <w:color w:val="202B34"/>
          <w:spacing w:val="-5"/>
          <w:sz w:val="15"/>
        </w:rPr>
        <w:t>$46,342,769 AUD</w:t>
      </w:r>
    </w:p>
    <w:p w14:paraId="5C4B2C81" w14:textId="77777777" w:rsidR="00CD458D" w:rsidRDefault="00672FD7">
      <w:pPr>
        <w:spacing w:before="31" w:line="190" w:lineRule="exact"/>
        <w:textAlignment w:val="baseline"/>
        <w:rPr>
          <w:rFonts w:ascii="Arial" w:eastAsia="Arial" w:hAnsi="Arial"/>
          <w:b/>
          <w:color w:val="202B34"/>
          <w:spacing w:val="1"/>
          <w:sz w:val="17"/>
        </w:rPr>
      </w:pPr>
      <w:r>
        <w:rPr>
          <w:rFonts w:ascii="Arial" w:eastAsia="Arial" w:hAnsi="Arial"/>
          <w:b/>
          <w:color w:val="202B34"/>
          <w:spacing w:val="1"/>
          <w:sz w:val="17"/>
        </w:rPr>
        <w:t xml:space="preserve">Project location: </w:t>
      </w:r>
      <w:r>
        <w:rPr>
          <w:rFonts w:ascii="Tahoma" w:eastAsia="Tahoma" w:hAnsi="Tahoma"/>
          <w:color w:val="202B34"/>
          <w:spacing w:val="1"/>
          <w:sz w:val="15"/>
        </w:rPr>
        <w:t>Gladstone, Cairns, Townsville, Mackay, Emerald, Rockhampton</w:t>
      </w:r>
    </w:p>
    <w:p w14:paraId="4AF72BFA" w14:textId="77777777" w:rsidR="00CD458D" w:rsidRDefault="00672FD7">
      <w:pPr>
        <w:spacing w:before="26" w:line="190" w:lineRule="exact"/>
        <w:textAlignment w:val="baseline"/>
        <w:rPr>
          <w:rFonts w:ascii="Arial" w:eastAsia="Arial" w:hAnsi="Arial"/>
          <w:b/>
          <w:color w:val="202B34"/>
          <w:spacing w:val="-3"/>
          <w:sz w:val="17"/>
        </w:rPr>
      </w:pPr>
      <w:r>
        <w:rPr>
          <w:rFonts w:ascii="Arial" w:eastAsia="Arial" w:hAnsi="Arial"/>
          <w:b/>
          <w:color w:val="202B34"/>
          <w:spacing w:val="-3"/>
          <w:sz w:val="17"/>
        </w:rPr>
        <w:t xml:space="preserve">Link to project information: </w:t>
      </w:r>
      <w:hyperlink r:id="rId10">
        <w:r>
          <w:rPr>
            <w:rFonts w:ascii="Tahoma" w:eastAsia="Tahoma" w:hAnsi="Tahoma"/>
            <w:color w:val="0000FF"/>
            <w:spacing w:val="-3"/>
            <w:sz w:val="15"/>
            <w:u w:val="single"/>
          </w:rPr>
          <w:t>www.cqu.edu.au</w:t>
        </w:r>
      </w:hyperlink>
      <w:r>
        <w:rPr>
          <w:rFonts w:ascii="Tahoma" w:eastAsia="Tahoma" w:hAnsi="Tahoma"/>
          <w:color w:val="202B34"/>
          <w:spacing w:val="-3"/>
          <w:sz w:val="15"/>
        </w:rPr>
        <w:t xml:space="preserve"> </w:t>
      </w:r>
    </w:p>
    <w:p w14:paraId="075EEADE" w14:textId="77777777" w:rsidR="00CD458D" w:rsidRDefault="00672FD7">
      <w:pPr>
        <w:spacing w:before="30" w:line="190" w:lineRule="exact"/>
        <w:textAlignment w:val="baseline"/>
        <w:rPr>
          <w:rFonts w:ascii="Arial" w:eastAsia="Arial" w:hAnsi="Arial"/>
          <w:b/>
          <w:color w:val="202B34"/>
          <w:spacing w:val="-5"/>
          <w:sz w:val="17"/>
        </w:rPr>
      </w:pPr>
      <w:r>
        <w:rPr>
          <w:rFonts w:ascii="Arial" w:eastAsia="Arial" w:hAnsi="Arial"/>
          <w:b/>
          <w:color w:val="202B34"/>
          <w:spacing w:val="-5"/>
          <w:sz w:val="17"/>
        </w:rPr>
        <w:t>Contact person for procurement information:</w:t>
      </w:r>
    </w:p>
    <w:p w14:paraId="5F650057" w14:textId="77777777" w:rsidR="00CD458D" w:rsidRDefault="00672FD7">
      <w:pPr>
        <w:spacing w:before="31" w:line="190" w:lineRule="exact"/>
        <w:ind w:left="648"/>
        <w:textAlignment w:val="baseline"/>
        <w:rPr>
          <w:rFonts w:ascii="Arial" w:eastAsia="Arial" w:hAnsi="Arial"/>
          <w:b/>
          <w:color w:val="202B34"/>
          <w:sz w:val="17"/>
        </w:rPr>
      </w:pPr>
      <w:r>
        <w:rPr>
          <w:rFonts w:ascii="Arial" w:eastAsia="Arial" w:hAnsi="Arial"/>
          <w:b/>
          <w:color w:val="202B34"/>
          <w:sz w:val="17"/>
        </w:rPr>
        <w:t xml:space="preserve">Name: </w:t>
      </w:r>
      <w:r>
        <w:rPr>
          <w:rFonts w:ascii="Tahoma" w:eastAsia="Tahoma" w:hAnsi="Tahoma"/>
          <w:color w:val="202B34"/>
          <w:sz w:val="15"/>
        </w:rPr>
        <w:t>Lynda Woodman</w:t>
      </w:r>
    </w:p>
    <w:p w14:paraId="40CB0490" w14:textId="77777777" w:rsidR="00CD458D" w:rsidRDefault="00672FD7">
      <w:pPr>
        <w:spacing w:before="31" w:line="190" w:lineRule="exact"/>
        <w:ind w:left="648"/>
        <w:textAlignment w:val="baseline"/>
        <w:rPr>
          <w:rFonts w:ascii="Arial" w:eastAsia="Arial" w:hAnsi="Arial"/>
          <w:b/>
          <w:color w:val="202B34"/>
          <w:spacing w:val="-4"/>
          <w:sz w:val="17"/>
        </w:rPr>
      </w:pPr>
      <w:r>
        <w:rPr>
          <w:rFonts w:ascii="Arial" w:eastAsia="Arial" w:hAnsi="Arial"/>
          <w:b/>
          <w:color w:val="202B34"/>
          <w:spacing w:val="-4"/>
          <w:sz w:val="17"/>
        </w:rPr>
        <w:t xml:space="preserve">Phone number: </w:t>
      </w:r>
      <w:r>
        <w:rPr>
          <w:rFonts w:ascii="Tahoma" w:eastAsia="Tahoma" w:hAnsi="Tahoma"/>
          <w:color w:val="202B34"/>
          <w:spacing w:val="-4"/>
          <w:sz w:val="15"/>
        </w:rPr>
        <w:t>0749309236</w:t>
      </w:r>
    </w:p>
    <w:p w14:paraId="477AE4EC" w14:textId="77777777" w:rsidR="00CD458D" w:rsidRDefault="00672FD7">
      <w:pPr>
        <w:spacing w:before="31" w:after="651" w:line="190" w:lineRule="exact"/>
        <w:ind w:left="648"/>
        <w:textAlignment w:val="baseline"/>
        <w:rPr>
          <w:rFonts w:ascii="Arial" w:eastAsia="Arial" w:hAnsi="Arial"/>
          <w:b/>
          <w:color w:val="202B34"/>
          <w:spacing w:val="-2"/>
          <w:sz w:val="17"/>
        </w:rPr>
      </w:pPr>
      <w:r>
        <w:rPr>
          <w:rFonts w:ascii="Arial" w:eastAsia="Arial" w:hAnsi="Arial"/>
          <w:b/>
          <w:color w:val="202B34"/>
          <w:spacing w:val="-2"/>
          <w:sz w:val="17"/>
        </w:rPr>
        <w:t xml:space="preserve">Email address: </w:t>
      </w:r>
      <w:hyperlink r:id="rId11">
        <w:r>
          <w:rPr>
            <w:rFonts w:ascii="Tahoma" w:eastAsia="Tahoma" w:hAnsi="Tahoma"/>
            <w:color w:val="0000FF"/>
            <w:spacing w:val="-2"/>
            <w:sz w:val="15"/>
            <w:u w:val="single"/>
          </w:rPr>
          <w:t>l.woodman@cqu.edu.au</w:t>
        </w:r>
      </w:hyperlink>
      <w:r>
        <w:rPr>
          <w:rFonts w:ascii="Tahoma" w:eastAsia="Tahoma" w:hAnsi="Tahoma"/>
          <w:color w:val="202B34"/>
          <w:spacing w:val="-2"/>
          <w:sz w:val="15"/>
        </w:rPr>
        <w:t xml:space="preserve"> </w:t>
      </w:r>
    </w:p>
    <w:p w14:paraId="50AD1F0E" w14:textId="77777777" w:rsidR="00CD458D" w:rsidRDefault="00672FD7">
      <w:pPr>
        <w:spacing w:after="153" w:line="446" w:lineRule="exact"/>
        <w:ind w:left="288"/>
        <w:textAlignment w:val="baseline"/>
        <w:rPr>
          <w:rFonts w:ascii="Tahoma" w:eastAsia="Tahoma" w:hAnsi="Tahoma"/>
          <w:color w:val="202B34"/>
          <w:spacing w:val="10"/>
          <w:sz w:val="36"/>
        </w:rPr>
      </w:pPr>
      <w:r>
        <w:rPr>
          <w:rFonts w:ascii="Tahoma" w:eastAsia="Tahoma" w:hAnsi="Tahoma"/>
          <w:color w:val="202B34"/>
          <w:spacing w:val="10"/>
          <w:sz w:val="36"/>
        </w:rPr>
        <w:t>2. Opportunities to supply goods and services</w:t>
      </w:r>
    </w:p>
    <w:p w14:paraId="1C8D3674" w14:textId="77777777" w:rsidR="00CD458D" w:rsidRDefault="007B57EF">
      <w:pPr>
        <w:spacing w:before="185" w:line="20" w:lineRule="exact"/>
      </w:pPr>
      <w:r>
        <w:pict w14:anchorId="236BEDA7">
          <v:line id="_x0000_s1029" style="position:absolute;z-index:251657216;mso-position-horizontal-relative:page;mso-position-vertical-relative:page" from="42.6pt,378.5pt" to="552.65pt,378.5pt" strokecolor="#202b34" strokeweight="1.2pt">
            <w10:wrap anchorx="page" anchory="page"/>
          </v:line>
        </w:pict>
      </w:r>
    </w:p>
    <w:tbl>
      <w:tblPr>
        <w:tblW w:w="0" w:type="auto"/>
        <w:tblInd w:w="127" w:type="dxa"/>
        <w:tblLayout w:type="fixed"/>
        <w:tblCellMar>
          <w:left w:w="0" w:type="dxa"/>
          <w:right w:w="0" w:type="dxa"/>
        </w:tblCellMar>
        <w:tblLook w:val="04A0" w:firstRow="1" w:lastRow="0" w:firstColumn="1" w:lastColumn="0" w:noHBand="0" w:noVBand="1"/>
      </w:tblPr>
      <w:tblGrid>
        <w:gridCol w:w="6970"/>
        <w:gridCol w:w="1478"/>
        <w:gridCol w:w="1498"/>
      </w:tblGrid>
      <w:tr w:rsidR="00CD458D" w14:paraId="5AD593C5" w14:textId="77777777">
        <w:trPr>
          <w:trHeight w:hRule="exact" w:val="869"/>
        </w:trPr>
        <w:tc>
          <w:tcPr>
            <w:tcW w:w="6970" w:type="dxa"/>
            <w:tcBorders>
              <w:top w:val="single" w:sz="9" w:space="0" w:color="000000"/>
              <w:left w:val="single" w:sz="9" w:space="0" w:color="000000"/>
              <w:bottom w:val="single" w:sz="9" w:space="0" w:color="000000"/>
              <w:right w:val="single" w:sz="9" w:space="0" w:color="000000"/>
            </w:tcBorders>
            <w:vAlign w:val="center"/>
          </w:tcPr>
          <w:p w14:paraId="706EB5DD" w14:textId="77777777" w:rsidR="00CD458D" w:rsidRDefault="00672FD7">
            <w:pPr>
              <w:spacing w:before="212" w:after="219" w:line="216" w:lineRule="exact"/>
              <w:ind w:left="108" w:right="180"/>
              <w:jc w:val="both"/>
              <w:textAlignment w:val="baseline"/>
              <w:rPr>
                <w:rFonts w:ascii="Arial" w:eastAsia="Arial" w:hAnsi="Arial"/>
                <w:b/>
                <w:color w:val="202B34"/>
                <w:spacing w:val="-7"/>
                <w:sz w:val="17"/>
              </w:rPr>
            </w:pPr>
            <w:r>
              <w:rPr>
                <w:rFonts w:ascii="Arial" w:eastAsia="Arial" w:hAnsi="Arial"/>
                <w:b/>
                <w:color w:val="202B34"/>
                <w:spacing w:val="-7"/>
                <w:sz w:val="17"/>
              </w:rPr>
              <w:t>List of goods and services to be procured for the project and the expected opportunity for industry participation</w:t>
            </w:r>
          </w:p>
        </w:tc>
        <w:tc>
          <w:tcPr>
            <w:tcW w:w="1478" w:type="dxa"/>
            <w:tcBorders>
              <w:top w:val="single" w:sz="9" w:space="0" w:color="000000"/>
              <w:left w:val="single" w:sz="9" w:space="0" w:color="000000"/>
              <w:bottom w:val="single" w:sz="9" w:space="0" w:color="000000"/>
              <w:right w:val="single" w:sz="9" w:space="0" w:color="000000"/>
            </w:tcBorders>
          </w:tcPr>
          <w:p w14:paraId="6243C230" w14:textId="77777777" w:rsidR="00CD458D" w:rsidRDefault="00672FD7">
            <w:pPr>
              <w:spacing w:after="176" w:line="221" w:lineRule="exact"/>
              <w:jc w:val="center"/>
              <w:textAlignment w:val="baseline"/>
              <w:rPr>
                <w:rFonts w:ascii="Arial" w:eastAsia="Arial" w:hAnsi="Arial"/>
                <w:b/>
                <w:color w:val="202B34"/>
                <w:sz w:val="17"/>
              </w:rPr>
            </w:pPr>
            <w:r>
              <w:rPr>
                <w:rFonts w:ascii="Arial" w:eastAsia="Arial" w:hAnsi="Arial"/>
                <w:b/>
                <w:color w:val="202B34"/>
                <w:sz w:val="17"/>
              </w:rPr>
              <w:t xml:space="preserve">Opportunities for </w:t>
            </w:r>
            <w:r>
              <w:rPr>
                <w:rFonts w:ascii="Arial" w:eastAsia="Arial" w:hAnsi="Arial"/>
                <w:b/>
                <w:color w:val="202B34"/>
                <w:sz w:val="17"/>
              </w:rPr>
              <w:br/>
              <w:t xml:space="preserve">Australian </w:t>
            </w:r>
            <w:r>
              <w:rPr>
                <w:rFonts w:ascii="Arial" w:eastAsia="Arial" w:hAnsi="Arial"/>
                <w:b/>
                <w:color w:val="202B34"/>
                <w:sz w:val="17"/>
              </w:rPr>
              <w:br/>
              <w:t>suppliers *</w:t>
            </w:r>
          </w:p>
        </w:tc>
        <w:tc>
          <w:tcPr>
            <w:tcW w:w="1498" w:type="dxa"/>
            <w:tcBorders>
              <w:top w:val="single" w:sz="9" w:space="0" w:color="000000"/>
              <w:left w:val="single" w:sz="9" w:space="0" w:color="000000"/>
              <w:bottom w:val="single" w:sz="9" w:space="0" w:color="000000"/>
              <w:right w:val="single" w:sz="9" w:space="0" w:color="000000"/>
            </w:tcBorders>
          </w:tcPr>
          <w:p w14:paraId="5C7DA2A6" w14:textId="77777777" w:rsidR="00CD458D" w:rsidRDefault="00672FD7">
            <w:pPr>
              <w:spacing w:after="176" w:line="221" w:lineRule="exact"/>
              <w:jc w:val="center"/>
              <w:textAlignment w:val="baseline"/>
              <w:rPr>
                <w:rFonts w:ascii="Arial" w:eastAsia="Arial" w:hAnsi="Arial"/>
                <w:b/>
                <w:color w:val="202B34"/>
                <w:sz w:val="17"/>
              </w:rPr>
            </w:pPr>
            <w:r>
              <w:rPr>
                <w:rFonts w:ascii="Arial" w:eastAsia="Arial" w:hAnsi="Arial"/>
                <w:b/>
                <w:color w:val="202B34"/>
                <w:sz w:val="17"/>
              </w:rPr>
              <w:t xml:space="preserve">Opportunities for </w:t>
            </w:r>
            <w:r>
              <w:rPr>
                <w:rFonts w:ascii="Arial" w:eastAsia="Arial" w:hAnsi="Arial"/>
                <w:b/>
                <w:color w:val="202B34"/>
                <w:sz w:val="17"/>
              </w:rPr>
              <w:br/>
              <w:t xml:space="preserve">international </w:t>
            </w:r>
            <w:r>
              <w:rPr>
                <w:rFonts w:ascii="Arial" w:eastAsia="Arial" w:hAnsi="Arial"/>
                <w:b/>
                <w:color w:val="202B34"/>
                <w:sz w:val="17"/>
              </w:rPr>
              <w:br/>
              <w:t>suppliers</w:t>
            </w:r>
          </w:p>
        </w:tc>
      </w:tr>
      <w:tr w:rsidR="00CD458D" w14:paraId="2548EF23" w14:textId="77777777">
        <w:trPr>
          <w:trHeight w:hRule="exact" w:val="581"/>
        </w:trPr>
        <w:tc>
          <w:tcPr>
            <w:tcW w:w="6970" w:type="dxa"/>
            <w:tcBorders>
              <w:top w:val="single" w:sz="9" w:space="0" w:color="000000"/>
              <w:left w:val="single" w:sz="9" w:space="0" w:color="000000"/>
              <w:bottom w:val="single" w:sz="9" w:space="0" w:color="000000"/>
              <w:right w:val="single" w:sz="9" w:space="0" w:color="000000"/>
            </w:tcBorders>
          </w:tcPr>
          <w:p w14:paraId="4E92C1C2" w14:textId="77777777" w:rsidR="00CD458D" w:rsidRDefault="00672FD7">
            <w:pPr>
              <w:spacing w:before="54" w:after="84" w:line="216" w:lineRule="exact"/>
              <w:ind w:left="108" w:right="180"/>
              <w:jc w:val="both"/>
              <w:textAlignment w:val="baseline"/>
              <w:rPr>
                <w:rFonts w:ascii="Tahoma" w:eastAsia="Tahoma" w:hAnsi="Tahoma"/>
                <w:color w:val="202B34"/>
                <w:sz w:val="15"/>
              </w:rPr>
            </w:pPr>
            <w:r>
              <w:rPr>
                <w:rFonts w:ascii="Tahoma" w:eastAsia="Tahoma" w:hAnsi="Tahoma"/>
                <w:color w:val="202B34"/>
                <w:sz w:val="15"/>
              </w:rPr>
              <w:t>Opportunity 1: Consultancy services – refers to projects 1, 2, 3, 4, 6, 7, 8, 9, 10, 12, 13, 14, 16, 18 and 19.</w:t>
            </w:r>
          </w:p>
        </w:tc>
        <w:tc>
          <w:tcPr>
            <w:tcW w:w="1478" w:type="dxa"/>
            <w:tcBorders>
              <w:top w:val="single" w:sz="9" w:space="0" w:color="000000"/>
              <w:left w:val="single" w:sz="9" w:space="0" w:color="000000"/>
              <w:bottom w:val="single" w:sz="9" w:space="0" w:color="000000"/>
              <w:right w:val="single" w:sz="9" w:space="0" w:color="000000"/>
            </w:tcBorders>
          </w:tcPr>
          <w:p w14:paraId="6F201D78" w14:textId="77777777" w:rsidR="00CD458D" w:rsidRDefault="00672FD7">
            <w:pPr>
              <w:spacing w:before="122" w:after="262" w:line="186" w:lineRule="exact"/>
              <w:jc w:val="center"/>
              <w:textAlignment w:val="baseline"/>
              <w:rPr>
                <w:rFonts w:ascii="Tahoma" w:eastAsia="Tahoma" w:hAnsi="Tahoma"/>
                <w:color w:val="202B34"/>
                <w:sz w:val="15"/>
              </w:rPr>
            </w:pPr>
            <w:r>
              <w:rPr>
                <w:rFonts w:ascii="Tahoma" w:eastAsia="Tahoma" w:hAnsi="Tahoma"/>
                <w:color w:val="202B34"/>
                <w:sz w:val="15"/>
              </w:rPr>
              <w:t>Yes</w:t>
            </w:r>
          </w:p>
        </w:tc>
        <w:tc>
          <w:tcPr>
            <w:tcW w:w="1498" w:type="dxa"/>
            <w:tcBorders>
              <w:top w:val="single" w:sz="9" w:space="0" w:color="000000"/>
              <w:left w:val="single" w:sz="9" w:space="0" w:color="000000"/>
              <w:bottom w:val="single" w:sz="9" w:space="0" w:color="000000"/>
              <w:right w:val="single" w:sz="9" w:space="0" w:color="000000"/>
            </w:tcBorders>
          </w:tcPr>
          <w:p w14:paraId="3E17774F" w14:textId="77777777" w:rsidR="00CD458D" w:rsidRDefault="00672FD7">
            <w:pPr>
              <w:spacing w:before="122" w:after="262" w:line="186" w:lineRule="exact"/>
              <w:jc w:val="center"/>
              <w:textAlignment w:val="baseline"/>
              <w:rPr>
                <w:rFonts w:ascii="Tahoma" w:eastAsia="Tahoma" w:hAnsi="Tahoma"/>
                <w:color w:val="202B34"/>
                <w:sz w:val="15"/>
              </w:rPr>
            </w:pPr>
            <w:r>
              <w:rPr>
                <w:rFonts w:ascii="Tahoma" w:eastAsia="Tahoma" w:hAnsi="Tahoma"/>
                <w:color w:val="202B34"/>
                <w:sz w:val="15"/>
              </w:rPr>
              <w:t>Yes</w:t>
            </w:r>
          </w:p>
        </w:tc>
      </w:tr>
      <w:tr w:rsidR="00CD458D" w14:paraId="4C0C61F2" w14:textId="77777777">
        <w:trPr>
          <w:trHeight w:hRule="exact" w:val="417"/>
        </w:trPr>
        <w:tc>
          <w:tcPr>
            <w:tcW w:w="6970" w:type="dxa"/>
            <w:tcBorders>
              <w:top w:val="single" w:sz="9" w:space="0" w:color="000000"/>
              <w:left w:val="single" w:sz="9" w:space="0" w:color="000000"/>
              <w:bottom w:val="single" w:sz="9" w:space="0" w:color="000000"/>
              <w:right w:val="single" w:sz="9" w:space="0" w:color="000000"/>
            </w:tcBorders>
            <w:vAlign w:val="center"/>
          </w:tcPr>
          <w:p w14:paraId="7A0AD898" w14:textId="77777777" w:rsidR="00CD458D" w:rsidRDefault="00672FD7">
            <w:pPr>
              <w:spacing w:before="103" w:after="115" w:line="189" w:lineRule="exact"/>
              <w:ind w:left="106"/>
              <w:textAlignment w:val="baseline"/>
              <w:rPr>
                <w:rFonts w:ascii="Tahoma" w:eastAsia="Tahoma" w:hAnsi="Tahoma"/>
                <w:color w:val="202B34"/>
                <w:sz w:val="15"/>
              </w:rPr>
            </w:pPr>
            <w:r>
              <w:rPr>
                <w:rFonts w:ascii="Tahoma" w:eastAsia="Tahoma" w:hAnsi="Tahoma"/>
                <w:color w:val="202B34"/>
                <w:sz w:val="15"/>
              </w:rPr>
              <w:t>Opportunity 2: Computer hardware– refers to projects 2, 6, 7, 9, 10, 11 and 17</w:t>
            </w:r>
          </w:p>
        </w:tc>
        <w:tc>
          <w:tcPr>
            <w:tcW w:w="1478" w:type="dxa"/>
            <w:tcBorders>
              <w:top w:val="single" w:sz="9" w:space="0" w:color="000000"/>
              <w:left w:val="single" w:sz="9" w:space="0" w:color="000000"/>
              <w:bottom w:val="single" w:sz="9" w:space="0" w:color="000000"/>
              <w:right w:val="single" w:sz="9" w:space="0" w:color="000000"/>
            </w:tcBorders>
          </w:tcPr>
          <w:p w14:paraId="0D2438FB" w14:textId="77777777" w:rsidR="00CD458D" w:rsidRDefault="00672FD7">
            <w:pPr>
              <w:spacing w:before="40" w:after="181" w:line="186" w:lineRule="exact"/>
              <w:jc w:val="center"/>
              <w:textAlignment w:val="baseline"/>
              <w:rPr>
                <w:rFonts w:ascii="Tahoma" w:eastAsia="Tahoma" w:hAnsi="Tahoma"/>
                <w:color w:val="202B34"/>
                <w:sz w:val="15"/>
              </w:rPr>
            </w:pPr>
            <w:r>
              <w:rPr>
                <w:rFonts w:ascii="Tahoma" w:eastAsia="Tahoma" w:hAnsi="Tahoma"/>
                <w:color w:val="202B34"/>
                <w:sz w:val="15"/>
              </w:rPr>
              <w:t>Yes</w:t>
            </w:r>
          </w:p>
        </w:tc>
        <w:tc>
          <w:tcPr>
            <w:tcW w:w="1498" w:type="dxa"/>
            <w:tcBorders>
              <w:top w:val="single" w:sz="9" w:space="0" w:color="000000"/>
              <w:left w:val="single" w:sz="9" w:space="0" w:color="000000"/>
              <w:bottom w:val="single" w:sz="9" w:space="0" w:color="000000"/>
              <w:right w:val="single" w:sz="9" w:space="0" w:color="000000"/>
            </w:tcBorders>
          </w:tcPr>
          <w:p w14:paraId="41AAAF1A" w14:textId="77777777" w:rsidR="00CD458D" w:rsidRDefault="00672FD7">
            <w:pPr>
              <w:spacing w:before="40" w:after="181" w:line="186" w:lineRule="exact"/>
              <w:jc w:val="center"/>
              <w:textAlignment w:val="baseline"/>
              <w:rPr>
                <w:rFonts w:ascii="Tahoma" w:eastAsia="Tahoma" w:hAnsi="Tahoma"/>
                <w:color w:val="202B34"/>
                <w:sz w:val="15"/>
              </w:rPr>
            </w:pPr>
            <w:r>
              <w:rPr>
                <w:rFonts w:ascii="Tahoma" w:eastAsia="Tahoma" w:hAnsi="Tahoma"/>
                <w:color w:val="202B34"/>
                <w:sz w:val="15"/>
              </w:rPr>
              <w:t>No</w:t>
            </w:r>
          </w:p>
        </w:tc>
      </w:tr>
      <w:tr w:rsidR="00CD458D" w14:paraId="5A6EAF7D" w14:textId="77777777">
        <w:trPr>
          <w:trHeight w:hRule="exact" w:val="423"/>
        </w:trPr>
        <w:tc>
          <w:tcPr>
            <w:tcW w:w="6970" w:type="dxa"/>
            <w:tcBorders>
              <w:top w:val="single" w:sz="9" w:space="0" w:color="000000"/>
              <w:left w:val="single" w:sz="9" w:space="0" w:color="000000"/>
              <w:bottom w:val="single" w:sz="9" w:space="0" w:color="000000"/>
              <w:right w:val="single" w:sz="9" w:space="0" w:color="000000"/>
            </w:tcBorders>
            <w:vAlign w:val="center"/>
          </w:tcPr>
          <w:p w14:paraId="1216512A" w14:textId="77777777" w:rsidR="00CD458D" w:rsidRDefault="00672FD7">
            <w:pPr>
              <w:spacing w:before="103" w:after="129" w:line="190" w:lineRule="exact"/>
              <w:ind w:left="106"/>
              <w:textAlignment w:val="baseline"/>
              <w:rPr>
                <w:rFonts w:ascii="Tahoma" w:eastAsia="Tahoma" w:hAnsi="Tahoma"/>
                <w:color w:val="202B34"/>
                <w:sz w:val="15"/>
              </w:rPr>
            </w:pPr>
            <w:r>
              <w:rPr>
                <w:rFonts w:ascii="Tahoma" w:eastAsia="Tahoma" w:hAnsi="Tahoma"/>
                <w:color w:val="202B34"/>
                <w:sz w:val="15"/>
              </w:rPr>
              <w:t>Opportunity 3: Computer software – refers to projects 1, 2, 6, 7, 9, 10, 12, 14 and 18</w:t>
            </w:r>
          </w:p>
        </w:tc>
        <w:tc>
          <w:tcPr>
            <w:tcW w:w="1478" w:type="dxa"/>
            <w:tcBorders>
              <w:top w:val="single" w:sz="9" w:space="0" w:color="000000"/>
              <w:left w:val="single" w:sz="9" w:space="0" w:color="000000"/>
              <w:bottom w:val="single" w:sz="9" w:space="0" w:color="000000"/>
              <w:right w:val="single" w:sz="9" w:space="0" w:color="000000"/>
            </w:tcBorders>
          </w:tcPr>
          <w:p w14:paraId="7D348056" w14:textId="77777777" w:rsidR="00CD458D" w:rsidRDefault="00672FD7">
            <w:pPr>
              <w:spacing w:before="46" w:after="190" w:line="186" w:lineRule="exact"/>
              <w:jc w:val="center"/>
              <w:textAlignment w:val="baseline"/>
              <w:rPr>
                <w:rFonts w:ascii="Tahoma" w:eastAsia="Tahoma" w:hAnsi="Tahoma"/>
                <w:color w:val="202B34"/>
                <w:sz w:val="15"/>
              </w:rPr>
            </w:pPr>
            <w:r>
              <w:rPr>
                <w:rFonts w:ascii="Tahoma" w:eastAsia="Tahoma" w:hAnsi="Tahoma"/>
                <w:color w:val="202B34"/>
                <w:sz w:val="15"/>
              </w:rPr>
              <w:t>Yes</w:t>
            </w:r>
          </w:p>
        </w:tc>
        <w:tc>
          <w:tcPr>
            <w:tcW w:w="1498" w:type="dxa"/>
            <w:tcBorders>
              <w:top w:val="single" w:sz="9" w:space="0" w:color="000000"/>
              <w:left w:val="single" w:sz="9" w:space="0" w:color="000000"/>
              <w:bottom w:val="single" w:sz="9" w:space="0" w:color="000000"/>
              <w:right w:val="single" w:sz="9" w:space="0" w:color="000000"/>
            </w:tcBorders>
          </w:tcPr>
          <w:p w14:paraId="622C5967" w14:textId="77777777" w:rsidR="00CD458D" w:rsidRDefault="00672FD7">
            <w:pPr>
              <w:spacing w:before="46" w:after="190" w:line="186" w:lineRule="exact"/>
              <w:jc w:val="center"/>
              <w:textAlignment w:val="baseline"/>
              <w:rPr>
                <w:rFonts w:ascii="Tahoma" w:eastAsia="Tahoma" w:hAnsi="Tahoma"/>
                <w:color w:val="202B34"/>
                <w:sz w:val="15"/>
              </w:rPr>
            </w:pPr>
            <w:r>
              <w:rPr>
                <w:rFonts w:ascii="Tahoma" w:eastAsia="Tahoma" w:hAnsi="Tahoma"/>
                <w:color w:val="202B34"/>
                <w:sz w:val="15"/>
              </w:rPr>
              <w:t>Yes</w:t>
            </w:r>
          </w:p>
        </w:tc>
      </w:tr>
      <w:tr w:rsidR="00CD458D" w14:paraId="04118F9A" w14:textId="77777777">
        <w:trPr>
          <w:trHeight w:hRule="exact" w:val="417"/>
        </w:trPr>
        <w:tc>
          <w:tcPr>
            <w:tcW w:w="6970" w:type="dxa"/>
            <w:tcBorders>
              <w:top w:val="single" w:sz="9" w:space="0" w:color="000000"/>
              <w:left w:val="single" w:sz="9" w:space="0" w:color="000000"/>
              <w:bottom w:val="single" w:sz="9" w:space="0" w:color="000000"/>
              <w:right w:val="single" w:sz="9" w:space="0" w:color="000000"/>
            </w:tcBorders>
            <w:vAlign w:val="center"/>
          </w:tcPr>
          <w:p w14:paraId="634F3DE7" w14:textId="77777777" w:rsidR="00CD458D" w:rsidRDefault="00672FD7">
            <w:pPr>
              <w:spacing w:before="103" w:after="124" w:line="189" w:lineRule="exact"/>
              <w:ind w:left="106"/>
              <w:textAlignment w:val="baseline"/>
              <w:rPr>
                <w:rFonts w:ascii="Tahoma" w:eastAsia="Tahoma" w:hAnsi="Tahoma"/>
                <w:color w:val="202B34"/>
                <w:spacing w:val="-2"/>
                <w:sz w:val="15"/>
              </w:rPr>
            </w:pPr>
            <w:r>
              <w:rPr>
                <w:rFonts w:ascii="Tahoma" w:eastAsia="Tahoma" w:hAnsi="Tahoma"/>
                <w:color w:val="202B34"/>
                <w:spacing w:val="-2"/>
                <w:sz w:val="15"/>
              </w:rPr>
              <w:t>Opportunity 4: Building and Maintenance works – refers to projects 20, 21, 22, 23, 24, 25, 27, 28 and 29</w:t>
            </w:r>
          </w:p>
        </w:tc>
        <w:tc>
          <w:tcPr>
            <w:tcW w:w="1478" w:type="dxa"/>
            <w:tcBorders>
              <w:top w:val="single" w:sz="9" w:space="0" w:color="000000"/>
              <w:left w:val="single" w:sz="9" w:space="0" w:color="000000"/>
              <w:bottom w:val="single" w:sz="9" w:space="0" w:color="000000"/>
              <w:right w:val="single" w:sz="9" w:space="0" w:color="000000"/>
            </w:tcBorders>
          </w:tcPr>
          <w:p w14:paraId="7206AB8B" w14:textId="77777777" w:rsidR="00CD458D" w:rsidRDefault="00672FD7">
            <w:pPr>
              <w:spacing w:before="40" w:after="190" w:line="186" w:lineRule="exact"/>
              <w:jc w:val="center"/>
              <w:textAlignment w:val="baseline"/>
              <w:rPr>
                <w:rFonts w:ascii="Tahoma" w:eastAsia="Tahoma" w:hAnsi="Tahoma"/>
                <w:color w:val="202B34"/>
                <w:sz w:val="15"/>
              </w:rPr>
            </w:pPr>
            <w:r>
              <w:rPr>
                <w:rFonts w:ascii="Tahoma" w:eastAsia="Tahoma" w:hAnsi="Tahoma"/>
                <w:color w:val="202B34"/>
                <w:sz w:val="15"/>
              </w:rPr>
              <w:t>Yes</w:t>
            </w:r>
          </w:p>
        </w:tc>
        <w:tc>
          <w:tcPr>
            <w:tcW w:w="1498" w:type="dxa"/>
            <w:tcBorders>
              <w:top w:val="single" w:sz="9" w:space="0" w:color="000000"/>
              <w:left w:val="single" w:sz="9" w:space="0" w:color="000000"/>
              <w:bottom w:val="single" w:sz="9" w:space="0" w:color="000000"/>
              <w:right w:val="single" w:sz="9" w:space="0" w:color="000000"/>
            </w:tcBorders>
          </w:tcPr>
          <w:p w14:paraId="04EFF188" w14:textId="77777777" w:rsidR="00CD458D" w:rsidRDefault="00672FD7">
            <w:pPr>
              <w:spacing w:before="40" w:after="190" w:line="186" w:lineRule="exact"/>
              <w:jc w:val="center"/>
              <w:textAlignment w:val="baseline"/>
              <w:rPr>
                <w:rFonts w:ascii="Tahoma" w:eastAsia="Tahoma" w:hAnsi="Tahoma"/>
                <w:color w:val="202B34"/>
                <w:sz w:val="15"/>
              </w:rPr>
            </w:pPr>
            <w:r>
              <w:rPr>
                <w:rFonts w:ascii="Tahoma" w:eastAsia="Tahoma" w:hAnsi="Tahoma"/>
                <w:color w:val="202B34"/>
                <w:sz w:val="15"/>
              </w:rPr>
              <w:t>No</w:t>
            </w:r>
          </w:p>
        </w:tc>
      </w:tr>
      <w:tr w:rsidR="00CD458D" w14:paraId="16CE202C" w14:textId="77777777">
        <w:trPr>
          <w:trHeight w:hRule="exact" w:val="437"/>
        </w:trPr>
        <w:tc>
          <w:tcPr>
            <w:tcW w:w="6970" w:type="dxa"/>
            <w:tcBorders>
              <w:top w:val="single" w:sz="9" w:space="0" w:color="000000"/>
              <w:left w:val="single" w:sz="9" w:space="0" w:color="000000"/>
              <w:bottom w:val="single" w:sz="9" w:space="0" w:color="000000"/>
              <w:right w:val="single" w:sz="9" w:space="0" w:color="000000"/>
            </w:tcBorders>
            <w:vAlign w:val="center"/>
          </w:tcPr>
          <w:p w14:paraId="30BECC55" w14:textId="77777777" w:rsidR="00CD458D" w:rsidRDefault="00672FD7">
            <w:pPr>
              <w:spacing w:before="103" w:after="138" w:line="190" w:lineRule="exact"/>
              <w:ind w:left="106"/>
              <w:textAlignment w:val="baseline"/>
              <w:rPr>
                <w:rFonts w:ascii="Tahoma" w:eastAsia="Tahoma" w:hAnsi="Tahoma"/>
                <w:color w:val="202B34"/>
                <w:sz w:val="15"/>
              </w:rPr>
            </w:pPr>
            <w:r>
              <w:rPr>
                <w:rFonts w:ascii="Tahoma" w:eastAsia="Tahoma" w:hAnsi="Tahoma"/>
                <w:color w:val="202B34"/>
                <w:sz w:val="15"/>
              </w:rPr>
              <w:t>Opportunity 5: Specialised equipment – refers to projects 6, 19, 22 and 26</w:t>
            </w:r>
          </w:p>
        </w:tc>
        <w:tc>
          <w:tcPr>
            <w:tcW w:w="1478" w:type="dxa"/>
            <w:tcBorders>
              <w:top w:val="single" w:sz="9" w:space="0" w:color="000000"/>
              <w:left w:val="single" w:sz="9" w:space="0" w:color="000000"/>
              <w:bottom w:val="single" w:sz="9" w:space="0" w:color="000000"/>
              <w:right w:val="single" w:sz="9" w:space="0" w:color="000000"/>
            </w:tcBorders>
          </w:tcPr>
          <w:p w14:paraId="22B19400" w14:textId="77777777" w:rsidR="00CD458D" w:rsidRDefault="00672FD7">
            <w:pPr>
              <w:spacing w:before="46" w:after="199" w:line="186" w:lineRule="exact"/>
              <w:jc w:val="center"/>
              <w:textAlignment w:val="baseline"/>
              <w:rPr>
                <w:rFonts w:ascii="Tahoma" w:eastAsia="Tahoma" w:hAnsi="Tahoma"/>
                <w:color w:val="202B34"/>
                <w:sz w:val="15"/>
              </w:rPr>
            </w:pPr>
            <w:r>
              <w:rPr>
                <w:rFonts w:ascii="Tahoma" w:eastAsia="Tahoma" w:hAnsi="Tahoma"/>
                <w:color w:val="202B34"/>
                <w:sz w:val="15"/>
              </w:rPr>
              <w:t>Yes</w:t>
            </w:r>
          </w:p>
        </w:tc>
        <w:tc>
          <w:tcPr>
            <w:tcW w:w="1498" w:type="dxa"/>
            <w:tcBorders>
              <w:top w:val="single" w:sz="9" w:space="0" w:color="000000"/>
              <w:left w:val="single" w:sz="9" w:space="0" w:color="000000"/>
              <w:bottom w:val="single" w:sz="9" w:space="0" w:color="000000"/>
              <w:right w:val="single" w:sz="9" w:space="0" w:color="000000"/>
            </w:tcBorders>
          </w:tcPr>
          <w:p w14:paraId="1187838B" w14:textId="77777777" w:rsidR="00CD458D" w:rsidRDefault="00672FD7">
            <w:pPr>
              <w:spacing w:before="46" w:after="199" w:line="186" w:lineRule="exact"/>
              <w:jc w:val="center"/>
              <w:textAlignment w:val="baseline"/>
              <w:rPr>
                <w:rFonts w:ascii="Tahoma" w:eastAsia="Tahoma" w:hAnsi="Tahoma"/>
                <w:color w:val="202B34"/>
                <w:sz w:val="15"/>
              </w:rPr>
            </w:pPr>
            <w:r>
              <w:rPr>
                <w:rFonts w:ascii="Tahoma" w:eastAsia="Tahoma" w:hAnsi="Tahoma"/>
                <w:color w:val="202B34"/>
                <w:sz w:val="15"/>
              </w:rPr>
              <w:t>No</w:t>
            </w:r>
          </w:p>
        </w:tc>
      </w:tr>
    </w:tbl>
    <w:p w14:paraId="7CB5060E" w14:textId="77777777" w:rsidR="00CD458D" w:rsidRDefault="00CD458D">
      <w:pPr>
        <w:spacing w:after="310" w:line="20" w:lineRule="exact"/>
      </w:pPr>
    </w:p>
    <w:p w14:paraId="47B651A1" w14:textId="77777777" w:rsidR="00CD458D" w:rsidRDefault="00672FD7">
      <w:pPr>
        <w:spacing w:line="188" w:lineRule="exact"/>
        <w:textAlignment w:val="baseline"/>
        <w:rPr>
          <w:rFonts w:ascii="Tahoma" w:eastAsia="Tahoma" w:hAnsi="Tahoma"/>
          <w:color w:val="202B34"/>
          <w:sz w:val="15"/>
        </w:rPr>
      </w:pPr>
      <w:r>
        <w:rPr>
          <w:rFonts w:ascii="Tahoma" w:eastAsia="Tahoma" w:hAnsi="Tahoma"/>
          <w:color w:val="202B34"/>
          <w:sz w:val="15"/>
        </w:rPr>
        <w:t>* An Australian supplier means an entity that has an ABN or an ACN</w:t>
      </w:r>
    </w:p>
    <w:p w14:paraId="386661C9" w14:textId="77777777" w:rsidR="00CD458D" w:rsidRDefault="00672FD7">
      <w:pPr>
        <w:spacing w:before="196" w:line="221" w:lineRule="exact"/>
        <w:ind w:right="576"/>
        <w:textAlignment w:val="baseline"/>
        <w:rPr>
          <w:rFonts w:ascii="Tahoma" w:eastAsia="Tahoma" w:hAnsi="Tahoma"/>
          <w:color w:val="202B34"/>
          <w:sz w:val="15"/>
        </w:rPr>
      </w:pPr>
      <w:r>
        <w:rPr>
          <w:rFonts w:ascii="Tahoma" w:eastAsia="Tahoma" w:hAnsi="Tahoma"/>
          <w:color w:val="202B34"/>
          <w:sz w:val="15"/>
        </w:rPr>
        <w:t>Disclaimer: The information provided in the table above is based on an initial assessment by the company. Any questions or issues should be raised with the project contact.</w:t>
      </w:r>
    </w:p>
    <w:p w14:paraId="4AC21CC2" w14:textId="77777777" w:rsidR="00CD458D" w:rsidRDefault="00672FD7">
      <w:pPr>
        <w:numPr>
          <w:ilvl w:val="0"/>
          <w:numId w:val="3"/>
        </w:numPr>
        <w:tabs>
          <w:tab w:val="clear" w:pos="144"/>
          <w:tab w:val="left" w:pos="504"/>
        </w:tabs>
        <w:spacing w:before="252" w:after="657" w:line="190" w:lineRule="exact"/>
        <w:ind w:left="360"/>
        <w:textAlignment w:val="baseline"/>
        <w:rPr>
          <w:rFonts w:ascii="Tahoma" w:eastAsia="Tahoma" w:hAnsi="Tahoma"/>
          <w:color w:val="202B34"/>
          <w:sz w:val="15"/>
        </w:rPr>
      </w:pPr>
      <w:r>
        <w:rPr>
          <w:rFonts w:ascii="Tahoma" w:eastAsia="Tahoma" w:hAnsi="Tahoma"/>
          <w:color w:val="202B34"/>
          <w:sz w:val="15"/>
        </w:rPr>
        <w:t>Australian and International standards and certifications will be required for the key goods and services in this project.</w:t>
      </w:r>
    </w:p>
    <w:p w14:paraId="13D615EC" w14:textId="77777777" w:rsidR="00CD458D" w:rsidRDefault="00672FD7">
      <w:pPr>
        <w:spacing w:after="158" w:line="446" w:lineRule="exact"/>
        <w:ind w:left="288"/>
        <w:textAlignment w:val="baseline"/>
        <w:rPr>
          <w:rFonts w:ascii="Tahoma" w:eastAsia="Tahoma" w:hAnsi="Tahoma"/>
          <w:color w:val="202B34"/>
          <w:spacing w:val="9"/>
          <w:sz w:val="36"/>
        </w:rPr>
      </w:pPr>
      <w:r>
        <w:rPr>
          <w:rFonts w:ascii="Tahoma" w:eastAsia="Tahoma" w:hAnsi="Tahoma"/>
          <w:color w:val="202B34"/>
          <w:spacing w:val="9"/>
          <w:sz w:val="36"/>
        </w:rPr>
        <w:t>3. Communicating and providing opportunities</w:t>
      </w:r>
    </w:p>
    <w:p w14:paraId="1713B13D" w14:textId="77777777" w:rsidR="00CD458D" w:rsidRDefault="007B57EF">
      <w:pPr>
        <w:numPr>
          <w:ilvl w:val="0"/>
          <w:numId w:val="3"/>
        </w:numPr>
        <w:tabs>
          <w:tab w:val="clear" w:pos="144"/>
          <w:tab w:val="left" w:pos="504"/>
        </w:tabs>
        <w:spacing w:before="217" w:line="190" w:lineRule="exact"/>
        <w:ind w:left="360"/>
        <w:textAlignment w:val="baseline"/>
        <w:rPr>
          <w:rFonts w:ascii="Tahoma" w:eastAsia="Tahoma" w:hAnsi="Tahoma"/>
          <w:color w:val="202B34"/>
          <w:spacing w:val="1"/>
          <w:sz w:val="15"/>
        </w:rPr>
      </w:pPr>
      <w:r>
        <w:pict w14:anchorId="7E88D3AA">
          <v:line id="_x0000_s1028" style="position:absolute;left:0;text-align:left;z-index:251658240;mso-position-horizontal-relative:page;mso-position-vertical-relative:page" from="42.6pt,689.5pt" to="552.65pt,689.5pt" strokecolor="#202b34" strokeweight="1.2pt">
            <w10:wrap anchorx="page" anchory="page"/>
          </v:line>
        </w:pict>
      </w:r>
      <w:r w:rsidR="00672FD7">
        <w:rPr>
          <w:rFonts w:ascii="Tahoma" w:eastAsia="Tahoma" w:hAnsi="Tahoma"/>
          <w:color w:val="202B34"/>
          <w:spacing w:val="1"/>
          <w:sz w:val="15"/>
        </w:rPr>
        <w:t>Project website OR Project supplier portal</w:t>
      </w:r>
    </w:p>
    <w:p w14:paraId="698334F8" w14:textId="77777777" w:rsidR="00CD458D" w:rsidRDefault="00672FD7">
      <w:pPr>
        <w:numPr>
          <w:ilvl w:val="0"/>
          <w:numId w:val="3"/>
        </w:numPr>
        <w:tabs>
          <w:tab w:val="clear" w:pos="144"/>
          <w:tab w:val="left" w:pos="504"/>
        </w:tabs>
        <w:spacing w:before="88" w:line="190" w:lineRule="exact"/>
        <w:ind w:left="360"/>
        <w:textAlignment w:val="baseline"/>
        <w:rPr>
          <w:rFonts w:ascii="Tahoma" w:eastAsia="Tahoma" w:hAnsi="Tahoma"/>
          <w:color w:val="202B34"/>
          <w:sz w:val="15"/>
        </w:rPr>
      </w:pPr>
      <w:r>
        <w:rPr>
          <w:rFonts w:ascii="Tahoma" w:eastAsia="Tahoma" w:hAnsi="Tahoma"/>
          <w:color w:val="202B34"/>
          <w:sz w:val="15"/>
        </w:rPr>
        <w:t>Direct contact with Australian industry (phone/email/letter)</w:t>
      </w:r>
    </w:p>
    <w:p w14:paraId="6993F6B1" w14:textId="77777777" w:rsidR="00CD458D" w:rsidRDefault="00672FD7">
      <w:pPr>
        <w:numPr>
          <w:ilvl w:val="0"/>
          <w:numId w:val="3"/>
        </w:numPr>
        <w:tabs>
          <w:tab w:val="clear" w:pos="144"/>
          <w:tab w:val="left" w:pos="504"/>
        </w:tabs>
        <w:spacing w:before="88" w:line="191" w:lineRule="exact"/>
        <w:ind w:left="360"/>
        <w:textAlignment w:val="baseline"/>
        <w:rPr>
          <w:rFonts w:ascii="Tahoma" w:eastAsia="Tahoma" w:hAnsi="Tahoma"/>
          <w:color w:val="202B34"/>
          <w:spacing w:val="1"/>
          <w:sz w:val="15"/>
        </w:rPr>
      </w:pPr>
      <w:r>
        <w:rPr>
          <w:rFonts w:ascii="Tahoma" w:eastAsia="Tahoma" w:hAnsi="Tahoma"/>
          <w:color w:val="202B34"/>
          <w:spacing w:val="1"/>
          <w:sz w:val="15"/>
        </w:rPr>
        <w:t>Make tender documents available to all possible suppliers at the same time</w:t>
      </w:r>
    </w:p>
    <w:p w14:paraId="6C6BD404" w14:textId="77777777" w:rsidR="00CD458D" w:rsidRDefault="00CD458D">
      <w:pPr>
        <w:sectPr w:rsidR="00CD458D">
          <w:pgSz w:w="11904" w:h="16843"/>
          <w:pgMar w:top="2560" w:right="852" w:bottom="1687" w:left="852" w:header="720" w:footer="720" w:gutter="0"/>
          <w:cols w:space="720"/>
        </w:sectPr>
      </w:pPr>
    </w:p>
    <w:p w14:paraId="7FB196FC" w14:textId="77777777" w:rsidR="00CD458D" w:rsidRDefault="00672FD7">
      <w:pPr>
        <w:numPr>
          <w:ilvl w:val="0"/>
          <w:numId w:val="4"/>
        </w:numPr>
        <w:tabs>
          <w:tab w:val="clear" w:pos="216"/>
          <w:tab w:val="left" w:pos="504"/>
        </w:tabs>
        <w:spacing w:before="90" w:line="190" w:lineRule="exact"/>
        <w:ind w:left="288"/>
        <w:textAlignment w:val="baseline"/>
        <w:rPr>
          <w:rFonts w:ascii="Tahoma" w:eastAsia="Tahoma" w:hAnsi="Tahoma"/>
          <w:color w:val="202B34"/>
          <w:spacing w:val="2"/>
          <w:sz w:val="15"/>
        </w:rPr>
      </w:pPr>
      <w:r>
        <w:rPr>
          <w:rFonts w:ascii="Tahoma" w:eastAsia="Tahoma" w:hAnsi="Tahoma"/>
          <w:color w:val="202B34"/>
          <w:spacing w:val="2"/>
          <w:sz w:val="15"/>
        </w:rPr>
        <w:lastRenderedPageBreak/>
        <w:t>Allow reasonable and equal time for submissions/responses</w:t>
      </w:r>
    </w:p>
    <w:p w14:paraId="5AFA335D" w14:textId="77777777" w:rsidR="00CD458D" w:rsidRDefault="00672FD7">
      <w:pPr>
        <w:numPr>
          <w:ilvl w:val="0"/>
          <w:numId w:val="4"/>
        </w:numPr>
        <w:tabs>
          <w:tab w:val="clear" w:pos="216"/>
          <w:tab w:val="left" w:pos="504"/>
        </w:tabs>
        <w:spacing w:before="93" w:line="190" w:lineRule="exact"/>
        <w:ind w:left="288"/>
        <w:textAlignment w:val="baseline"/>
        <w:rPr>
          <w:rFonts w:ascii="Tahoma" w:eastAsia="Tahoma" w:hAnsi="Tahoma"/>
          <w:color w:val="202B34"/>
          <w:sz w:val="15"/>
        </w:rPr>
      </w:pPr>
      <w:r>
        <w:rPr>
          <w:rFonts w:ascii="Tahoma" w:eastAsia="Tahoma" w:hAnsi="Tahoma"/>
          <w:color w:val="202B34"/>
          <w:sz w:val="15"/>
        </w:rPr>
        <w:t>Establish reporting requirement that shows how the AIP plan has been implemented</w:t>
      </w:r>
    </w:p>
    <w:p w14:paraId="4B914D54" w14:textId="77777777" w:rsidR="00CD458D" w:rsidRDefault="00672FD7">
      <w:pPr>
        <w:numPr>
          <w:ilvl w:val="0"/>
          <w:numId w:val="4"/>
        </w:numPr>
        <w:tabs>
          <w:tab w:val="clear" w:pos="216"/>
          <w:tab w:val="left" w:pos="504"/>
        </w:tabs>
        <w:spacing w:before="88" w:line="191" w:lineRule="exact"/>
        <w:ind w:left="288"/>
        <w:textAlignment w:val="baseline"/>
        <w:rPr>
          <w:rFonts w:ascii="Tahoma" w:eastAsia="Tahoma" w:hAnsi="Tahoma"/>
          <w:color w:val="202B34"/>
          <w:spacing w:val="2"/>
          <w:sz w:val="15"/>
        </w:rPr>
      </w:pPr>
      <w:r>
        <w:rPr>
          <w:rFonts w:ascii="Tahoma" w:eastAsia="Tahoma" w:hAnsi="Tahoma"/>
          <w:color w:val="202B34"/>
          <w:spacing w:val="2"/>
          <w:sz w:val="15"/>
        </w:rPr>
        <w:t>All tenders from Australian and overseas suppliers will be assessed on the same basis</w:t>
      </w:r>
    </w:p>
    <w:p w14:paraId="2050617D" w14:textId="77777777" w:rsidR="00CD458D" w:rsidRDefault="00672FD7">
      <w:pPr>
        <w:numPr>
          <w:ilvl w:val="0"/>
          <w:numId w:val="4"/>
        </w:numPr>
        <w:tabs>
          <w:tab w:val="clear" w:pos="216"/>
          <w:tab w:val="left" w:pos="504"/>
        </w:tabs>
        <w:spacing w:before="88" w:after="561" w:line="190" w:lineRule="exact"/>
        <w:ind w:left="288"/>
        <w:textAlignment w:val="baseline"/>
        <w:rPr>
          <w:rFonts w:ascii="Tahoma" w:eastAsia="Tahoma" w:hAnsi="Tahoma"/>
          <w:color w:val="202B34"/>
          <w:sz w:val="15"/>
        </w:rPr>
      </w:pPr>
      <w:r>
        <w:rPr>
          <w:rFonts w:ascii="Tahoma" w:eastAsia="Tahoma" w:hAnsi="Tahoma"/>
          <w:color w:val="202B34"/>
          <w:sz w:val="15"/>
        </w:rPr>
        <w:t>The organisation will ensure all AIP plan obligations will flow down to contractors and subcontractors</w:t>
      </w:r>
    </w:p>
    <w:p w14:paraId="46B8C74F" w14:textId="77777777" w:rsidR="00CD458D" w:rsidRDefault="00672FD7">
      <w:pPr>
        <w:spacing w:after="158" w:line="446" w:lineRule="exact"/>
        <w:ind w:left="288"/>
        <w:textAlignment w:val="baseline"/>
        <w:rPr>
          <w:rFonts w:ascii="Tahoma" w:eastAsia="Tahoma" w:hAnsi="Tahoma"/>
          <w:color w:val="202B34"/>
          <w:spacing w:val="4"/>
          <w:sz w:val="36"/>
        </w:rPr>
      </w:pPr>
      <w:r>
        <w:rPr>
          <w:rFonts w:ascii="Tahoma" w:eastAsia="Tahoma" w:hAnsi="Tahoma"/>
          <w:color w:val="202B34"/>
          <w:spacing w:val="4"/>
          <w:sz w:val="36"/>
        </w:rPr>
        <w:t>4. Facilitating future opportunities</w:t>
      </w:r>
    </w:p>
    <w:p w14:paraId="39C305CE" w14:textId="77777777" w:rsidR="00CD458D" w:rsidRDefault="007B57EF">
      <w:pPr>
        <w:numPr>
          <w:ilvl w:val="0"/>
          <w:numId w:val="4"/>
        </w:numPr>
        <w:tabs>
          <w:tab w:val="clear" w:pos="216"/>
          <w:tab w:val="left" w:pos="504"/>
        </w:tabs>
        <w:spacing w:before="217" w:line="190" w:lineRule="exact"/>
        <w:ind w:left="288"/>
        <w:textAlignment w:val="baseline"/>
        <w:rPr>
          <w:rFonts w:ascii="Tahoma" w:eastAsia="Tahoma" w:hAnsi="Tahoma"/>
          <w:color w:val="202B34"/>
          <w:sz w:val="15"/>
        </w:rPr>
      </w:pPr>
      <w:r>
        <w:pict w14:anchorId="622D2335">
          <v:line id="_x0000_s1027" style="position:absolute;left:0;text-align:left;z-index:251659264;mso-position-horizontal-relative:page;mso-position-vertical-relative:page" from="42.6pt,239.5pt" to="552.65pt,239.5pt" strokecolor="#202b34" strokeweight="1.2pt">
            <w10:wrap anchorx="page" anchory="page"/>
          </v:line>
        </w:pict>
      </w:r>
      <w:r w:rsidR="00672FD7">
        <w:rPr>
          <w:rFonts w:ascii="Tahoma" w:eastAsia="Tahoma" w:hAnsi="Tahoma"/>
          <w:color w:val="202B34"/>
          <w:sz w:val="15"/>
        </w:rPr>
        <w:t>Recommend training and certification that enhance the ability of project suppliers to obtain additional business in Australia and overseas</w:t>
      </w:r>
    </w:p>
    <w:p w14:paraId="09C27D17" w14:textId="77777777" w:rsidR="00CD458D" w:rsidRDefault="00672FD7">
      <w:pPr>
        <w:numPr>
          <w:ilvl w:val="0"/>
          <w:numId w:val="4"/>
        </w:numPr>
        <w:tabs>
          <w:tab w:val="clear" w:pos="216"/>
          <w:tab w:val="left" w:pos="504"/>
        </w:tabs>
        <w:spacing w:before="88" w:line="190" w:lineRule="exact"/>
        <w:ind w:left="288"/>
        <w:textAlignment w:val="baseline"/>
        <w:rPr>
          <w:rFonts w:ascii="Tahoma" w:eastAsia="Tahoma" w:hAnsi="Tahoma"/>
          <w:color w:val="202B34"/>
          <w:spacing w:val="1"/>
          <w:sz w:val="15"/>
        </w:rPr>
      </w:pPr>
      <w:r>
        <w:rPr>
          <w:rFonts w:ascii="Tahoma" w:eastAsia="Tahoma" w:hAnsi="Tahoma"/>
          <w:color w:val="202B34"/>
          <w:spacing w:val="1"/>
          <w:sz w:val="15"/>
        </w:rPr>
        <w:t>Provide references for high performing suppliers</w:t>
      </w:r>
    </w:p>
    <w:p w14:paraId="05459940" w14:textId="77777777" w:rsidR="00CD458D" w:rsidRDefault="00672FD7">
      <w:pPr>
        <w:numPr>
          <w:ilvl w:val="0"/>
          <w:numId w:val="4"/>
        </w:numPr>
        <w:tabs>
          <w:tab w:val="clear" w:pos="216"/>
          <w:tab w:val="left" w:pos="504"/>
        </w:tabs>
        <w:spacing w:before="88" w:after="551" w:line="191" w:lineRule="exact"/>
        <w:ind w:left="288"/>
        <w:textAlignment w:val="baseline"/>
        <w:rPr>
          <w:rFonts w:ascii="Tahoma" w:eastAsia="Tahoma" w:hAnsi="Tahoma"/>
          <w:color w:val="202B34"/>
          <w:sz w:val="15"/>
        </w:rPr>
      </w:pPr>
      <w:r>
        <w:rPr>
          <w:rFonts w:ascii="Tahoma" w:eastAsia="Tahoma" w:hAnsi="Tahoma"/>
          <w:color w:val="202B34"/>
          <w:sz w:val="15"/>
        </w:rPr>
        <w:t>Provide unsuccessful tenderers with appropriate feedback to encourage future performance</w:t>
      </w:r>
    </w:p>
    <w:p w14:paraId="5A14E113" w14:textId="77777777" w:rsidR="00CD458D" w:rsidRDefault="00672FD7">
      <w:pPr>
        <w:spacing w:after="163" w:line="447" w:lineRule="exact"/>
        <w:ind w:left="288"/>
        <w:textAlignment w:val="baseline"/>
        <w:rPr>
          <w:rFonts w:ascii="Tahoma" w:eastAsia="Tahoma" w:hAnsi="Tahoma"/>
          <w:color w:val="202B34"/>
          <w:spacing w:val="6"/>
          <w:sz w:val="36"/>
        </w:rPr>
      </w:pPr>
      <w:r>
        <w:rPr>
          <w:rFonts w:ascii="Tahoma" w:eastAsia="Tahoma" w:hAnsi="Tahoma"/>
          <w:color w:val="202B34"/>
          <w:spacing w:val="6"/>
          <w:sz w:val="36"/>
        </w:rPr>
        <w:t>5. Implementation resources</w:t>
      </w:r>
    </w:p>
    <w:p w14:paraId="6E0B71E9" w14:textId="77777777" w:rsidR="00CD458D" w:rsidRDefault="007B57EF">
      <w:pPr>
        <w:numPr>
          <w:ilvl w:val="0"/>
          <w:numId w:val="4"/>
        </w:numPr>
        <w:tabs>
          <w:tab w:val="clear" w:pos="216"/>
          <w:tab w:val="left" w:pos="504"/>
        </w:tabs>
        <w:spacing w:before="212" w:line="190" w:lineRule="exact"/>
        <w:ind w:left="288"/>
        <w:textAlignment w:val="baseline"/>
        <w:rPr>
          <w:rFonts w:ascii="Tahoma" w:eastAsia="Tahoma" w:hAnsi="Tahoma"/>
          <w:color w:val="202B34"/>
          <w:sz w:val="15"/>
        </w:rPr>
      </w:pPr>
      <w:r>
        <w:pict w14:anchorId="78AC8B3B">
          <v:line id="_x0000_s1026" style="position:absolute;left:0;text-align:left;z-index:251660288;mso-position-horizontal-relative:page;mso-position-vertical-relative:page" from="42.6pt,346.55pt" to="552.65pt,346.55pt" strokecolor="#202b34" strokeweight="1.2pt">
            <w10:wrap anchorx="page" anchory="page"/>
          </v:line>
        </w:pict>
      </w:r>
      <w:r w:rsidR="00672FD7">
        <w:rPr>
          <w:rFonts w:ascii="Tahoma" w:eastAsia="Tahoma" w:hAnsi="Tahoma"/>
          <w:color w:val="202B34"/>
          <w:sz w:val="15"/>
        </w:rPr>
        <w:t>The organisation will record and/or retain evidence to demonstrate implementation of the approved AIP plan</w:t>
      </w:r>
    </w:p>
    <w:p w14:paraId="481DF9F2" w14:textId="77777777" w:rsidR="00CD458D" w:rsidRDefault="00672FD7">
      <w:pPr>
        <w:numPr>
          <w:ilvl w:val="0"/>
          <w:numId w:val="4"/>
        </w:numPr>
        <w:tabs>
          <w:tab w:val="clear" w:pos="216"/>
          <w:tab w:val="left" w:pos="504"/>
        </w:tabs>
        <w:spacing w:before="93" w:line="190" w:lineRule="exact"/>
        <w:ind w:left="288"/>
        <w:textAlignment w:val="baseline"/>
        <w:rPr>
          <w:rFonts w:ascii="Tahoma" w:eastAsia="Tahoma" w:hAnsi="Tahoma"/>
          <w:color w:val="202B34"/>
          <w:sz w:val="15"/>
        </w:rPr>
      </w:pPr>
      <w:r>
        <w:rPr>
          <w:rFonts w:ascii="Tahoma" w:eastAsia="Tahoma" w:hAnsi="Tahoma"/>
          <w:color w:val="202B34"/>
          <w:sz w:val="15"/>
        </w:rPr>
        <w:t>Develop systems to monitor and report on the extent of Australian industry participation</w:t>
      </w:r>
    </w:p>
    <w:sectPr w:rsidR="00CD458D">
      <w:pgSz w:w="11904" w:h="16843"/>
      <w:pgMar w:top="2480" w:right="852" w:bottom="8827" w:left="852"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ahoma">
    <w:panose1 w:val="020B0604030504040204"/>
    <w:charset w:val="00"/>
    <w:family w:val="swiss"/>
    <w:pitch w:val="variable"/>
    <w:sig w:usb0="E1002EFF" w:usb1="C000605B" w:usb2="00000029" w:usb3="00000000" w:csb0="0001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PMingLiU">
    <w:altName w:val="新細明體"/>
    <w:panose1 w:val="02010601000101010101"/>
    <w:charset w:val="88"/>
    <w:family w:val="auto"/>
    <w:notTrueType/>
    <w:pitch w:val="variable"/>
    <w:sig w:usb0="00000001" w:usb1="08080000" w:usb2="00000010" w:usb3="00000000" w:csb0="001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ntTable0.xml><?xml version="1.0" encoding="utf-8"?>
<w:fonts xmlns:w="http://schemas.openxmlformats.org/wordprocessingml/2006/main" xmlns:r="http://schemas.openxmlformats.org/officeDocument/2006/relationships" xmlns:m="http://schemas.openxmlformats.org/officeDocument/2006/math" xmlns:o="urn:schemas-microsoft-com:office:office" xmlns:v="urn:schemas-microsoft-com:vml" xmlns:wp="http://schemas.openxmlformats.org/drawingml/2006/wordprocessingDrawing" xmlns:a="http://schemas.openxmlformats.org/drawingml/2006/main" xmlns:pic="http://schemas.openxmlformats.org/drawingml/2006/picture" xmlns:w10="urn:schemas-microsoft-com:office:word" xmlns:dc="http://purl.org/dc/elements/1.1/" xmlns:cp="http://schemas.openxmlformats.org/package/2006/metadata/core-properties">
  <w:font w:name="Arial">
    <w:charset w:val="00"/>
    <w:pitch w:val="variable"/>
    <w:family w:val="swiss"/>
    <w:panose1 w:val="02020603050405020304"/>
  </w:font>
  <w:font w:name="Tahoma">
    <w:charset w:val="00"/>
    <w:pitch w:val="variable"/>
    <w:family w:val="swiss"/>
    <w:panose1 w:val="02020603050405020304"/>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7CE624E"/>
    <w:multiLevelType w:val="multilevel"/>
    <w:tmpl w:val="491E981A"/>
    <w:lvl w:ilvl="0">
      <w:start w:val="23"/>
      <w:numFmt w:val="decimal"/>
      <w:lvlText w:val="%1."/>
      <w:lvlJc w:val="left"/>
      <w:pPr>
        <w:tabs>
          <w:tab w:val="left" w:pos="360"/>
        </w:tabs>
      </w:pPr>
      <w:rPr>
        <w:rFonts w:ascii="Tahoma" w:eastAsia="Tahoma" w:hAnsi="Tahoma"/>
        <w:color w:val="202B34"/>
        <w:spacing w:val="0"/>
        <w:w w:val="100"/>
        <w:sz w:val="15"/>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1E2A606B"/>
    <w:multiLevelType w:val="multilevel"/>
    <w:tmpl w:val="5C0EE4F6"/>
    <w:lvl w:ilvl="0">
      <w:numFmt w:val="bullet"/>
      <w:lvlText w:val="·"/>
      <w:lvlJc w:val="left"/>
      <w:pPr>
        <w:tabs>
          <w:tab w:val="left" w:pos="216"/>
        </w:tabs>
      </w:pPr>
      <w:rPr>
        <w:rFonts w:ascii="Symbol" w:eastAsia="Symbol" w:hAnsi="Symbol"/>
        <w:color w:val="202B34"/>
        <w:spacing w:val="2"/>
        <w:w w:val="100"/>
        <w:sz w:val="15"/>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373A7852"/>
    <w:multiLevelType w:val="multilevel"/>
    <w:tmpl w:val="7A347E00"/>
    <w:lvl w:ilvl="0">
      <w:start w:val="1"/>
      <w:numFmt w:val="decimal"/>
      <w:lvlText w:val="%1."/>
      <w:lvlJc w:val="left"/>
      <w:pPr>
        <w:tabs>
          <w:tab w:val="left" w:pos="360"/>
        </w:tabs>
      </w:pPr>
      <w:rPr>
        <w:rFonts w:ascii="Tahoma" w:eastAsia="Tahoma" w:hAnsi="Tahoma"/>
        <w:color w:val="202B34"/>
        <w:spacing w:val="0"/>
        <w:w w:val="100"/>
        <w:sz w:val="16"/>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662C7233"/>
    <w:multiLevelType w:val="multilevel"/>
    <w:tmpl w:val="D4845494"/>
    <w:lvl w:ilvl="0">
      <w:numFmt w:val="bullet"/>
      <w:lvlText w:val="·"/>
      <w:lvlJc w:val="left"/>
      <w:pPr>
        <w:tabs>
          <w:tab w:val="left" w:pos="144"/>
        </w:tabs>
      </w:pPr>
      <w:rPr>
        <w:rFonts w:ascii="Symbol" w:eastAsia="Symbol" w:hAnsi="Symbol"/>
        <w:color w:val="202B34"/>
        <w:spacing w:val="0"/>
        <w:w w:val="100"/>
        <w:sz w:val="15"/>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5"/>
  <w:defaultTabStop w:val="720"/>
  <w:characterSpacingControl w:val="doNotCompress"/>
  <w:compat>
    <w:shapeLayoutLikeWW8/>
    <w:doNotUseHTMLParagraphAutoSpacing/>
    <w:applyBreakingRules/>
    <w:useFELayout/>
    <w:doNotUseIndentAsNumberingTabStop/>
    <w:compatSetting w:name="compatibilityMode" w:uri="http://schemas.microsoft.com/office/word" w:val="14"/>
  </w:compat>
  <w:rsids>
    <w:rsidRoot w:val="00CD458D"/>
    <w:rsid w:val="00672FD7"/>
    <w:rsid w:val="007B57EF"/>
    <w:rsid w:val="00CD458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32"/>
    <o:shapelayout v:ext="edit">
      <o:idmap v:ext="edit" data="1"/>
    </o:shapelayout>
  </w:shapeDefaults>
  <w:decimalSymbol w:val="."/>
  <w:listSeparator w:val=","/>
  <w14:docId w14:val="6354BECE"/>
  <w15:docId w15:val="{86DD63BC-A808-4A47-8FEB-4293541151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PMingLiU" w:hAnsi="Times New Roman" w:cs="Times New Roman"/>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fId" Type="http://schemas.openxmlformats.org/wordprocessingml/2006/fontTable" Target="fontTable0.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l.woodman@cqu.edu.au" TargetMode="External"/><Relationship Id="rId5" Type="http://schemas.openxmlformats.org/officeDocument/2006/relationships/numbering" Target="numbering.xml"/><Relationship Id="rId10" Type="http://schemas.openxmlformats.org/officeDocument/2006/relationships/hyperlink" Target="http://www.cqu.edu.au" TargetMode="External"/><Relationship Id="rId4" Type="http://schemas.openxmlformats.org/officeDocument/2006/relationships/customXml" Target="../customXml/item4.xml"/><Relationship Id="rId9"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e2555c81638466f9eb614edb9ecde52 xmlns="498945f5-0448-4b4c-97d9-fcd4d7a5a1b1">
      <Terms xmlns="http://schemas.microsoft.com/office/infopath/2007/PartnerControls">
        <TermInfo xmlns="http://schemas.microsoft.com/office/infopath/2007/PartnerControls">
          <TermName>Executive Summary</TermName>
          <TermId>67166ce2-6da7-40d0-8019-f7580244f8f4</TermId>
        </TermInfo>
      </Terms>
    </pe2555c81638466f9eb614edb9ecde52>
    <a3abd1c0c7bd4d66b784ef4fa32239ba xmlns="498945f5-0448-4b4c-97d9-fcd4d7a5a1b1">
      <Terms xmlns="http://schemas.microsoft.com/office/infopath/2007/PartnerControls">
        <TermInfo xmlns="http://schemas.microsoft.com/office/infopath/2007/PartnerControls">
          <TermName>Executive Summary</TermName>
          <TermId>483e399a-f5ef-4b8b-bb91-c15a7635170a</TermId>
        </TermInfo>
      </Terms>
    </a3abd1c0c7bd4d66b784ef4fa32239ba>
    <TaxCatchAll xmlns="498945f5-0448-4b4c-97d9-fcd4d7a5a1b1">
      <Value>2399</Value>
      <Value>3</Value>
      <Value>233</Value>
      <Value>499</Value>
    </TaxCatchAll>
    <g7cee4c3f49f4a8d957fe196d6fcc5b5 xmlns="498945f5-0448-4b4c-97d9-fcd4d7a5a1b1">
      <Terms xmlns="http://schemas.microsoft.com/office/infopath/2007/PartnerControls"/>
    </g7cee4c3f49f4a8d957fe196d6fcc5b5>
    <IconOverlay xmlns="http://schemas.microsoft.com/sharepoint/v4" xsi:nil="true"/>
    <gb3e33fa1e184cc8a6b903667b37349e xmlns="498945f5-0448-4b4c-97d9-fcd4d7a5a1b1">
      <Terms xmlns="http://schemas.microsoft.com/office/infopath/2007/PartnerControls"/>
    </gb3e33fa1e184cc8a6b903667b37349e>
    <g7bcb40ba23249a78edca7d43a67c1c9 xmlns="498945f5-0448-4b4c-97d9-fcd4d7a5a1b1">
      <Terms xmlns="http://schemas.microsoft.com/office/infopath/2007/PartnerControls"/>
    </g7bcb40ba23249a78edca7d43a67c1c9>
    <g4ab3527caee4a08a8dfe7a94016710e xmlns="498945f5-0448-4b4c-97d9-fcd4d7a5a1b1">
      <Terms xmlns="http://schemas.microsoft.com/office/infopath/2007/PartnerControls"/>
    </g4ab3527caee4a08a8dfe7a94016710e>
    <kd778f5e510a4594a7afeace431f608b xmlns="498945f5-0448-4b4c-97d9-fcd4d7a5a1b1">
      <Terms xmlns="http://schemas.microsoft.com/office/infopath/2007/PartnerControls">
        <TermInfo xmlns="http://schemas.microsoft.com/office/infopath/2007/PartnerControls">
          <TermName>NAIF Investment</TermName>
          <TermId>7eda658b-3cba-4eab-81c7-e1bdc4237e2b</TermId>
        </TermInfo>
      </Terms>
    </kd778f5e510a4594a7afeace431f608b>
    <d0152e49f1a7499baf10632c118877c0 xmlns="498945f5-0448-4b4c-97d9-fcd4d7a5a1b1">
      <Terms xmlns="http://schemas.microsoft.com/office/infopath/2007/PartnerControls"/>
    </d0152e49f1a7499baf10632c118877c0>
    <h562caa41cd8435eb8b6f0bdc23e20a9 xmlns="498945f5-0448-4b4c-97d9-fcd4d7a5a1b1">
      <Terms xmlns="http://schemas.microsoft.com/office/infopath/2007/PartnerControls"/>
    </h562caa41cd8435eb8b6f0bdc23e20a9>
    <n99e4c9942c6404eb103464a00e6097b xmlns="498945f5-0448-4b4c-97d9-fcd4d7a5a1b1">
      <Terms xmlns="http://schemas.microsoft.com/office/infopath/2007/PartnerControls"/>
    </n99e4c9942c6404eb103464a00e6097b>
    <adb9bed2e36e4a93af574aeb444da63e xmlns="498945f5-0448-4b4c-97d9-fcd4d7a5a1b1">
      <Terms xmlns="http://schemas.microsoft.com/office/infopath/2007/PartnerControls"/>
    </adb9bed2e36e4a93af574aeb444da63e>
    <DocHub_PDMSNumber xmlns="498945f5-0448-4b4c-97d9-fcd4d7a5a1b1" xsi:nil="true"/>
    <aa25a1a23adf4c92a153145de6afe324 xmlns="498945f5-0448-4b4c-97d9-fcd4d7a5a1b1">
      <Terms xmlns="http://schemas.microsoft.com/office/infopath/2007/PartnerControls">
        <TermInfo xmlns="http://schemas.microsoft.com/office/infopath/2007/PartnerControls">
          <TermName>OFFICIAL</TermName>
          <TermId>6106d03b-a1a0-4e30-9d91-d5e9fb4314f9</TermId>
        </TermInfo>
      </Terms>
    </aa25a1a23adf4c92a153145de6afe324>
    <Comments xmlns="http://schemas.microsoft.com/sharepoint/v3" xsi:nil="true"/>
    <_dlc_DocId xmlns="498945f5-0448-4b4c-97d9-fcd4d7a5a1b1">A3PSR54DD4M5-1731987098-7104</_dlc_DocId>
    <_dlc_DocIdUrl xmlns="498945f5-0448-4b4c-97d9-fcd4d7a5a1b1">
      <Url>https://dochub/div/sectoralgrowthpolicy/businessfunctions/australianindustryparticipation/australianindustryparticipationauthority/australianjobsact2013/_layouts/15/DocIdRedir.aspx?ID=A3PSR54DD4M5-1731987098-7104</Url>
      <Description>A3PSR54DD4M5-1731987098-7104</Description>
    </_dlc_DocIdUrl>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4.xml><?xml version="1.0" encoding="utf-8"?>
<ct:contentTypeSchema xmlns:ct="http://schemas.microsoft.com/office/2006/metadata/contentType" xmlns:ma="http://schemas.microsoft.com/office/2006/metadata/properties/metaAttributes" ct:_="" ma:_="" ma:contentTypeName="Document" ma:contentTypeID="0x010100762EBC5B27FB0D4CB432F25D84C82DCF" ma:contentTypeVersion="29" ma:contentTypeDescription="Create a new document." ma:contentTypeScope="" ma:versionID="0ba222f6921c9da2784079ca71795bfe">
  <xsd:schema xmlns:xsd="http://www.w3.org/2001/XMLSchema" xmlns:xs="http://www.w3.org/2001/XMLSchema" xmlns:p="http://schemas.microsoft.com/office/2006/metadata/properties" xmlns:ns1="http://schemas.microsoft.com/sharepoint/v3" xmlns:ns2="498945f5-0448-4b4c-97d9-fcd4d7a5a1b1" xmlns:ns3="http://schemas.microsoft.com/sharepoint/v4" targetNamespace="http://schemas.microsoft.com/office/2006/metadata/properties" ma:root="true" ma:fieldsID="ab0834f4936d3138a0c35df816609718" ns1:_="" ns2:_="" ns3:_="">
    <xsd:import namespace="http://schemas.microsoft.com/sharepoint/v3"/>
    <xsd:import namespace="498945f5-0448-4b4c-97d9-fcd4d7a5a1b1"/>
    <xsd:import namespace="http://schemas.microsoft.com/sharepoint/v4"/>
    <xsd:element name="properties">
      <xsd:complexType>
        <xsd:sequence>
          <xsd:element name="documentManagement">
            <xsd:complexType>
              <xsd:all>
                <xsd:element ref="ns2:_dlc_DocId" minOccurs="0"/>
                <xsd:element ref="ns2:_dlc_DocIdUrl" minOccurs="0"/>
                <xsd:element ref="ns2:_dlc_DocIdPersistId" minOccurs="0"/>
                <xsd:element ref="ns2:aa25a1a23adf4c92a153145de6afe324" minOccurs="0"/>
                <xsd:element ref="ns2:TaxCatchAll" minOccurs="0"/>
                <xsd:element ref="ns2:pe2555c81638466f9eb614edb9ecde52" minOccurs="0"/>
                <xsd:element ref="ns2:g7bcb40ba23249a78edca7d43a67c1c9" minOccurs="0"/>
                <xsd:element ref="ns2:adb9bed2e36e4a93af574aeb444da63e" minOccurs="0"/>
                <xsd:element ref="ns2:n99e4c9942c6404eb103464a00e6097b" minOccurs="0"/>
                <xsd:element ref="ns1:Comments" minOccurs="0"/>
                <xsd:element ref="ns2:DocHub_PDMSNumber" minOccurs="0"/>
                <xsd:element ref="ns2:kd778f5e510a4594a7afeace431f608b" minOccurs="0"/>
                <xsd:element ref="ns2:d0152e49f1a7499baf10632c118877c0" minOccurs="0"/>
                <xsd:element ref="ns2:g7cee4c3f49f4a8d957fe196d6fcc5b5" minOccurs="0"/>
                <xsd:element ref="ns2:a3abd1c0c7bd4d66b784ef4fa32239ba" minOccurs="0"/>
                <xsd:element ref="ns2:g4ab3527caee4a08a8dfe7a94016710e" minOccurs="0"/>
                <xsd:element ref="ns2:gb3e33fa1e184cc8a6b903667b37349e" minOccurs="0"/>
                <xsd:element ref="ns2:h562caa41cd8435eb8b6f0bdc23e20a9" minOccurs="0"/>
                <xsd:element ref="ns2:SharedWithUsers" minOccurs="0"/>
                <xsd:element ref="ns3:IconOverla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Comments" ma:index="22" nillable="true" ma:displayName="Comments" ma:internalName="Comments">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98945f5-0448-4b4c-97d9-fcd4d7a5a1b1"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aa25a1a23adf4c92a153145de6afe324" ma:index="12" ma:taxonomy="true" ma:internalName="aa25a1a23adf4c92a153145de6afe324" ma:taxonomyFieldName="DocHub_SecurityClassification" ma:displayName="Security Classification" ma:fieldId="{aa25a1a2-3adf-4c92-a153-145de6afe324}" ma:sspId="fb0313f7-9433-48c0-866e-9e0bbee59a50" ma:termSetId="f68a6a0b-bd85-4d9d-9c73-c45af096016b" ma:anchorId="00000000-0000-0000-0000-000000000000" ma:open="false" ma:isKeyword="false">
      <xsd:complexType>
        <xsd:sequence>
          <xsd:element ref="pc:Terms" minOccurs="0" maxOccurs="1"/>
        </xsd:sequence>
      </xsd:complexType>
    </xsd:element>
    <xsd:element name="TaxCatchAll" ma:index="13" nillable="true" ma:displayName="Taxonomy Catch All Column" ma:hidden="true" ma:list="{32c53e56-ba7a-482a-8980-6f177a156077}" ma:internalName="TaxCatchAll" ma:showField="CatchAllData" ma:web="498945f5-0448-4b4c-97d9-fcd4d7a5a1b1">
      <xsd:complexType>
        <xsd:complexContent>
          <xsd:extension base="dms:MultiChoiceLookup">
            <xsd:sequence>
              <xsd:element name="Value" type="dms:Lookup" maxOccurs="unbounded" minOccurs="0" nillable="true"/>
            </xsd:sequence>
          </xsd:extension>
        </xsd:complexContent>
      </xsd:complexType>
    </xsd:element>
    <xsd:element name="pe2555c81638466f9eb614edb9ecde52" ma:index="15" ma:taxonomy="true" ma:internalName="pe2555c81638466f9eb614edb9ecde52" ma:taxonomyFieldName="DocHub_DocumentType" ma:displayName="Document Type" ma:indexed="true" ma:fieldId="{9e2555c8-1638-466f-9eb6-14edb9ecde52}" ma:sspId="fb0313f7-9433-48c0-866e-9e0bbee59a50" ma:termSetId="0e4c18c5-28eb-4f9e-8056-b3cddd4b5d9b" ma:anchorId="00000000-0000-0000-0000-000000000000" ma:open="false" ma:isKeyword="false">
      <xsd:complexType>
        <xsd:sequence>
          <xsd:element ref="pc:Terms" minOccurs="0" maxOccurs="1"/>
        </xsd:sequence>
      </xsd:complexType>
    </xsd:element>
    <xsd:element name="g7bcb40ba23249a78edca7d43a67c1c9" ma:index="17" nillable="true" ma:taxonomy="true" ma:internalName="g7bcb40ba23249a78edca7d43a67c1c9" ma:taxonomyFieldName="DocHub_WorkActivity" ma:displayName="Work Activity" ma:indexed="true" ma:fieldId="{07bcb40b-a232-49a7-8edc-a7d43a67c1c9}" ma:sspId="fb0313f7-9433-48c0-866e-9e0bbee59a50" ma:termSetId="6713ebbd-194a-499f-ab84-a4d70e145fb7" ma:anchorId="00000000-0000-0000-0000-000000000000" ma:open="false" ma:isKeyword="false">
      <xsd:complexType>
        <xsd:sequence>
          <xsd:element ref="pc:Terms" minOccurs="0" maxOccurs="1"/>
        </xsd:sequence>
      </xsd:complexType>
    </xsd:element>
    <xsd:element name="adb9bed2e36e4a93af574aeb444da63e" ma:index="19" nillable="true" ma:taxonomy="true" ma:internalName="adb9bed2e36e4a93af574aeb444da63e" ma:taxonomyFieldName="DocHub_Keywords" ma:displayName="Division Keywords" ma:fieldId="{adb9bed2-e36e-4a93-af57-4aeb444da63e}" ma:taxonomyMulti="true" ma:sspId="fb0313f7-9433-48c0-866e-9e0bbee59a50" ma:termSetId="2bfc713d-067c-4d39-b284-75f65e0f335d" ma:anchorId="00000000-0000-0000-0000-000000000000" ma:open="true" ma:isKeyword="false">
      <xsd:complexType>
        <xsd:sequence>
          <xsd:element ref="pc:Terms" minOccurs="0" maxOccurs="1"/>
        </xsd:sequence>
      </xsd:complexType>
    </xsd:element>
    <xsd:element name="n99e4c9942c6404eb103464a00e6097b" ma:index="21" nillable="true" ma:taxonomy="true" ma:internalName="n99e4c9942c6404eb103464a00e6097b" ma:taxonomyFieldName="DocHub_Year" ma:displayName="Year" ma:indexed="true" ma:fieldId="{799e4c99-42c6-404e-b103-464a00e6097b}" ma:sspId="fb0313f7-9433-48c0-866e-9e0bbee59a50" ma:termSetId="07e1743d-d980-4fe7-a67d-b87ecf7f18f6" ma:anchorId="00000000-0000-0000-0000-000000000000" ma:open="false" ma:isKeyword="false">
      <xsd:complexType>
        <xsd:sequence>
          <xsd:element ref="pc:Terms" minOccurs="0" maxOccurs="1"/>
        </xsd:sequence>
      </xsd:complexType>
    </xsd:element>
    <xsd:element name="DocHub_PDMSNumber" ma:index="23" nillable="true" ma:displayName="PDMS Number" ma:description="Parliamentary Document Management System (PDMS) Reference Number" ma:internalName="DocHub_PDMSNumber">
      <xsd:simpleType>
        <xsd:restriction base="dms:Text"/>
      </xsd:simpleType>
    </xsd:element>
    <xsd:element name="kd778f5e510a4594a7afeace431f608b" ma:index="25" nillable="true" ma:taxonomy="true" ma:internalName="kd778f5e510a4594a7afeace431f608b" ma:taxonomyFieldName="DocHub_AIPCategory" ma:displayName="AIP Category" ma:indexed="true" ma:default="" ma:fieldId="{4d778f5e-510a-4594-a7af-eace431f608b}" ma:sspId="fb0313f7-9433-48c0-866e-9e0bbee59a50" ma:termSetId="dfe8a085-28b5-4b66-bdbb-e17f0c2f9be6" ma:anchorId="00000000-0000-0000-0000-000000000000" ma:open="false" ma:isKeyword="false">
      <xsd:complexType>
        <xsd:sequence>
          <xsd:element ref="pc:Terms" minOccurs="0" maxOccurs="1"/>
        </xsd:sequence>
      </xsd:complexType>
    </xsd:element>
    <xsd:element name="d0152e49f1a7499baf10632c118877c0" ma:index="27" nillable="true" ma:taxonomy="true" ma:internalName="d0152e49f1a7499baf10632c118877c0" ma:taxonomyFieldName="DocHub_DocStatus" ma:displayName="Document Status" ma:default="" ma:fieldId="{d0152e49-f1a7-499b-af10-632c118877c0}" ma:sspId="fb0313f7-9433-48c0-866e-9e0bbee59a50" ma:termSetId="8aea78b8-ceb9-40f2-be8e-77cb01b41da4" ma:anchorId="00000000-0000-0000-0000-000000000000" ma:open="false" ma:isKeyword="false">
      <xsd:complexType>
        <xsd:sequence>
          <xsd:element ref="pc:Terms" minOccurs="0" maxOccurs="1"/>
        </xsd:sequence>
      </xsd:complexType>
    </xsd:element>
    <xsd:element name="g7cee4c3f49f4a8d957fe196d6fcc5b5" ma:index="29" nillable="true" ma:taxonomy="true" ma:internalName="g7cee4c3f49f4a8d957fe196d6fcc5b5" ma:taxonomyFieldName="DocHub_GovernmentEntities" ma:displayName="Government Entities" ma:fieldId="{07cee4c3-f49f-4a8d-957f-e196d6fcc5b5}" ma:taxonomyMulti="true" ma:sspId="fb0313f7-9433-48c0-866e-9e0bbee59a50" ma:termSetId="dadb9b88-24b6-471a-9d1e-c062637f92ad" ma:anchorId="00000000-0000-0000-0000-000000000000" ma:open="false" ma:isKeyword="false">
      <xsd:complexType>
        <xsd:sequence>
          <xsd:element ref="pc:Terms" minOccurs="0" maxOccurs="1"/>
        </xsd:sequence>
      </xsd:complexType>
    </xsd:element>
    <xsd:element name="a3abd1c0c7bd4d66b784ef4fa32239ba" ma:index="31" nillable="true" ma:taxonomy="true" ma:internalName="a3abd1c0c7bd4d66b784ef4fa32239ba" ma:taxonomyFieldName="DocHub_AIPProcess" ma:displayName="AIP Process" ma:indexed="true" ma:default="" ma:fieldId="{a3abd1c0-c7bd-4d66-b784-ef4fa32239ba}" ma:sspId="fb0313f7-9433-48c0-866e-9e0bbee59a50" ma:termSetId="1a7deb33-59d4-4b99-bd59-ca7b05e42290" ma:anchorId="00000000-0000-0000-0000-000000000000" ma:open="false" ma:isKeyword="false">
      <xsd:complexType>
        <xsd:sequence>
          <xsd:element ref="pc:Terms" minOccurs="0" maxOccurs="1"/>
        </xsd:sequence>
      </xsd:complexType>
    </xsd:element>
    <xsd:element name="g4ab3527caee4a08a8dfe7a94016710e" ma:index="33" nillable="true" ma:taxonomy="true" ma:internalName="g4ab3527caee4a08a8dfe7a94016710e" ma:taxonomyFieldName="DocHub_ProjectProponent" ma:displayName="Project Proponent" ma:indexed="true" ma:default="" ma:fieldId="{04ab3527-caee-4a08-a8df-e7a94016710e}" ma:sspId="fb0313f7-9433-48c0-866e-9e0bbee59a50" ma:termSetId="f0e9ecc6-7dbc-49d9-818e-f50741715af0" ma:anchorId="00000000-0000-0000-0000-000000000000" ma:open="false" ma:isKeyword="false">
      <xsd:complexType>
        <xsd:sequence>
          <xsd:element ref="pc:Terms" minOccurs="0" maxOccurs="1"/>
        </xsd:sequence>
      </xsd:complexType>
    </xsd:element>
    <xsd:element name="gb3e33fa1e184cc8a6b903667b37349e" ma:index="35" nillable="true" ma:taxonomy="true" ma:internalName="gb3e33fa1e184cc8a6b903667b37349e" ma:taxonomyFieldName="DocHub_Sector" ma:displayName="Sector" ma:default="" ma:fieldId="{0b3e33fa-1e18-4cc8-a6b9-03667b37349e}" ma:sspId="fb0313f7-9433-48c0-866e-9e0bbee59a50" ma:termSetId="0cba73ab-1548-411a-aa45-77f815974a08" ma:anchorId="00000000-0000-0000-0000-000000000000" ma:open="false" ma:isKeyword="false">
      <xsd:complexType>
        <xsd:sequence>
          <xsd:element ref="pc:Terms" minOccurs="0" maxOccurs="1"/>
        </xsd:sequence>
      </xsd:complexType>
    </xsd:element>
    <xsd:element name="h562caa41cd8435eb8b6f0bdc23e20a9" ma:index="36" nillable="true" ma:taxonomy="true" ma:internalName="h562caa41cd8435eb8b6f0bdc23e20a9" ma:taxonomyFieldName="DocHub_BriefingCorrespondenceType" ma:displayName="Briefing / Correspondence Type" ma:indexed="true" ma:fieldId="{1562caa4-1cd8-435e-b8b6-f0bdc23e20a9}" ma:sspId="fb0313f7-9433-48c0-866e-9e0bbee59a50" ma:termSetId="caaae84e-cb57-45e4-b635-a2aae71a9e6c" ma:anchorId="00000000-0000-0000-0000-000000000000" ma:open="false" ma:isKeyword="false">
      <xsd:complexType>
        <xsd:sequence>
          <xsd:element ref="pc:Terms" minOccurs="0" maxOccurs="1"/>
        </xsd:sequence>
      </xsd:complexType>
    </xsd:element>
    <xsd:element name="SharedWithUsers" ma:index="39"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40" nillable="true" ma:displayName="IconOverlay" ma:hidden="true" ma:internalName="IconOverlay">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C131D7A-9B09-47B1-B3B5-3802B4909657}">
  <ds:schemaRefs>
    <ds:schemaRef ds:uri="http://schemas.microsoft.com/office/2006/metadata/properties"/>
    <ds:schemaRef ds:uri="http://schemas.microsoft.com/office/2006/documentManagement/types"/>
    <ds:schemaRef ds:uri="http://schemas.microsoft.com/sharepoint/v3"/>
    <ds:schemaRef ds:uri="http://schemas.microsoft.com/office/infopath/2007/PartnerControls"/>
    <ds:schemaRef ds:uri="http://purl.org/dc/terms/"/>
    <ds:schemaRef ds:uri="http://schemas.microsoft.com/sharepoint/v4"/>
    <ds:schemaRef ds:uri="http://schemas.openxmlformats.org/package/2006/metadata/core-properties"/>
    <ds:schemaRef ds:uri="http://purl.org/dc/dcmitype/"/>
    <ds:schemaRef ds:uri="498945f5-0448-4b4c-97d9-fcd4d7a5a1b1"/>
    <ds:schemaRef ds:uri="http://www.w3.org/XML/1998/namespace"/>
    <ds:schemaRef ds:uri="http://purl.org/dc/elements/1.1/"/>
  </ds:schemaRefs>
</ds:datastoreItem>
</file>

<file path=customXml/itemProps2.xml><?xml version="1.0" encoding="utf-8"?>
<ds:datastoreItem xmlns:ds="http://schemas.openxmlformats.org/officeDocument/2006/customXml" ds:itemID="{33E6DCD9-CE5D-4E0A-9702-F491E1645A2D}">
  <ds:schemaRefs>
    <ds:schemaRef ds:uri="http://schemas.microsoft.com/sharepoint/v3/contenttype/forms"/>
  </ds:schemaRefs>
</ds:datastoreItem>
</file>

<file path=customXml/itemProps3.xml><?xml version="1.0" encoding="utf-8"?>
<ds:datastoreItem xmlns:ds="http://schemas.openxmlformats.org/officeDocument/2006/customXml" ds:itemID="{92BDA7DD-E7C5-4A38-821E-F1918174C912}">
  <ds:schemaRefs>
    <ds:schemaRef ds:uri="http://schemas.microsoft.com/sharepoint/events"/>
  </ds:schemaRefs>
</ds:datastoreItem>
</file>

<file path=customXml/itemProps4.xml><?xml version="1.0" encoding="utf-8"?>
<ds:datastoreItem xmlns:ds="http://schemas.openxmlformats.org/officeDocument/2006/customXml" ds:itemID="{A016ECAF-F10E-4D8F-97E2-9833BB054D8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498945f5-0448-4b4c-97d9-fcd4d7a5a1b1"/>
    <ds:schemaRef ds:uri="http://schemas.microsoft.com/sharepoint/v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3</Pages>
  <Words>1057</Words>
  <Characters>6026</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Department of Industry, Innovation and Science</Company>
  <LinksUpToDate>false</LinksUpToDate>
  <CharactersWithSpaces>7069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Urbaniak, Marek</dc:creator>
  <cp:lastModifiedBy>Urbaniak, Marek</cp:lastModifiedBy>
  <cp:revision>3</cp:revision>
  <dcterms:created xsi:type="dcterms:W3CDTF">2021-02-04T04:35:00Z</dcterms:created>
  <dcterms:modified xsi:type="dcterms:W3CDTF">2021-02-09T01:13:00Z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0x010100762EBC5B27FB0D4CB432F25D84C82DCF</vt:lpwstr>
  </property>
  <property fmtid="{D5CDD505-2E9C-101B-9397-08002B2CF9AE}" pid="3" name="DocHub_Year">
    <vt:lpwstr/>
  </property>
  <property fmtid="{D5CDD505-2E9C-101B-9397-08002B2CF9AE}" pid="4" name="DocHub_ProjectProponent">
    <vt:lpwstr/>
  </property>
  <property fmtid="{D5CDD505-2E9C-101B-9397-08002B2CF9AE}" pid="5" name="DocHub_WorkActivity">
    <vt:lpwstr/>
  </property>
  <property fmtid="{D5CDD505-2E9C-101B-9397-08002B2CF9AE}" pid="6" name="DocHub_DocStatus">
    <vt:lpwstr/>
  </property>
  <property fmtid="{D5CDD505-2E9C-101B-9397-08002B2CF9AE}" pid="7" name="DocHub_DocumentType">
    <vt:lpwstr>233;#Executive Summary|67166ce2-6da7-40d0-8019-f7580244f8f4</vt:lpwstr>
  </property>
  <property fmtid="{D5CDD505-2E9C-101B-9397-08002B2CF9AE}" pid="8" name="DocHub_SecurityClassification">
    <vt:lpwstr>3;#OFFICIAL|6106d03b-a1a0-4e30-9d91-d5e9fb4314f9</vt:lpwstr>
  </property>
  <property fmtid="{D5CDD505-2E9C-101B-9397-08002B2CF9AE}" pid="9" name="DocHub_GovernmentEntities">
    <vt:lpwstr/>
  </property>
  <property fmtid="{D5CDD505-2E9C-101B-9397-08002B2CF9AE}" pid="10" name="DocHub_AIPProcess">
    <vt:lpwstr>499;#Executive Summary|483e399a-f5ef-4b8b-bb91-c15a7635170a</vt:lpwstr>
  </property>
  <property fmtid="{D5CDD505-2E9C-101B-9397-08002B2CF9AE}" pid="11" name="DocHub_AIPCategory">
    <vt:lpwstr>2399;#NAIF Investment|7eda658b-3cba-4eab-81c7-e1bdc4237e2b</vt:lpwstr>
  </property>
  <property fmtid="{D5CDD505-2E9C-101B-9397-08002B2CF9AE}" pid="12" name="DocHub_Keywords">
    <vt:lpwstr/>
  </property>
  <property fmtid="{D5CDD505-2E9C-101B-9397-08002B2CF9AE}" pid="13" name="DocHub_Sector">
    <vt:lpwstr/>
  </property>
  <property fmtid="{D5CDD505-2E9C-101B-9397-08002B2CF9AE}" pid="14" name="DocHub_BriefingCorrespondenceType">
    <vt:lpwstr/>
  </property>
  <property fmtid="{D5CDD505-2E9C-101B-9397-08002B2CF9AE}" pid="15" name="_dlc_DocIdItemGuid">
    <vt:lpwstr>d387012f-22fa-4329-a106-869a59f6533a</vt:lpwstr>
  </property>
</Properties>
</file>