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4" w:after="313" w:line="240" w:lineRule="auto"/>
        <w:ind w:right="17" w:left="0"/>
        <w:jc w:val="left"/>
        <w:textAlignment w:val="baseline"/>
      </w:pPr>
      <w:r>
        <w:drawing>
          <wp:inline>
            <wp:extent cx="3303905" cy="50609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5060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4" w:after="313" w:line="240" w:lineRule="auto"/>
        <w:sectPr>
          <w:type w:val="nextPage"/>
          <w:pgSz w:w="11904" w:h="16843" w:orient="portrait"/>
          <w:pgMar w:bottom="567" w:top="980" w:right="5647" w:left="1037" w:header="720" w:footer="720"/>
          <w:titlePg w:val="false"/>
          <w:textDirection w:val="lrTb"/>
        </w:sectPr>
      </w:pPr>
    </w:p>
    <w:p>
      <w:pPr>
        <w:pageBreakBefore w:val="false"/>
        <w:spacing w:before="0" w:after="384" w:line="424" w:lineRule="exact"/>
        <w:ind w:right="0" w:left="0" w:firstLine="0"/>
        <w:jc w:val="center"/>
        <w:textAlignment w:val="baseline"/>
        <w:rPr>
          <w:rFonts w:ascii="Tahoma" w:hAnsi="Tahoma" w:eastAsia="Tahoma"/>
          <w:color w:val="202B34"/>
          <w:spacing w:val="0"/>
          <w:w w:val="100"/>
          <w:sz w:val="33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0"/>
          <w:w w:val="100"/>
          <w:sz w:val="33"/>
          <w:vertAlign w:val="baseline"/>
          <w:lang w:val="en-US"/>
        </w:rPr>
        <w:t xml:space="preserve">Australian Industry Participation (AIP) plan</w:t>
        <w:br/>
      </w:r>
      <w:r>
        <w:rPr>
          <w:rFonts w:ascii="Tahoma" w:hAnsi="Tahoma" w:eastAsia="Tahoma"/>
          <w:color w:val="202B34"/>
          <w:spacing w:val="0"/>
          <w:w w:val="100"/>
          <w:sz w:val="33"/>
          <w:vertAlign w:val="baseline"/>
          <w:lang w:val="en-US"/>
        </w:rPr>
        <w:t xml:space="preserve">Executive Summary</w:t>
      </w:r>
    </w:p>
    <w:p>
      <w:pPr>
        <w:pageBreakBefore w:val="false"/>
        <w:spacing w:before="745" w:after="177" w:line="449" w:lineRule="exact"/>
        <w:ind w:right="0" w:left="216" w:firstLine="0"/>
        <w:jc w:val="left"/>
        <w:textAlignment w:val="baseline"/>
        <w:rPr>
          <w:rFonts w:ascii="Tahoma" w:hAnsi="Tahoma" w:eastAsia="Tahoma"/>
          <w:color w:val="202B34"/>
          <w:spacing w:val="11"/>
          <w:w w:val="100"/>
          <w:sz w:val="36"/>
          <w:vertAlign w:val="baseline"/>
          <w:lang w:val="en-US"/>
        </w:rPr>
      </w:pPr>
      <w:r>
        <w:pict>
          <v:line strokeweight="2.15pt" strokecolor="#D3D6E2" from="42.95pt,168pt" to="553pt,168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202B34"/>
          <w:spacing w:val="11"/>
          <w:w w:val="100"/>
          <w:sz w:val="36"/>
          <w:vertAlign w:val="baseline"/>
          <w:lang w:val="en-US"/>
        </w:rPr>
        <w:t xml:space="preserve">1.Organisation and project details</w:t>
      </w:r>
    </w:p>
    <w:p>
      <w:pPr>
        <w:pageBreakBefore w:val="false"/>
        <w:spacing w:before="211" w:after="0" w:line="24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9"/>
          <w:w w:val="100"/>
          <w:sz w:val="18"/>
          <w:vertAlign w:val="baseline"/>
          <w:lang w:val="en-US"/>
        </w:rPr>
      </w:pPr>
      <w:r>
        <w:pict>
          <v:line strokeweight="1.2pt" strokecolor="#202B34" from="42.95pt,236.65pt" to="553pt,236.6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202B34"/>
          <w:spacing w:val="9"/>
          <w:w w:val="100"/>
          <w:sz w:val="18"/>
          <w:vertAlign w:val="baseline"/>
          <w:lang w:val="en-US"/>
        </w:rPr>
        <w:t xml:space="preserve">Company/organisation name: </w:t>
      </w:r>
      <w:r>
        <w:rPr>
          <w:rFonts w:ascii="Tahoma" w:hAnsi="Tahoma" w:eastAsia="Tahoma"/>
          <w:color w:val="202B34"/>
          <w:spacing w:val="9"/>
          <w:w w:val="100"/>
          <w:sz w:val="18"/>
          <w:vertAlign w:val="baseline"/>
          <w:lang w:val="en-US"/>
        </w:rPr>
        <w:t xml:space="preserve">SHIRE OF MURRAY</w:t>
      </w:r>
    </w:p>
    <w:p>
      <w:pPr>
        <w:pageBreakBefore w:val="false"/>
        <w:spacing w:before="0" w:after="0" w:line="24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  <w:t xml:space="preserve">Description of the project: </w:t>
      </w: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The funding from the Commonwealth Government is for the construction of the Agri-</w:t>
      </w:r>
      <w:r>
        <w:rPr>
          <w:rFonts w:ascii="Tahoma" w:hAnsi="Tahoma" w:eastAsia="Tahoma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pageBreakBefore w:val="false"/>
        <w:spacing w:before="19" w:after="0" w:line="215" w:lineRule="exact"/>
        <w:ind w:right="0" w:left="0" w:firstLine="0"/>
        <w:jc w:val="left"/>
        <w:textAlignment w:val="baseline"/>
        <w:rPr>
          <w:rFonts w:ascii="Tahoma" w:hAnsi="Tahoma" w:eastAsia="Tahoma"/>
          <w:color w:val="202B34"/>
          <w:spacing w:val="1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1"/>
          <w:w w:val="100"/>
          <w:sz w:val="18"/>
          <w:vertAlign w:val="baseline"/>
          <w:lang w:val="en-US"/>
        </w:rPr>
        <w:t xml:space="preserve">Innovation precinct.</w:t>
      </w:r>
    </w:p>
    <w:p>
      <w:pPr>
        <w:pageBreakBefore w:val="false"/>
        <w:spacing w:before="265" w:after="0" w:line="215" w:lineRule="exact"/>
        <w:ind w:right="0" w:left="0" w:firstLine="0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The Agri-Innovation precinct element comprises: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216"/>
        </w:tabs>
        <w:spacing w:before="237" w:after="0" w:line="240" w:lineRule="exact"/>
        <w:ind w:right="576" w:left="0" w:firstLine="0"/>
        <w:jc w:val="left"/>
        <w:textAlignment w:val="baseline"/>
        <w:rPr>
          <w:rFonts w:ascii="Tahoma" w:hAnsi="Tahoma" w:eastAsia="Tahoma"/>
          <w:color w:val="202B34"/>
          <w:spacing w:val="1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1"/>
          <w:w w:val="100"/>
          <w:sz w:val="18"/>
          <w:vertAlign w:val="baseline"/>
          <w:lang w:val="en-US"/>
        </w:rPr>
        <w:t xml:space="preserve">The development of University-led research facilities (including offices, business incubation space, and meeting rooms);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216"/>
        </w:tabs>
        <w:spacing w:before="28" w:after="0" w:line="215" w:lineRule="exact"/>
        <w:ind w:right="0" w:left="0" w:firstLine="0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The development of production/logistics facilities (including production area, dry- and cold storage, and logistics);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216"/>
        </w:tabs>
        <w:spacing w:before="0" w:after="0" w:line="240" w:lineRule="exact"/>
        <w:ind w:right="864" w:left="0" w:firstLine="0"/>
        <w:jc w:val="left"/>
        <w:textAlignment w:val="baseline"/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  <w:t xml:space="preserve">External works and services (including roads, hardstanding, pedestrian pavements, landscaping and services connections - water, sewer, solar power);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216"/>
        </w:tabs>
        <w:spacing w:before="25" w:after="0" w:line="215" w:lineRule="exact"/>
        <w:ind w:right="0" w:left="0" w:firstLine="0"/>
        <w:jc w:val="left"/>
        <w:textAlignment w:val="baseline"/>
        <w:rPr>
          <w:rFonts w:ascii="Tahoma" w:hAnsi="Tahoma" w:eastAsia="Tahoma"/>
          <w:color w:val="202B34"/>
          <w:spacing w:val="2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2"/>
          <w:w w:val="100"/>
          <w:sz w:val="18"/>
          <w:vertAlign w:val="baseline"/>
          <w:lang w:val="en-US"/>
        </w:rPr>
        <w:t xml:space="preserve">Fit-out of buildings (including furniture and equipment, IT equipment and AV equipment.</w:t>
      </w:r>
    </w:p>
    <w:p>
      <w:pPr>
        <w:pageBreakBefore w:val="false"/>
        <w:spacing w:before="265" w:after="0" w:line="215" w:lineRule="exact"/>
        <w:ind w:right="0" w:left="0" w:firstLine="0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The project is concerned with the construction of new buildings and not refurbishment of existing buildings.</w:t>
      </w:r>
    </w:p>
    <w:p>
      <w:pPr>
        <w:pageBreakBefore w:val="false"/>
        <w:spacing w:before="237" w:after="0" w:line="240" w:lineRule="exact"/>
        <w:ind w:right="432" w:left="0" w:firstLine="0"/>
        <w:jc w:val="left"/>
        <w:textAlignment w:val="baseline"/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  <w:t xml:space="preserve">Procurement commencement (including the appointment of the project manager) date is expected to be 1 July 2019. Construction of buildings and facilities expected to commence February 2020, and completion date is expected to be March 2022.</w:t>
      </w:r>
    </w:p>
    <w:p>
      <w:pPr>
        <w:pageBreakBefore w:val="false"/>
        <w:spacing w:before="709" w:after="0" w:line="24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  <w:t xml:space="preserve">Estimated capital expenditure/total value of the project: </w:t>
      </w: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$21,750,000 AUD</w:t>
      </w:r>
    </w:p>
    <w:p>
      <w:pPr>
        <w:pageBreakBefore w:val="false"/>
        <w:spacing w:before="0" w:after="0" w:line="24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  <w:t xml:space="preserve">Estimated total value of key goods and services: </w:t>
      </w: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$21,750,000 AUD</w:t>
      </w:r>
    </w:p>
    <w:p>
      <w:pPr>
        <w:pageBreakBefore w:val="false"/>
        <w:spacing w:before="0" w:after="0" w:line="24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7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7"/>
          <w:w w:val="100"/>
          <w:sz w:val="18"/>
          <w:vertAlign w:val="baseline"/>
          <w:lang w:val="en-US"/>
        </w:rPr>
        <w:t xml:space="preserve">Project location: </w:t>
      </w:r>
      <w:r>
        <w:rPr>
          <w:rFonts w:ascii="Tahoma" w:hAnsi="Tahoma" w:eastAsia="Tahoma"/>
          <w:color w:val="202B34"/>
          <w:spacing w:val="7"/>
          <w:w w:val="100"/>
          <w:sz w:val="18"/>
          <w:vertAlign w:val="baseline"/>
          <w:lang w:val="en-US"/>
        </w:rPr>
        <w:t xml:space="preserve">Lot 600, Peel Business Park, NAMBEELUP, WA, 6207</w:t>
      </w:r>
    </w:p>
    <w:p>
      <w:pPr>
        <w:pageBreakBefore w:val="false"/>
        <w:spacing w:before="0" w:after="0" w:line="24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5"/>
          <w:w w:val="100"/>
          <w:sz w:val="18"/>
          <w:vertAlign w:val="baseline"/>
          <w:lang w:val="en-US"/>
        </w:rPr>
        <w:t xml:space="preserve">Link to project information: </w:t>
      </w:r>
      <w:hyperlink r:id="dhId1">
        <w:r>
          <w:rPr>
            <w:rFonts w:ascii="Tahoma" w:hAnsi="Tahoma" w:eastAsia="Tahoma"/>
            <w:color w:val="0000FF"/>
            <w:spacing w:val="5"/>
            <w:w w:val="100"/>
            <w:sz w:val="18"/>
            <w:u w:val="single"/>
            <w:vertAlign w:val="baseline"/>
            <w:lang w:val="en-US"/>
          </w:rPr>
          <w:t xml:space="preserve">www.murray.wa.gov.au</w:t>
        </w:r>
      </w:hyperlink>
      <w:r>
        <w:rPr>
          <w:rFonts w:ascii="Tahoma" w:hAnsi="Tahoma" w:eastAsia="Tahoma"/>
          <w:color w:val="202B34"/>
          <w:spacing w:val="5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spacing w:before="30" w:after="0" w:line="210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202B34"/>
          <w:spacing w:val="5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5"/>
          <w:w w:val="100"/>
          <w:sz w:val="18"/>
          <w:vertAlign w:val="baseline"/>
          <w:lang w:val="en-US"/>
        </w:rPr>
        <w:t xml:space="preserve">Contact person for procurement information:</w:t>
      </w:r>
    </w:p>
    <w:p>
      <w:pPr>
        <w:pageBreakBefore w:val="false"/>
        <w:spacing w:before="0" w:after="0" w:line="240" w:lineRule="exact"/>
        <w:ind w:right="0" w:left="648" w:firstLine="0"/>
        <w:jc w:val="left"/>
        <w:textAlignment w:val="baseline"/>
        <w:rPr>
          <w:rFonts w:ascii="Arial" w:hAnsi="Arial" w:eastAsia="Arial"/>
          <w:b w:val="true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3"/>
          <w:w w:val="100"/>
          <w:sz w:val="18"/>
          <w:vertAlign w:val="baseline"/>
          <w:lang w:val="en-US"/>
        </w:rPr>
        <w:t xml:space="preserve">Name: </w:t>
      </w: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Alan Smith</w:t>
      </w:r>
    </w:p>
    <w:p>
      <w:pPr>
        <w:pageBreakBefore w:val="false"/>
        <w:spacing w:before="0" w:after="0" w:line="240" w:lineRule="exact"/>
        <w:ind w:right="0" w:left="648" w:firstLine="0"/>
        <w:jc w:val="left"/>
        <w:textAlignment w:val="baseline"/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  <w:t xml:space="preserve">Phone number: </w:t>
      </w: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0895327777</w:t>
      </w:r>
    </w:p>
    <w:p>
      <w:pPr>
        <w:pageBreakBefore w:val="false"/>
        <w:spacing w:before="0" w:after="0" w:line="240" w:lineRule="exact"/>
        <w:ind w:right="0" w:left="648" w:firstLine="0"/>
        <w:jc w:val="left"/>
        <w:textAlignment w:val="baseline"/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202B34"/>
          <w:spacing w:val="4"/>
          <w:w w:val="100"/>
          <w:sz w:val="18"/>
          <w:vertAlign w:val="baseline"/>
          <w:lang w:val="en-US"/>
        </w:rPr>
        <w:t xml:space="preserve">Email address: </w:t>
      </w:r>
      <w:hyperlink r:id="dhId2">
        <w:r>
          <w:rPr>
            <w:rFonts w:ascii="Tahoma" w:hAnsi="Tahoma" w:eastAsia="Tahoma"/>
            <w:color w:val="0000FF"/>
            <w:spacing w:val="4"/>
            <w:w w:val="100"/>
            <w:sz w:val="18"/>
            <w:u w:val="single"/>
            <w:vertAlign w:val="baseline"/>
            <w:lang w:val="en-US"/>
          </w:rPr>
          <w:t xml:space="preserve">dts@murray.wa.gov.au</w:t>
        </w:r>
      </w:hyperlink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spacing w:before="649" w:after="162" w:line="450" w:lineRule="exact"/>
        <w:ind w:right="0" w:left="216" w:firstLine="0"/>
        <w:jc w:val="left"/>
        <w:textAlignment w:val="baseline"/>
        <w:rPr>
          <w:rFonts w:ascii="Tahoma" w:hAnsi="Tahoma" w:eastAsia="Tahoma"/>
          <w:color w:val="202B34"/>
          <w:spacing w:val="11"/>
          <w:w w:val="100"/>
          <w:sz w:val="36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11"/>
          <w:w w:val="100"/>
          <w:sz w:val="36"/>
          <w:vertAlign w:val="baseline"/>
          <w:lang w:val="en-US"/>
        </w:rPr>
        <w:t xml:space="preserve">2. Opportunities to supply goods and services</w:t>
      </w:r>
    </w:p>
    <w:p>
      <w:pPr>
        <w:spacing w:before="180" w:after="0" w:line="20" w:lineRule="exact"/>
      </w:pPr>
      <w:r>
        <w:pict>
          <v:line strokeweight="1.2pt" strokecolor="#202B34" from="42.95pt,657.6pt" to="553pt,657.6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Ind w:w="120" w:type="dxa"/>
        <w:tblLayout w:type="fixed"/>
        <w:tblCellMar>
          <w:left w:w="0" w:type="dxa"/>
          <w:right w:w="0" w:type="dxa"/>
        </w:tblCellMar>
      </w:tblPr>
      <w:tblGrid>
        <w:gridCol w:w="6931"/>
        <w:gridCol w:w="1498"/>
        <w:gridCol w:w="1517"/>
      </w:tblGrid>
      <w:tr>
        <w:trPr>
          <w:trHeight w:val="1171" w:hRule="exact"/>
        </w:trPr>
        <w:tc>
          <w:tcPr>
            <w:tcW w:w="7051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332" w:after="349" w:line="240" w:lineRule="exact"/>
              <w:ind w:right="900" w:left="108" w:firstLine="0"/>
              <w:jc w:val="left"/>
              <w:textAlignment w:val="baseline"/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List of goods and services to be procured for the project and the expected opportunity for industry participation</w:t>
            </w:r>
          </w:p>
        </w:tc>
        <w:tc>
          <w:tcPr>
            <w:tcW w:w="8549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55" w:after="28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Opportunities</w:t>
              <w:br/>
            </w: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for Australian</w:t>
              <w:br/>
            </w: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suppliers *</w:t>
            </w:r>
          </w:p>
        </w:tc>
        <w:tc>
          <w:tcPr>
            <w:tcW w:w="1006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35" w:after="166" w:line="24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Opportunities</w:t>
              <w:br/>
            </w: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for</w:t>
              <w:br/>
            </w: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international</w:t>
              <w:br/>
            </w:r>
            <w:r>
              <w:rPr>
                <w:rFonts w:ascii="Arial" w:hAnsi="Arial" w:eastAsia="Arial"/>
                <w:b w:val="true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suppliers</w:t>
            </w:r>
          </w:p>
        </w:tc>
      </w:tr>
      <w:tr>
        <w:trPr>
          <w:trHeight w:val="663" w:hRule="exact"/>
        </w:trPr>
        <w:tc>
          <w:tcPr>
            <w:tcW w:w="7051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96" w:line="240" w:lineRule="exact"/>
              <w:ind w:right="540" w:left="108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Construction of Research and Development facilities. A minimum of 900 sq meters of offices and incubator space</w:t>
            </w:r>
          </w:p>
        </w:tc>
        <w:tc>
          <w:tcPr>
            <w:tcW w:w="8549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01" w:line="212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6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01" w:line="212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672" w:hRule="exact"/>
        </w:trPr>
        <w:tc>
          <w:tcPr>
            <w:tcW w:w="7051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72" w:after="115" w:line="240" w:lineRule="exact"/>
              <w:ind w:right="540" w:left="108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Construction of Research and Development facilities. A minimum of 300 sq meters of laboratory space</w:t>
            </w:r>
          </w:p>
        </w:tc>
        <w:tc>
          <w:tcPr>
            <w:tcW w:w="8549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15" w:line="212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6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15" w:line="212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</w:tbl>
    <w:p>
      <w:pPr>
        <w:sectPr>
          <w:type w:val="continuous"/>
          <w:pgSz w:w="11904" w:h="16843" w:orient="portrait"/>
          <w:pgMar w:bottom="567" w:top="980" w:right="845" w:left="859" w:header="720" w:footer="720"/>
          <w:titlePg w:val="false"/>
          <w:textDirection w:val="lrTb"/>
        </w:sectPr>
      </w:pPr>
    </w:p>
    <w:p>
      <w:pPr>
        <w:spacing w:before="21" w:after="0" w:line="20" w:lineRule="exact"/>
      </w:pPr>
    </w:p>
    <w:tbl>
      <w:tblPr>
        <w:jc w:val="left"/>
        <w:tblInd w:w="127" w:type="dxa"/>
        <w:tblLayout w:type="fixed"/>
        <w:tblCellMar>
          <w:left w:w="0" w:type="dxa"/>
          <w:right w:w="0" w:type="dxa"/>
        </w:tblCellMar>
      </w:tblPr>
      <w:tblGrid>
        <w:gridCol w:w="6931"/>
        <w:gridCol w:w="1498"/>
        <w:gridCol w:w="1517"/>
      </w:tblGrid>
      <w:tr>
        <w:trPr>
          <w:trHeight w:val="710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86" w:after="134" w:line="240" w:lineRule="exact"/>
              <w:ind w:right="576" w:left="108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Construction of Research and Development facilties. A minimum of 300 sq meters for circulation space, toilet facilities, cafe/kitchen, reception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9" w:after="438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9" w:after="438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658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96" w:line="240" w:lineRule="exact"/>
              <w:ind w:right="252" w:left="108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Construction of Cold Store, Logistics and Production facilities. At least 4000 sq meters of offices, production area, and dry and cold storage area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00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00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662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100" w:line="240" w:lineRule="exact"/>
              <w:ind w:right="324" w:left="108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Construction of Cold Store, Logistics and Production facilities. At least 450 sq meters of circulation, meeting rooms, toilets and reception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5" w:after="299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5" w:after="299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658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100" w:line="240" w:lineRule="exact"/>
              <w:ind w:right="432" w:left="108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1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1"/>
                <w:w w:val="100"/>
                <w:sz w:val="18"/>
                <w:vertAlign w:val="baseline"/>
                <w:lang w:val="en-US"/>
              </w:rPr>
              <w:t xml:space="preserve">Construction of Cold Store, Logistics and Production facilities. Refridgeration plant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0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0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662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90" w:line="240" w:lineRule="exact"/>
              <w:ind w:right="180" w:left="108" w:firstLine="0"/>
              <w:jc w:val="both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External Works. At least 3500 sq meters of Roads, and at least 2000 sq meters of parking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5" w:after="289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5" w:after="289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42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02" w:after="115" w:line="215" w:lineRule="exact"/>
              <w:ind w:right="0" w:left="106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External Works. Boundary walls, fences and gates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39" w:after="180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39" w:after="180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37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97" w:after="124" w:line="215" w:lineRule="exact"/>
              <w:ind w:right="0" w:left="106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External Works. At least 800 sq meters of outbuildings and covered ways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39" w:after="18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39" w:after="18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41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01" w:after="115" w:line="215" w:lineRule="exact"/>
              <w:ind w:right="0" w:left="106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External Works. At least 5000 sq meters of landscaping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4" w:after="17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4" w:after="17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658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75" w:after="98" w:line="240" w:lineRule="exact"/>
              <w:ind w:right="1116" w:left="108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External Services. Connections to stormwater, sewer, water, power, communications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00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140" w:after="300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42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01" w:after="124" w:line="216" w:lineRule="exact"/>
              <w:ind w:right="0" w:left="106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Planning, Design and Project Management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4" w:after="18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4" w:after="18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41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01" w:after="115" w:line="215" w:lineRule="exact"/>
              <w:ind w:right="0" w:left="106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Building fitout, kitchen fitout, laboratory fitout, IT equipment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39" w:after="179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39" w:after="179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37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02" w:after="119" w:line="215" w:lineRule="exact"/>
              <w:ind w:right="0" w:left="106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External Works. Pedestrian pathways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39" w:after="18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39" w:after="184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  <w:tr>
        <w:trPr>
          <w:trHeight w:val="456" w:hRule="exact"/>
        </w:trPr>
        <w:tc>
          <w:tcPr>
            <w:tcW w:w="7058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center"/>
          </w:tcPr>
          <w:p>
            <w:pPr>
              <w:pageBreakBefore w:val="false"/>
              <w:spacing w:before="101" w:after="129" w:line="216" w:lineRule="exact"/>
              <w:ind w:right="0" w:left="106" w:firstLine="0"/>
              <w:jc w:val="left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External Works. Storage, hardstanding, service lanes</w:t>
            </w:r>
          </w:p>
        </w:tc>
        <w:tc>
          <w:tcPr>
            <w:tcW w:w="8556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4" w:after="189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Yes</w:t>
            </w:r>
          </w:p>
        </w:tc>
        <w:tc>
          <w:tcPr>
            <w:tcW w:w="10073" w:type="auto"/>
            <w:gridSpan w:val="1"/>
            <w:tcBorders>
              <w:top w:val="single" w:sz="9" w:color="000000"/>
              <w:left w:val="single" w:sz="9" w:color="000000"/>
              <w:bottom w:val="single" w:sz="9" w:color="000000"/>
              <w:right w:val="single" w:sz="9" w:color="000000"/>
            </w:tcBorders>
            <w:textDirection w:val="lrTb"/>
            <w:vAlign w:val="top"/>
          </w:tcPr>
          <w:p>
            <w:pPr>
              <w:pageBreakBefore w:val="false"/>
              <w:spacing w:before="44" w:after="189" w:line="21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</w:pPr>
            <w:r>
              <w:rPr>
                <w:rFonts w:ascii="Tahoma" w:hAnsi="Tahoma" w:eastAsia="Tahoma"/>
                <w:color w:val="202B34"/>
                <w:spacing w:val="0"/>
                <w:w w:val="100"/>
                <w:sz w:val="18"/>
                <w:vertAlign w:val="baseline"/>
                <w:lang w:val="en-US"/>
              </w:rPr>
              <w:t xml:space="preserve">No</w:t>
            </w:r>
          </w:p>
        </w:tc>
      </w:tr>
    </w:tbl>
    <w:p>
      <w:pPr>
        <w:spacing w:before="0" w:after="318" w:line="20" w:lineRule="exact"/>
      </w:pPr>
    </w:p>
    <w:p>
      <w:pPr>
        <w:pageBreakBefore w:val="false"/>
        <w:spacing w:before="8" w:after="0" w:line="215" w:lineRule="exact"/>
        <w:ind w:right="0" w:left="72" w:firstLine="0"/>
        <w:jc w:val="left"/>
        <w:textAlignment w:val="baseline"/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* An Australian supplier means an entity that has an ABN or an ACN</w:t>
      </w:r>
    </w:p>
    <w:p>
      <w:pPr>
        <w:pageBreakBefore w:val="false"/>
        <w:spacing w:before="202" w:after="0" w:line="240" w:lineRule="exact"/>
        <w:ind w:right="792" w:left="72" w:firstLine="0"/>
        <w:jc w:val="left"/>
        <w:textAlignment w:val="baseline"/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  <w:t xml:space="preserve">Disclaimer: The information provided in the table above is based on an initial assessment by the company. Any questions or issues should be raised with the project contact.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245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Australian standards and certifications will be required for the key goods and services in this project.</w:t>
      </w:r>
    </w:p>
    <w:p>
      <w:pPr>
        <w:pageBreakBefore w:val="false"/>
        <w:spacing w:before="650" w:after="168" w:line="449" w:lineRule="exact"/>
        <w:ind w:right="0" w:left="288" w:firstLine="0"/>
        <w:jc w:val="left"/>
        <w:textAlignment w:val="baseline"/>
        <w:rPr>
          <w:rFonts w:ascii="Tahoma" w:hAnsi="Tahoma" w:eastAsia="Tahoma"/>
          <w:color w:val="202B34"/>
          <w:spacing w:val="9"/>
          <w:w w:val="100"/>
          <w:sz w:val="36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9"/>
          <w:w w:val="100"/>
          <w:sz w:val="36"/>
          <w:vertAlign w:val="baseline"/>
          <w:lang w:val="en-US"/>
        </w:rPr>
        <w:t xml:space="preserve">3. Communicating and providing opportunities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215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</w:pPr>
      <w:r>
        <w:pict>
          <v:line strokeweight="1.2pt" strokecolor="#202B34" from="42.6pt,605.5pt" to="552.65pt,605.5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Project website OR Project supplier portal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1" w:after="0" w:line="214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Public announcements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108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Workshops/industry briefings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58" w:after="0" w:line="240" w:lineRule="exact"/>
        <w:ind w:right="576" w:left="504" w:hanging="216"/>
        <w:jc w:val="left"/>
        <w:textAlignment w:val="baseline"/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  <w:t xml:space="preserve">Promote opportunities to Australian industry in the early stages of the project, including information on how to prequalify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6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Make tender documents available to all possible suppliers at the same time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2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Allow reasonable and equal time for submissions/responses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62" w:after="0" w:line="240" w:lineRule="exact"/>
        <w:ind w:right="648" w:left="504" w:hanging="216"/>
        <w:jc w:val="left"/>
        <w:textAlignment w:val="baseline"/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  <w:t xml:space="preserve">Conduct workshops that provide sector specific information on how to prepare bids against tenders including information on how to prequalify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106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Include requirement in tender documents that successful tenderers comply with AIP plan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1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Include contractual arrangements with suppliers to outline AIP arrangements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7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Establish reporting requirement that shows how the AIP plan has been implemented</w:t>
      </w:r>
    </w:p>
    <w:p>
      <w:pPr>
        <w:sectPr>
          <w:type w:val="nextPage"/>
          <w:pgSz w:w="11904" w:h="16843" w:orient="portrait"/>
          <w:pgMar w:bottom="687" w:top="1980" w:right="852" w:left="852" w:header="720" w:footer="720"/>
          <w:titlePg w:val="false"/>
          <w:textDirection w:val="lrTb"/>
        </w:sectPr>
      </w:pP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9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5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5"/>
          <w:w w:val="100"/>
          <w:sz w:val="18"/>
          <w:vertAlign w:val="baseline"/>
          <w:lang w:val="en-US"/>
        </w:rPr>
        <w:t xml:space="preserve">All tenders from Australian and overseas suppliers will be assessed on the same basis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6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The organisation will ensure all AIP plan obligations will flow down to contractors and subcontractors</w:t>
      </w:r>
    </w:p>
    <w:p>
      <w:pPr>
        <w:pageBreakBefore w:val="false"/>
        <w:spacing w:before="554" w:after="158" w:line="449" w:lineRule="exact"/>
        <w:ind w:right="0" w:left="288" w:firstLine="0"/>
        <w:jc w:val="left"/>
        <w:textAlignment w:val="baseline"/>
        <w:rPr>
          <w:rFonts w:ascii="Tahoma" w:hAnsi="Tahoma" w:eastAsia="Tahoma"/>
          <w:color w:val="202B34"/>
          <w:spacing w:val="4"/>
          <w:w w:val="100"/>
          <w:sz w:val="36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4"/>
          <w:w w:val="100"/>
          <w:sz w:val="36"/>
          <w:vertAlign w:val="baseline"/>
          <w:lang w:val="en-US"/>
        </w:rPr>
        <w:t xml:space="preserve">4. Facilitating future opportunities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186" w:after="0" w:line="240" w:lineRule="exact"/>
        <w:ind w:right="720" w:left="504" w:hanging="216"/>
        <w:jc w:val="left"/>
        <w:textAlignment w:val="baseline"/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</w:pPr>
      <w:r>
        <w:pict>
          <v:line strokeweight="1.2pt" strokecolor="#202B34" from="42.6pt,128.65pt" to="552.65pt,128.65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202B34"/>
          <w:spacing w:val="0"/>
          <w:w w:val="100"/>
          <w:sz w:val="18"/>
          <w:vertAlign w:val="baseline"/>
          <w:lang w:val="en-US"/>
        </w:rPr>
        <w:t xml:space="preserve">Provide advice to project suppliers on strategies and activities to undertake to be considered for inclusion in domestic and international supply chains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6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Introduce project suppliers to global companies or suppliers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101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Recommend suppliers to appropriate government programmes for advice and support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6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Provide references for high performing suppliers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2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4"/>
          <w:w w:val="100"/>
          <w:sz w:val="18"/>
          <w:vertAlign w:val="baseline"/>
          <w:lang w:val="en-US"/>
        </w:rPr>
        <w:t xml:space="preserve">Provide unsuccessful tenderers with appropriate feedback to encourage future performance</w:t>
      </w:r>
    </w:p>
    <w:p>
      <w:pPr>
        <w:pageBreakBefore w:val="false"/>
        <w:spacing w:before="554" w:after="168" w:line="449" w:lineRule="exact"/>
        <w:ind w:right="0" w:left="288" w:firstLine="0"/>
        <w:jc w:val="left"/>
        <w:textAlignment w:val="baseline"/>
        <w:rPr>
          <w:rFonts w:ascii="Tahoma" w:hAnsi="Tahoma" w:eastAsia="Tahoma"/>
          <w:color w:val="202B34"/>
          <w:spacing w:val="6"/>
          <w:w w:val="100"/>
          <w:sz w:val="36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6"/>
          <w:w w:val="100"/>
          <w:sz w:val="36"/>
          <w:vertAlign w:val="baseline"/>
          <w:lang w:val="en-US"/>
        </w:rPr>
        <w:t xml:space="preserve">5. Implementation resources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215" w:after="0" w:line="216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pict>
          <v:line strokeweight="1.2pt" strokecolor="#202B34" from="42.6pt,281.5pt" to="552.65pt,281.5pt" style="position:absolute;mso-position-horizontal-relative:page;mso-position-vertical-relative:page;">
            <v:stroke dashstyle="solid"/>
          </v:line>
        </w:pict>
      </w: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The organisation will record and/or retain evidence to demonstrate implementation of the approved AIP plan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504"/>
        </w:tabs>
        <w:spacing w:before="81" w:after="0" w:line="217" w:lineRule="exact"/>
        <w:ind w:right="0" w:left="504" w:hanging="216"/>
        <w:jc w:val="left"/>
        <w:textAlignment w:val="baseline"/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</w:pPr>
      <w:r>
        <w:rPr>
          <w:rFonts w:ascii="Tahoma" w:hAnsi="Tahoma" w:eastAsia="Tahoma"/>
          <w:color w:val="202B34"/>
          <w:spacing w:val="3"/>
          <w:w w:val="100"/>
          <w:sz w:val="18"/>
          <w:vertAlign w:val="baseline"/>
          <w:lang w:val="en-US"/>
        </w:rPr>
        <w:t xml:space="preserve">Develop systems to monitor and report on the extent of Australian industry participation</w:t>
      </w:r>
    </w:p>
    <w:sectPr>
      <w:type w:val="nextPage"/>
      <w:pgSz w:w="11904" w:h="16843" w:orient="portrait"/>
      <w:pgMar w:bottom="10087" w:top="780" w:right="852" w:left="852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216"/>
        </w:tabs>
      </w:pPr>
      <w:rPr>
        <w:rFonts w:ascii="Tahoma" w:hAnsi="Tahoma" w:eastAsia="Tahoma"/>
        <w:color w:val="202B34"/>
        <w:spacing w:val="1"/>
        <w:w w:val="100"/>
        <w:sz w:val="18"/>
        <w:vertAlign w:val="baseline"/>
        <w:lang w:val="en-US"/>
      </w:rPr>
    </w:lvl>
  </w:abstractNum>
  <w:abstractNum w:abstractNumId="2">
    <w:lvl w:ilvl="0">
      <w:start w:val="0"/>
      <w:numFmt w:val="bullet"/>
      <w:lvlText w:val="·"/>
      <w:pPr>
        <w:tabs>
          <w:tab w:val="left" w:pos="216"/>
        </w:tabs>
      </w:pPr>
      <w:rPr>
        <w:rFonts w:ascii="Symbol" w:hAnsi="Symbol" w:eastAsia="Symbol"/>
        <w:color w:val="202B34"/>
        <w:spacing w:val="3"/>
        <w:w w:val="100"/>
        <w:sz w:val="18"/>
        <w:vertAlign w:val="baseline"/>
        <w:lang w:val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www.murray.wa.gov.au"/><Relationship Id="dhId2" Type="http://schemas.openxmlformats.org/officeDocument/2006/relationships/hyperlink" TargetMode="External" Target="mailto:dts@murray.wa.gov.au"/><Relationship Id="prId1" Type="http://schemas.openxmlformats.org/officeDocument/2006/relationships/image" Target="media/image1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