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823A9" w14:textId="77777777" w:rsidR="00476358" w:rsidRDefault="00A42422">
      <w:pPr>
        <w:spacing w:before="3" w:after="616"/>
        <w:ind w:right="19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73F3D65D" wp14:editId="6C73AA17">
            <wp:extent cx="3251835" cy="4908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D0B0B" w14:textId="77777777" w:rsidR="00476358" w:rsidRDefault="00476358">
      <w:pPr>
        <w:spacing w:before="3" w:after="616"/>
        <w:sectPr w:rsidR="00476358">
          <w:pgSz w:w="11904" w:h="16843"/>
          <w:pgMar w:top="2680" w:right="5727" w:bottom="1627" w:left="1037" w:header="720" w:footer="720" w:gutter="0"/>
          <w:cols w:space="720"/>
        </w:sectPr>
      </w:pPr>
    </w:p>
    <w:p w14:paraId="2DCDA08E" w14:textId="77777777" w:rsidR="00476358" w:rsidRDefault="00A42422">
      <w:pPr>
        <w:spacing w:after="364" w:line="424" w:lineRule="exact"/>
        <w:ind w:left="72"/>
        <w:jc w:val="center"/>
        <w:textAlignment w:val="baseline"/>
        <w:rPr>
          <w:rFonts w:ascii="Tahoma" w:eastAsia="Tahoma" w:hAnsi="Tahoma"/>
          <w:color w:val="202B34"/>
          <w:sz w:val="33"/>
        </w:rPr>
      </w:pPr>
      <w:r>
        <w:rPr>
          <w:rFonts w:ascii="Tahoma" w:eastAsia="Tahoma" w:hAnsi="Tahoma"/>
          <w:color w:val="202B34"/>
          <w:sz w:val="33"/>
        </w:rPr>
        <w:t xml:space="preserve">Australian Industry Participation (AIP) plan </w:t>
      </w:r>
      <w:r>
        <w:rPr>
          <w:rFonts w:ascii="Tahoma" w:eastAsia="Tahoma" w:hAnsi="Tahoma"/>
          <w:color w:val="202B34"/>
          <w:sz w:val="33"/>
        </w:rPr>
        <w:br/>
        <w:t>Executive Summary</w:t>
      </w:r>
    </w:p>
    <w:p w14:paraId="44952F4B" w14:textId="77777777" w:rsidR="00476358" w:rsidRDefault="00A42422">
      <w:pPr>
        <w:spacing w:before="742" w:after="177" w:line="450" w:lineRule="exact"/>
        <w:ind w:left="288"/>
        <w:textAlignment w:val="baseline"/>
        <w:rPr>
          <w:rFonts w:ascii="Tahoma" w:eastAsia="Tahoma" w:hAnsi="Tahoma"/>
          <w:color w:val="202B34"/>
          <w:spacing w:val="10"/>
          <w:sz w:val="36"/>
        </w:rPr>
      </w:pPr>
      <w:r>
        <w:pict w14:anchorId="2C511B62">
          <v:line id="_x0000_s1031" style="position:absolute;left:0;text-align:left;z-index:251655168;mso-position-horizontal-relative:page;mso-position-vertical-relative:page" from="42.95pt,266.15pt" to="553pt,266.15pt" strokecolor="#d3d6e2" strokeweight="2.4pt">
            <w10:wrap anchorx="page" anchory="page"/>
          </v:line>
        </w:pict>
      </w:r>
      <w:proofErr w:type="gramStart"/>
      <w:r>
        <w:rPr>
          <w:rFonts w:ascii="Tahoma" w:eastAsia="Tahoma" w:hAnsi="Tahoma"/>
          <w:color w:val="202B34"/>
          <w:spacing w:val="10"/>
          <w:sz w:val="36"/>
        </w:rPr>
        <w:t>1.Organisation</w:t>
      </w:r>
      <w:proofErr w:type="gramEnd"/>
      <w:r>
        <w:rPr>
          <w:rFonts w:ascii="Tahoma" w:eastAsia="Tahoma" w:hAnsi="Tahoma"/>
          <w:color w:val="202B34"/>
          <w:spacing w:val="10"/>
          <w:sz w:val="36"/>
        </w:rPr>
        <w:t xml:space="preserve"> and project details</w:t>
      </w:r>
    </w:p>
    <w:p w14:paraId="2A442391" w14:textId="77777777" w:rsidR="00476358" w:rsidRDefault="00A42422">
      <w:pPr>
        <w:spacing w:before="239" w:line="192" w:lineRule="exact"/>
        <w:ind w:left="72"/>
        <w:textAlignment w:val="baseline"/>
        <w:rPr>
          <w:rFonts w:ascii="Arial" w:eastAsia="Arial" w:hAnsi="Arial"/>
          <w:b/>
          <w:color w:val="202B34"/>
          <w:spacing w:val="4"/>
          <w:sz w:val="16"/>
        </w:rPr>
      </w:pPr>
      <w:r>
        <w:pict w14:anchorId="3E944F26">
          <v:line id="_x0000_s1030" style="position:absolute;left:0;text-align:left;z-index:251656192;mso-position-horizontal-relative:page;mso-position-vertical-relative:page" from="42.95pt,334.55pt" to="553pt,334.55pt" strokecolor="#202b34" strokeweight="1.2pt">
            <w10:wrap anchorx="page" anchory="page"/>
          </v:line>
        </w:pict>
      </w:r>
      <w:r>
        <w:rPr>
          <w:rFonts w:ascii="Arial" w:eastAsia="Arial" w:hAnsi="Arial"/>
          <w:b/>
          <w:color w:val="202B34"/>
          <w:spacing w:val="4"/>
          <w:sz w:val="16"/>
        </w:rPr>
        <w:t>Company/</w:t>
      </w:r>
      <w:proofErr w:type="spellStart"/>
      <w:r>
        <w:rPr>
          <w:rFonts w:ascii="Arial" w:eastAsia="Arial" w:hAnsi="Arial"/>
          <w:b/>
          <w:color w:val="202B34"/>
          <w:spacing w:val="4"/>
          <w:sz w:val="16"/>
        </w:rPr>
        <w:t>organisation</w:t>
      </w:r>
      <w:proofErr w:type="spellEnd"/>
      <w:r>
        <w:rPr>
          <w:rFonts w:ascii="Arial" w:eastAsia="Arial" w:hAnsi="Arial"/>
          <w:b/>
          <w:color w:val="202B34"/>
          <w:spacing w:val="4"/>
          <w:sz w:val="16"/>
        </w:rPr>
        <w:t xml:space="preserve"> name: </w:t>
      </w:r>
      <w:r>
        <w:rPr>
          <w:rFonts w:ascii="Tahoma" w:eastAsia="Tahoma" w:hAnsi="Tahoma"/>
          <w:color w:val="202B34"/>
          <w:spacing w:val="4"/>
          <w:sz w:val="15"/>
        </w:rPr>
        <w:t>AUSTRALIAN RAIL TRACK CORPORATION LIMITED</w:t>
      </w:r>
    </w:p>
    <w:p w14:paraId="13154AEB" w14:textId="77777777" w:rsidR="00476358" w:rsidRDefault="00A42422">
      <w:pPr>
        <w:spacing w:before="29" w:line="187" w:lineRule="exact"/>
        <w:ind w:left="72"/>
        <w:textAlignment w:val="baseline"/>
        <w:rPr>
          <w:rFonts w:ascii="Arial" w:eastAsia="Arial" w:hAnsi="Arial"/>
          <w:b/>
          <w:color w:val="202B34"/>
          <w:spacing w:val="-8"/>
          <w:sz w:val="16"/>
        </w:rPr>
      </w:pPr>
      <w:r>
        <w:rPr>
          <w:rFonts w:ascii="Arial" w:eastAsia="Arial" w:hAnsi="Arial"/>
          <w:b/>
          <w:color w:val="202B34"/>
          <w:spacing w:val="-8"/>
          <w:sz w:val="16"/>
        </w:rPr>
        <w:t>Project name:</w:t>
      </w:r>
    </w:p>
    <w:p w14:paraId="32E7D9A9" w14:textId="77777777" w:rsidR="00476358" w:rsidRDefault="00A42422">
      <w:pPr>
        <w:spacing w:before="28" w:line="192" w:lineRule="exact"/>
        <w:ind w:left="72"/>
        <w:textAlignment w:val="baseline"/>
        <w:rPr>
          <w:rFonts w:ascii="Arial" w:eastAsia="Arial" w:hAnsi="Arial"/>
          <w:b/>
          <w:color w:val="202B34"/>
          <w:sz w:val="16"/>
        </w:rPr>
      </w:pPr>
      <w:r>
        <w:rPr>
          <w:rFonts w:ascii="Arial" w:eastAsia="Arial" w:hAnsi="Arial"/>
          <w:b/>
          <w:color w:val="202B34"/>
          <w:sz w:val="16"/>
        </w:rPr>
        <w:t xml:space="preserve">Description of the project: </w:t>
      </w:r>
      <w:r>
        <w:rPr>
          <w:rFonts w:ascii="Tahoma" w:eastAsia="Tahoma" w:hAnsi="Tahoma"/>
          <w:color w:val="202B34"/>
          <w:sz w:val="15"/>
        </w:rPr>
        <w:t>The Australian Government has committed to funding the construction of the Port Botany Rail Line Duplication</w:t>
      </w:r>
    </w:p>
    <w:p w14:paraId="0395FC65" w14:textId="77777777" w:rsidR="00476358" w:rsidRDefault="00A42422">
      <w:pPr>
        <w:spacing w:before="27" w:line="190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(</w:t>
      </w:r>
      <w:proofErr w:type="gramStart"/>
      <w:r>
        <w:rPr>
          <w:rFonts w:ascii="Tahoma" w:eastAsia="Tahoma" w:hAnsi="Tahoma"/>
          <w:color w:val="202B34"/>
          <w:sz w:val="15"/>
        </w:rPr>
        <w:t>including</w:t>
      </w:r>
      <w:proofErr w:type="gramEnd"/>
      <w:r>
        <w:rPr>
          <w:rFonts w:ascii="Tahoma" w:eastAsia="Tahoma" w:hAnsi="Tahoma"/>
          <w:color w:val="202B34"/>
          <w:sz w:val="15"/>
        </w:rPr>
        <w:t xml:space="preserve"> </w:t>
      </w:r>
      <w:proofErr w:type="spellStart"/>
      <w:r>
        <w:rPr>
          <w:rFonts w:ascii="Tahoma" w:eastAsia="Tahoma" w:hAnsi="Tahoma"/>
          <w:color w:val="202B34"/>
          <w:sz w:val="15"/>
        </w:rPr>
        <w:t>Cabramatta</w:t>
      </w:r>
      <w:proofErr w:type="spellEnd"/>
      <w:r>
        <w:rPr>
          <w:rFonts w:ascii="Tahoma" w:eastAsia="Tahoma" w:hAnsi="Tahoma"/>
          <w:color w:val="202B34"/>
          <w:sz w:val="15"/>
        </w:rPr>
        <w:t xml:space="preserve"> Loop) (</w:t>
      </w:r>
      <w:proofErr w:type="gramStart"/>
      <w:r>
        <w:rPr>
          <w:rFonts w:ascii="Tahoma" w:eastAsia="Tahoma" w:hAnsi="Tahoma"/>
          <w:color w:val="202B34"/>
          <w:sz w:val="15"/>
        </w:rPr>
        <w:t>‘the</w:t>
      </w:r>
      <w:proofErr w:type="gramEnd"/>
      <w:r>
        <w:rPr>
          <w:rFonts w:ascii="Tahoma" w:eastAsia="Tahoma" w:hAnsi="Tahoma"/>
          <w:color w:val="202B34"/>
          <w:sz w:val="15"/>
        </w:rPr>
        <w:t xml:space="preserve"> Project’) to:</w:t>
      </w:r>
    </w:p>
    <w:p w14:paraId="2C00538F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0" w:line="190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Increase rail capacity to meet forecast demand for freight services to and from Port Botany;</w:t>
      </w:r>
    </w:p>
    <w:p w14:paraId="23925683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1" w:line="220" w:lineRule="exact"/>
        <w:ind w:left="72" w:right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Accomm</w:t>
      </w:r>
      <w:r>
        <w:rPr>
          <w:rFonts w:ascii="Tahoma" w:eastAsia="Tahoma" w:hAnsi="Tahoma"/>
          <w:color w:val="202B34"/>
          <w:sz w:val="15"/>
        </w:rPr>
        <w:t xml:space="preserve">odate port shuttle services between Port Botany and </w:t>
      </w:r>
      <w:proofErr w:type="spellStart"/>
      <w:r>
        <w:rPr>
          <w:rFonts w:ascii="Tahoma" w:eastAsia="Tahoma" w:hAnsi="Tahoma"/>
          <w:color w:val="202B34"/>
          <w:sz w:val="15"/>
        </w:rPr>
        <w:t>Moorebank</w:t>
      </w:r>
      <w:proofErr w:type="spellEnd"/>
      <w:r>
        <w:rPr>
          <w:rFonts w:ascii="Tahoma" w:eastAsia="Tahoma" w:hAnsi="Tahoma"/>
          <w:color w:val="202B34"/>
          <w:sz w:val="15"/>
        </w:rPr>
        <w:t xml:space="preserve"> Intermodal Terminal to move more containers in and out of the port via rail;</w:t>
      </w:r>
    </w:p>
    <w:p w14:paraId="400DB6F5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27" w:line="190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Reduce road congestion, heavy vehicle road safety incidents, and road maintenance expenditure;</w:t>
      </w:r>
    </w:p>
    <w:p w14:paraId="6930A6E6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0" w:line="191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Reduce rail congestion between Port Botany and intermodals such as the </w:t>
      </w:r>
      <w:proofErr w:type="spellStart"/>
      <w:r>
        <w:rPr>
          <w:rFonts w:ascii="Tahoma" w:eastAsia="Tahoma" w:hAnsi="Tahoma"/>
          <w:color w:val="202B34"/>
          <w:sz w:val="15"/>
        </w:rPr>
        <w:t>Moorebank</w:t>
      </w:r>
      <w:proofErr w:type="spellEnd"/>
      <w:r>
        <w:rPr>
          <w:rFonts w:ascii="Tahoma" w:eastAsia="Tahoma" w:hAnsi="Tahoma"/>
          <w:color w:val="202B34"/>
          <w:sz w:val="15"/>
        </w:rPr>
        <w:t xml:space="preserve"> Intermodal Terminal;</w:t>
      </w:r>
    </w:p>
    <w:p w14:paraId="0A7FB3DA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0" w:line="191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Provide operational flexibility flowing from reduced congestion and increased capacity;</w:t>
      </w:r>
    </w:p>
    <w:p w14:paraId="6023740E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1" w:line="220" w:lineRule="exact"/>
        <w:ind w:left="72" w:right="43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Improve service reliability for freight rail customers accessing P</w:t>
      </w:r>
      <w:r>
        <w:rPr>
          <w:rFonts w:ascii="Tahoma" w:eastAsia="Tahoma" w:hAnsi="Tahoma"/>
          <w:color w:val="202B34"/>
          <w:sz w:val="15"/>
        </w:rPr>
        <w:t>ort Botany and Intermodal Terminals through enhanced train movements and connectivity; and</w:t>
      </w:r>
    </w:p>
    <w:p w14:paraId="4B283053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line="218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Reduce air pollution, greenhouse gas emissions and noise flowing from diversion of freight from road to rail. </w:t>
      </w:r>
      <w:r>
        <w:rPr>
          <w:rFonts w:ascii="Tahoma" w:eastAsia="Tahoma" w:hAnsi="Tahoma"/>
          <w:color w:val="202B34"/>
          <w:sz w:val="15"/>
        </w:rPr>
        <w:br/>
        <w:t xml:space="preserve">The Project comprises delivery of two main components </w:t>
      </w:r>
      <w:r>
        <w:rPr>
          <w:rFonts w:ascii="Tahoma" w:eastAsia="Tahoma" w:hAnsi="Tahoma"/>
          <w:color w:val="202B34"/>
          <w:sz w:val="15"/>
        </w:rPr>
        <w:t>with key features as follows:</w:t>
      </w:r>
    </w:p>
    <w:p w14:paraId="5FD2C7ED" w14:textId="77777777" w:rsidR="00476358" w:rsidRDefault="00A42422">
      <w:pPr>
        <w:spacing w:before="31" w:line="190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(1) Botany Rail Duplication Project:</w:t>
      </w:r>
    </w:p>
    <w:p w14:paraId="344CBEE4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0" w:line="191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Duplication of approximately 2.9km of the existing Botany Line between Botany and Mascot (9.835km – 13.226km)</w:t>
      </w:r>
    </w:p>
    <w:p w14:paraId="7F440AF7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0" w:line="190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Slewing and upgrading sections of the existing Botany Line</w:t>
      </w:r>
    </w:p>
    <w:p w14:paraId="70659346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1" w:line="190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Installation of two </w:t>
      </w:r>
      <w:r>
        <w:rPr>
          <w:rFonts w:ascii="Tahoma" w:eastAsia="Tahoma" w:hAnsi="Tahoma"/>
          <w:color w:val="202B34"/>
          <w:sz w:val="15"/>
        </w:rPr>
        <w:t>new crossover pairs on the Botany Line</w:t>
      </w:r>
    </w:p>
    <w:p w14:paraId="03CFD3DA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1" w:line="190" w:lineRule="exact"/>
        <w:ind w:left="72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 xml:space="preserve">Construction of six new </w:t>
      </w:r>
      <w:proofErr w:type="spellStart"/>
      <w:r>
        <w:rPr>
          <w:rFonts w:ascii="Tahoma" w:eastAsia="Tahoma" w:hAnsi="Tahoma"/>
          <w:color w:val="202B34"/>
          <w:spacing w:val="1"/>
          <w:sz w:val="15"/>
        </w:rPr>
        <w:t>underbridges</w:t>
      </w:r>
      <w:proofErr w:type="spellEnd"/>
      <w:r>
        <w:rPr>
          <w:rFonts w:ascii="Tahoma" w:eastAsia="Tahoma" w:hAnsi="Tahoma"/>
          <w:color w:val="202B34"/>
          <w:spacing w:val="1"/>
          <w:sz w:val="15"/>
        </w:rPr>
        <w:t xml:space="preserve"> at Mill Pond, Southern Cross Drive, </w:t>
      </w:r>
      <w:proofErr w:type="spellStart"/>
      <w:r>
        <w:rPr>
          <w:rFonts w:ascii="Tahoma" w:eastAsia="Tahoma" w:hAnsi="Tahoma"/>
          <w:color w:val="202B34"/>
          <w:spacing w:val="1"/>
          <w:sz w:val="15"/>
        </w:rPr>
        <w:t>O’Riordan</w:t>
      </w:r>
      <w:proofErr w:type="spellEnd"/>
      <w:r>
        <w:rPr>
          <w:rFonts w:ascii="Tahoma" w:eastAsia="Tahoma" w:hAnsi="Tahoma"/>
          <w:color w:val="202B34"/>
          <w:spacing w:val="1"/>
          <w:sz w:val="15"/>
        </w:rPr>
        <w:t xml:space="preserve"> Street and Robey Street</w:t>
      </w:r>
    </w:p>
    <w:p w14:paraId="56FF0991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26" w:line="190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Demolition of existing </w:t>
      </w:r>
      <w:proofErr w:type="spellStart"/>
      <w:r>
        <w:rPr>
          <w:rFonts w:ascii="Tahoma" w:eastAsia="Tahoma" w:hAnsi="Tahoma"/>
          <w:color w:val="202B34"/>
          <w:sz w:val="15"/>
        </w:rPr>
        <w:t>underbridges</w:t>
      </w:r>
      <w:proofErr w:type="spellEnd"/>
      <w:r>
        <w:rPr>
          <w:rFonts w:ascii="Tahoma" w:eastAsia="Tahoma" w:hAnsi="Tahoma"/>
          <w:color w:val="202B34"/>
          <w:sz w:val="15"/>
        </w:rPr>
        <w:t xml:space="preserve"> at </w:t>
      </w:r>
      <w:proofErr w:type="spellStart"/>
      <w:r>
        <w:rPr>
          <w:rFonts w:ascii="Tahoma" w:eastAsia="Tahoma" w:hAnsi="Tahoma"/>
          <w:color w:val="202B34"/>
          <w:sz w:val="15"/>
        </w:rPr>
        <w:t>O’Riordan</w:t>
      </w:r>
      <w:proofErr w:type="spellEnd"/>
      <w:r>
        <w:rPr>
          <w:rFonts w:ascii="Tahoma" w:eastAsia="Tahoma" w:hAnsi="Tahoma"/>
          <w:color w:val="202B34"/>
          <w:sz w:val="15"/>
        </w:rPr>
        <w:t xml:space="preserve"> Street and Robey Street</w:t>
      </w:r>
    </w:p>
    <w:p w14:paraId="111EE26F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0" w:line="191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Construction of new embankments and retaining structures</w:t>
      </w:r>
    </w:p>
    <w:p w14:paraId="68E17F3C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0" w:line="191" w:lineRule="exact"/>
        <w:ind w:left="72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 xml:space="preserve">Rail systems work including bi-directional </w:t>
      </w:r>
      <w:proofErr w:type="spellStart"/>
      <w:r>
        <w:rPr>
          <w:rFonts w:ascii="Tahoma" w:eastAsia="Tahoma" w:hAnsi="Tahoma"/>
          <w:color w:val="202B34"/>
          <w:spacing w:val="2"/>
          <w:sz w:val="15"/>
        </w:rPr>
        <w:t>signalling</w:t>
      </w:r>
      <w:proofErr w:type="spellEnd"/>
      <w:r>
        <w:rPr>
          <w:rFonts w:ascii="Tahoma" w:eastAsia="Tahoma" w:hAnsi="Tahoma"/>
          <w:color w:val="202B34"/>
          <w:spacing w:val="2"/>
          <w:sz w:val="15"/>
        </w:rPr>
        <w:t xml:space="preserve"> upgrades, </w:t>
      </w:r>
      <w:proofErr w:type="spellStart"/>
      <w:r>
        <w:rPr>
          <w:rFonts w:ascii="Tahoma" w:eastAsia="Tahoma" w:hAnsi="Tahoma"/>
          <w:color w:val="202B34"/>
          <w:spacing w:val="2"/>
          <w:sz w:val="15"/>
        </w:rPr>
        <w:t>utilisation</w:t>
      </w:r>
      <w:proofErr w:type="spellEnd"/>
      <w:r>
        <w:rPr>
          <w:rFonts w:ascii="Tahoma" w:eastAsia="Tahoma" w:hAnsi="Tahoma"/>
          <w:color w:val="202B34"/>
          <w:spacing w:val="2"/>
          <w:sz w:val="15"/>
        </w:rPr>
        <w:t xml:space="preserve"> of new and existing Combined Service Route (CSR)</w:t>
      </w:r>
    </w:p>
    <w:p w14:paraId="2DDB0281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0" w:line="190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Civils works including utility protection/relocation and drainage modifications</w:t>
      </w:r>
    </w:p>
    <w:p w14:paraId="45FBE34F" w14:textId="77777777" w:rsidR="00476358" w:rsidRDefault="00A42422">
      <w:pPr>
        <w:spacing w:before="32" w:line="189" w:lineRule="exact"/>
        <w:ind w:left="72"/>
        <w:textAlignment w:val="baseline"/>
        <w:rPr>
          <w:rFonts w:ascii="Tahoma" w:eastAsia="Tahoma" w:hAnsi="Tahoma"/>
          <w:color w:val="202B34"/>
          <w:spacing w:val="-1"/>
          <w:sz w:val="15"/>
        </w:rPr>
      </w:pPr>
      <w:r>
        <w:rPr>
          <w:rFonts w:ascii="Tahoma" w:eastAsia="Tahoma" w:hAnsi="Tahoma"/>
          <w:color w:val="202B34"/>
          <w:spacing w:val="-1"/>
          <w:sz w:val="15"/>
        </w:rPr>
        <w:t xml:space="preserve">(2) The </w:t>
      </w:r>
      <w:proofErr w:type="spellStart"/>
      <w:r>
        <w:rPr>
          <w:rFonts w:ascii="Tahoma" w:eastAsia="Tahoma" w:hAnsi="Tahoma"/>
          <w:color w:val="202B34"/>
          <w:spacing w:val="-1"/>
          <w:sz w:val="15"/>
        </w:rPr>
        <w:t>Cabramatta</w:t>
      </w:r>
      <w:proofErr w:type="spellEnd"/>
      <w:r>
        <w:rPr>
          <w:rFonts w:ascii="Tahoma" w:eastAsia="Tahoma" w:hAnsi="Tahoma"/>
          <w:color w:val="202B34"/>
          <w:spacing w:val="-1"/>
          <w:sz w:val="15"/>
        </w:rPr>
        <w:t xml:space="preserve"> Loop Project:</w:t>
      </w:r>
    </w:p>
    <w:p w14:paraId="6B4C1C5F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1" w:line="190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Construction of new ‘loop track’, approximately 1.65km long, running parallel to the Southern Sydney Freight Line (32.150km – 33.800km)</w:t>
      </w:r>
    </w:p>
    <w:p w14:paraId="61E95E13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26" w:line="190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Slewing</w:t>
      </w:r>
      <w:r>
        <w:rPr>
          <w:rFonts w:ascii="Tahoma" w:eastAsia="Tahoma" w:hAnsi="Tahoma"/>
          <w:color w:val="202B34"/>
          <w:sz w:val="15"/>
        </w:rPr>
        <w:t xml:space="preserve"> of around 550m of the Southern Sydney Freight Line at the southern connection (32.370km—33.937km)</w:t>
      </w:r>
    </w:p>
    <w:p w14:paraId="50CAD897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0" w:line="191" w:lineRule="exact"/>
        <w:ind w:left="72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 xml:space="preserve">Two new rail bridges will be constructed over Sussex Street and </w:t>
      </w:r>
      <w:proofErr w:type="spellStart"/>
      <w:r>
        <w:rPr>
          <w:rFonts w:ascii="Tahoma" w:eastAsia="Tahoma" w:hAnsi="Tahoma"/>
          <w:color w:val="202B34"/>
          <w:spacing w:val="2"/>
          <w:sz w:val="15"/>
        </w:rPr>
        <w:t>Cabramatta</w:t>
      </w:r>
      <w:proofErr w:type="spellEnd"/>
      <w:r>
        <w:rPr>
          <w:rFonts w:ascii="Tahoma" w:eastAsia="Tahoma" w:hAnsi="Tahoma"/>
          <w:color w:val="202B34"/>
          <w:spacing w:val="2"/>
          <w:sz w:val="15"/>
        </w:rPr>
        <w:t xml:space="preserve"> Creek/Railway Parade</w:t>
      </w:r>
    </w:p>
    <w:p w14:paraId="10E402F5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1" w:line="220" w:lineRule="exact"/>
        <w:ind w:left="72" w:right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The road alignment and parking configuration of Broomfield St</w:t>
      </w:r>
      <w:r>
        <w:rPr>
          <w:rFonts w:ascii="Tahoma" w:eastAsia="Tahoma" w:hAnsi="Tahoma"/>
          <w:color w:val="202B34"/>
          <w:sz w:val="15"/>
        </w:rPr>
        <w:t xml:space="preserve">reet in </w:t>
      </w:r>
      <w:proofErr w:type="spellStart"/>
      <w:r>
        <w:rPr>
          <w:rFonts w:ascii="Tahoma" w:eastAsia="Tahoma" w:hAnsi="Tahoma"/>
          <w:color w:val="202B34"/>
          <w:sz w:val="15"/>
        </w:rPr>
        <w:t>Cabramatta</w:t>
      </w:r>
      <w:proofErr w:type="spellEnd"/>
      <w:r>
        <w:rPr>
          <w:rFonts w:ascii="Tahoma" w:eastAsia="Tahoma" w:hAnsi="Tahoma"/>
          <w:color w:val="202B34"/>
          <w:sz w:val="15"/>
        </w:rPr>
        <w:t xml:space="preserve"> will be adjusted to accommodate the new loop track along with adjustments to the drainage, services and landscaping</w:t>
      </w:r>
    </w:p>
    <w:p w14:paraId="16522C46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2" w:line="220" w:lineRule="exact"/>
        <w:ind w:left="72" w:righ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New retaining walls, </w:t>
      </w:r>
      <w:proofErr w:type="spellStart"/>
      <w:r>
        <w:rPr>
          <w:rFonts w:ascii="Tahoma" w:eastAsia="Tahoma" w:hAnsi="Tahoma"/>
          <w:color w:val="202B34"/>
          <w:sz w:val="15"/>
        </w:rPr>
        <w:t>totalling</w:t>
      </w:r>
      <w:proofErr w:type="spellEnd"/>
      <w:r>
        <w:rPr>
          <w:rFonts w:ascii="Tahoma" w:eastAsia="Tahoma" w:hAnsi="Tahoma"/>
          <w:color w:val="202B34"/>
          <w:sz w:val="15"/>
        </w:rPr>
        <w:t xml:space="preserve"> approximately 1km, including reinstatement of the noise wall alongside Broomfield Street a</w:t>
      </w:r>
      <w:r>
        <w:rPr>
          <w:rFonts w:ascii="Tahoma" w:eastAsia="Tahoma" w:hAnsi="Tahoma"/>
          <w:color w:val="202B34"/>
          <w:sz w:val="15"/>
        </w:rPr>
        <w:t>nd partial demolition of existing structures</w:t>
      </w:r>
    </w:p>
    <w:p w14:paraId="697946E7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line="218" w:lineRule="exact"/>
        <w:ind w:left="72" w:righ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Integration of a new simultaneous entry </w:t>
      </w:r>
      <w:proofErr w:type="spellStart"/>
      <w:r>
        <w:rPr>
          <w:rFonts w:ascii="Tahoma" w:eastAsia="Tahoma" w:hAnsi="Tahoma"/>
          <w:color w:val="202B34"/>
          <w:sz w:val="15"/>
        </w:rPr>
        <w:t>signalling</w:t>
      </w:r>
      <w:proofErr w:type="spellEnd"/>
      <w:r>
        <w:rPr>
          <w:rFonts w:ascii="Tahoma" w:eastAsia="Tahoma" w:hAnsi="Tahoma"/>
          <w:color w:val="202B34"/>
          <w:sz w:val="15"/>
        </w:rPr>
        <w:t xml:space="preserve"> system into the existing Southern Sydney Freight Line system with new signals, signal cable routes and two new </w:t>
      </w:r>
      <w:proofErr w:type="spellStart"/>
      <w:r>
        <w:rPr>
          <w:rFonts w:ascii="Tahoma" w:eastAsia="Tahoma" w:hAnsi="Tahoma"/>
          <w:color w:val="202B34"/>
          <w:sz w:val="15"/>
        </w:rPr>
        <w:t>signalling</w:t>
      </w:r>
      <w:proofErr w:type="spellEnd"/>
      <w:r>
        <w:rPr>
          <w:rFonts w:ascii="Tahoma" w:eastAsia="Tahoma" w:hAnsi="Tahoma"/>
          <w:color w:val="202B34"/>
          <w:sz w:val="15"/>
        </w:rPr>
        <w:t xml:space="preserve"> huts (end of </w:t>
      </w:r>
      <w:proofErr w:type="spellStart"/>
      <w:r>
        <w:rPr>
          <w:rFonts w:ascii="Tahoma" w:eastAsia="Tahoma" w:hAnsi="Tahoma"/>
          <w:color w:val="202B34"/>
          <w:sz w:val="15"/>
        </w:rPr>
        <w:t>Cabramatta</w:t>
      </w:r>
      <w:proofErr w:type="spellEnd"/>
      <w:r>
        <w:rPr>
          <w:rFonts w:ascii="Tahoma" w:eastAsia="Tahoma" w:hAnsi="Tahoma"/>
          <w:color w:val="202B34"/>
          <w:sz w:val="15"/>
        </w:rPr>
        <w:t xml:space="preserve"> platform and between Warwick Street and Hume Highway)</w:t>
      </w:r>
    </w:p>
    <w:p w14:paraId="6CA20513" w14:textId="77777777" w:rsidR="00476358" w:rsidRDefault="00A42422">
      <w:pPr>
        <w:numPr>
          <w:ilvl w:val="0"/>
          <w:numId w:val="1"/>
        </w:numPr>
        <w:tabs>
          <w:tab w:val="clear" w:pos="288"/>
          <w:tab w:val="left" w:pos="360"/>
        </w:tabs>
        <w:spacing w:before="30" w:line="191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Civil</w:t>
      </w:r>
      <w:r>
        <w:rPr>
          <w:rFonts w:ascii="Tahoma" w:eastAsia="Tahoma" w:hAnsi="Tahoma"/>
          <w:color w:val="202B34"/>
          <w:sz w:val="15"/>
        </w:rPr>
        <w:t xml:space="preserve"> works including utility protection/relocation and drainage works</w:t>
      </w:r>
    </w:p>
    <w:p w14:paraId="1EA99F18" w14:textId="77777777" w:rsidR="00476358" w:rsidRDefault="00A42422">
      <w:pPr>
        <w:spacing w:before="31" w:line="189" w:lineRule="exact"/>
        <w:ind w:left="72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ARTC will be procuring Main Construction Contractors to deliver the works and undertaking additional procurement of goods and services with</w:t>
      </w:r>
    </w:p>
    <w:p w14:paraId="6C49127D" w14:textId="77777777" w:rsidR="00476358" w:rsidRDefault="00A42422">
      <w:pPr>
        <w:spacing w:before="32" w:line="188" w:lineRule="exact"/>
        <w:ind w:left="72"/>
        <w:textAlignment w:val="baseline"/>
        <w:rPr>
          <w:rFonts w:ascii="Tahoma" w:eastAsia="Tahoma" w:hAnsi="Tahoma"/>
          <w:color w:val="202B34"/>
          <w:spacing w:val="-2"/>
          <w:sz w:val="15"/>
        </w:rPr>
      </w:pPr>
      <w:proofErr w:type="gramStart"/>
      <w:r>
        <w:rPr>
          <w:rFonts w:ascii="Tahoma" w:eastAsia="Tahoma" w:hAnsi="Tahoma"/>
          <w:color w:val="202B34"/>
          <w:spacing w:val="-2"/>
          <w:sz w:val="15"/>
        </w:rPr>
        <w:t>forecast</w:t>
      </w:r>
      <w:proofErr w:type="gramEnd"/>
      <w:r>
        <w:rPr>
          <w:rFonts w:ascii="Tahoma" w:eastAsia="Tahoma" w:hAnsi="Tahoma"/>
          <w:color w:val="202B34"/>
          <w:spacing w:val="-2"/>
          <w:sz w:val="15"/>
        </w:rPr>
        <w:t xml:space="preserve"> dates as below:</w:t>
      </w:r>
    </w:p>
    <w:p w14:paraId="4A573D25" w14:textId="77777777" w:rsidR="00476358" w:rsidRDefault="00476358">
      <w:pPr>
        <w:sectPr w:rsidR="00476358">
          <w:type w:val="continuous"/>
          <w:pgSz w:w="11904" w:h="16843"/>
          <w:pgMar w:top="2680" w:right="845" w:bottom="1627" w:left="859" w:header="720" w:footer="720" w:gutter="0"/>
          <w:cols w:space="720"/>
        </w:sectPr>
      </w:pPr>
    </w:p>
    <w:p w14:paraId="0FD19879" w14:textId="77777777" w:rsidR="00476358" w:rsidRDefault="00A42422">
      <w:pPr>
        <w:numPr>
          <w:ilvl w:val="0"/>
          <w:numId w:val="2"/>
        </w:numPr>
        <w:spacing w:before="21" w:line="220" w:lineRule="exact"/>
        <w:ind w:right="720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lastRenderedPageBreak/>
        <w:t xml:space="preserve">Expected dates for the RFT release of the Main Construction Contractors will be </w:t>
      </w:r>
      <w:r>
        <w:rPr>
          <w:rFonts w:ascii="Verdana" w:eastAsia="Verdana" w:hAnsi="Verdana"/>
          <w:color w:val="202B34"/>
          <w:sz w:val="19"/>
        </w:rPr>
        <w:t>0</w:t>
      </w:r>
      <w:r>
        <w:rPr>
          <w:rFonts w:ascii="Tahoma" w:eastAsia="Tahoma" w:hAnsi="Tahoma"/>
          <w:color w:val="202B34"/>
          <w:sz w:val="15"/>
        </w:rPr>
        <w:t xml:space="preserve">3 2020 for both the Botany Duplication Project and the </w:t>
      </w:r>
      <w:proofErr w:type="spellStart"/>
      <w:r>
        <w:rPr>
          <w:rFonts w:ascii="Tahoma" w:eastAsia="Tahoma" w:hAnsi="Tahoma"/>
          <w:color w:val="202B34"/>
          <w:sz w:val="15"/>
        </w:rPr>
        <w:t>Cabramatta</w:t>
      </w:r>
      <w:proofErr w:type="spellEnd"/>
      <w:r>
        <w:rPr>
          <w:rFonts w:ascii="Tahoma" w:eastAsia="Tahoma" w:hAnsi="Tahoma"/>
          <w:color w:val="202B34"/>
          <w:sz w:val="15"/>
        </w:rPr>
        <w:t xml:space="preserve"> Loop Project</w:t>
      </w:r>
    </w:p>
    <w:p w14:paraId="76D3203D" w14:textId="77777777" w:rsidR="00476358" w:rsidRDefault="00A42422">
      <w:pPr>
        <w:numPr>
          <w:ilvl w:val="0"/>
          <w:numId w:val="2"/>
        </w:numPr>
        <w:spacing w:line="220" w:lineRule="exact"/>
        <w:ind w:right="720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Expected dates for appointment of Main Construction Contractors will be </w:t>
      </w:r>
      <w:r>
        <w:rPr>
          <w:rFonts w:ascii="Verdana" w:eastAsia="Verdana" w:hAnsi="Verdana"/>
          <w:color w:val="202B34"/>
          <w:sz w:val="19"/>
        </w:rPr>
        <w:t>0</w:t>
      </w:r>
      <w:r>
        <w:rPr>
          <w:rFonts w:ascii="Tahoma" w:eastAsia="Tahoma" w:hAnsi="Tahoma"/>
          <w:color w:val="202B34"/>
          <w:sz w:val="15"/>
        </w:rPr>
        <w:t>2 2021 for the Botany D</w:t>
      </w:r>
      <w:r>
        <w:rPr>
          <w:rFonts w:ascii="Tahoma" w:eastAsia="Tahoma" w:hAnsi="Tahoma"/>
          <w:color w:val="202B34"/>
          <w:sz w:val="15"/>
        </w:rPr>
        <w:t xml:space="preserve">uplication Project and </w:t>
      </w:r>
      <w:r>
        <w:rPr>
          <w:rFonts w:ascii="Verdana" w:eastAsia="Verdana" w:hAnsi="Verdana"/>
          <w:color w:val="202B34"/>
          <w:sz w:val="19"/>
        </w:rPr>
        <w:t>0</w:t>
      </w:r>
      <w:r>
        <w:rPr>
          <w:rFonts w:ascii="Tahoma" w:eastAsia="Tahoma" w:hAnsi="Tahoma"/>
          <w:color w:val="202B34"/>
          <w:sz w:val="15"/>
        </w:rPr>
        <w:t xml:space="preserve">1 2021 for the </w:t>
      </w:r>
      <w:proofErr w:type="spellStart"/>
      <w:r>
        <w:rPr>
          <w:rFonts w:ascii="Tahoma" w:eastAsia="Tahoma" w:hAnsi="Tahoma"/>
          <w:color w:val="202B34"/>
          <w:sz w:val="15"/>
        </w:rPr>
        <w:t>Cabramatta</w:t>
      </w:r>
      <w:proofErr w:type="spellEnd"/>
      <w:r>
        <w:rPr>
          <w:rFonts w:ascii="Tahoma" w:eastAsia="Tahoma" w:hAnsi="Tahoma"/>
          <w:color w:val="202B34"/>
          <w:sz w:val="15"/>
        </w:rPr>
        <w:t xml:space="preserve"> Loop Project, with construction commencing shortly thereafter</w:t>
      </w:r>
    </w:p>
    <w:p w14:paraId="1C88AC8A" w14:textId="77777777" w:rsidR="00476358" w:rsidRDefault="00A42422">
      <w:pPr>
        <w:numPr>
          <w:ilvl w:val="0"/>
          <w:numId w:val="2"/>
        </w:numPr>
        <w:spacing w:before="22" w:line="201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Construction completion by </w:t>
      </w:r>
      <w:r>
        <w:rPr>
          <w:rFonts w:ascii="Verdana" w:eastAsia="Verdana" w:hAnsi="Verdana"/>
          <w:color w:val="202B34"/>
          <w:sz w:val="19"/>
        </w:rPr>
        <w:t>0</w:t>
      </w:r>
      <w:r>
        <w:rPr>
          <w:rFonts w:ascii="Tahoma" w:eastAsia="Tahoma" w:hAnsi="Tahoma"/>
          <w:color w:val="202B34"/>
          <w:sz w:val="15"/>
        </w:rPr>
        <w:t>4 2024</w:t>
      </w:r>
    </w:p>
    <w:p w14:paraId="424FDEA8" w14:textId="77777777" w:rsidR="00476358" w:rsidRDefault="00A42422">
      <w:pPr>
        <w:spacing w:before="30"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Additional contracts will continue to be placed by ARTC for other goods and services, including Rail Supply, </w:t>
      </w:r>
      <w:r>
        <w:rPr>
          <w:rFonts w:ascii="Tahoma" w:eastAsia="Tahoma" w:hAnsi="Tahoma"/>
          <w:color w:val="202B34"/>
          <w:sz w:val="15"/>
        </w:rPr>
        <w:t>throughout the duration of the Project.</w:t>
      </w:r>
    </w:p>
    <w:p w14:paraId="0D1DB989" w14:textId="77777777" w:rsidR="00476358" w:rsidRDefault="00A42422">
      <w:pPr>
        <w:spacing w:before="252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 xml:space="preserve">Estimated capital expenditure/total value of the project: </w:t>
      </w:r>
      <w:r>
        <w:rPr>
          <w:rFonts w:ascii="Tahoma" w:eastAsia="Tahoma" w:hAnsi="Tahoma"/>
          <w:color w:val="202B34"/>
          <w:spacing w:val="-5"/>
          <w:sz w:val="15"/>
        </w:rPr>
        <w:t>$290,200,000 AUD</w:t>
      </w:r>
    </w:p>
    <w:p w14:paraId="486382D4" w14:textId="77777777" w:rsidR="00476358" w:rsidRDefault="00A42422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 xml:space="preserve">Estimated total value of key goods and services: </w:t>
      </w:r>
      <w:r>
        <w:rPr>
          <w:rFonts w:ascii="Tahoma" w:eastAsia="Tahoma" w:hAnsi="Tahoma"/>
          <w:color w:val="202B34"/>
          <w:spacing w:val="-5"/>
          <w:sz w:val="15"/>
        </w:rPr>
        <w:t>$290,200,000 AUD</w:t>
      </w:r>
    </w:p>
    <w:p w14:paraId="2C9ED27D" w14:textId="77777777" w:rsidR="00476358" w:rsidRDefault="00A42422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Project location: </w:t>
      </w:r>
      <w:r>
        <w:rPr>
          <w:rFonts w:ascii="Tahoma" w:eastAsia="Tahoma" w:hAnsi="Tahoma"/>
          <w:color w:val="202B34"/>
          <w:sz w:val="15"/>
        </w:rPr>
        <w:t xml:space="preserve">Botany to Mascot and Warwick Farm to </w:t>
      </w:r>
      <w:proofErr w:type="spellStart"/>
      <w:r>
        <w:rPr>
          <w:rFonts w:ascii="Tahoma" w:eastAsia="Tahoma" w:hAnsi="Tahoma"/>
          <w:color w:val="202B34"/>
          <w:sz w:val="15"/>
        </w:rPr>
        <w:t>Cabramatta</w:t>
      </w:r>
      <w:proofErr w:type="spellEnd"/>
      <w:r>
        <w:rPr>
          <w:rFonts w:ascii="Tahoma" w:eastAsia="Tahoma" w:hAnsi="Tahoma"/>
          <w:color w:val="202B34"/>
          <w:sz w:val="15"/>
        </w:rPr>
        <w:t>, NSW</w:t>
      </w:r>
    </w:p>
    <w:p w14:paraId="63FDC639" w14:textId="77777777" w:rsidR="00476358" w:rsidRDefault="00A42422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pacing w:val="-2"/>
          <w:sz w:val="17"/>
        </w:rPr>
      </w:pPr>
      <w:r>
        <w:rPr>
          <w:rFonts w:ascii="Arial" w:eastAsia="Arial" w:hAnsi="Arial"/>
          <w:b/>
          <w:color w:val="202B34"/>
          <w:spacing w:val="-2"/>
          <w:sz w:val="17"/>
        </w:rPr>
        <w:t>Link</w:t>
      </w:r>
      <w:r>
        <w:rPr>
          <w:rFonts w:ascii="Arial" w:eastAsia="Arial" w:hAnsi="Arial"/>
          <w:b/>
          <w:color w:val="202B34"/>
          <w:spacing w:val="-2"/>
          <w:sz w:val="17"/>
        </w:rPr>
        <w:t xml:space="preserve"> to project information: </w:t>
      </w:r>
      <w:hyperlink r:id="rId10">
        <w:r>
          <w:rPr>
            <w:rFonts w:ascii="Tahoma" w:eastAsia="Tahoma" w:hAnsi="Tahoma"/>
            <w:color w:val="0000FF"/>
            <w:spacing w:val="-2"/>
            <w:sz w:val="15"/>
            <w:u w:val="single"/>
          </w:rPr>
          <w:t>www.artc.com.au/projects</w:t>
        </w:r>
      </w:hyperlink>
      <w:r>
        <w:rPr>
          <w:rFonts w:ascii="Tahoma" w:eastAsia="Tahoma" w:hAnsi="Tahoma"/>
          <w:color w:val="202B34"/>
          <w:spacing w:val="-2"/>
          <w:sz w:val="15"/>
        </w:rPr>
        <w:t xml:space="preserve"> </w:t>
      </w:r>
    </w:p>
    <w:p w14:paraId="19AA571F" w14:textId="77777777" w:rsidR="00476358" w:rsidRDefault="00A42422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>Contact person for procurement information:</w:t>
      </w:r>
    </w:p>
    <w:p w14:paraId="36DCEEA5" w14:textId="77777777" w:rsidR="00476358" w:rsidRDefault="00A42422">
      <w:pPr>
        <w:spacing w:before="26" w:line="190" w:lineRule="exact"/>
        <w:ind w:left="648"/>
        <w:textAlignment w:val="baseline"/>
        <w:rPr>
          <w:rFonts w:ascii="Arial" w:eastAsia="Arial" w:hAnsi="Arial"/>
          <w:b/>
          <w:color w:val="202B34"/>
          <w:spacing w:val="3"/>
          <w:sz w:val="17"/>
        </w:rPr>
      </w:pPr>
      <w:r>
        <w:rPr>
          <w:rFonts w:ascii="Arial" w:eastAsia="Arial" w:hAnsi="Arial"/>
          <w:b/>
          <w:color w:val="202B34"/>
          <w:spacing w:val="3"/>
          <w:sz w:val="17"/>
        </w:rPr>
        <w:t xml:space="preserve">Name: </w:t>
      </w:r>
      <w:proofErr w:type="spellStart"/>
      <w:r>
        <w:rPr>
          <w:rFonts w:ascii="Tahoma" w:eastAsia="Tahoma" w:hAnsi="Tahoma"/>
          <w:color w:val="202B34"/>
          <w:spacing w:val="3"/>
          <w:sz w:val="15"/>
        </w:rPr>
        <w:t>Mrs</w:t>
      </w:r>
      <w:proofErr w:type="spellEnd"/>
      <w:r>
        <w:rPr>
          <w:rFonts w:ascii="Tahoma" w:eastAsia="Tahoma" w:hAnsi="Tahoma"/>
          <w:color w:val="202B34"/>
          <w:spacing w:val="3"/>
          <w:sz w:val="15"/>
        </w:rPr>
        <w:t xml:space="preserve"> Grace Clark</w:t>
      </w:r>
    </w:p>
    <w:p w14:paraId="54BBF420" w14:textId="77777777" w:rsidR="00476358" w:rsidRDefault="00A42422">
      <w:pPr>
        <w:spacing w:before="30" w:line="190" w:lineRule="exact"/>
        <w:ind w:left="648"/>
        <w:textAlignment w:val="baseline"/>
        <w:rPr>
          <w:rFonts w:ascii="Arial" w:eastAsia="Arial" w:hAnsi="Arial"/>
          <w:b/>
          <w:color w:val="202B34"/>
          <w:spacing w:val="-4"/>
          <w:sz w:val="17"/>
        </w:rPr>
      </w:pPr>
      <w:r>
        <w:rPr>
          <w:rFonts w:ascii="Arial" w:eastAsia="Arial" w:hAnsi="Arial"/>
          <w:b/>
          <w:color w:val="202B34"/>
          <w:spacing w:val="-4"/>
          <w:sz w:val="17"/>
        </w:rPr>
        <w:t xml:space="preserve">Phone number: </w:t>
      </w:r>
      <w:r>
        <w:rPr>
          <w:rFonts w:ascii="Tahoma" w:eastAsia="Tahoma" w:hAnsi="Tahoma"/>
          <w:color w:val="202B34"/>
          <w:spacing w:val="-4"/>
          <w:sz w:val="15"/>
        </w:rPr>
        <w:t>0417579268</w:t>
      </w:r>
    </w:p>
    <w:p w14:paraId="499154B4" w14:textId="77777777" w:rsidR="00476358" w:rsidRDefault="00A42422">
      <w:pPr>
        <w:spacing w:before="31" w:after="647" w:line="190" w:lineRule="exact"/>
        <w:ind w:left="648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Email address: </w:t>
      </w:r>
      <w:hyperlink r:id="rId11">
        <w:r>
          <w:rPr>
            <w:rFonts w:ascii="Tahoma" w:eastAsia="Tahoma" w:hAnsi="Tahoma"/>
            <w:color w:val="0000FF"/>
            <w:sz w:val="15"/>
            <w:u w:val="single"/>
          </w:rPr>
          <w:t>GClark2@artc.com.au</w:t>
        </w:r>
      </w:hyperlink>
      <w:r>
        <w:rPr>
          <w:rFonts w:ascii="Tahoma" w:eastAsia="Tahoma" w:hAnsi="Tahoma"/>
          <w:color w:val="202B34"/>
          <w:sz w:val="15"/>
        </w:rPr>
        <w:t xml:space="preserve"> </w:t>
      </w:r>
    </w:p>
    <w:p w14:paraId="676B5880" w14:textId="77777777" w:rsidR="00476358" w:rsidRDefault="00A42422">
      <w:pPr>
        <w:spacing w:after="163" w:line="446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t>2. Opportunities to supply goods and services</w:t>
      </w:r>
    </w:p>
    <w:p w14:paraId="1C2F21E9" w14:textId="77777777" w:rsidR="00476358" w:rsidRDefault="00A42422">
      <w:pPr>
        <w:spacing w:before="180" w:line="20" w:lineRule="exact"/>
      </w:pPr>
      <w:r>
        <w:pict w14:anchorId="5AAD48C2">
          <v:line id="_x0000_s1029" style="position:absolute;z-index:251657216;mso-position-horizontal-relative:page;mso-position-vertical-relative:page" from="42.6pt,356.65pt" to="552.65pt,356.65pt" strokecolor="#202b34" strokeweight="1.2pt">
            <w10:wrap anchorx="page" anchory="page"/>
          </v:line>
        </w:pic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0"/>
        <w:gridCol w:w="1478"/>
        <w:gridCol w:w="1498"/>
      </w:tblGrid>
      <w:tr w:rsidR="00476358" w14:paraId="03AF7C0A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34A157" w14:textId="77777777" w:rsidR="00476358" w:rsidRDefault="00A42422">
            <w:pPr>
              <w:spacing w:before="209" w:after="210" w:line="220" w:lineRule="exact"/>
              <w:ind w:left="108" w:right="180"/>
              <w:jc w:val="both"/>
              <w:textAlignment w:val="baseline"/>
              <w:rPr>
                <w:rFonts w:ascii="Arial" w:eastAsia="Arial" w:hAnsi="Arial"/>
                <w:b/>
                <w:color w:val="202B34"/>
                <w:spacing w:val="-7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pacing w:val="-7"/>
                <w:sz w:val="17"/>
              </w:rPr>
              <w:t>List of goods and services to be procured for the project and the expected opportunity for industry participation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1E5B34" w14:textId="77777777" w:rsidR="00476358" w:rsidRDefault="00A42422">
            <w:pPr>
              <w:spacing w:after="172" w:line="22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Australian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 *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9D9024" w14:textId="77777777" w:rsidR="00476358" w:rsidRDefault="00A42422">
            <w:pPr>
              <w:spacing w:after="172" w:line="22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internation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al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</w:t>
            </w:r>
          </w:p>
        </w:tc>
      </w:tr>
      <w:tr w:rsidR="00476358" w14:paraId="19B76871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363FA1" w14:textId="77777777" w:rsidR="00476358" w:rsidRDefault="00A42422">
            <w:pPr>
              <w:spacing w:before="52" w:after="86" w:line="221" w:lineRule="exact"/>
              <w:ind w:left="108" w:right="432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Botany Duplication Project D&amp;C Contract (</w:t>
            </w:r>
            <w:proofErr w:type="spellStart"/>
            <w:r>
              <w:rPr>
                <w:rFonts w:ascii="Tahoma" w:eastAsia="Tahoma" w:hAnsi="Tahoma"/>
                <w:color w:val="202B34"/>
                <w:sz w:val="15"/>
              </w:rPr>
              <w:t>inc</w:t>
            </w:r>
            <w:proofErr w:type="spellEnd"/>
            <w:r>
              <w:rPr>
                <w:rFonts w:ascii="Tahoma" w:eastAsia="Tahoma" w:hAnsi="Tahoma"/>
                <w:color w:val="202B34"/>
                <w:sz w:val="15"/>
              </w:rPr>
              <w:t xml:space="preserve"> track construction, slewing, signaling, new cross- overs, bridges, demolition, retaining structures, property acquisition, civil works)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3405F1" w14:textId="77777777" w:rsidR="00476358" w:rsidRDefault="00A42422">
            <w:pPr>
              <w:spacing w:before="122" w:after="270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D4AB2C" w14:textId="77777777" w:rsidR="00476358" w:rsidRDefault="00A42422">
            <w:pPr>
              <w:spacing w:before="122" w:after="270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476358" w14:paraId="46352A52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2E7D09" w14:textId="77777777" w:rsidR="00476358" w:rsidRDefault="00A42422">
            <w:pPr>
              <w:spacing w:before="52" w:after="81" w:line="221" w:lineRule="exact"/>
              <w:ind w:left="72" w:right="36"/>
              <w:jc w:val="both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proofErr w:type="spellStart"/>
            <w:r>
              <w:rPr>
                <w:rFonts w:ascii="Tahoma" w:eastAsia="Tahoma" w:hAnsi="Tahoma"/>
                <w:color w:val="202B34"/>
                <w:sz w:val="15"/>
              </w:rPr>
              <w:t>Cabramatta</w:t>
            </w:r>
            <w:proofErr w:type="spellEnd"/>
            <w:r>
              <w:rPr>
                <w:rFonts w:ascii="Tahoma" w:eastAsia="Tahoma" w:hAnsi="Tahoma"/>
                <w:color w:val="202B34"/>
                <w:sz w:val="15"/>
              </w:rPr>
              <w:t xml:space="preserve"> Loop Project D&amp;</w:t>
            </w:r>
            <w:r>
              <w:rPr>
                <w:rFonts w:ascii="Tahoma" w:eastAsia="Tahoma" w:hAnsi="Tahoma"/>
                <w:color w:val="202B34"/>
                <w:sz w:val="15"/>
              </w:rPr>
              <w:t>C Contract (includes track construction, slewing, signaling, bridges, road alignment and parking configuration, retaining structures, civil works)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7F8EC6" w14:textId="77777777" w:rsidR="00476358" w:rsidRDefault="00A42422">
            <w:pPr>
              <w:spacing w:before="122" w:after="265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9506DD" w14:textId="77777777" w:rsidR="00476358" w:rsidRDefault="00A42422">
            <w:pPr>
              <w:spacing w:before="122" w:after="265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476358" w14:paraId="1B3E76F4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A5640F" w14:textId="77777777" w:rsidR="00476358" w:rsidRDefault="00A42422">
            <w:pPr>
              <w:spacing w:before="104" w:after="120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Property Consultants (including property acquisition advisory services and transaction managers)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FC45E0" w14:textId="77777777" w:rsidR="00476358" w:rsidRDefault="00A42422">
            <w:pPr>
              <w:spacing w:before="41" w:after="184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118594" w14:textId="77777777" w:rsidR="00476358" w:rsidRDefault="00A42422">
            <w:pPr>
              <w:spacing w:before="41" w:after="184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476358" w14:paraId="5935BAAF" w14:textId="7777777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662F9A" w14:textId="77777777" w:rsidR="00476358" w:rsidRDefault="00A42422">
            <w:pPr>
              <w:spacing w:before="98" w:after="119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Technical and Engineering Consultancy Services to support development and delivery phases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3D134A" w14:textId="77777777" w:rsidR="00476358" w:rsidRDefault="00A42422">
            <w:pPr>
              <w:spacing w:before="41" w:after="17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19F0C0" w14:textId="77777777" w:rsidR="00476358" w:rsidRDefault="00A42422">
            <w:pPr>
              <w:spacing w:before="41" w:after="17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476358" w14:paraId="48E391C4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47A99B" w14:textId="77777777" w:rsidR="00476358" w:rsidRDefault="00A42422">
            <w:pPr>
              <w:spacing w:before="104" w:after="129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Professional Consultancy Services to support development and delivery phases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429DF0" w14:textId="77777777" w:rsidR="00476358" w:rsidRDefault="00A42422">
            <w:pPr>
              <w:spacing w:before="41" w:after="193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B1D921" w14:textId="77777777" w:rsidR="00476358" w:rsidRDefault="00A42422">
            <w:pPr>
              <w:spacing w:before="41" w:after="193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476358" w14:paraId="6816CE9B" w14:textId="7777777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5BF0AE" w14:textId="77777777" w:rsidR="00476358" w:rsidRDefault="00A42422">
            <w:pPr>
              <w:spacing w:before="98" w:after="115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Legal Consultancy Services to support development and delivery phases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2D334E" w14:textId="77777777" w:rsidR="00476358" w:rsidRDefault="00A42422">
            <w:pPr>
              <w:spacing w:before="41" w:after="174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1606FD" w14:textId="77777777" w:rsidR="00476358" w:rsidRDefault="00A42422">
            <w:pPr>
              <w:spacing w:before="41" w:after="174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476358" w14:paraId="2FB8A47E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010114" w14:textId="77777777" w:rsidR="00476358" w:rsidRDefault="00A42422">
            <w:pPr>
              <w:spacing w:before="104" w:after="125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Site surveys and investigations (including utility surveys and designs).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932B8B" w14:textId="77777777" w:rsidR="00476358" w:rsidRDefault="00A42422">
            <w:pPr>
              <w:spacing w:before="41" w:after="189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FA2DB8" w14:textId="77777777" w:rsidR="00476358" w:rsidRDefault="00A42422">
            <w:pPr>
              <w:spacing w:before="41" w:after="189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476358" w14:paraId="6AC26B1A" w14:textId="7777777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8B3589" w14:textId="77777777" w:rsidR="00476358" w:rsidRDefault="00A42422">
            <w:pPr>
              <w:spacing w:before="98" w:after="124" w:line="190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Utilities enabling works.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91B8B6" w14:textId="77777777" w:rsidR="00476358" w:rsidRDefault="00A42422">
            <w:pPr>
              <w:spacing w:before="41" w:after="183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680632" w14:textId="77777777" w:rsidR="00476358" w:rsidRDefault="00A42422">
            <w:pPr>
              <w:spacing w:before="41" w:after="183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476358" w14:paraId="1A20170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93B477" w14:textId="77777777" w:rsidR="00476358" w:rsidRDefault="00A42422">
            <w:pPr>
              <w:spacing w:before="104" w:after="134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Project management services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7F01EA" w14:textId="77777777" w:rsidR="00476358" w:rsidRDefault="00A42422">
            <w:pPr>
              <w:spacing w:before="41" w:after="19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7928D4" w14:textId="77777777" w:rsidR="00476358" w:rsidRDefault="00A42422">
            <w:pPr>
              <w:spacing w:before="41" w:after="198" w:line="188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</w:tbl>
    <w:p w14:paraId="5C20EC84" w14:textId="77777777" w:rsidR="00476358" w:rsidRDefault="00476358">
      <w:pPr>
        <w:spacing w:after="305" w:line="20" w:lineRule="exact"/>
      </w:pPr>
    </w:p>
    <w:p w14:paraId="761E76E4" w14:textId="77777777" w:rsidR="00476358" w:rsidRDefault="00A42422">
      <w:pPr>
        <w:spacing w:line="189" w:lineRule="exact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* An Australian supplier means an entity that has an ABN or an ACN</w:t>
      </w:r>
    </w:p>
    <w:p w14:paraId="09C3FB19" w14:textId="77777777" w:rsidR="00476358" w:rsidRDefault="00A42422">
      <w:pPr>
        <w:spacing w:before="201" w:line="221" w:lineRule="exact"/>
        <w:ind w:right="57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Disclaimer: The information provided in the table above is based on an initial assessment by the company. Any questions or issues should be raised with the project contact.</w:t>
      </w:r>
    </w:p>
    <w:p w14:paraId="3E84A1B5" w14:textId="77777777" w:rsidR="00476358" w:rsidRDefault="00A42422">
      <w:pPr>
        <w:numPr>
          <w:ilvl w:val="0"/>
          <w:numId w:val="3"/>
        </w:numPr>
        <w:tabs>
          <w:tab w:val="clear" w:pos="144"/>
          <w:tab w:val="left" w:pos="504"/>
        </w:tabs>
        <w:spacing w:before="246" w:line="191" w:lineRule="exact"/>
        <w:ind w:left="360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Australian and Other standards and certifications will be required for the key good</w:t>
      </w:r>
      <w:r>
        <w:rPr>
          <w:rFonts w:ascii="Tahoma" w:eastAsia="Tahoma" w:hAnsi="Tahoma"/>
          <w:color w:val="202B34"/>
          <w:sz w:val="15"/>
        </w:rPr>
        <w:t>s and services in this project.</w:t>
      </w:r>
    </w:p>
    <w:p w14:paraId="013C7C5E" w14:textId="77777777" w:rsidR="00476358" w:rsidRDefault="00476358">
      <w:pPr>
        <w:sectPr w:rsidR="00476358">
          <w:pgSz w:w="11904" w:h="16843"/>
          <w:pgMar w:top="2520" w:right="852" w:bottom="2527" w:left="852" w:header="720" w:footer="720" w:gutter="0"/>
          <w:cols w:space="720"/>
        </w:sectPr>
      </w:pPr>
    </w:p>
    <w:p w14:paraId="087BCCF0" w14:textId="77777777" w:rsidR="00476358" w:rsidRDefault="00A42422">
      <w:pPr>
        <w:spacing w:before="1" w:after="163" w:line="449" w:lineRule="exact"/>
        <w:ind w:left="288"/>
        <w:textAlignment w:val="baseline"/>
        <w:rPr>
          <w:rFonts w:ascii="Tahoma" w:eastAsia="Tahoma" w:hAnsi="Tahoma"/>
          <w:color w:val="202B34"/>
          <w:spacing w:val="9"/>
          <w:sz w:val="36"/>
        </w:rPr>
      </w:pPr>
      <w:r>
        <w:rPr>
          <w:rFonts w:ascii="Tahoma" w:eastAsia="Tahoma" w:hAnsi="Tahoma"/>
          <w:color w:val="202B34"/>
          <w:spacing w:val="9"/>
          <w:sz w:val="36"/>
        </w:rPr>
        <w:lastRenderedPageBreak/>
        <w:t>3. Communicating and providing opportunities</w:t>
      </w:r>
    </w:p>
    <w:p w14:paraId="1071BBCE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211" w:line="191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pict w14:anchorId="44CD2027">
          <v:line id="_x0000_s1028" style="position:absolute;left:0;text-align:left;z-index:251658240;mso-position-horizontal-relative:page;mso-position-vertical-relative:page" from="42.6pt,176.65pt" to="552.65pt,176.65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pacing w:val="1"/>
          <w:sz w:val="15"/>
        </w:rPr>
        <w:t>Project website OR Project supplier portal</w:t>
      </w:r>
    </w:p>
    <w:p w14:paraId="763E77AE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Public announcements</w:t>
      </w:r>
    </w:p>
    <w:p w14:paraId="55824C5A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5"/>
        </w:rPr>
      </w:pPr>
      <w:r>
        <w:rPr>
          <w:rFonts w:ascii="Tahoma" w:eastAsia="Tahoma" w:hAnsi="Tahoma"/>
          <w:color w:val="202B34"/>
          <w:spacing w:val="4"/>
          <w:sz w:val="15"/>
        </w:rPr>
        <w:t>Social media</w:t>
      </w:r>
    </w:p>
    <w:p w14:paraId="02B7FDC7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Workshops/industry briefings</w:t>
      </w:r>
    </w:p>
    <w:p w14:paraId="678F700A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112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Direct contact with Australian industry (phone/email/letter)</w:t>
      </w:r>
    </w:p>
    <w:p w14:paraId="04CA2B0C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Pass on AIP requirements to Main Construction Contractor(s)</w:t>
      </w:r>
    </w:p>
    <w:p w14:paraId="5AE215B1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Promote opportunities to Australian industry in the early stages of the project, including information on how to prequalify</w:t>
      </w:r>
    </w:p>
    <w:p w14:paraId="2E671931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Make tender</w:t>
      </w:r>
      <w:r>
        <w:rPr>
          <w:rFonts w:ascii="Tahoma" w:eastAsia="Tahoma" w:hAnsi="Tahoma"/>
          <w:color w:val="202B34"/>
          <w:spacing w:val="1"/>
          <w:sz w:val="15"/>
        </w:rPr>
        <w:t xml:space="preserve"> documents available to all possible suppliers at the same time</w:t>
      </w:r>
    </w:p>
    <w:p w14:paraId="443E4A3D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Allow reasonable and equal time for submissions/responses</w:t>
      </w:r>
    </w:p>
    <w:p w14:paraId="24B2CD0B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Include requirement in tender documents that successful tenderers comply with AIP plan</w:t>
      </w:r>
    </w:p>
    <w:p w14:paraId="7A70F263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112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Include contractual arrangements with suppliers to outline AIP arrangements</w:t>
      </w:r>
    </w:p>
    <w:p w14:paraId="5A0FC689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Establish reporting requirement that shows how the AIP plan has been implemented</w:t>
      </w:r>
    </w:p>
    <w:p w14:paraId="2A40584D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All tenders from Australian and overseas suppliers will be assessed on the same basis</w:t>
      </w:r>
    </w:p>
    <w:p w14:paraId="01885659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93" w:after="561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The </w:t>
      </w:r>
      <w:proofErr w:type="spellStart"/>
      <w:r>
        <w:rPr>
          <w:rFonts w:ascii="Tahoma" w:eastAsia="Tahoma" w:hAnsi="Tahoma"/>
          <w:color w:val="202B34"/>
          <w:sz w:val="15"/>
        </w:rPr>
        <w:t>organisat</w:t>
      </w:r>
      <w:r>
        <w:rPr>
          <w:rFonts w:ascii="Tahoma" w:eastAsia="Tahoma" w:hAnsi="Tahoma"/>
          <w:color w:val="202B34"/>
          <w:sz w:val="15"/>
        </w:rPr>
        <w:t>ion</w:t>
      </w:r>
      <w:proofErr w:type="spellEnd"/>
      <w:r>
        <w:rPr>
          <w:rFonts w:ascii="Tahoma" w:eastAsia="Tahoma" w:hAnsi="Tahoma"/>
          <w:color w:val="202B34"/>
          <w:sz w:val="15"/>
        </w:rPr>
        <w:t xml:space="preserve"> will ensure all AIP plan obligations will flow down to contractors and subcontractors</w:t>
      </w:r>
    </w:p>
    <w:p w14:paraId="666535AC" w14:textId="77777777" w:rsidR="00476358" w:rsidRDefault="00A42422">
      <w:pPr>
        <w:spacing w:after="158" w:line="446" w:lineRule="exact"/>
        <w:ind w:left="288"/>
        <w:textAlignment w:val="baseline"/>
        <w:rPr>
          <w:rFonts w:ascii="Tahoma" w:eastAsia="Tahoma" w:hAnsi="Tahoma"/>
          <w:color w:val="202B34"/>
          <w:spacing w:val="4"/>
          <w:sz w:val="36"/>
        </w:rPr>
      </w:pPr>
      <w:r>
        <w:rPr>
          <w:rFonts w:ascii="Tahoma" w:eastAsia="Tahoma" w:hAnsi="Tahoma"/>
          <w:color w:val="202B34"/>
          <w:spacing w:val="4"/>
          <w:sz w:val="36"/>
        </w:rPr>
        <w:t>4. Facilitating future opportunities</w:t>
      </w:r>
    </w:p>
    <w:p w14:paraId="53C9012B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185" w:line="221" w:lineRule="exact"/>
        <w:ind w:left="504" w:right="216" w:hanging="216"/>
        <w:textAlignment w:val="baseline"/>
        <w:rPr>
          <w:rFonts w:ascii="Tahoma" w:eastAsia="Tahoma" w:hAnsi="Tahoma"/>
          <w:color w:val="202B34"/>
          <w:sz w:val="15"/>
        </w:rPr>
      </w:pPr>
      <w:r>
        <w:pict w14:anchorId="0C5764AB">
          <v:line id="_x0000_s1027" style="position:absolute;left:0;text-align:left;z-index:251659264;mso-position-horizontal-relative:page;mso-position-vertical-relative:page" from="42.6pt,439.45pt" to="552.65pt,439.45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z w:val="15"/>
        </w:rPr>
        <w:t>Provide advice to project suppliers on strategies and activities to undertake to be considered for inclusion in domestic and international supply chains</w:t>
      </w:r>
    </w:p>
    <w:p w14:paraId="613EB353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Support and assist project suppliers to adopt specific standards and accreditations</w:t>
      </w:r>
    </w:p>
    <w:p w14:paraId="3D7255CA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Recommend training </w:t>
      </w:r>
      <w:r>
        <w:rPr>
          <w:rFonts w:ascii="Tahoma" w:eastAsia="Tahoma" w:hAnsi="Tahoma"/>
          <w:color w:val="202B34"/>
          <w:sz w:val="15"/>
        </w:rPr>
        <w:t>and certification that enhance the ability of project suppliers to obtain additional business in Australia and overseas</w:t>
      </w:r>
    </w:p>
    <w:p w14:paraId="6651E9AB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Promote high performing and competent suppliers across ARTC network</w:t>
      </w:r>
    </w:p>
    <w:p w14:paraId="6F7E234E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Feedback to all suppliers</w:t>
      </w:r>
    </w:p>
    <w:p w14:paraId="551D4D8A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Recommend suppliers to appropriate governm</w:t>
      </w:r>
      <w:r>
        <w:rPr>
          <w:rFonts w:ascii="Tahoma" w:eastAsia="Tahoma" w:hAnsi="Tahoma"/>
          <w:color w:val="202B34"/>
          <w:spacing w:val="1"/>
          <w:sz w:val="15"/>
        </w:rPr>
        <w:t xml:space="preserve">ent </w:t>
      </w:r>
      <w:proofErr w:type="spellStart"/>
      <w:r>
        <w:rPr>
          <w:rFonts w:ascii="Tahoma" w:eastAsia="Tahoma" w:hAnsi="Tahoma"/>
          <w:color w:val="202B34"/>
          <w:spacing w:val="1"/>
          <w:sz w:val="15"/>
        </w:rPr>
        <w:t>programmes</w:t>
      </w:r>
      <w:proofErr w:type="spellEnd"/>
      <w:r>
        <w:rPr>
          <w:rFonts w:ascii="Tahoma" w:eastAsia="Tahoma" w:hAnsi="Tahoma"/>
          <w:color w:val="202B34"/>
          <w:spacing w:val="1"/>
          <w:sz w:val="15"/>
        </w:rPr>
        <w:t xml:space="preserve"> for advice and support</w:t>
      </w:r>
    </w:p>
    <w:p w14:paraId="603477AE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Provide references for high performing suppliers</w:t>
      </w:r>
    </w:p>
    <w:p w14:paraId="57E0322A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107" w:after="527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Provide unsuccessful tenderers with appropriate feedback to encourage future performance</w:t>
      </w:r>
    </w:p>
    <w:p w14:paraId="4EF15AEF" w14:textId="77777777" w:rsidR="00476358" w:rsidRDefault="00A42422">
      <w:pPr>
        <w:spacing w:after="158" w:line="447" w:lineRule="exact"/>
        <w:ind w:left="288"/>
        <w:textAlignment w:val="baseline"/>
        <w:rPr>
          <w:rFonts w:ascii="Tahoma" w:eastAsia="Tahoma" w:hAnsi="Tahoma"/>
          <w:color w:val="202B34"/>
          <w:spacing w:val="6"/>
          <w:sz w:val="36"/>
        </w:rPr>
      </w:pPr>
      <w:r>
        <w:rPr>
          <w:rFonts w:ascii="Tahoma" w:eastAsia="Tahoma" w:hAnsi="Tahoma"/>
          <w:color w:val="202B34"/>
          <w:spacing w:val="6"/>
          <w:sz w:val="36"/>
        </w:rPr>
        <w:t>5. Implementation resources</w:t>
      </w:r>
    </w:p>
    <w:p w14:paraId="1C3A6F53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211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pict w14:anchorId="0FBDA833">
          <v:line id="_x0000_s1026" style="position:absolute;left:0;text-align:left;z-index:251660288;mso-position-horizontal-relative:page;mso-position-vertical-relative:page" from="42.6pt,627.6pt" to="552.65pt,627.6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z w:val="15"/>
        </w:rPr>
        <w:t xml:space="preserve">The </w:t>
      </w:r>
      <w:proofErr w:type="spellStart"/>
      <w:r>
        <w:rPr>
          <w:rFonts w:ascii="Tahoma" w:eastAsia="Tahoma" w:hAnsi="Tahoma"/>
          <w:color w:val="202B34"/>
          <w:sz w:val="15"/>
        </w:rPr>
        <w:t>organisation</w:t>
      </w:r>
      <w:proofErr w:type="spellEnd"/>
      <w:r>
        <w:rPr>
          <w:rFonts w:ascii="Tahoma" w:eastAsia="Tahoma" w:hAnsi="Tahoma"/>
          <w:color w:val="202B34"/>
          <w:sz w:val="15"/>
        </w:rPr>
        <w:t xml:space="preserve"> will record and/or retain evidence to demonstrate implementation of the approved AIP plan</w:t>
      </w:r>
    </w:p>
    <w:p w14:paraId="08CD773B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monitor and report on the extent of Australian industry participation</w:t>
      </w:r>
    </w:p>
    <w:p w14:paraId="4D63CF20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identify inappropriate action under the A</w:t>
      </w:r>
      <w:r>
        <w:rPr>
          <w:rFonts w:ascii="Tahoma" w:eastAsia="Tahoma" w:hAnsi="Tahoma"/>
          <w:color w:val="202B34"/>
          <w:sz w:val="15"/>
        </w:rPr>
        <w:t>IP plan and to monitor/record the corrective action taken</w:t>
      </w:r>
    </w:p>
    <w:p w14:paraId="090DDD6A" w14:textId="77777777" w:rsidR="00476358" w:rsidRDefault="00A42422">
      <w:pPr>
        <w:numPr>
          <w:ilvl w:val="0"/>
          <w:numId w:val="4"/>
        </w:numPr>
        <w:tabs>
          <w:tab w:val="clear" w:pos="216"/>
          <w:tab w:val="left" w:pos="504"/>
        </w:tabs>
        <w:spacing w:before="108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identify and report any variations in AIP plan activities</w:t>
      </w:r>
    </w:p>
    <w:sectPr w:rsidR="00476358">
      <w:pgSz w:w="11904" w:h="16843"/>
      <w:pgMar w:top="2900" w:right="852" w:bottom="262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1F2D"/>
    <w:multiLevelType w:val="multilevel"/>
    <w:tmpl w:val="64384290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87661"/>
    <w:multiLevelType w:val="multilevel"/>
    <w:tmpl w:val="8880F7AA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B373A4"/>
    <w:multiLevelType w:val="multilevel"/>
    <w:tmpl w:val="3BFCB7F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1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DB2724"/>
    <w:multiLevelType w:val="multilevel"/>
    <w:tmpl w:val="9534798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476358"/>
    <w:rsid w:val="00476358"/>
    <w:rsid w:val="00A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94E8B49"/>
  <w15:docId w15:val="{937637D4-B205-46B3-9BC7-262785F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Clark2@artc.com.a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artc.com.au/project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EBC5B27FB0D4CB432F25D84C82DCF" ma:contentTypeVersion="29" ma:contentTypeDescription="Create a new document." ma:contentTypeScope="" ma:versionID="bfd34b16700ef3de75774da5ed6d7fbf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http://schemas.microsoft.com/sharepoint/v4" targetNamespace="http://schemas.microsoft.com/office/2006/metadata/properties" ma:root="true" ma:fieldsID="0526caa77fb3a4ec79c0b7f377a77d93" ns1:_="" ns2:_="" ns3:_="">
    <xsd:import namespace="http://schemas.microsoft.com/sharepoint/v3"/>
    <xsd:import namespace="498945f5-0448-4b4c-97d9-fcd4d7a5a1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kd778f5e510a4594a7afeace431f608b" minOccurs="0"/>
                <xsd:element ref="ns2:d0152e49f1a7499baf10632c118877c0" minOccurs="0"/>
                <xsd:element ref="ns2:g7cee4c3f49f4a8d957fe196d6fcc5b5" minOccurs="0"/>
                <xsd:element ref="ns2:a3abd1c0c7bd4d66b784ef4fa32239ba" minOccurs="0"/>
                <xsd:element ref="ns2:g4ab3527caee4a08a8dfe7a94016710e" minOccurs="0"/>
                <xsd:element ref="ns2:gb3e33fa1e184cc8a6b903667b37349e" minOccurs="0"/>
                <xsd:element ref="ns2:h562caa41cd8435eb8b6f0bdc23e20a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2c53e56-ba7a-482a-8980-6f177a156077}" ma:internalName="TaxCatchAll" ma:showField="CatchAllData" ma:web="498945f5-0448-4b4c-97d9-fcd4d7a5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2bfc713d-067c-4d39-b284-75f65e0f33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kd778f5e510a4594a7afeace431f608b" ma:index="25" nillable="true" ma:taxonomy="true" ma:internalName="kd778f5e510a4594a7afeace431f608b" ma:taxonomyFieldName="DocHub_AIPCategory" ma:displayName="AIP Category" ma:indexed="true" ma:default="" ma:fieldId="{4d778f5e-510a-4594-a7af-eace431f608b}" ma:sspId="fb0313f7-9433-48c0-866e-9e0bbee59a50" ma:termSetId="dfe8a085-28b5-4b66-bdbb-e17f0c2f9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52e49f1a7499baf10632c118877c0" ma:index="27" nillable="true" ma:taxonomy="true" ma:internalName="d0152e49f1a7499baf10632c118877c0" ma:taxonomyFieldName="DocHub_DocStatus" ma:displayName="Document Status" ma:default="" ma:fieldId="{d0152e49-f1a7-499b-af10-632c118877c0}" ma:sspId="fb0313f7-9433-48c0-866e-9e0bbee59a50" ma:termSetId="8aea78b8-ceb9-40f2-be8e-77cb01b41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ee4c3f49f4a8d957fe196d6fcc5b5" ma:index="29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abd1c0c7bd4d66b784ef4fa32239ba" ma:index="31" nillable="true" ma:taxonomy="true" ma:internalName="a3abd1c0c7bd4d66b784ef4fa32239ba" ma:taxonomyFieldName="DocHub_AIPProcess" ma:displayName="AIP Process" ma:indexed="true" ma:default="" ma:fieldId="{a3abd1c0-c7bd-4d66-b784-ef4fa32239ba}" ma:sspId="fb0313f7-9433-48c0-866e-9e0bbee59a50" ma:termSetId="1a7deb33-59d4-4b99-bd59-ca7b05e42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ab3527caee4a08a8dfe7a94016710e" ma:index="33" nillable="true" ma:taxonomy="true" ma:internalName="g4ab3527caee4a08a8dfe7a94016710e" ma:taxonomyFieldName="DocHub_ProjectProponent" ma:displayName="Project Proponent" ma:indexed="true" ma:default="" ma:fieldId="{04ab3527-caee-4a08-a8df-e7a94016710e}" ma:sspId="fb0313f7-9433-48c0-866e-9e0bbee59a50" ma:termSetId="f0e9ecc6-7dbc-49d9-818e-f50741715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e33fa1e184cc8a6b903667b37349e" ma:index="35" nillable="true" ma:taxonomy="true" ma:internalName="gb3e33fa1e184cc8a6b903667b37349e" ma:taxonomyFieldName="DocHub_Sector" ma:displayName="Sector" ma:default="" ma:fieldId="{0b3e33fa-1e18-4cc8-a6b9-03667b37349e}" ma:sspId="fb0313f7-9433-48c0-866e-9e0bbee59a50" ma:termSetId="0cba73ab-1548-411a-aa45-77f815974a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62caa41cd8435eb8b6f0bdc23e20a9" ma:index="36" nillable="true" ma:taxonomy="true" ma:internalName="h562caa41cd8435eb8b6f0bdc23e20a9" ma:taxonomyFieldName="DocHub_BriefingCorrespondenceType" ma:displayName="Briefing / Correspondence Type" ma:indexed="tru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>Executive Summary</TermName>
          <TermId>67166ce2-6da7-40d0-8019-f7580244f8f4</TermId>
        </TermInfo>
      </Terms>
    </pe2555c81638466f9eb614edb9ecde52>
    <a3abd1c0c7bd4d66b784ef4fa32239ba xmlns="498945f5-0448-4b4c-97d9-fcd4d7a5a1b1">
      <Terms xmlns="http://schemas.microsoft.com/office/infopath/2007/PartnerControls">
        <TermInfo xmlns="http://schemas.microsoft.com/office/infopath/2007/PartnerControls">
          <TermName>AIP Plan</TermName>
          <TermId>d6d5fd09-436e-444c-a5de-746217f86c54</TermId>
        </TermInfo>
      </Terms>
    </a3abd1c0c7bd4d66b784ef4fa32239ba>
    <TaxCatchAll xmlns="498945f5-0448-4b4c-97d9-fcd4d7a5a1b1">
      <Value>2396</Value>
      <Value>233</Value>
      <Value>416</Value>
      <Value>25</Value>
      <Value>2606</Value>
      <Value>426</Value>
    </TaxCatchAll>
    <g7cee4c3f49f4a8d957fe196d6fcc5b5 xmlns="498945f5-0448-4b4c-97d9-fcd4d7a5a1b1">
      <Terms xmlns="http://schemas.microsoft.com/office/infopath/2007/PartnerControls"/>
    </g7cee4c3f49f4a8d957fe196d6fcc5b5>
    <IconOverlay xmlns="http://schemas.microsoft.com/sharepoint/v4" xsi:nil="true"/>
    <gb3e33fa1e184cc8a6b903667b37349e xmlns="498945f5-0448-4b4c-97d9-fcd4d7a5a1b1">
      <Terms xmlns="http://schemas.microsoft.com/office/infopath/2007/PartnerControls"/>
    </gb3e33fa1e184cc8a6b903667b37349e>
    <g7bcb40ba23249a78edca7d43a67c1c9 xmlns="498945f5-0448-4b4c-97d9-fcd4d7a5a1b1">
      <Terms xmlns="http://schemas.microsoft.com/office/infopath/2007/PartnerControls"/>
    </g7bcb40ba23249a78edca7d43a67c1c9>
    <g4ab3527caee4a08a8dfe7a94016710e xmlns="498945f5-0448-4b4c-97d9-fcd4d7a5a1b1">
      <Terms xmlns="http://schemas.microsoft.com/office/infopath/2007/PartnerControls"/>
    </g4ab3527caee4a08a8dfe7a94016710e>
    <kd778f5e510a4594a7afeace431f608b xmlns="498945f5-0448-4b4c-97d9-fcd4d7a5a1b1">
      <Terms xmlns="http://schemas.microsoft.com/office/infopath/2007/PartnerControls">
        <TermInfo xmlns="http://schemas.microsoft.com/office/infopath/2007/PartnerControls">
          <TermName>Grant</TermName>
          <TermId>7ec98825-be29-41b0-9387-526f5e57284f</TermId>
        </TermInfo>
      </Terms>
    </kd778f5e510a4594a7afeace431f608b>
    <d0152e49f1a7499baf10632c118877c0 xmlns="498945f5-0448-4b4c-97d9-fcd4d7a5a1b1">
      <Terms xmlns="http://schemas.microsoft.com/office/infopath/2007/PartnerControls">
        <TermInfo xmlns="http://schemas.microsoft.com/office/infopath/2007/PartnerControls">
          <TermName>Final</TermName>
          <TermId>46e4187b-f204-4589-bbeb-a903d185cdad</TermId>
        </TermInfo>
      </Terms>
    </d0152e49f1a7499baf10632c118877c0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>
        <TermInfo xmlns="http://schemas.microsoft.com/office/infopath/2007/PartnerControls">
          <TermName>2020</TermName>
          <TermId>6a3660c5-15bd-4052-a0a1-6237663b7600</TermId>
        </TermInfo>
      </Terms>
    </n99e4c9942c6404eb103464a00e6097b>
    <adb9bed2e36e4a93af574aeb444da63e xmlns="498945f5-0448-4b4c-97d9-fcd4d7a5a1b1">
      <Terms xmlns="http://schemas.microsoft.com/office/infopath/2007/PartnerControls"/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Comments xmlns="http://schemas.microsoft.com/sharepoint/v3" xsi:nil="true"/>
    <_dlc_DocId xmlns="498945f5-0448-4b4c-97d9-fcd4d7a5a1b1">A3PSR54DD4M5-1731987098-6326</_dlc_DocId>
    <_dlc_DocIdUrl xmlns="498945f5-0448-4b4c-97d9-fcd4d7a5a1b1">
      <Url>https://dochub/div/sectoralgrowthpolicy/businessfunctions/australianindustryparticipation/australianindustryparticipationauthority/australianjobsact2013/_layouts/15/DocIdRedir.aspx?ID=A3PSR54DD4M5-1731987098-6326</Url>
      <Description>A3PSR54DD4M5-1731987098-6326</Description>
    </_dlc_DocIdUrl>
  </documentManagement>
</p:properties>
</file>

<file path=customXml/itemProps1.xml><?xml version="1.0" encoding="utf-8"?>
<ds:datastoreItem xmlns:ds="http://schemas.openxmlformats.org/officeDocument/2006/customXml" ds:itemID="{C34DA6FB-F162-4F07-9CA2-3D630764B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945f5-0448-4b4c-97d9-fcd4d7a5a1b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CC5E3-BA47-45AE-BC94-677FBD11C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245DF9-C06E-4F2A-B8A4-226B72C4B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CC1B0-D4F8-48E5-8692-FFC22FD2771B}">
  <ds:schemaRefs>
    <ds:schemaRef ds:uri="http://purl.org/dc/elements/1.1/"/>
    <ds:schemaRef ds:uri="http://schemas.microsoft.com/sharepoint/v3"/>
    <ds:schemaRef ds:uri="498945f5-0448-4b4c-97d9-fcd4d7a5a1b1"/>
    <ds:schemaRef ds:uri="http://schemas.microsoft.com/sharepoint/v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þÿ</vt:lpstr>
    </vt:vector>
  </TitlesOfParts>
  <Company>Department of Industry, Innovation and Science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Gilroy, Mary Lou</dc:creator>
  <cp:lastModifiedBy>Gilroy, Mary Lou</cp:lastModifiedBy>
  <cp:revision>2</cp:revision>
  <dcterms:created xsi:type="dcterms:W3CDTF">2020-09-30T00:05:00Z</dcterms:created>
  <dcterms:modified xsi:type="dcterms:W3CDTF">2020-09-30T00:05:00Z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0x010100762EBC5B27FB0D4CB432F25D84C82DCF</vt:lpwstr>
  </property>
  <property fmtid="{D5CDD505-2E9C-101B-9397-08002B2CF9AE}" pid="3" name="DocHub_Year">
    <vt:lpwstr>2606;#2020|6a3660c5-15bd-4052-a0a1-6237663b7600</vt:lpwstr>
  </property>
  <property fmtid="{D5CDD505-2E9C-101B-9397-08002B2CF9AE}" pid="4" name="DocHub_ProjectProponent">
    <vt:lpwstr/>
  </property>
  <property fmtid="{D5CDD505-2E9C-101B-9397-08002B2CF9AE}" pid="5" name="DocHub_WorkActivity">
    <vt:lpwstr/>
  </property>
  <property fmtid="{D5CDD505-2E9C-101B-9397-08002B2CF9AE}" pid="6" name="DocHub_DocStatus">
    <vt:lpwstr>426;#Final|46e4187b-f204-4589-bbeb-a903d185cdad</vt:lpwstr>
  </property>
  <property fmtid="{D5CDD505-2E9C-101B-9397-08002B2CF9AE}" pid="7" name="DocHub_DocumentType">
    <vt:lpwstr>233;#Executive Summary|67166ce2-6da7-40d0-8019-f7580244f8f4</vt:lpwstr>
  </property>
  <property fmtid="{D5CDD505-2E9C-101B-9397-08002B2CF9AE}" pid="8" name="DocHub_SecurityClassification">
    <vt:lpwstr>25;#OFFICIAL:Sensitive|11f6fb0b-52ce-4109-8f7f-521b2a62f692</vt:lpwstr>
  </property>
  <property fmtid="{D5CDD505-2E9C-101B-9397-08002B2CF9AE}" pid="9" name="DocHub_GovernmentEntities">
    <vt:lpwstr/>
  </property>
  <property fmtid="{D5CDD505-2E9C-101B-9397-08002B2CF9AE}" pid="10" name="DocHub_AIPProcess">
    <vt:lpwstr>416;#AIP Plan|d6d5fd09-436e-444c-a5de-746217f86c54</vt:lpwstr>
  </property>
  <property fmtid="{D5CDD505-2E9C-101B-9397-08002B2CF9AE}" pid="11" name="DocHub_AIPCategory">
    <vt:lpwstr>2396;#Grant|7ec98825-be29-41b0-9387-526f5e57284f</vt:lpwstr>
  </property>
  <property fmtid="{D5CDD505-2E9C-101B-9397-08002B2CF9AE}" pid="12" name="DocHub_Keywords">
    <vt:lpwstr/>
  </property>
  <property fmtid="{D5CDD505-2E9C-101B-9397-08002B2CF9AE}" pid="13" name="DocHub_Sector">
    <vt:lpwstr/>
  </property>
  <property fmtid="{D5CDD505-2E9C-101B-9397-08002B2CF9AE}" pid="14" name="DocHub_BriefingCorrespondenceType">
    <vt:lpwstr/>
  </property>
  <property fmtid="{D5CDD505-2E9C-101B-9397-08002B2CF9AE}" pid="15" name="_dlc_DocIdItemGuid">
    <vt:lpwstr>6e43fd13-569f-46bc-b9d2-89ffe68eebff</vt:lpwstr>
  </property>
</Properties>
</file>