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FA46" w14:textId="77777777" w:rsidR="00E45719" w:rsidRPr="00A46E27" w:rsidRDefault="00E45719" w:rsidP="00A46E27">
      <w:pPr>
        <w:pStyle w:val="Heading1"/>
      </w:pPr>
      <w:r w:rsidRPr="00A46E27">
        <w:t xml:space="preserve">Australian Industry Participation (AIP) </w:t>
      </w:r>
      <w:r w:rsidR="00F86998">
        <w:t>p</w:t>
      </w:r>
      <w:r w:rsidRPr="00A46E27">
        <w:t>lan Summary</w:t>
      </w:r>
      <w:r w:rsidR="008862FC" w:rsidRPr="00A46E27">
        <w:t xml:space="preserve"> - </w:t>
      </w:r>
      <w:r w:rsidR="00BB232B" w:rsidRPr="00A46E27">
        <w:t>Operations</w:t>
      </w:r>
      <w:r w:rsidR="008862FC" w:rsidRPr="00A46E27">
        <w:t xml:space="preserve"> Phase</w:t>
      </w:r>
    </w:p>
    <w:p w14:paraId="3BFBFE7C" w14:textId="77777777" w:rsidR="00E45719" w:rsidRDefault="00CE51E3" w:rsidP="00E45719">
      <w:pPr>
        <w:pStyle w:val="Heading2"/>
      </w:pPr>
      <w:r>
        <w:t>1. Facility</w:t>
      </w:r>
      <w:r w:rsidR="00E45719">
        <w:t xml:space="preserve"> Details</w:t>
      </w:r>
    </w:p>
    <w:p w14:paraId="4D5EB795" w14:textId="0D7F1872" w:rsidR="00E45719" w:rsidRPr="003E161A" w:rsidRDefault="002907CB" w:rsidP="00E45719">
      <w:r>
        <w:rPr>
          <w:rStyle w:val="Strong"/>
        </w:rPr>
        <w:t xml:space="preserve">Nominated </w:t>
      </w:r>
      <w:r w:rsidR="00F71CC1">
        <w:rPr>
          <w:rStyle w:val="Strong"/>
        </w:rPr>
        <w:t>o</w:t>
      </w:r>
      <w:r w:rsidR="00BB232B">
        <w:rPr>
          <w:rStyle w:val="Strong"/>
        </w:rPr>
        <w:t>perator</w:t>
      </w:r>
      <w:r w:rsidR="00E45719">
        <w:rPr>
          <w:rStyle w:val="Strong"/>
        </w:rPr>
        <w:t>:</w:t>
      </w:r>
      <w:r w:rsidR="00E45719" w:rsidRPr="00E45719">
        <w:t xml:space="preserve"> </w:t>
      </w:r>
      <w:r w:rsidR="00A46E27">
        <w:t xml:space="preserve"> </w:t>
      </w:r>
      <w:sdt>
        <w:sdtPr>
          <w:id w:val="-731388803"/>
          <w:placeholder>
            <w:docPart w:val="156F2C8B6228446888372402C2D943AF"/>
          </w:placeholder>
        </w:sdtPr>
        <w:sdtEndPr/>
        <w:sdtContent>
          <w:sdt>
            <w:sdtPr>
              <w:id w:val="1007098501"/>
            </w:sdtPr>
            <w:sdtContent>
              <w:r w:rsidR="00DB51B8">
                <w:rPr>
                  <w:rFonts w:ascii="Verdana" w:hAnsi="Verdana"/>
                  <w:color w:val="000000"/>
                  <w:sz w:val="17"/>
                  <w:szCs w:val="17"/>
                  <w:shd w:val="clear" w:color="auto" w:fill="FFFFFF"/>
                </w:rPr>
                <w:t>KEPCO BYLONG AUSTRALIA PTY LTD</w:t>
              </w:r>
            </w:sdtContent>
          </w:sdt>
        </w:sdtContent>
      </w:sdt>
    </w:p>
    <w:p w14:paraId="45B5B57B" w14:textId="0C4D32C3" w:rsidR="00B16D83" w:rsidRDefault="00CE51E3" w:rsidP="00E45719">
      <w:pPr>
        <w:rPr>
          <w:rStyle w:val="Strong"/>
        </w:rPr>
      </w:pPr>
      <w:r>
        <w:rPr>
          <w:rStyle w:val="Strong"/>
        </w:rPr>
        <w:t>Facility</w:t>
      </w:r>
      <w:r w:rsidR="00B16D83">
        <w:rPr>
          <w:rStyle w:val="Strong"/>
        </w:rPr>
        <w:t xml:space="preserve"> name: </w:t>
      </w:r>
      <w:r w:rsidR="00C71EF2">
        <w:rPr>
          <w:rStyle w:val="PlaceholderText"/>
          <w:color w:val="auto"/>
        </w:rPr>
        <w:t>Bylong Coal Project</w:t>
      </w:r>
    </w:p>
    <w:p w14:paraId="67000E2B" w14:textId="77777777" w:rsidR="001937DB" w:rsidRDefault="00E45719" w:rsidP="001937DB">
      <w:r>
        <w:rPr>
          <w:rStyle w:val="Strong"/>
        </w:rPr>
        <w:t xml:space="preserve">Description of the </w:t>
      </w:r>
      <w:r w:rsidR="00727B24">
        <w:rPr>
          <w:rStyle w:val="Strong"/>
        </w:rPr>
        <w:t>facility</w:t>
      </w:r>
      <w:r>
        <w:rPr>
          <w:rStyle w:val="Strong"/>
        </w:rPr>
        <w:t>:</w:t>
      </w:r>
      <w:r w:rsidRPr="00E45719">
        <w:t xml:space="preserve"> </w:t>
      </w:r>
    </w:p>
    <w:sdt>
      <w:sdtPr>
        <w:rPr>
          <w:b/>
        </w:rPr>
        <w:id w:val="1192803413"/>
        <w:placeholder>
          <w:docPart w:val="9E4835E558BD493B8A3D709897134958"/>
        </w:placeholder>
      </w:sdtPr>
      <w:sdtEndPr>
        <w:rPr>
          <w:b w:val="0"/>
        </w:rPr>
      </w:sdtEndPr>
      <w:sdtContent>
        <w:p w14:paraId="562378D0" w14:textId="77777777" w:rsidR="00DB51B8" w:rsidRDefault="00DB51B8" w:rsidP="00DB51B8">
          <w:pPr>
            <w:rPr>
              <w:rFonts w:ascii="Helvetica" w:hAnsi="Helvetica"/>
              <w:color w:val="232323"/>
              <w:sz w:val="18"/>
              <w:szCs w:val="18"/>
            </w:rPr>
          </w:pPr>
          <w:r>
            <w:rPr>
              <w:rFonts w:ascii="Helvetica" w:hAnsi="Helvetica"/>
              <w:color w:val="232323"/>
              <w:sz w:val="18"/>
              <w:szCs w:val="18"/>
            </w:rPr>
            <w:t>KEPCO proposes to develop the Bylong Coal Project, located approximately 55 km north-east of Mudgee and 53 km from Denman in New South Wales, Australia. The purpose of the project is to extract, wash and export coal. The Bylong Coal Project proposes to mine up to 6.5 million tonnes of run of mine coal per annum for supply to the thermal coal export market. The mine will cover an area of approximately 3,000 ha and will include two open-cut mining areas and an underground mining area. Activities involved in the project incl</w:t>
          </w:r>
          <w:r>
            <w:rPr>
              <w:rFonts w:ascii="Helvetica" w:hAnsi="Helvetica"/>
              <w:color w:val="232323"/>
              <w:sz w:val="18"/>
              <w:szCs w:val="18"/>
            </w:rPr>
            <w:t xml:space="preserve">ude: </w:t>
          </w:r>
        </w:p>
        <w:p w14:paraId="12FF64E1" w14:textId="77777777" w:rsidR="00DB51B8" w:rsidRDefault="00DB51B8" w:rsidP="00DB51B8">
          <w:pPr>
            <w:spacing w:before="0"/>
            <w:rPr>
              <w:rFonts w:ascii="Helvetica" w:hAnsi="Helvetica"/>
              <w:color w:val="232323"/>
              <w:sz w:val="18"/>
              <w:szCs w:val="18"/>
            </w:rPr>
          </w:pPr>
          <w:r>
            <w:rPr>
              <w:rFonts w:ascii="Helvetica" w:hAnsi="Helvetica"/>
              <w:color w:val="232323"/>
              <w:sz w:val="18"/>
              <w:szCs w:val="18"/>
            </w:rPr>
            <w:t xml:space="preserve">- </w:t>
          </w:r>
          <w:r>
            <w:rPr>
              <w:rFonts w:ascii="Helvetica" w:hAnsi="Helvetica"/>
              <w:color w:val="232323"/>
              <w:sz w:val="18"/>
              <w:szCs w:val="18"/>
            </w:rPr>
            <w:t>Front end engineering and design</w:t>
          </w:r>
          <w:r>
            <w:rPr>
              <w:rFonts w:ascii="Helvetica" w:hAnsi="Helvetica"/>
              <w:color w:val="232323"/>
              <w:sz w:val="18"/>
              <w:szCs w:val="18"/>
            </w:rPr>
            <w:br/>
          </w:r>
          <w:r>
            <w:rPr>
              <w:rFonts w:ascii="Helvetica" w:hAnsi="Helvetica"/>
              <w:color w:val="232323"/>
              <w:sz w:val="18"/>
              <w:szCs w:val="18"/>
            </w:rPr>
            <w:t xml:space="preserve">- </w:t>
          </w:r>
          <w:r>
            <w:rPr>
              <w:rFonts w:ascii="Helvetica" w:hAnsi="Helvetica"/>
              <w:color w:val="232323"/>
              <w:sz w:val="18"/>
              <w:szCs w:val="18"/>
            </w:rPr>
            <w:t>Procurement</w:t>
          </w:r>
          <w:r>
            <w:rPr>
              <w:rFonts w:ascii="Helvetica" w:hAnsi="Helvetica"/>
              <w:color w:val="232323"/>
              <w:sz w:val="18"/>
              <w:szCs w:val="18"/>
            </w:rPr>
            <w:br/>
          </w:r>
          <w:r>
            <w:rPr>
              <w:rFonts w:ascii="Helvetica" w:hAnsi="Helvetica"/>
              <w:color w:val="232323"/>
              <w:sz w:val="18"/>
              <w:szCs w:val="18"/>
            </w:rPr>
            <w:t xml:space="preserve">- </w:t>
          </w:r>
          <w:r>
            <w:rPr>
              <w:rFonts w:ascii="Helvetica" w:hAnsi="Helvetica"/>
              <w:color w:val="232323"/>
              <w:sz w:val="18"/>
              <w:szCs w:val="18"/>
            </w:rPr>
            <w:t>Construction</w:t>
          </w:r>
          <w:r>
            <w:rPr>
              <w:rFonts w:ascii="Helvetica" w:hAnsi="Helvetica"/>
              <w:color w:val="232323"/>
              <w:sz w:val="18"/>
              <w:szCs w:val="18"/>
            </w:rPr>
            <w:br/>
          </w:r>
          <w:r>
            <w:rPr>
              <w:rFonts w:ascii="Helvetica" w:hAnsi="Helvetica"/>
              <w:color w:val="232323"/>
              <w:sz w:val="18"/>
              <w:szCs w:val="18"/>
            </w:rPr>
            <w:t xml:space="preserve">- </w:t>
          </w:r>
          <w:r>
            <w:rPr>
              <w:rFonts w:ascii="Helvetica" w:hAnsi="Helvetica"/>
              <w:color w:val="232323"/>
              <w:sz w:val="18"/>
              <w:szCs w:val="18"/>
            </w:rPr>
            <w:t>Commissioning</w:t>
          </w:r>
          <w:r>
            <w:rPr>
              <w:rFonts w:ascii="Helvetica" w:hAnsi="Helvetica"/>
              <w:color w:val="232323"/>
              <w:sz w:val="18"/>
              <w:szCs w:val="18"/>
            </w:rPr>
            <w:t xml:space="preserve"> </w:t>
          </w:r>
        </w:p>
        <w:p w14:paraId="34177CC4" w14:textId="77777777" w:rsidR="00DB51B8" w:rsidRDefault="00DB51B8" w:rsidP="00DB51B8">
          <w:pPr>
            <w:spacing w:before="0"/>
            <w:rPr>
              <w:rFonts w:ascii="Helvetica" w:hAnsi="Helvetica"/>
              <w:color w:val="232323"/>
              <w:sz w:val="18"/>
              <w:szCs w:val="18"/>
            </w:rPr>
          </w:pPr>
          <w:r>
            <w:rPr>
              <w:rFonts w:ascii="Helvetica" w:hAnsi="Helvetica"/>
              <w:color w:val="232323"/>
              <w:sz w:val="18"/>
              <w:szCs w:val="18"/>
            </w:rPr>
            <w:t>- Operations</w:t>
          </w:r>
          <w:r>
            <w:rPr>
              <w:rFonts w:ascii="Helvetica" w:hAnsi="Helvetica"/>
              <w:color w:val="232323"/>
              <w:sz w:val="18"/>
              <w:szCs w:val="18"/>
            </w:rPr>
            <w:tab/>
          </w:r>
          <w:r>
            <w:rPr>
              <w:rFonts w:ascii="Helvetica" w:hAnsi="Helvetica"/>
              <w:color w:val="232323"/>
              <w:sz w:val="18"/>
              <w:szCs w:val="18"/>
            </w:rPr>
            <w:tab/>
          </w:r>
          <w:r>
            <w:rPr>
              <w:rFonts w:ascii="Helvetica" w:hAnsi="Helvetica"/>
              <w:color w:val="232323"/>
              <w:sz w:val="18"/>
              <w:szCs w:val="18"/>
            </w:rPr>
            <w:tab/>
          </w:r>
          <w:r>
            <w:rPr>
              <w:rFonts w:ascii="Helvetica" w:hAnsi="Helvetica"/>
              <w:color w:val="232323"/>
              <w:sz w:val="18"/>
              <w:szCs w:val="18"/>
            </w:rPr>
            <w:tab/>
          </w:r>
          <w:r>
            <w:rPr>
              <w:rFonts w:ascii="Helvetica" w:hAnsi="Helvetica"/>
              <w:color w:val="232323"/>
              <w:sz w:val="18"/>
              <w:szCs w:val="18"/>
            </w:rPr>
            <w:tab/>
          </w:r>
          <w:r>
            <w:rPr>
              <w:rFonts w:ascii="Helvetica" w:hAnsi="Helvetica"/>
              <w:color w:val="232323"/>
              <w:sz w:val="18"/>
              <w:szCs w:val="18"/>
            </w:rPr>
            <w:tab/>
          </w:r>
          <w:r>
            <w:rPr>
              <w:rFonts w:ascii="Helvetica" w:hAnsi="Helvetica"/>
              <w:color w:val="232323"/>
              <w:sz w:val="18"/>
              <w:szCs w:val="18"/>
            </w:rPr>
            <w:tab/>
          </w:r>
          <w:r>
            <w:rPr>
              <w:rFonts w:ascii="Helvetica" w:hAnsi="Helvetica"/>
              <w:color w:val="232323"/>
              <w:sz w:val="18"/>
              <w:szCs w:val="18"/>
            </w:rPr>
            <w:tab/>
          </w:r>
          <w:r>
            <w:rPr>
              <w:rFonts w:ascii="Helvetica" w:hAnsi="Helvetica"/>
              <w:color w:val="232323"/>
              <w:sz w:val="18"/>
              <w:szCs w:val="18"/>
            </w:rPr>
            <w:tab/>
            <w:t xml:space="preserve">                      </w:t>
          </w:r>
        </w:p>
        <w:p w14:paraId="082C6356" w14:textId="75A41DC8" w:rsidR="00E45719" w:rsidRPr="00DB51B8" w:rsidRDefault="00DB51B8" w:rsidP="00DB51B8">
          <w:pPr>
            <w:spacing w:before="0"/>
            <w:rPr>
              <w:rStyle w:val="Strong"/>
              <w:rFonts w:ascii="Helvetica" w:hAnsi="Helvetica"/>
              <w:b w:val="0"/>
              <w:color w:val="232323"/>
              <w:sz w:val="18"/>
              <w:szCs w:val="18"/>
            </w:rPr>
          </w:pPr>
          <w:r>
            <w:rPr>
              <w:rFonts w:ascii="Helvetica" w:hAnsi="Helvetica"/>
              <w:color w:val="232323"/>
              <w:sz w:val="18"/>
              <w:szCs w:val="18"/>
            </w:rPr>
            <w:t>The life of mine is expected to be approximately 25 years, with both open-cut operations and installation and operation of an underground mine   Coal will be transported from the Project site to the Port of Newcastle via rail, which will require the construction of a dedicated rail loop connecting to the existing Sandy Hollow-Gulgong Line. The procurement strategy for the project will be the responsibility of the EPC contractor once this contract is awarded.</w:t>
          </w:r>
        </w:p>
      </w:sdtContent>
    </w:sdt>
    <w:p w14:paraId="29EB9A4F" w14:textId="5BD23015" w:rsidR="0071422E" w:rsidRPr="004E51F8" w:rsidRDefault="00727B24" w:rsidP="00E45719">
      <w:pPr>
        <w:rPr>
          <w:rStyle w:val="Strong"/>
          <w:b w:val="0"/>
        </w:rPr>
      </w:pPr>
      <w:r>
        <w:rPr>
          <w:rStyle w:val="Strong"/>
        </w:rPr>
        <w:t>Facility</w:t>
      </w:r>
      <w:r w:rsidR="00E45719">
        <w:rPr>
          <w:rStyle w:val="Strong"/>
        </w:rPr>
        <w:t xml:space="preserve"> location:</w:t>
      </w:r>
      <w:r w:rsidR="00E45719" w:rsidRPr="00E45719">
        <w:t xml:space="preserve"> </w:t>
      </w:r>
      <w:sdt>
        <w:sdtPr>
          <w:id w:val="1586958346"/>
          <w:placeholder>
            <w:docPart w:val="A96761603FCE4D68A731217D36D711D5"/>
          </w:placeholder>
        </w:sdtPr>
        <w:sdtEndPr/>
        <w:sdtContent>
          <w:sdt>
            <w:sdtPr>
              <w:id w:val="-258601872"/>
              <w:placeholder>
                <w:docPart w:val="3FC57E56187E4F19A1CCBFDA7B055176"/>
              </w:placeholder>
            </w:sdtPr>
            <w:sdtEndPr/>
            <w:sdtContent>
              <w:sdt>
                <w:sdtPr>
                  <w:id w:val="-508911138"/>
                  <w:placeholder>
                    <w:docPart w:val="3C4BC7E195EA49A5ADE7BAB748FDC569"/>
                  </w:placeholder>
                </w:sdtPr>
                <w:sdtEndPr/>
                <w:sdtContent>
                  <w:sdt>
                    <w:sdtPr>
                      <w:id w:val="260952489"/>
                    </w:sdtPr>
                    <w:sdtContent>
                      <w:r w:rsidR="00DB51B8">
                        <w:rPr>
                          <w:rFonts w:ascii="Helvetica" w:hAnsi="Helvetica"/>
                          <w:color w:val="232323"/>
                          <w:sz w:val="18"/>
                          <w:szCs w:val="18"/>
                          <w:shd w:val="clear" w:color="auto" w:fill="CBD3D9"/>
                        </w:rPr>
                        <w:t>The Project is approximately 55 km north-east of Mudgee and 53 km west of Denman, NSW.</w:t>
                      </w:r>
                    </w:sdtContent>
                  </w:sdt>
                </w:sdtContent>
              </w:sdt>
            </w:sdtContent>
          </w:sdt>
        </w:sdtContent>
      </w:sdt>
      <w:r w:rsidR="00A46E27">
        <w:t xml:space="preserve"> </w:t>
      </w:r>
    </w:p>
    <w:p w14:paraId="4E8B87CA" w14:textId="65A8B94D"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sdt>
        <w:sdtPr>
          <w:id w:val="-1824186195"/>
          <w:placeholder>
            <w:docPart w:val="AA077EAABA184A62B05BB3DA421A97FB"/>
          </w:placeholder>
        </w:sdtPr>
        <w:sdtEndPr/>
        <w:sdtContent>
          <w:sdt>
            <w:sdtPr>
              <w:id w:val="396105633"/>
            </w:sdtPr>
            <w:sdtContent>
              <w:hyperlink r:id="rId12" w:history="1">
                <w:r w:rsidR="00DB51B8">
                  <w:rPr>
                    <w:rStyle w:val="Hyperlink"/>
                    <w:rFonts w:ascii="Arial" w:hAnsi="Arial" w:cs="Arial"/>
                    <w:sz w:val="20"/>
                  </w:rPr>
                  <w:t>http://www.bylongproject.com.au</w:t>
                </w:r>
              </w:hyperlink>
            </w:sdtContent>
          </w:sdt>
        </w:sdtContent>
      </w:sdt>
      <w:r w:rsidR="00A46E27">
        <w:t xml:space="preserve"> </w:t>
      </w:r>
    </w:p>
    <w:p w14:paraId="30C0245F" w14:textId="77777777" w:rsidR="00DB51B8" w:rsidRDefault="00A73C28" w:rsidP="00E45719">
      <w:proofErr w:type="gramStart"/>
      <w:r>
        <w:rPr>
          <w:rStyle w:val="Strong"/>
        </w:rPr>
        <w:t>Operator</w:t>
      </w:r>
      <w:proofErr w:type="gramEnd"/>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p>
    <w:p w14:paraId="59E527F9" w14:textId="08BFED6A" w:rsidR="00E45719" w:rsidRPr="00DB51B8" w:rsidRDefault="00DB51B8" w:rsidP="00E45719">
      <w:pPr>
        <w:rPr>
          <w:rStyle w:val="Strong"/>
          <w:b w:val="0"/>
        </w:rPr>
      </w:pPr>
      <w:r w:rsidRPr="00DB51B8">
        <w:rPr>
          <w:b/>
          <w:bCs/>
        </w:rPr>
        <w:t>Name:</w:t>
      </w:r>
      <w:r>
        <w:t xml:space="preserve"> Tim Jo   </w:t>
      </w:r>
      <w:r w:rsidRPr="00DB51B8">
        <w:rPr>
          <w:b/>
          <w:bCs/>
        </w:rPr>
        <w:t>Title:</w:t>
      </w:r>
      <w:r>
        <w:t xml:space="preserve"> Project Manager   Contact phone number: 0401673847    </w:t>
      </w:r>
      <w:r w:rsidRPr="00DB51B8">
        <w:rPr>
          <w:b/>
          <w:bCs/>
        </w:rPr>
        <w:t>Contact e-mail address:</w:t>
      </w:r>
      <w:r>
        <w:t xml:space="preserve"> tim.jo@kepcoaustralia.com</w:t>
      </w:r>
    </w:p>
    <w:p w14:paraId="473B6242" w14:textId="2D216A29" w:rsidR="00FD788F" w:rsidRDefault="00700EBB" w:rsidP="004E51F8">
      <w:r w:rsidRPr="00700EBB">
        <w:rPr>
          <w:rStyle w:val="Strong"/>
        </w:rPr>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Pr="00E45719">
        <w:t xml:space="preserve"> </w:t>
      </w:r>
      <w:sdt>
        <w:sdtPr>
          <w:id w:val="1898783453"/>
          <w:placeholder>
            <w:docPart w:val="45EC28F71FF542C6A9A11CFB70887467"/>
          </w:placeholder>
        </w:sdtPr>
        <w:sdtEndPr/>
        <w:sdtContent>
          <w:r w:rsidR="00DB51B8">
            <w:t>N/A</w:t>
          </w:r>
        </w:sdtContent>
      </w:sdt>
      <w:r w:rsidR="00A46E27">
        <w:t xml:space="preserve"> </w:t>
      </w:r>
    </w:p>
    <w:p w14:paraId="4C355FE8" w14:textId="555C92B2"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Indicative list of opportunities likely to arise."/>
      </w:tblPr>
      <w:tblGrid>
        <w:gridCol w:w="5299"/>
        <w:gridCol w:w="1856"/>
        <w:gridCol w:w="1861"/>
      </w:tblGrid>
      <w:tr w:rsidR="00DB51B8" w:rsidRPr="009B0FA6" w14:paraId="69A5C1F2" w14:textId="77777777" w:rsidTr="00674D9D">
        <w:trPr>
          <w:tblHeader/>
        </w:trPr>
        <w:tc>
          <w:tcPr>
            <w:tcW w:w="5299" w:type="dxa"/>
            <w:tcBorders>
              <w:bottom w:val="single" w:sz="4" w:space="0" w:color="auto"/>
            </w:tcBorders>
            <w:vAlign w:val="center"/>
          </w:tcPr>
          <w:p w14:paraId="2FA2327C" w14:textId="77777777" w:rsidR="00DB51B8" w:rsidRPr="00510213" w:rsidRDefault="00DB51B8" w:rsidP="00674D9D">
            <w:r w:rsidRPr="00510213">
              <w:rPr>
                <w:rStyle w:val="Strong"/>
              </w:rPr>
              <w:t>Key goods and services</w:t>
            </w:r>
          </w:p>
        </w:tc>
        <w:tc>
          <w:tcPr>
            <w:tcW w:w="1856" w:type="dxa"/>
            <w:tcBorders>
              <w:bottom w:val="single" w:sz="4" w:space="0" w:color="auto"/>
            </w:tcBorders>
            <w:vAlign w:val="center"/>
          </w:tcPr>
          <w:p w14:paraId="7C779D27" w14:textId="77777777" w:rsidR="00DB51B8" w:rsidRPr="00510213" w:rsidRDefault="00DB51B8" w:rsidP="00674D9D">
            <w:r w:rsidRPr="00510213">
              <w:rPr>
                <w:rStyle w:val="Strong"/>
              </w:rPr>
              <w:t>Opportunities for Australian entities*</w:t>
            </w:r>
          </w:p>
        </w:tc>
        <w:tc>
          <w:tcPr>
            <w:tcW w:w="1861" w:type="dxa"/>
            <w:tcBorders>
              <w:bottom w:val="single" w:sz="4" w:space="0" w:color="auto"/>
            </w:tcBorders>
            <w:vAlign w:val="center"/>
          </w:tcPr>
          <w:p w14:paraId="13D4E6C5" w14:textId="77777777" w:rsidR="00DB51B8" w:rsidRPr="00510213" w:rsidRDefault="00DB51B8" w:rsidP="00674D9D">
            <w:r w:rsidRPr="00510213">
              <w:rPr>
                <w:rStyle w:val="Strong"/>
              </w:rPr>
              <w:t xml:space="preserve">Opportunities </w:t>
            </w:r>
            <w:proofErr w:type="gramStart"/>
            <w:r w:rsidRPr="00510213">
              <w:rPr>
                <w:rStyle w:val="Strong"/>
              </w:rPr>
              <w:t>for  non</w:t>
            </w:r>
            <w:proofErr w:type="gramEnd"/>
            <w:r w:rsidRPr="00510213">
              <w:rPr>
                <w:rStyle w:val="Strong"/>
              </w:rPr>
              <w:noBreakHyphen/>
              <w:t>Australian entities</w:t>
            </w:r>
          </w:p>
        </w:tc>
      </w:tr>
      <w:tr w:rsidR="00DB51B8" w:rsidRPr="008F7550" w14:paraId="349F6B5B" w14:textId="77777777" w:rsidTr="00DB51B8">
        <w:tc>
          <w:tcPr>
            <w:tcW w:w="5299" w:type="dxa"/>
          </w:tcPr>
          <w:p w14:paraId="53DC4F60" w14:textId="77777777" w:rsidR="00DB51B8" w:rsidRPr="008F7550" w:rsidRDefault="00DB51B8" w:rsidP="00674D9D">
            <w:pPr>
              <w:rPr>
                <w:rStyle w:val="Strong"/>
              </w:rPr>
            </w:pPr>
            <w:r w:rsidRPr="008F7550">
              <w:rPr>
                <w:rStyle w:val="Strong"/>
              </w:rPr>
              <w:t>Goods</w:t>
            </w:r>
          </w:p>
        </w:tc>
        <w:tc>
          <w:tcPr>
            <w:tcW w:w="1856" w:type="dxa"/>
          </w:tcPr>
          <w:p w14:paraId="45DDF08A" w14:textId="77777777" w:rsidR="00DB51B8" w:rsidRPr="008F7550" w:rsidRDefault="00DB51B8" w:rsidP="00674D9D"/>
        </w:tc>
        <w:tc>
          <w:tcPr>
            <w:tcW w:w="1861" w:type="dxa"/>
          </w:tcPr>
          <w:p w14:paraId="6E61AFBA" w14:textId="77777777" w:rsidR="00DB51B8" w:rsidRPr="008F7550" w:rsidRDefault="00DB51B8" w:rsidP="00674D9D"/>
        </w:tc>
      </w:tr>
      <w:tr w:rsidR="00DB51B8" w:rsidRPr="008F7550" w14:paraId="793B62D0" w14:textId="77777777" w:rsidTr="00DB51B8">
        <w:tc>
          <w:tcPr>
            <w:tcW w:w="5299" w:type="dxa"/>
          </w:tcPr>
          <w:p w14:paraId="62E65467" w14:textId="77777777" w:rsidR="00DB51B8" w:rsidRPr="008F7550" w:rsidRDefault="00DB51B8" w:rsidP="00674D9D">
            <w:pPr>
              <w:spacing w:before="60" w:after="60"/>
              <w:rPr>
                <w:rFonts w:ascii="Arial Unicode MS" w:eastAsia="Arial Unicode MS" w:hAnsi="Arial Unicode MS" w:cs="Arial Unicode MS"/>
                <w:sz w:val="20"/>
              </w:rPr>
            </w:pPr>
            <w:proofErr w:type="gramStart"/>
            <w:r w:rsidRPr="008F7550">
              <w:rPr>
                <w:rFonts w:ascii="Arial Unicode MS" w:eastAsia="Arial Unicode MS" w:hAnsi="Arial Unicode MS" w:cs="Arial Unicode MS"/>
                <w:sz w:val="20"/>
              </w:rPr>
              <w:t>It</w:t>
            </w:r>
            <w:proofErr w:type="gramEnd"/>
            <w:r w:rsidRPr="008F7550">
              <w:rPr>
                <w:rFonts w:ascii="Arial Unicode MS" w:eastAsia="Arial Unicode MS" w:hAnsi="Arial Unicode MS" w:cs="Arial Unicode MS"/>
                <w:sz w:val="20"/>
              </w:rPr>
              <w:t xml:space="preserve"> hardware/ software</w:t>
            </w:r>
          </w:p>
        </w:tc>
        <w:tc>
          <w:tcPr>
            <w:tcW w:w="1856" w:type="dxa"/>
          </w:tcPr>
          <w:p w14:paraId="3940E529" w14:textId="77777777" w:rsidR="00DB51B8" w:rsidRPr="008F7550" w:rsidRDefault="00DB51B8" w:rsidP="00674D9D">
            <w:pPr>
              <w:jc w:val="center"/>
            </w:pPr>
            <w:r w:rsidRPr="008F7550">
              <w:rPr>
                <w:rFonts w:ascii="Arial" w:hAnsi="Arial" w:cs="Arial"/>
                <w:bCs/>
                <w:snapToGrid w:val="0"/>
                <w:sz w:val="20"/>
              </w:rPr>
              <w:t>Yes</w:t>
            </w:r>
          </w:p>
        </w:tc>
        <w:tc>
          <w:tcPr>
            <w:tcW w:w="1861" w:type="dxa"/>
          </w:tcPr>
          <w:p w14:paraId="09A42566" w14:textId="77777777" w:rsidR="00DB51B8" w:rsidRPr="008F7550" w:rsidRDefault="00DB51B8" w:rsidP="00674D9D">
            <w:pPr>
              <w:jc w:val="center"/>
            </w:pPr>
            <w:r w:rsidRPr="008F7550">
              <w:rPr>
                <w:rFonts w:ascii="Arial" w:hAnsi="Arial" w:cs="Arial"/>
                <w:bCs/>
                <w:snapToGrid w:val="0"/>
                <w:sz w:val="20"/>
              </w:rPr>
              <w:t>Yes</w:t>
            </w:r>
          </w:p>
        </w:tc>
      </w:tr>
      <w:tr w:rsidR="00DB51B8" w:rsidRPr="008F7550" w14:paraId="725B6EB9" w14:textId="77777777" w:rsidTr="00DB51B8">
        <w:tc>
          <w:tcPr>
            <w:tcW w:w="5299" w:type="dxa"/>
          </w:tcPr>
          <w:p w14:paraId="764ABE92" w14:textId="77777777" w:rsidR="00DB51B8" w:rsidRPr="008F7550" w:rsidRDefault="00DB51B8" w:rsidP="00674D9D">
            <w:pPr>
              <w:spacing w:before="60" w:after="60"/>
              <w:rPr>
                <w:rFonts w:ascii="Arial Unicode MS" w:eastAsia="Arial Unicode MS" w:hAnsi="Arial Unicode MS" w:cs="Arial Unicode MS"/>
                <w:sz w:val="20"/>
              </w:rPr>
            </w:pPr>
            <w:r w:rsidRPr="008F7550">
              <w:rPr>
                <w:rFonts w:ascii="Arial Unicode MS" w:eastAsia="Arial Unicode MS" w:hAnsi="Arial Unicode MS" w:cs="Arial Unicode MS"/>
                <w:sz w:val="20"/>
              </w:rPr>
              <w:t>Mining equipment</w:t>
            </w:r>
          </w:p>
        </w:tc>
        <w:tc>
          <w:tcPr>
            <w:tcW w:w="1856" w:type="dxa"/>
          </w:tcPr>
          <w:p w14:paraId="2C7DCE5E" w14:textId="77777777" w:rsidR="00DB51B8" w:rsidRPr="008F7550" w:rsidRDefault="00DB51B8" w:rsidP="00674D9D">
            <w:pPr>
              <w:jc w:val="center"/>
            </w:pPr>
            <w:r w:rsidRPr="008F7550">
              <w:rPr>
                <w:rFonts w:ascii="Arial" w:hAnsi="Arial" w:cs="Arial"/>
                <w:bCs/>
                <w:snapToGrid w:val="0"/>
                <w:sz w:val="20"/>
              </w:rPr>
              <w:t>Yes</w:t>
            </w:r>
          </w:p>
        </w:tc>
        <w:tc>
          <w:tcPr>
            <w:tcW w:w="1861" w:type="dxa"/>
          </w:tcPr>
          <w:p w14:paraId="7162B234" w14:textId="77777777" w:rsidR="00DB51B8" w:rsidRPr="008F7550" w:rsidRDefault="00DB51B8" w:rsidP="00674D9D">
            <w:pPr>
              <w:jc w:val="center"/>
            </w:pPr>
            <w:r w:rsidRPr="008F7550">
              <w:rPr>
                <w:rFonts w:ascii="Arial" w:hAnsi="Arial" w:cs="Arial"/>
                <w:bCs/>
                <w:snapToGrid w:val="0"/>
                <w:sz w:val="20"/>
              </w:rPr>
              <w:t>Yes</w:t>
            </w:r>
          </w:p>
        </w:tc>
      </w:tr>
      <w:tr w:rsidR="00DB51B8" w:rsidRPr="008F7550" w14:paraId="79931738" w14:textId="77777777" w:rsidTr="00DB51B8">
        <w:tc>
          <w:tcPr>
            <w:tcW w:w="5299" w:type="dxa"/>
          </w:tcPr>
          <w:p w14:paraId="38B39689" w14:textId="77777777" w:rsidR="00DB51B8" w:rsidRPr="008F7550" w:rsidRDefault="00DB51B8" w:rsidP="00674D9D">
            <w:pPr>
              <w:spacing w:after="0"/>
              <w:rPr>
                <w:rFonts w:ascii="Arial Unicode MS" w:eastAsia="Arial Unicode MS" w:hAnsi="Arial Unicode MS" w:cs="Arial Unicode MS"/>
                <w:sz w:val="20"/>
              </w:rPr>
            </w:pPr>
            <w:r w:rsidRPr="008F7550">
              <w:rPr>
                <w:rFonts w:ascii="Arial Unicode MS" w:eastAsia="Arial Unicode MS" w:hAnsi="Arial Unicode MS" w:cs="Arial Unicode MS"/>
                <w:sz w:val="20"/>
              </w:rPr>
              <w:t>Complete longwall system</w:t>
            </w:r>
          </w:p>
        </w:tc>
        <w:tc>
          <w:tcPr>
            <w:tcW w:w="1856" w:type="dxa"/>
          </w:tcPr>
          <w:p w14:paraId="5CA2CBD3" w14:textId="77777777" w:rsidR="00DB51B8" w:rsidRPr="008F7550" w:rsidRDefault="00DB51B8" w:rsidP="00674D9D">
            <w:pPr>
              <w:jc w:val="center"/>
            </w:pPr>
            <w:r w:rsidRPr="008F7550">
              <w:rPr>
                <w:sz w:val="20"/>
              </w:rPr>
              <w:t>Yes</w:t>
            </w:r>
          </w:p>
        </w:tc>
        <w:tc>
          <w:tcPr>
            <w:tcW w:w="1861" w:type="dxa"/>
          </w:tcPr>
          <w:p w14:paraId="6C72577C" w14:textId="77777777" w:rsidR="00DB51B8" w:rsidRPr="008F7550" w:rsidRDefault="00DB51B8" w:rsidP="00674D9D">
            <w:pPr>
              <w:jc w:val="center"/>
            </w:pPr>
            <w:r w:rsidRPr="008F7550">
              <w:rPr>
                <w:rFonts w:ascii="Arial" w:hAnsi="Arial" w:cs="Arial"/>
                <w:bCs/>
                <w:snapToGrid w:val="0"/>
                <w:sz w:val="20"/>
              </w:rPr>
              <w:t>Yes</w:t>
            </w:r>
          </w:p>
        </w:tc>
      </w:tr>
      <w:tr w:rsidR="00DB51B8" w:rsidRPr="008F7550" w14:paraId="0DA22FCD" w14:textId="77777777" w:rsidTr="00DB51B8">
        <w:tc>
          <w:tcPr>
            <w:tcW w:w="5299" w:type="dxa"/>
          </w:tcPr>
          <w:p w14:paraId="1AEEC432" w14:textId="77777777" w:rsidR="00DB51B8" w:rsidRPr="008F7550" w:rsidRDefault="00DB51B8" w:rsidP="00674D9D">
            <w:pPr>
              <w:spacing w:after="0"/>
              <w:rPr>
                <w:rFonts w:ascii="Arial Unicode MS" w:eastAsia="Arial Unicode MS" w:hAnsi="Arial Unicode MS" w:cs="Arial Unicode MS"/>
                <w:sz w:val="20"/>
              </w:rPr>
            </w:pPr>
            <w:r w:rsidRPr="008F7550">
              <w:rPr>
                <w:rFonts w:ascii="Arial Unicode MS" w:eastAsia="Arial Unicode MS" w:hAnsi="Arial Unicode MS" w:cs="Arial Unicode MS"/>
                <w:sz w:val="20"/>
              </w:rPr>
              <w:t>Development suite comprising continuous miner, feeder/breaker and shuttle cars or continuous haulage</w:t>
            </w:r>
          </w:p>
        </w:tc>
        <w:tc>
          <w:tcPr>
            <w:tcW w:w="1856" w:type="dxa"/>
          </w:tcPr>
          <w:p w14:paraId="54E96796" w14:textId="77777777" w:rsidR="00DB51B8" w:rsidRPr="008F7550" w:rsidRDefault="00DB51B8" w:rsidP="00674D9D">
            <w:pPr>
              <w:jc w:val="center"/>
            </w:pPr>
            <w:r w:rsidRPr="008F7550">
              <w:rPr>
                <w:sz w:val="20"/>
              </w:rPr>
              <w:t>Yes</w:t>
            </w:r>
          </w:p>
        </w:tc>
        <w:tc>
          <w:tcPr>
            <w:tcW w:w="1861" w:type="dxa"/>
          </w:tcPr>
          <w:p w14:paraId="1937D2E4" w14:textId="77777777" w:rsidR="00DB51B8" w:rsidRPr="008F7550" w:rsidRDefault="00DB51B8" w:rsidP="00674D9D">
            <w:pPr>
              <w:jc w:val="center"/>
            </w:pPr>
            <w:r w:rsidRPr="008F7550">
              <w:rPr>
                <w:rFonts w:ascii="Arial" w:hAnsi="Arial" w:cs="Arial"/>
                <w:bCs/>
                <w:snapToGrid w:val="0"/>
                <w:sz w:val="20"/>
              </w:rPr>
              <w:t>Yes</w:t>
            </w:r>
          </w:p>
        </w:tc>
      </w:tr>
      <w:tr w:rsidR="00DB51B8" w:rsidRPr="008F7550" w14:paraId="1782B948" w14:textId="77777777" w:rsidTr="00DB51B8">
        <w:tc>
          <w:tcPr>
            <w:tcW w:w="5299" w:type="dxa"/>
          </w:tcPr>
          <w:p w14:paraId="22107D14" w14:textId="77777777" w:rsidR="00DB51B8" w:rsidRPr="008F7550" w:rsidRDefault="00DB51B8" w:rsidP="00674D9D">
            <w:pPr>
              <w:spacing w:after="0"/>
              <w:rPr>
                <w:rFonts w:ascii="Arial Unicode MS" w:eastAsia="Arial Unicode MS" w:hAnsi="Arial Unicode MS" w:cs="Arial Unicode MS"/>
                <w:sz w:val="20"/>
              </w:rPr>
            </w:pPr>
            <w:r w:rsidRPr="008F7550">
              <w:rPr>
                <w:rFonts w:ascii="Arial Unicode MS" w:eastAsia="Arial Unicode MS" w:hAnsi="Arial Unicode MS" w:cs="Arial Unicode MS"/>
                <w:sz w:val="20"/>
              </w:rPr>
              <w:t>Underground and surface conveyors</w:t>
            </w:r>
          </w:p>
        </w:tc>
        <w:tc>
          <w:tcPr>
            <w:tcW w:w="1856" w:type="dxa"/>
          </w:tcPr>
          <w:p w14:paraId="6D9B252E" w14:textId="77777777" w:rsidR="00DB51B8" w:rsidRPr="008F7550" w:rsidRDefault="00DB51B8" w:rsidP="00674D9D">
            <w:pPr>
              <w:jc w:val="center"/>
            </w:pPr>
            <w:r w:rsidRPr="008F7550">
              <w:rPr>
                <w:rFonts w:ascii="Arial" w:hAnsi="Arial" w:cs="Arial"/>
                <w:bCs/>
                <w:snapToGrid w:val="0"/>
                <w:sz w:val="20"/>
              </w:rPr>
              <w:t>Yes</w:t>
            </w:r>
          </w:p>
        </w:tc>
        <w:tc>
          <w:tcPr>
            <w:tcW w:w="1861" w:type="dxa"/>
          </w:tcPr>
          <w:p w14:paraId="73EE4966" w14:textId="77777777" w:rsidR="00DB51B8" w:rsidRPr="008F7550" w:rsidRDefault="00DB51B8" w:rsidP="00674D9D">
            <w:pPr>
              <w:jc w:val="center"/>
            </w:pPr>
            <w:r w:rsidRPr="008F7550">
              <w:rPr>
                <w:rFonts w:ascii="Arial" w:hAnsi="Arial" w:cs="Arial"/>
                <w:bCs/>
                <w:snapToGrid w:val="0"/>
                <w:sz w:val="20"/>
              </w:rPr>
              <w:t>Yes</w:t>
            </w:r>
          </w:p>
        </w:tc>
      </w:tr>
      <w:tr w:rsidR="00DB51B8" w:rsidRPr="008F7550" w14:paraId="4FBC018A" w14:textId="77777777" w:rsidTr="00DB51B8">
        <w:tc>
          <w:tcPr>
            <w:tcW w:w="5299" w:type="dxa"/>
          </w:tcPr>
          <w:p w14:paraId="0D0AAFF0" w14:textId="77777777" w:rsidR="00DB51B8" w:rsidRPr="008F7550" w:rsidRDefault="00DB51B8" w:rsidP="00674D9D">
            <w:pPr>
              <w:spacing w:after="0"/>
              <w:rPr>
                <w:rFonts w:ascii="Arial Unicode MS" w:eastAsia="Arial Unicode MS" w:hAnsi="Arial Unicode MS" w:cs="Arial Unicode MS"/>
                <w:sz w:val="20"/>
              </w:rPr>
            </w:pPr>
            <w:r w:rsidRPr="008F7550">
              <w:rPr>
                <w:rFonts w:ascii="Arial Unicode MS" w:eastAsia="Arial Unicode MS" w:hAnsi="Arial Unicode MS" w:cs="Arial Unicode MS"/>
                <w:sz w:val="20"/>
              </w:rPr>
              <w:lastRenderedPageBreak/>
              <w:t>Coal handling and preparation plant (CHPP</w:t>
            </w:r>
            <w:r>
              <w:rPr>
                <w:rFonts w:ascii="Arial Unicode MS" w:eastAsia="Arial Unicode MS" w:hAnsi="Arial Unicode MS" w:cs="Arial Unicode MS"/>
                <w:sz w:val="20"/>
              </w:rPr>
              <w:t>)</w:t>
            </w:r>
          </w:p>
        </w:tc>
        <w:tc>
          <w:tcPr>
            <w:tcW w:w="1856" w:type="dxa"/>
          </w:tcPr>
          <w:p w14:paraId="6E0C472D" w14:textId="77777777" w:rsidR="00DB51B8" w:rsidRPr="008F7550" w:rsidRDefault="00DB51B8" w:rsidP="00674D9D">
            <w:pPr>
              <w:jc w:val="center"/>
            </w:pPr>
            <w:r w:rsidRPr="008F7550">
              <w:rPr>
                <w:rFonts w:ascii="Arial" w:hAnsi="Arial" w:cs="Arial"/>
                <w:bCs/>
                <w:snapToGrid w:val="0"/>
                <w:sz w:val="20"/>
              </w:rPr>
              <w:t>Yes</w:t>
            </w:r>
          </w:p>
        </w:tc>
        <w:tc>
          <w:tcPr>
            <w:tcW w:w="1861" w:type="dxa"/>
          </w:tcPr>
          <w:p w14:paraId="68138401" w14:textId="77777777" w:rsidR="00DB51B8" w:rsidRPr="008F7550" w:rsidRDefault="00DB51B8" w:rsidP="00674D9D">
            <w:pPr>
              <w:jc w:val="center"/>
            </w:pPr>
            <w:r w:rsidRPr="008F7550">
              <w:rPr>
                <w:rFonts w:ascii="Arial" w:hAnsi="Arial" w:cs="Arial"/>
                <w:bCs/>
                <w:snapToGrid w:val="0"/>
                <w:sz w:val="20"/>
              </w:rPr>
              <w:t>Yes</w:t>
            </w:r>
          </w:p>
        </w:tc>
      </w:tr>
      <w:tr w:rsidR="00DB51B8" w:rsidRPr="008F7550" w14:paraId="746038B3" w14:textId="77777777" w:rsidTr="00DB51B8">
        <w:tc>
          <w:tcPr>
            <w:tcW w:w="5299" w:type="dxa"/>
          </w:tcPr>
          <w:p w14:paraId="7A93E98A" w14:textId="77777777" w:rsidR="00DB51B8" w:rsidRPr="008F7550" w:rsidRDefault="00DB51B8" w:rsidP="00674D9D">
            <w:pPr>
              <w:spacing w:after="0"/>
              <w:rPr>
                <w:rFonts w:ascii="Arial Unicode MS" w:eastAsia="Arial Unicode MS" w:hAnsi="Arial Unicode MS" w:cs="Arial Unicode MS"/>
                <w:sz w:val="20"/>
              </w:rPr>
            </w:pPr>
            <w:r w:rsidRPr="008F7550">
              <w:rPr>
                <w:rFonts w:ascii="Arial Unicode MS" w:eastAsia="Arial Unicode MS" w:hAnsi="Arial Unicode MS" w:cs="Arial Unicode MS"/>
                <w:sz w:val="20"/>
              </w:rPr>
              <w:t>Stockpile equipment, including stackers and dozers</w:t>
            </w:r>
          </w:p>
        </w:tc>
        <w:tc>
          <w:tcPr>
            <w:tcW w:w="1856" w:type="dxa"/>
          </w:tcPr>
          <w:p w14:paraId="17734E3E" w14:textId="77777777" w:rsidR="00DB51B8" w:rsidRPr="008F7550" w:rsidRDefault="00DB51B8" w:rsidP="00674D9D">
            <w:pPr>
              <w:jc w:val="center"/>
            </w:pPr>
            <w:r w:rsidRPr="008F7550">
              <w:rPr>
                <w:rFonts w:ascii="Arial" w:hAnsi="Arial" w:cs="Arial"/>
                <w:bCs/>
                <w:snapToGrid w:val="0"/>
                <w:sz w:val="20"/>
              </w:rPr>
              <w:t>Yes</w:t>
            </w:r>
          </w:p>
        </w:tc>
        <w:tc>
          <w:tcPr>
            <w:tcW w:w="1861" w:type="dxa"/>
          </w:tcPr>
          <w:p w14:paraId="3D8D64C9" w14:textId="77777777" w:rsidR="00DB51B8" w:rsidRPr="008F7550" w:rsidRDefault="00DB51B8" w:rsidP="00674D9D">
            <w:pPr>
              <w:jc w:val="center"/>
            </w:pPr>
            <w:r w:rsidRPr="008F7550">
              <w:rPr>
                <w:rFonts w:ascii="Arial" w:hAnsi="Arial" w:cs="Arial"/>
                <w:bCs/>
                <w:snapToGrid w:val="0"/>
                <w:sz w:val="20"/>
              </w:rPr>
              <w:t>Yes</w:t>
            </w:r>
          </w:p>
        </w:tc>
      </w:tr>
      <w:tr w:rsidR="00DB51B8" w:rsidRPr="008F7550" w14:paraId="02A3ADF1" w14:textId="77777777" w:rsidTr="00DB51B8">
        <w:tc>
          <w:tcPr>
            <w:tcW w:w="5299" w:type="dxa"/>
          </w:tcPr>
          <w:p w14:paraId="2A6C2862" w14:textId="77777777" w:rsidR="00DB51B8" w:rsidRPr="008F7550" w:rsidRDefault="00DB51B8" w:rsidP="00674D9D">
            <w:pPr>
              <w:rPr>
                <w:rFonts w:ascii="Arial Unicode MS" w:eastAsia="Arial Unicode MS" w:hAnsi="Arial Unicode MS" w:cs="Arial Unicode MS"/>
                <w:sz w:val="20"/>
              </w:rPr>
            </w:pPr>
            <w:r w:rsidRPr="008F7550">
              <w:rPr>
                <w:rFonts w:ascii="Arial Unicode MS" w:eastAsia="Arial Unicode MS" w:hAnsi="Arial Unicode MS" w:cs="Arial Unicode MS"/>
                <w:sz w:val="20"/>
              </w:rPr>
              <w:t>Ancillary apparatus including electrical supply system</w:t>
            </w:r>
          </w:p>
        </w:tc>
        <w:tc>
          <w:tcPr>
            <w:tcW w:w="1856" w:type="dxa"/>
          </w:tcPr>
          <w:p w14:paraId="12560D19" w14:textId="77777777" w:rsidR="00DB51B8" w:rsidRPr="008F7550" w:rsidRDefault="00DB51B8" w:rsidP="00674D9D">
            <w:pPr>
              <w:jc w:val="center"/>
            </w:pPr>
            <w:r w:rsidRPr="008F7550">
              <w:rPr>
                <w:rFonts w:ascii="Arial" w:hAnsi="Arial" w:cs="Arial"/>
                <w:bCs/>
                <w:snapToGrid w:val="0"/>
                <w:sz w:val="20"/>
              </w:rPr>
              <w:t>Yes</w:t>
            </w:r>
          </w:p>
        </w:tc>
        <w:tc>
          <w:tcPr>
            <w:tcW w:w="1861" w:type="dxa"/>
          </w:tcPr>
          <w:p w14:paraId="0A41353A" w14:textId="77777777" w:rsidR="00DB51B8" w:rsidRPr="008F7550" w:rsidRDefault="00DB51B8" w:rsidP="00674D9D">
            <w:pPr>
              <w:jc w:val="center"/>
            </w:pPr>
            <w:r w:rsidRPr="008F7550">
              <w:rPr>
                <w:rFonts w:ascii="Arial" w:hAnsi="Arial" w:cs="Arial"/>
                <w:bCs/>
                <w:snapToGrid w:val="0"/>
                <w:sz w:val="20"/>
              </w:rPr>
              <w:t>Yes</w:t>
            </w:r>
          </w:p>
        </w:tc>
      </w:tr>
      <w:tr w:rsidR="00DB51B8" w:rsidRPr="008F7550" w14:paraId="20DA7B9F" w14:textId="77777777" w:rsidTr="00DB51B8">
        <w:tc>
          <w:tcPr>
            <w:tcW w:w="5299" w:type="dxa"/>
          </w:tcPr>
          <w:p w14:paraId="5C54AF0C" w14:textId="77777777" w:rsidR="00DB51B8" w:rsidRPr="008F7550" w:rsidRDefault="00DB51B8" w:rsidP="00674D9D">
            <w:pPr>
              <w:rPr>
                <w:rStyle w:val="Strong"/>
              </w:rPr>
            </w:pPr>
            <w:r w:rsidRPr="008F7550">
              <w:rPr>
                <w:rStyle w:val="Strong"/>
              </w:rPr>
              <w:t>Services</w:t>
            </w:r>
          </w:p>
        </w:tc>
        <w:tc>
          <w:tcPr>
            <w:tcW w:w="1856" w:type="dxa"/>
          </w:tcPr>
          <w:p w14:paraId="37CC378E" w14:textId="77777777" w:rsidR="00DB51B8" w:rsidRPr="008F7550" w:rsidRDefault="00DB51B8" w:rsidP="00674D9D"/>
        </w:tc>
        <w:tc>
          <w:tcPr>
            <w:tcW w:w="1861" w:type="dxa"/>
          </w:tcPr>
          <w:p w14:paraId="307C050C" w14:textId="77777777" w:rsidR="00DB51B8" w:rsidRPr="008F7550" w:rsidRDefault="00DB51B8" w:rsidP="00674D9D"/>
        </w:tc>
      </w:tr>
      <w:tr w:rsidR="00DB51B8" w:rsidRPr="008F7550" w14:paraId="2796C71B" w14:textId="77777777" w:rsidTr="00DB51B8">
        <w:tc>
          <w:tcPr>
            <w:tcW w:w="5299" w:type="dxa"/>
          </w:tcPr>
          <w:p w14:paraId="78C54991" w14:textId="77777777" w:rsidR="00DB51B8" w:rsidRPr="008F7550" w:rsidRDefault="00DB51B8" w:rsidP="00674D9D">
            <w:pPr>
              <w:spacing w:before="60" w:after="60"/>
              <w:rPr>
                <w:rFonts w:ascii="Arial Unicode MS" w:eastAsia="Arial Unicode MS" w:hAnsi="Arial Unicode MS" w:cs="Arial Unicode MS"/>
                <w:sz w:val="20"/>
              </w:rPr>
            </w:pPr>
            <w:r w:rsidRPr="008F7550">
              <w:rPr>
                <w:rFonts w:ascii="Arial Unicode MS" w:eastAsia="Arial Unicode MS" w:hAnsi="Arial Unicode MS" w:cs="Arial Unicode MS"/>
                <w:sz w:val="20"/>
              </w:rPr>
              <w:t>Design / Engineering services</w:t>
            </w:r>
          </w:p>
        </w:tc>
        <w:tc>
          <w:tcPr>
            <w:tcW w:w="1856" w:type="dxa"/>
          </w:tcPr>
          <w:p w14:paraId="43A43277" w14:textId="77777777" w:rsidR="00DB51B8" w:rsidRPr="002E3772" w:rsidRDefault="00DB51B8" w:rsidP="00674D9D">
            <w:pPr>
              <w:jc w:val="center"/>
            </w:pPr>
            <w:r w:rsidRPr="002E3772">
              <w:rPr>
                <w:rFonts w:ascii="Arial" w:hAnsi="Arial" w:cs="Arial"/>
                <w:bCs/>
                <w:snapToGrid w:val="0"/>
                <w:sz w:val="20"/>
              </w:rPr>
              <w:t>Yes</w:t>
            </w:r>
          </w:p>
        </w:tc>
        <w:tc>
          <w:tcPr>
            <w:tcW w:w="1861" w:type="dxa"/>
          </w:tcPr>
          <w:p w14:paraId="0D30E390" w14:textId="77777777" w:rsidR="00DB51B8" w:rsidRPr="002E3772" w:rsidRDefault="00DB51B8" w:rsidP="00674D9D">
            <w:pPr>
              <w:jc w:val="center"/>
            </w:pPr>
            <w:r w:rsidRPr="002E3772">
              <w:rPr>
                <w:rFonts w:ascii="Arial" w:hAnsi="Arial" w:cs="Arial"/>
                <w:bCs/>
                <w:snapToGrid w:val="0"/>
                <w:sz w:val="20"/>
              </w:rPr>
              <w:t>Yes</w:t>
            </w:r>
          </w:p>
        </w:tc>
      </w:tr>
      <w:tr w:rsidR="00DB51B8" w:rsidRPr="008F7550" w14:paraId="2726B992" w14:textId="77777777" w:rsidTr="00DB51B8">
        <w:tc>
          <w:tcPr>
            <w:tcW w:w="5299" w:type="dxa"/>
          </w:tcPr>
          <w:p w14:paraId="5E612EB3" w14:textId="77777777" w:rsidR="00DB51B8" w:rsidRPr="008F7550" w:rsidRDefault="00DB51B8" w:rsidP="00674D9D">
            <w:pPr>
              <w:spacing w:before="60" w:after="60"/>
              <w:rPr>
                <w:rFonts w:ascii="Arial Unicode MS" w:eastAsia="Arial Unicode MS" w:hAnsi="Arial Unicode MS" w:cs="Arial Unicode MS"/>
                <w:sz w:val="20"/>
              </w:rPr>
            </w:pPr>
            <w:r w:rsidRPr="008F7550">
              <w:rPr>
                <w:rFonts w:ascii="Arial Unicode MS" w:eastAsia="Arial Unicode MS" w:hAnsi="Arial Unicode MS" w:cs="Arial Unicode MS"/>
                <w:sz w:val="20"/>
              </w:rPr>
              <w:t>Transportation services</w:t>
            </w:r>
          </w:p>
        </w:tc>
        <w:tc>
          <w:tcPr>
            <w:tcW w:w="1856" w:type="dxa"/>
          </w:tcPr>
          <w:p w14:paraId="51496557" w14:textId="77777777" w:rsidR="00DB51B8" w:rsidRPr="002E3772" w:rsidRDefault="00DB51B8" w:rsidP="00674D9D">
            <w:pPr>
              <w:jc w:val="center"/>
            </w:pPr>
            <w:r w:rsidRPr="002E3772">
              <w:rPr>
                <w:rFonts w:ascii="Arial" w:hAnsi="Arial" w:cs="Arial"/>
                <w:bCs/>
                <w:snapToGrid w:val="0"/>
                <w:sz w:val="20"/>
              </w:rPr>
              <w:t>Yes</w:t>
            </w:r>
          </w:p>
        </w:tc>
        <w:tc>
          <w:tcPr>
            <w:tcW w:w="1861" w:type="dxa"/>
          </w:tcPr>
          <w:p w14:paraId="07C18C0E" w14:textId="77777777" w:rsidR="00DB51B8" w:rsidRPr="002E3772" w:rsidRDefault="00DB51B8" w:rsidP="00674D9D">
            <w:pPr>
              <w:jc w:val="center"/>
            </w:pPr>
            <w:r w:rsidRPr="002E3772">
              <w:rPr>
                <w:rFonts w:ascii="Arial" w:hAnsi="Arial" w:cs="Arial"/>
                <w:bCs/>
                <w:snapToGrid w:val="0"/>
                <w:sz w:val="20"/>
              </w:rPr>
              <w:t>Yes</w:t>
            </w:r>
          </w:p>
        </w:tc>
      </w:tr>
    </w:tbl>
    <w:p w14:paraId="64F03090" w14:textId="77777777" w:rsidR="00145A55" w:rsidRPr="000354FA" w:rsidRDefault="00145A55" w:rsidP="00145A55">
      <w:pPr>
        <w:pStyle w:val="Disclaimer"/>
        <w:rPr>
          <w:rFonts w:cstheme="minorHAnsi"/>
          <w:sz w:val="22"/>
          <w:szCs w:val="22"/>
        </w:rPr>
      </w:pPr>
      <w:r w:rsidRPr="000354FA">
        <w:rPr>
          <w:rFonts w:cstheme="minorHAnsi"/>
          <w:sz w:val="22"/>
          <w:szCs w:val="22"/>
        </w:rPr>
        <w:t>Disclaimer: The information provided in the table above is based on an initial assessment by the company. Any questions or issues should be raised with the project contact.</w:t>
      </w:r>
    </w:p>
    <w:p w14:paraId="6D83F261" w14:textId="77777777" w:rsidR="00145A55" w:rsidRDefault="00145A55" w:rsidP="004B3774">
      <w:pPr>
        <w:pStyle w:val="Disclaimer"/>
        <w:rPr>
          <w:rFonts w:ascii="Calibri" w:hAnsi="Calibri"/>
          <w:b/>
          <w:sz w:val="22"/>
          <w:szCs w:val="24"/>
          <w:lang w:eastAsia="en-US"/>
        </w:rPr>
      </w:pPr>
    </w:p>
    <w:p w14:paraId="79F66CEB" w14:textId="77777777"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7F0A12E" w14:textId="77777777" w:rsidTr="00DD7E0D">
        <w:trPr>
          <w:tblHeader/>
        </w:trPr>
        <w:tc>
          <w:tcPr>
            <w:tcW w:w="9242" w:type="dxa"/>
          </w:tcPr>
          <w:p w14:paraId="7DBD72F8" w14:textId="2F87863C" w:rsidR="004B3774" w:rsidRPr="00F07286" w:rsidRDefault="00DB51B8" w:rsidP="00145A55">
            <w:r>
              <w:t>N/A</w:t>
            </w:r>
          </w:p>
        </w:tc>
      </w:tr>
    </w:tbl>
    <w:p w14:paraId="1564631D" w14:textId="7D357C6B" w:rsidR="000E4E23" w:rsidRDefault="000E4E23" w:rsidP="00145A55">
      <w:pPr>
        <w:pStyle w:val="Heading2"/>
      </w:pPr>
      <w:r>
        <w:t>3</w:t>
      </w:r>
      <w:r w:rsidR="00CE51E3">
        <w:t>.</w:t>
      </w:r>
      <w:r>
        <w:t xml:space="preserve"> Standards to be used in the </w:t>
      </w:r>
      <w:r w:rsidR="00A73C28">
        <w:t>facility</w:t>
      </w:r>
    </w:p>
    <w:sdt>
      <w:sdtPr>
        <w:id w:val="-866441997"/>
      </w:sdtPr>
      <w:sdtContent>
        <w:p w14:paraId="104BF062" w14:textId="77777777" w:rsidR="00DB51B8" w:rsidRDefault="00DB51B8" w:rsidP="00DB51B8">
          <w:pPr>
            <w:pStyle w:val="ListParagraph"/>
          </w:pPr>
          <w:r w:rsidRPr="008F7550">
            <w:t>Australian Standards will be specified in all tender documents where an Australian Standard exists, otherwise an appropriate international standard will be specified.</w:t>
          </w:r>
        </w:p>
      </w:sdtContent>
    </w:sdt>
    <w:p w14:paraId="473B1D9C" w14:textId="4F136EC0" w:rsidR="00145A55" w:rsidRDefault="000E4E23" w:rsidP="00145A55">
      <w:pPr>
        <w:pStyle w:val="Heading2"/>
      </w:pPr>
      <w:r>
        <w:t>4</w:t>
      </w:r>
      <w:r w:rsidR="00E45719">
        <w:t xml:space="preserve">. </w:t>
      </w:r>
      <w:r w:rsidR="001C7979">
        <w:t>AIP activities</w:t>
      </w:r>
      <w:r w:rsidR="004862B6">
        <w:t xml:space="preserve"> to be</w:t>
      </w:r>
      <w:r w:rsidR="001C7979">
        <w:t xml:space="preserve"> undertaken by the </w:t>
      </w:r>
      <w:r w:rsidR="00A73C28">
        <w:t>Operator</w:t>
      </w:r>
    </w:p>
    <w:sdt>
      <w:sdtPr>
        <w:id w:val="1837646067"/>
      </w:sdtPr>
      <w:sdtContent>
        <w:p w14:paraId="3037CE04" w14:textId="77777777" w:rsidR="00DB51B8" w:rsidRDefault="00DB51B8" w:rsidP="00DB51B8">
          <w:pPr>
            <w:ind w:left="142"/>
          </w:pPr>
          <w:r w:rsidRPr="008F7550">
            <w:t>KEPCO’s EPC Contractor will publicly list opportunities to supply the Project through an online presence (ICN Gateway) to disseminate Project information.</w:t>
          </w:r>
        </w:p>
        <w:p w14:paraId="67E74817" w14:textId="77777777" w:rsidR="00DB51B8" w:rsidRDefault="00DB51B8" w:rsidP="00DB51B8">
          <w:pPr>
            <w:ind w:left="142"/>
          </w:pPr>
        </w:p>
        <w:sdt>
          <w:sdtPr>
            <w:id w:val="-187601888"/>
          </w:sdtPr>
          <w:sdtContent>
            <w:p w14:paraId="2EC595FD" w14:textId="77777777" w:rsidR="00DB51B8" w:rsidRPr="008F7550" w:rsidRDefault="00DB51B8" w:rsidP="00DB51B8">
              <w:pPr>
                <w:ind w:left="142"/>
              </w:pPr>
              <w:r w:rsidRPr="008F7550">
                <w:t>KEPCO’s EPC will request assistance from the ICN to identify capable, competitive pre-qualified Australian entities to supply goods and services to the Project.  The assistance provided by the ICN will broadly include the:</w:t>
              </w:r>
            </w:p>
            <w:p w14:paraId="6D17D982" w14:textId="77777777" w:rsidR="00DB51B8" w:rsidRPr="008F7550" w:rsidRDefault="00DB51B8" w:rsidP="00DB51B8">
              <w:pPr>
                <w:ind w:left="142"/>
              </w:pPr>
              <w:r w:rsidRPr="008F7550">
                <w:t xml:space="preserve">• </w:t>
              </w:r>
              <w:r w:rsidRPr="008F7550">
                <w:tab/>
                <w:t>hosting of opportunities on ICN Gateway</w:t>
              </w:r>
            </w:p>
            <w:p w14:paraId="47003ED2" w14:textId="77777777" w:rsidR="00DB51B8" w:rsidRPr="008F7550" w:rsidRDefault="00DB51B8" w:rsidP="00DB51B8">
              <w:pPr>
                <w:ind w:left="142"/>
              </w:pPr>
              <w:r w:rsidRPr="008F7550">
                <w:t xml:space="preserve">• </w:t>
              </w:r>
              <w:r w:rsidRPr="008F7550">
                <w:tab/>
                <w:t>generation of automatic response to companies registered for the Project</w:t>
              </w:r>
            </w:p>
            <w:p w14:paraId="6F76DC06" w14:textId="77777777" w:rsidR="00DB51B8" w:rsidRPr="008F7550" w:rsidRDefault="00DB51B8" w:rsidP="00DB51B8">
              <w:pPr>
                <w:ind w:left="142"/>
              </w:pPr>
              <w:r w:rsidRPr="008F7550">
                <w:t>through the ICN Gateway</w:t>
              </w:r>
            </w:p>
            <w:p w14:paraId="3DE3B4F0" w14:textId="77777777" w:rsidR="00DB51B8" w:rsidRPr="008F7550" w:rsidRDefault="00DB51B8" w:rsidP="00DB51B8">
              <w:pPr>
                <w:ind w:left="142"/>
              </w:pPr>
              <w:r w:rsidRPr="008F7550">
                <w:t xml:space="preserve">• </w:t>
              </w:r>
              <w:r w:rsidRPr="008F7550">
                <w:tab/>
                <w:t>seeking of additional responses to work packages if insufficient responses</w:t>
              </w:r>
            </w:p>
            <w:p w14:paraId="63A11E3F" w14:textId="77777777" w:rsidR="00DB51B8" w:rsidRPr="008F7550" w:rsidRDefault="00DB51B8" w:rsidP="00DB51B8">
              <w:pPr>
                <w:ind w:left="142"/>
              </w:pPr>
              <w:r w:rsidRPr="008F7550">
                <w:t>received</w:t>
              </w:r>
            </w:p>
            <w:p w14:paraId="37124688" w14:textId="77777777" w:rsidR="00DB51B8" w:rsidRPr="008F7550" w:rsidRDefault="00DB51B8" w:rsidP="00DB51B8">
              <w:pPr>
                <w:ind w:left="142"/>
              </w:pPr>
              <w:r w:rsidRPr="008F7550">
                <w:t xml:space="preserve">• </w:t>
              </w:r>
              <w:r w:rsidRPr="008F7550">
                <w:tab/>
                <w:t>invite known companies to register expressions of interest</w:t>
              </w:r>
            </w:p>
            <w:p w14:paraId="53289B9C" w14:textId="77777777" w:rsidR="00DB51B8" w:rsidRPr="008F7550" w:rsidRDefault="00DB51B8" w:rsidP="00DB51B8">
              <w:pPr>
                <w:ind w:left="142"/>
              </w:pPr>
              <w:r w:rsidRPr="008F7550">
                <w:t xml:space="preserve">• </w:t>
              </w:r>
              <w:r w:rsidRPr="008F7550">
                <w:tab/>
                <w:t>closure of work package registration</w:t>
              </w:r>
            </w:p>
            <w:p w14:paraId="57E67F18" w14:textId="77777777" w:rsidR="00DB51B8" w:rsidRPr="008F7550" w:rsidRDefault="00DB51B8" w:rsidP="00DB51B8">
              <w:pPr>
                <w:ind w:left="142"/>
              </w:pPr>
              <w:r w:rsidRPr="008F7550">
                <w:t xml:space="preserve">• </w:t>
              </w:r>
              <w:r w:rsidRPr="008F7550">
                <w:tab/>
                <w:t>application of "First Gate" registration filter to find possible suppliers and</w:t>
              </w:r>
            </w:p>
            <w:p w14:paraId="40A6AA3D" w14:textId="77777777" w:rsidR="00DB51B8" w:rsidRPr="008F7550" w:rsidRDefault="00DB51B8" w:rsidP="00DB51B8">
              <w:pPr>
                <w:ind w:left="142"/>
              </w:pPr>
              <w:r>
                <w:t>produce</w:t>
              </w:r>
              <w:r w:rsidRPr="008F7550">
                <w:t xml:space="preserve"> Ranking Report</w:t>
              </w:r>
            </w:p>
            <w:p w14:paraId="54DDBCED" w14:textId="77777777" w:rsidR="00DB51B8" w:rsidRPr="008F7550" w:rsidRDefault="00DB51B8" w:rsidP="00DB51B8">
              <w:pPr>
                <w:ind w:left="142"/>
              </w:pPr>
              <w:r w:rsidRPr="008F7550">
                <w:lastRenderedPageBreak/>
                <w:t xml:space="preserve">• </w:t>
              </w:r>
              <w:r w:rsidRPr="008F7550">
                <w:tab/>
                <w:t>Pre-qualify expressions of interest to identify capable tenderers and supply shortlist of companies to KEPCO</w:t>
              </w:r>
            </w:p>
            <w:p w14:paraId="59A5B6F9" w14:textId="77777777" w:rsidR="00DB51B8" w:rsidRDefault="00DB51B8" w:rsidP="00DB51B8">
              <w:pPr>
                <w:ind w:left="142"/>
              </w:pPr>
              <w:r w:rsidRPr="008F7550">
                <w:t>•</w:t>
              </w:r>
              <w:r w:rsidRPr="008F7550">
                <w:tab/>
                <w:t>provide general assistance as requested.</w:t>
              </w:r>
            </w:p>
            <w:p w14:paraId="4569575B" w14:textId="77777777" w:rsidR="00DB51B8" w:rsidRDefault="00DB51B8" w:rsidP="00DB51B8">
              <w:r w:rsidRPr="008F7550">
                <w:t>Presenta</w:t>
              </w:r>
              <w:r>
                <w:t xml:space="preserve">tion through MESCA and or </w:t>
              </w:r>
              <w:proofErr w:type="spellStart"/>
              <w:r>
                <w:t>Hunter</w:t>
              </w:r>
              <w:r w:rsidRPr="008F7550">
                <w:t>net</w:t>
              </w:r>
              <w:proofErr w:type="spellEnd"/>
              <w:r w:rsidRPr="008F7550">
                <w:t xml:space="preserve"> in the Hunter region will be as procurement opportunities arise to give ample time to suppliers to participate and before tenders are issued</w:t>
              </w:r>
              <w:r>
                <w:t>.</w:t>
              </w:r>
            </w:p>
            <w:p w14:paraId="75492349" w14:textId="77777777" w:rsidR="00DB51B8" w:rsidRDefault="00DB51B8" w:rsidP="00DB51B8">
              <w:pPr>
                <w:ind w:left="142"/>
              </w:pPr>
            </w:p>
            <w:sdt>
              <w:sdtPr>
                <w:id w:val="-2063774885"/>
              </w:sdtPr>
              <w:sdtContent>
                <w:p w14:paraId="11DB9092" w14:textId="77777777" w:rsidR="00DB51B8" w:rsidRDefault="00DB51B8" w:rsidP="00DB51B8">
                  <w:pPr>
                    <w:ind w:left="142"/>
                  </w:pPr>
                  <w:r w:rsidRPr="008F7550">
                    <w:t>Advertising in Regional Papers to attract responses from Regional Businesses once procurement begins.</w:t>
                  </w:r>
                </w:p>
              </w:sdtContent>
            </w:sdt>
          </w:sdtContent>
        </w:sdt>
      </w:sdtContent>
    </w:sdt>
    <w:p w14:paraId="378C960A" w14:textId="77777777" w:rsidR="00DB51B8" w:rsidRPr="00DB51B8" w:rsidRDefault="00DB51B8" w:rsidP="00DB51B8"/>
    <w:p w14:paraId="41EBCDDA" w14:textId="77777777" w:rsidR="00E45719" w:rsidRPr="0083692D" w:rsidRDefault="000E4E23" w:rsidP="00441FD9">
      <w:pPr>
        <w:pStyle w:val="ListParagraph"/>
        <w:numPr>
          <w:ilvl w:val="0"/>
          <w:numId w:val="0"/>
        </w:numPr>
        <w:rPr>
          <w:b/>
          <w:u w:val="single"/>
        </w:rPr>
      </w:pPr>
      <w:r w:rsidRPr="0083692D">
        <w:rPr>
          <w:b/>
          <w:u w:val="single"/>
        </w:rPr>
        <w:t>5</w:t>
      </w:r>
      <w:r w:rsidR="00F33D1C" w:rsidRPr="0083692D">
        <w:rPr>
          <w:b/>
          <w:u w:val="single"/>
        </w:rPr>
        <w:t xml:space="preserve">. </w:t>
      </w:r>
      <w:r w:rsidR="001C7979" w:rsidRPr="0083692D">
        <w:rPr>
          <w:b/>
          <w:u w:val="single"/>
        </w:rPr>
        <w:t>AIP activities to be undertaken by procurement entities</w:t>
      </w:r>
    </w:p>
    <w:sdt>
      <w:sdtPr>
        <w:id w:val="1066760493"/>
      </w:sdtPr>
      <w:sdtContent>
        <w:p w14:paraId="69CE2487" w14:textId="77777777" w:rsidR="00DB51B8" w:rsidRPr="008F7550" w:rsidRDefault="00DB51B8" w:rsidP="00DB51B8">
          <w:r w:rsidRPr="008F7550">
            <w:t>KEPCO’s EPC will put select employees through ICN training, which ensures that they can navigate and utilise the ICN Gateway website to its full extent, enabling it to identify relevant Australian entities.</w:t>
          </w:r>
        </w:p>
        <w:p w14:paraId="245C4129" w14:textId="77777777" w:rsidR="00DB51B8" w:rsidRPr="008F7550" w:rsidRDefault="00DB51B8" w:rsidP="00DB51B8">
          <w:r w:rsidRPr="008F7550">
            <w:t>•</w:t>
          </w:r>
          <w:r w:rsidRPr="008F7550">
            <w:tab/>
            <w:t xml:space="preserve">KEPCO will make available to its major suppliers/contractors a copy of its AIP </w:t>
          </w:r>
          <w:proofErr w:type="gramStart"/>
          <w:r w:rsidRPr="008F7550">
            <w:t>Plan</w:t>
          </w:r>
          <w:proofErr w:type="gramEnd"/>
          <w:r w:rsidRPr="008F7550">
            <w:t xml:space="preserve"> and this will be publicly available on KEPCO’s website.</w:t>
          </w:r>
        </w:p>
        <w:p w14:paraId="023C8DE0" w14:textId="77777777" w:rsidR="00DB51B8" w:rsidRPr="008F7550" w:rsidRDefault="00DB51B8" w:rsidP="00DB51B8">
          <w:r w:rsidRPr="008F7550">
            <w:t>•</w:t>
          </w:r>
          <w:r w:rsidRPr="008F7550">
            <w:tab/>
            <w:t>KEPCO will make this AIP Plan available to all employees.</w:t>
          </w:r>
        </w:p>
        <w:p w14:paraId="681B84E4" w14:textId="77777777" w:rsidR="00DB51B8" w:rsidRPr="008F7550" w:rsidRDefault="00DB51B8" w:rsidP="00DB51B8">
          <w:r w:rsidRPr="008F7550">
            <w:t>•</w:t>
          </w:r>
          <w:r w:rsidRPr="008F7550">
            <w:tab/>
          </w:r>
          <w:r>
            <w:t xml:space="preserve">Standard tenders and contracts </w:t>
          </w:r>
          <w:r w:rsidRPr="008F7550">
            <w:t xml:space="preserve">will include a requirement to provide full, </w:t>
          </w:r>
          <w:proofErr w:type="gramStart"/>
          <w:r w:rsidRPr="008F7550">
            <w:t>fair</w:t>
          </w:r>
          <w:proofErr w:type="gramEnd"/>
          <w:r w:rsidRPr="008F7550">
            <w:t xml:space="preserve"> and reasonable opportunity to Australian industry.</w:t>
          </w:r>
        </w:p>
        <w:p w14:paraId="02C619B8" w14:textId="77777777" w:rsidR="00DB51B8" w:rsidRPr="008F7550" w:rsidRDefault="00DB51B8" w:rsidP="00DB51B8">
          <w:r>
            <w:t>•</w:t>
          </w:r>
          <w:r>
            <w:tab/>
            <w:t xml:space="preserve">Major </w:t>
          </w:r>
          <w:r w:rsidRPr="008F7550">
            <w:t>suppliers will be briefed on their AIP obligations and KEPC</w:t>
          </w:r>
          <w:r>
            <w:t xml:space="preserve">O expectations at the relevant </w:t>
          </w:r>
          <w:r w:rsidRPr="008F7550">
            <w:t>'kick-off</w:t>
          </w:r>
          <w:r>
            <w:t>’</w:t>
          </w:r>
          <w:r w:rsidRPr="008F7550">
            <w:t xml:space="preserve"> meeting.</w:t>
          </w:r>
        </w:p>
        <w:p w14:paraId="04D547C4" w14:textId="77777777" w:rsidR="00DB51B8" w:rsidRDefault="00DB51B8" w:rsidP="00DB51B8">
          <w:pPr>
            <w:pStyle w:val="ListParagraph"/>
          </w:pPr>
          <w:r w:rsidRPr="008F7550">
            <w:tab/>
            <w:t>Relevant contract clauses will cover the requir</w:t>
          </w:r>
          <w:r>
            <w:t xml:space="preserve">ement for procurement entities </w:t>
          </w:r>
          <w:r w:rsidRPr="008F7550">
            <w:t>to promote contact officer details and communicate on process being carried</w:t>
          </w:r>
          <w:r>
            <w:t xml:space="preserve"> out.</w:t>
          </w:r>
        </w:p>
      </w:sdtContent>
    </w:sdt>
    <w:p w14:paraId="0E44F86B" w14:textId="77777777" w:rsidR="00D60A56" w:rsidRPr="00084E22" w:rsidRDefault="00D60A56" w:rsidP="00306A7B">
      <w:pPr>
        <w:ind w:left="360" w:hanging="360"/>
      </w:pPr>
    </w:p>
    <w:sectPr w:rsidR="00D60A56" w:rsidRPr="00084E2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A49F" w14:textId="77777777" w:rsidR="00ED3679" w:rsidRDefault="00ED3679" w:rsidP="007F331A">
      <w:pPr>
        <w:spacing w:after="0"/>
      </w:pPr>
      <w:r>
        <w:separator/>
      </w:r>
    </w:p>
  </w:endnote>
  <w:endnote w:type="continuationSeparator" w:id="0">
    <w:p w14:paraId="34674145" w14:textId="77777777" w:rsidR="00ED3679" w:rsidRDefault="00ED3679"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A332" w14:textId="77777777" w:rsidR="00DD7E0D" w:rsidRDefault="00DD7E0D" w:rsidP="000E0F7D">
    <w:pPr>
      <w:pStyle w:val="Footnote"/>
      <w:tabs>
        <w:tab w:val="left" w:pos="2358"/>
      </w:tabs>
      <w:jc w:val="left"/>
    </w:pPr>
    <w:r>
      <w:tab/>
    </w:r>
    <w:r>
      <w:tab/>
    </w:r>
  </w:p>
  <w:p w14:paraId="02F7947A" w14:textId="77777777" w:rsidR="00DD7E0D" w:rsidRDefault="00DD7E0D" w:rsidP="00A46E27">
    <w:pPr>
      <w:pStyle w:val="Footnote"/>
    </w:pPr>
    <w:r>
      <w:t xml:space="preserve">Jobs Act AIP </w:t>
    </w:r>
    <w:r w:rsidR="00F86998">
      <w:t>p</w:t>
    </w:r>
    <w:r>
      <w:t>lan Summary – Operations Phase</w:t>
    </w:r>
  </w:p>
  <w:p w14:paraId="6F07C197" w14:textId="77777777" w:rsidR="00DD7E0D" w:rsidRDefault="00DD7E0D" w:rsidP="00A46E27">
    <w:pPr>
      <w:pStyle w:val="Footnote"/>
    </w:pPr>
    <w:r>
      <w:t xml:space="preserve">Version </w:t>
    </w:r>
    <w:r w:rsidR="00E03DEE">
      <w:t>2.0</w:t>
    </w:r>
    <w:r>
      <w:t xml:space="preserve"> </w:t>
    </w:r>
    <w:r w:rsidR="001C1FCB">
      <w:t>July 2019</w:t>
    </w:r>
  </w:p>
  <w:p w14:paraId="179AC3AF" w14:textId="77777777" w:rsidR="00DD7E0D" w:rsidRPr="002032CF" w:rsidRDefault="00ED3679"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DD7E0D" w:rsidRPr="007F331A">
          <w:rPr>
            <w:sz w:val="16"/>
            <w:szCs w:val="16"/>
          </w:rPr>
          <w:fldChar w:fldCharType="begin"/>
        </w:r>
        <w:r w:rsidR="00DD7E0D" w:rsidRPr="007F331A">
          <w:rPr>
            <w:sz w:val="16"/>
            <w:szCs w:val="16"/>
          </w:rPr>
          <w:instrText xml:space="preserve"> PAGE   \* MERGEFORMAT </w:instrText>
        </w:r>
        <w:r w:rsidR="00DD7E0D" w:rsidRPr="007F331A">
          <w:rPr>
            <w:sz w:val="16"/>
            <w:szCs w:val="16"/>
          </w:rPr>
          <w:fldChar w:fldCharType="separate"/>
        </w:r>
        <w:r w:rsidR="00145A55">
          <w:rPr>
            <w:noProof/>
            <w:sz w:val="16"/>
            <w:szCs w:val="16"/>
          </w:rPr>
          <w:t>1</w:t>
        </w:r>
        <w:r w:rsidR="00DD7E0D" w:rsidRPr="007F331A">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D6FD" w14:textId="77777777" w:rsidR="00ED3679" w:rsidRDefault="00ED3679" w:rsidP="007F331A">
      <w:pPr>
        <w:spacing w:after="0"/>
      </w:pPr>
      <w:r>
        <w:separator/>
      </w:r>
    </w:p>
  </w:footnote>
  <w:footnote w:type="continuationSeparator" w:id="0">
    <w:p w14:paraId="36E4FD68" w14:textId="77777777" w:rsidR="00ED3679" w:rsidRDefault="00ED3679"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C02724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37897"/>
    <w:multiLevelType w:val="hybridMultilevel"/>
    <w:tmpl w:val="F03A5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DCD7771"/>
    <w:multiLevelType w:val="hybridMultilevel"/>
    <w:tmpl w:val="3D3C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74"/>
    <w:rsid w:val="0004629D"/>
    <w:rsid w:val="000477F8"/>
    <w:rsid w:val="00084E22"/>
    <w:rsid w:val="000C308F"/>
    <w:rsid w:val="000E0F7D"/>
    <w:rsid w:val="000E4E23"/>
    <w:rsid w:val="000F1764"/>
    <w:rsid w:val="00142ECE"/>
    <w:rsid w:val="00145A55"/>
    <w:rsid w:val="00186A21"/>
    <w:rsid w:val="001937DB"/>
    <w:rsid w:val="00195CD7"/>
    <w:rsid w:val="001964CB"/>
    <w:rsid w:val="00196BC4"/>
    <w:rsid w:val="001C1FCB"/>
    <w:rsid w:val="001C7979"/>
    <w:rsid w:val="002032CF"/>
    <w:rsid w:val="00215D01"/>
    <w:rsid w:val="002169BD"/>
    <w:rsid w:val="002334B5"/>
    <w:rsid w:val="00244FC4"/>
    <w:rsid w:val="00267DA2"/>
    <w:rsid w:val="0027570B"/>
    <w:rsid w:val="00282ABE"/>
    <w:rsid w:val="002907CB"/>
    <w:rsid w:val="002E48F0"/>
    <w:rsid w:val="00306A7B"/>
    <w:rsid w:val="00322B0E"/>
    <w:rsid w:val="00334757"/>
    <w:rsid w:val="00386BE9"/>
    <w:rsid w:val="003B0746"/>
    <w:rsid w:val="003D4BF5"/>
    <w:rsid w:val="003E161A"/>
    <w:rsid w:val="00412EDE"/>
    <w:rsid w:val="004279CD"/>
    <w:rsid w:val="00432E0B"/>
    <w:rsid w:val="00441FD9"/>
    <w:rsid w:val="00451040"/>
    <w:rsid w:val="004558DA"/>
    <w:rsid w:val="004862B6"/>
    <w:rsid w:val="004B3774"/>
    <w:rsid w:val="004B70FC"/>
    <w:rsid w:val="004E51F8"/>
    <w:rsid w:val="004E7648"/>
    <w:rsid w:val="00501DBD"/>
    <w:rsid w:val="00536B0D"/>
    <w:rsid w:val="00553418"/>
    <w:rsid w:val="00563246"/>
    <w:rsid w:val="0057513A"/>
    <w:rsid w:val="005820A3"/>
    <w:rsid w:val="005861E6"/>
    <w:rsid w:val="005C6006"/>
    <w:rsid w:val="005E706F"/>
    <w:rsid w:val="005F0203"/>
    <w:rsid w:val="00600FE8"/>
    <w:rsid w:val="00617B82"/>
    <w:rsid w:val="00632568"/>
    <w:rsid w:val="00683091"/>
    <w:rsid w:val="006E7584"/>
    <w:rsid w:val="00700EBB"/>
    <w:rsid w:val="0071422E"/>
    <w:rsid w:val="00727B24"/>
    <w:rsid w:val="00731875"/>
    <w:rsid w:val="00742A2F"/>
    <w:rsid w:val="0076765B"/>
    <w:rsid w:val="00796CCF"/>
    <w:rsid w:val="007F02B2"/>
    <w:rsid w:val="007F331A"/>
    <w:rsid w:val="00800650"/>
    <w:rsid w:val="008125A5"/>
    <w:rsid w:val="0083692D"/>
    <w:rsid w:val="00845E0D"/>
    <w:rsid w:val="00847BDC"/>
    <w:rsid w:val="0086483A"/>
    <w:rsid w:val="008862FC"/>
    <w:rsid w:val="008939BE"/>
    <w:rsid w:val="008E7234"/>
    <w:rsid w:val="00907971"/>
    <w:rsid w:val="00941362"/>
    <w:rsid w:val="00954916"/>
    <w:rsid w:val="009818F3"/>
    <w:rsid w:val="009C3EAC"/>
    <w:rsid w:val="009C64EC"/>
    <w:rsid w:val="00A46E27"/>
    <w:rsid w:val="00A5285B"/>
    <w:rsid w:val="00A73C28"/>
    <w:rsid w:val="00A903F6"/>
    <w:rsid w:val="00AE11E1"/>
    <w:rsid w:val="00AF5C4C"/>
    <w:rsid w:val="00AF7301"/>
    <w:rsid w:val="00B16D83"/>
    <w:rsid w:val="00B320C1"/>
    <w:rsid w:val="00B463AA"/>
    <w:rsid w:val="00B7518F"/>
    <w:rsid w:val="00B821D0"/>
    <w:rsid w:val="00B837DF"/>
    <w:rsid w:val="00BA3852"/>
    <w:rsid w:val="00BB232B"/>
    <w:rsid w:val="00BB702E"/>
    <w:rsid w:val="00BE6541"/>
    <w:rsid w:val="00C37B49"/>
    <w:rsid w:val="00C43914"/>
    <w:rsid w:val="00C64E72"/>
    <w:rsid w:val="00C71EF2"/>
    <w:rsid w:val="00C86E62"/>
    <w:rsid w:val="00CB11B3"/>
    <w:rsid w:val="00CE51E3"/>
    <w:rsid w:val="00D17190"/>
    <w:rsid w:val="00D52F09"/>
    <w:rsid w:val="00D60A56"/>
    <w:rsid w:val="00D6372D"/>
    <w:rsid w:val="00D8571B"/>
    <w:rsid w:val="00DA322A"/>
    <w:rsid w:val="00DA36A9"/>
    <w:rsid w:val="00DB51B8"/>
    <w:rsid w:val="00DD7E0D"/>
    <w:rsid w:val="00E027A4"/>
    <w:rsid w:val="00E03DEE"/>
    <w:rsid w:val="00E05FDA"/>
    <w:rsid w:val="00E11356"/>
    <w:rsid w:val="00E206FA"/>
    <w:rsid w:val="00E20C9B"/>
    <w:rsid w:val="00E263D0"/>
    <w:rsid w:val="00E45719"/>
    <w:rsid w:val="00E45998"/>
    <w:rsid w:val="00E5425C"/>
    <w:rsid w:val="00E5615B"/>
    <w:rsid w:val="00E900B2"/>
    <w:rsid w:val="00ED3679"/>
    <w:rsid w:val="00EE0A6B"/>
    <w:rsid w:val="00EE64B9"/>
    <w:rsid w:val="00F1253F"/>
    <w:rsid w:val="00F15790"/>
    <w:rsid w:val="00F33D1C"/>
    <w:rsid w:val="00F71CC1"/>
    <w:rsid w:val="00F86998"/>
    <w:rsid w:val="00F969A8"/>
    <w:rsid w:val="00FB046E"/>
    <w:rsid w:val="00FC6765"/>
    <w:rsid w:val="00FD788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1191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1B8"/>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unhideWhenUsed/>
    <w:rsid w:val="00B16D83"/>
    <w:rPr>
      <w:sz w:val="16"/>
      <w:szCs w:val="16"/>
    </w:rPr>
  </w:style>
  <w:style w:type="paragraph" w:styleId="CommentText">
    <w:name w:val="annotation text"/>
    <w:basedOn w:val="Normal"/>
    <w:link w:val="CommentTextChar"/>
    <w:uiPriority w:val="99"/>
    <w:unhideWhenUsed/>
    <w:rsid w:val="00B16D83"/>
    <w:rPr>
      <w:sz w:val="20"/>
    </w:rPr>
  </w:style>
  <w:style w:type="character" w:customStyle="1" w:styleId="CommentTextChar">
    <w:name w:val="Comment Text Char"/>
    <w:basedOn w:val="DefaultParagraphFont"/>
    <w:link w:val="CommentText"/>
    <w:uiPriority w:val="99"/>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character" w:styleId="Hyperlink">
    <w:name w:val="Hyperlink"/>
    <w:basedOn w:val="DefaultParagraphFont"/>
    <w:uiPriority w:val="99"/>
    <w:unhideWhenUsed/>
    <w:rsid w:val="00E027A4"/>
    <w:rPr>
      <w:color w:val="0000FF" w:themeColor="hyperlink"/>
      <w:u w:val="single"/>
    </w:rPr>
  </w:style>
  <w:style w:type="paragraph" w:customStyle="1" w:styleId="PilbrowBodyText">
    <w:name w:val="Pilbrow Body Text"/>
    <w:semiHidden/>
    <w:locked/>
    <w:rsid w:val="00E027A4"/>
    <w:pPr>
      <w:spacing w:before="120" w:after="120" w:line="360" w:lineRule="auto"/>
      <w:ind w:left="-425" w:right="-204"/>
    </w:pPr>
    <w:rPr>
      <w:rFonts w:ascii="Arial" w:hAnsi="Arial"/>
      <w:b/>
      <w:color w:val="D35200"/>
      <w:sz w:val="28"/>
      <w:szCs w:val="24"/>
      <w:lang w:eastAsia="en-US"/>
    </w:rPr>
  </w:style>
  <w:style w:type="paragraph" w:styleId="Revision">
    <w:name w:val="Revision"/>
    <w:hidden/>
    <w:uiPriority w:val="99"/>
    <w:semiHidden/>
    <w:rsid w:val="002169BD"/>
    <w:rPr>
      <w:rFonts w:asciiTheme="minorHAnsi" w:hAnsiTheme="minorHAnsi"/>
      <w:sz w:val="22"/>
    </w:rPr>
  </w:style>
  <w:style w:type="paragraph" w:styleId="ListBullet2">
    <w:name w:val="List Bullet 2"/>
    <w:basedOn w:val="Normal"/>
    <w:unhideWhenUsed/>
    <w:rsid w:val="001937DB"/>
    <w:pPr>
      <w:numPr>
        <w:numId w:val="4"/>
      </w:numPr>
      <w:contextualSpacing/>
    </w:pPr>
    <w:rPr>
      <w:rFonts w:ascii="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ylongproject.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6761603FCE4D68A731217D36D711D5"/>
        <w:category>
          <w:name w:val="General"/>
          <w:gallery w:val="placeholder"/>
        </w:category>
        <w:types>
          <w:type w:val="bbPlcHdr"/>
        </w:types>
        <w:behaviors>
          <w:behavior w:val="content"/>
        </w:behaviors>
        <w:guid w:val="{AB8326D2-A5E6-4D19-88DC-54D2A63B72A9}"/>
      </w:docPartPr>
      <w:docPartBody>
        <w:p w:rsidR="00706755" w:rsidRDefault="00163019">
          <w:pPr>
            <w:pStyle w:val="A96761603FCE4D68A731217D36D711D5"/>
          </w:pPr>
          <w:r>
            <w:rPr>
              <w:rStyle w:val="PlaceholderText"/>
            </w:rPr>
            <w:t>Provide the location of where the facility is located</w:t>
          </w:r>
        </w:p>
      </w:docPartBody>
    </w:docPart>
    <w:docPart>
      <w:docPartPr>
        <w:name w:val="AA077EAABA184A62B05BB3DA421A97FB"/>
        <w:category>
          <w:name w:val="General"/>
          <w:gallery w:val="placeholder"/>
        </w:category>
        <w:types>
          <w:type w:val="bbPlcHdr"/>
        </w:types>
        <w:behaviors>
          <w:behavior w:val="content"/>
        </w:behaviors>
        <w:guid w:val="{33E59C57-5F7D-4275-87FF-6730FED9814E}"/>
      </w:docPartPr>
      <w:docPartBody>
        <w:p w:rsidR="00706755" w:rsidRDefault="00163019">
          <w:pPr>
            <w:pStyle w:val="AA077EAABA184A62B05BB3DA421A97FB"/>
          </w:pPr>
          <w:r>
            <w:rPr>
              <w:rStyle w:val="PlaceholderText"/>
            </w:rPr>
            <w:t>Provide a link to the active website(s) which will contain facility and opportunity information</w:t>
          </w:r>
        </w:p>
      </w:docPartBody>
    </w:docPart>
    <w:docPart>
      <w:docPartPr>
        <w:name w:val="45EC28F71FF542C6A9A11CFB70887467"/>
        <w:category>
          <w:name w:val="General"/>
          <w:gallery w:val="placeholder"/>
        </w:category>
        <w:types>
          <w:type w:val="bbPlcHdr"/>
        </w:types>
        <w:behaviors>
          <w:behavior w:val="content"/>
        </w:behaviors>
        <w:guid w:val="{287D16D4-9642-4E13-96D4-A36CB9C06810}"/>
      </w:docPartPr>
      <w:docPartBody>
        <w:p w:rsidR="00706755" w:rsidRDefault="00163019">
          <w:pPr>
            <w:pStyle w:val="45EC28F71FF542C6A9A11CFB70887467"/>
          </w:pPr>
          <w:r>
            <w:rPr>
              <w:rStyle w:val="PlaceholderText"/>
            </w:rPr>
            <w:t>If applicable, provide the other facility operators’ names</w:t>
          </w:r>
        </w:p>
      </w:docPartBody>
    </w:docPart>
    <w:docPart>
      <w:docPartPr>
        <w:name w:val="156F2C8B6228446888372402C2D943AF"/>
        <w:category>
          <w:name w:val="General"/>
          <w:gallery w:val="placeholder"/>
        </w:category>
        <w:types>
          <w:type w:val="bbPlcHdr"/>
        </w:types>
        <w:behaviors>
          <w:behavior w:val="content"/>
        </w:behaviors>
        <w:guid w:val="{F266A119-7990-4AF5-8FAF-F2528EDBF341}"/>
      </w:docPartPr>
      <w:docPartBody>
        <w:p w:rsidR="004A503C" w:rsidRDefault="00663F7F" w:rsidP="00663F7F">
          <w:pPr>
            <w:pStyle w:val="156F2C8B6228446888372402C2D943AF"/>
          </w:pPr>
          <w:r>
            <w:rPr>
              <w:rStyle w:val="PlaceholderText"/>
            </w:rPr>
            <w:t>Provide business name of designated operator</w:t>
          </w:r>
        </w:p>
      </w:docPartBody>
    </w:docPart>
    <w:docPart>
      <w:docPartPr>
        <w:name w:val="3FC57E56187E4F19A1CCBFDA7B055176"/>
        <w:category>
          <w:name w:val="General"/>
          <w:gallery w:val="placeholder"/>
        </w:category>
        <w:types>
          <w:type w:val="bbPlcHdr"/>
        </w:types>
        <w:behaviors>
          <w:behavior w:val="content"/>
        </w:behaviors>
        <w:guid w:val="{E3CA47B5-2273-4875-94A2-58D69BED0756}"/>
      </w:docPartPr>
      <w:docPartBody>
        <w:p w:rsidR="004A503C" w:rsidRDefault="00663F7F" w:rsidP="00663F7F">
          <w:pPr>
            <w:pStyle w:val="3FC57E56187E4F19A1CCBFDA7B055176"/>
          </w:pPr>
          <w:r>
            <w:rPr>
              <w:rStyle w:val="PlaceholderText"/>
            </w:rPr>
            <w:t>Provide business name of designated operator</w:t>
          </w:r>
        </w:p>
      </w:docPartBody>
    </w:docPart>
    <w:docPart>
      <w:docPartPr>
        <w:name w:val="3C4BC7E195EA49A5ADE7BAB748FDC569"/>
        <w:category>
          <w:name w:val="General"/>
          <w:gallery w:val="placeholder"/>
        </w:category>
        <w:types>
          <w:type w:val="bbPlcHdr"/>
        </w:types>
        <w:behaviors>
          <w:behavior w:val="content"/>
        </w:behaviors>
        <w:guid w:val="{4863FFA3-C427-4772-A0DA-CD44B099B830}"/>
      </w:docPartPr>
      <w:docPartBody>
        <w:p w:rsidR="003C53A3" w:rsidRDefault="00E4211D" w:rsidP="00E4211D">
          <w:pPr>
            <w:pStyle w:val="3C4BC7E195EA49A5ADE7BAB748FDC569"/>
          </w:pPr>
          <w:r>
            <w:rPr>
              <w:rStyle w:val="PlaceholderText"/>
            </w:rPr>
            <w:t>Provide the location of where the majority of the project will be undertaken</w:t>
          </w:r>
        </w:p>
      </w:docPartBody>
    </w:docPart>
    <w:docPart>
      <w:docPartPr>
        <w:name w:val="9E4835E558BD493B8A3D709897134958"/>
        <w:category>
          <w:name w:val="General"/>
          <w:gallery w:val="placeholder"/>
        </w:category>
        <w:types>
          <w:type w:val="bbPlcHdr"/>
        </w:types>
        <w:behaviors>
          <w:behavior w:val="content"/>
        </w:behaviors>
        <w:guid w:val="{62240189-9FBA-4FF9-93AF-E4487E888771}"/>
      </w:docPartPr>
      <w:docPartBody>
        <w:p w:rsidR="000619BA" w:rsidRDefault="00F95F0F" w:rsidP="00F95F0F">
          <w:pPr>
            <w:pStyle w:val="9E4835E558BD493B8A3D709897134958"/>
          </w:pPr>
          <w:r>
            <w:rPr>
              <w:rStyle w:val="PlaceholderText"/>
            </w:rPr>
            <w:t>Provide project description including the project type, project name and whether it is a new facility or an upgrade to an existing facility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19"/>
    <w:rsid w:val="000619BA"/>
    <w:rsid w:val="00163019"/>
    <w:rsid w:val="001E60B0"/>
    <w:rsid w:val="003C53A3"/>
    <w:rsid w:val="003E3F9F"/>
    <w:rsid w:val="004A503C"/>
    <w:rsid w:val="00634DA9"/>
    <w:rsid w:val="00663F7F"/>
    <w:rsid w:val="006F458D"/>
    <w:rsid w:val="00706755"/>
    <w:rsid w:val="00827104"/>
    <w:rsid w:val="00870183"/>
    <w:rsid w:val="00922D89"/>
    <w:rsid w:val="00A81452"/>
    <w:rsid w:val="00BD147C"/>
    <w:rsid w:val="00D21573"/>
    <w:rsid w:val="00DA3BB3"/>
    <w:rsid w:val="00E4211D"/>
    <w:rsid w:val="00F208EF"/>
    <w:rsid w:val="00F67F83"/>
    <w:rsid w:val="00F95F0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27104"/>
    <w:rPr>
      <w:color w:val="808080"/>
    </w:rPr>
  </w:style>
  <w:style w:type="paragraph" w:customStyle="1" w:styleId="9FFE02247C36459C9984B3DE54A4026E">
    <w:name w:val="9FFE02247C36459C9984B3DE54A4026E"/>
    <w:rsid w:val="00827104"/>
    <w:rPr>
      <w:lang w:eastAsia="ko-KR"/>
    </w:rPr>
  </w:style>
  <w:style w:type="paragraph" w:customStyle="1" w:styleId="D3E5D821F6914A278FE0364EE20F6A92">
    <w:name w:val="D3E5D821F6914A278FE0364EE20F6A92"/>
  </w:style>
  <w:style w:type="paragraph" w:customStyle="1" w:styleId="8C4AB459411B4A74AC93F1497238A2E7">
    <w:name w:val="8C4AB459411B4A74AC93F1497238A2E7"/>
    <w:rsid w:val="00827104"/>
    <w:rPr>
      <w:lang w:eastAsia="ko-KR"/>
    </w:rPr>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682FC0F363B44F0A61455FD5500FA8B">
    <w:name w:val="0682FC0F363B44F0A61455FD5500FA8B"/>
    <w:rsid w:val="00827104"/>
    <w:rPr>
      <w:lang w:eastAsia="ko-KR"/>
    </w:rPr>
  </w:style>
  <w:style w:type="paragraph" w:customStyle="1" w:styleId="45EC28F71FF542C6A9A11CFB70887467">
    <w:name w:val="45EC28F71FF542C6A9A11CFB70887467"/>
  </w:style>
  <w:style w:type="paragraph" w:customStyle="1" w:styleId="00ABE2C342B44079890E9A4EE3FA0C50">
    <w:name w:val="00ABE2C342B44079890E9A4EE3FA0C50"/>
    <w:rsid w:val="00827104"/>
    <w:rPr>
      <w:lang w:eastAsia="ko-KR"/>
    </w:rPr>
  </w:style>
  <w:style w:type="paragraph" w:customStyle="1" w:styleId="156F2C8B6228446888372402C2D943AF">
    <w:name w:val="156F2C8B6228446888372402C2D943AF"/>
    <w:rsid w:val="00663F7F"/>
  </w:style>
  <w:style w:type="paragraph" w:customStyle="1" w:styleId="3FC57E56187E4F19A1CCBFDA7B055176">
    <w:name w:val="3FC57E56187E4F19A1CCBFDA7B055176"/>
    <w:rsid w:val="00663F7F"/>
  </w:style>
  <w:style w:type="paragraph" w:customStyle="1" w:styleId="3C4BC7E195EA49A5ADE7BAB748FDC569">
    <w:name w:val="3C4BC7E195EA49A5ADE7BAB748FDC569"/>
    <w:rsid w:val="00E4211D"/>
  </w:style>
  <w:style w:type="paragraph" w:customStyle="1" w:styleId="8D320371EE3B4FE6A8E6FEE2D98F8D0C">
    <w:name w:val="8D320371EE3B4FE6A8E6FEE2D98F8D0C"/>
    <w:rsid w:val="00E4211D"/>
  </w:style>
  <w:style w:type="paragraph" w:customStyle="1" w:styleId="329D08039FA145C59F8221A77491491F">
    <w:name w:val="329D08039FA145C59F8221A77491491F"/>
    <w:rsid w:val="00E4211D"/>
  </w:style>
  <w:style w:type="paragraph" w:customStyle="1" w:styleId="9E4835E558BD493B8A3D709897134958">
    <w:name w:val="9E4835E558BD493B8A3D709897134958"/>
    <w:rsid w:val="00F95F0F"/>
  </w:style>
  <w:style w:type="paragraph" w:customStyle="1" w:styleId="2DC8A85479194AA7985155806F9763CC">
    <w:name w:val="2DC8A85479194AA7985155806F9763CC"/>
    <w:rsid w:val="00634DA9"/>
  </w:style>
  <w:style w:type="paragraph" w:customStyle="1" w:styleId="D51838002CC246ECBE347656E869A925">
    <w:name w:val="D51838002CC246ECBE347656E869A925"/>
    <w:rsid w:val="00634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411</Value>
      <Value>469</Value>
      <Value>499</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A3PSR54DD4M5-1731987098-7261</_dlc_DocId>
    <_dlc_DocIdUrl xmlns="498945f5-0448-4b4c-97d9-fcd4d7a5a1b1">
      <Url>https://dochub/div/sectoralgrowthpolicy/businessfunctions/australianindustryparticipation/australianindustryparticipationauthority/australianjobsact2013/_layouts/15/DocIdRedir.aspx?ID=A3PSR54DD4M5-1731987098-7261</Url>
      <Description>A3PSR54DD4M5-1731987098-7261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66FE7-0A13-4A31-8348-89E553F91FB6}">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D8A88621-F110-4BCB-AA25-FEAAC5399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B48BC-ABC4-4EC2-B01D-B6F1A930DE56}">
  <ds:schemaRefs>
    <ds:schemaRef ds:uri="http://schemas.openxmlformats.org/officeDocument/2006/bibliography"/>
  </ds:schemaRefs>
</ds:datastoreItem>
</file>

<file path=customXml/itemProps4.xml><?xml version="1.0" encoding="utf-8"?>
<ds:datastoreItem xmlns:ds="http://schemas.openxmlformats.org/officeDocument/2006/customXml" ds:itemID="{F3C77BDE-86FA-4224-A715-952E17E8A126}">
  <ds:schemaRefs>
    <ds:schemaRef ds:uri="http://schemas.microsoft.com/sharepoint/events"/>
  </ds:schemaRefs>
</ds:datastoreItem>
</file>

<file path=customXml/itemProps5.xml><?xml version="1.0" encoding="utf-8"?>
<ds:datastoreItem xmlns:ds="http://schemas.openxmlformats.org/officeDocument/2006/customXml" ds:itemID="{AD5C4E1A-0029-452B-946E-1B5468756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Tim Jo</cp:lastModifiedBy>
  <cp:revision>2</cp:revision>
  <cp:lastPrinted>2013-11-14T01:45:00Z</cp:lastPrinted>
  <dcterms:created xsi:type="dcterms:W3CDTF">2021-10-26T03:18:00Z</dcterms:created>
  <dcterms:modified xsi:type="dcterms:W3CDTF">2021-10-26T03:18:00Z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3;#OFFICIAL|6106d03b-a1a0-4e30-9d91-d5e9fb4314f9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8a0b90ac-7b58-4a6d-bc52-6ecfcd8f7de1</vt:lpwstr>
  </property>
</Properties>
</file>