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7B" w:rsidRDefault="00804516">
      <w:pPr>
        <w:spacing w:before="3" w:after="616"/>
        <w:ind w:right="19"/>
        <w:textAlignment w:val="baseline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3251835" cy="4908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37B" w:rsidRDefault="00B4237B">
      <w:pPr>
        <w:spacing w:before="3" w:after="616"/>
        <w:sectPr w:rsidR="00B4237B">
          <w:pgSz w:w="11904" w:h="16843"/>
          <w:pgMar w:top="2680" w:right="5727" w:bottom="1627" w:left="1037" w:header="720" w:footer="720" w:gutter="0"/>
          <w:cols w:space="720"/>
        </w:sectPr>
      </w:pPr>
    </w:p>
    <w:p w:rsidR="00B4237B" w:rsidRDefault="00804516">
      <w:pPr>
        <w:spacing w:after="364" w:line="424" w:lineRule="exact"/>
        <w:jc w:val="center"/>
        <w:textAlignment w:val="baseline"/>
        <w:rPr>
          <w:rFonts w:ascii="Tahoma" w:eastAsia="Tahoma" w:hAnsi="Tahoma"/>
          <w:color w:val="202B34"/>
          <w:sz w:val="33"/>
        </w:rPr>
      </w:pPr>
      <w:r>
        <w:rPr>
          <w:rFonts w:ascii="Tahoma" w:eastAsia="Tahoma" w:hAnsi="Tahoma"/>
          <w:color w:val="202B34"/>
          <w:sz w:val="33"/>
        </w:rPr>
        <w:t xml:space="preserve">Australian Industry Participation (AIP) plan </w:t>
      </w:r>
      <w:r>
        <w:rPr>
          <w:rFonts w:ascii="Tahoma" w:eastAsia="Tahoma" w:hAnsi="Tahoma"/>
          <w:color w:val="202B34"/>
          <w:sz w:val="33"/>
        </w:rPr>
        <w:br/>
        <w:t>Executive Summary</w:t>
      </w:r>
    </w:p>
    <w:p w:rsidR="00B4237B" w:rsidRDefault="00804516">
      <w:pPr>
        <w:spacing w:before="742" w:after="177" w:line="450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3380105</wp:posOffset>
                </wp:positionV>
                <wp:extent cx="647763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D3D6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8F456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266.15pt" to="553pt,2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" strokecolor="#d3d6e2" strokeweight="2.4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11"/>
          <w:sz w:val="36"/>
        </w:rPr>
        <w:t>1.Organisation and project details</w:t>
      </w:r>
    </w:p>
    <w:p w:rsidR="00B4237B" w:rsidRDefault="00804516">
      <w:pPr>
        <w:spacing w:before="239" w:line="192" w:lineRule="exact"/>
        <w:textAlignment w:val="baseline"/>
        <w:rPr>
          <w:rFonts w:ascii="Arial" w:eastAsia="Arial" w:hAnsi="Arial"/>
          <w:b/>
          <w:color w:val="202B34"/>
          <w:spacing w:val="1"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4248785</wp:posOffset>
                </wp:positionV>
                <wp:extent cx="64776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8CBD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334.55pt" to="553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202B34"/>
          <w:spacing w:val="1"/>
          <w:sz w:val="16"/>
        </w:rPr>
        <w:t xml:space="preserve">Company/organisation name: </w:t>
      </w:r>
      <w:r>
        <w:rPr>
          <w:rFonts w:ascii="Tahoma" w:eastAsia="Tahoma" w:hAnsi="Tahoma"/>
          <w:color w:val="202B34"/>
          <w:spacing w:val="1"/>
          <w:sz w:val="15"/>
        </w:rPr>
        <w:t>Petrofac Facilities Management Limited</w:t>
      </w:r>
    </w:p>
    <w:p w:rsidR="00B4237B" w:rsidRDefault="00804516">
      <w:pPr>
        <w:spacing w:before="24" w:line="192" w:lineRule="exact"/>
        <w:textAlignment w:val="baseline"/>
        <w:rPr>
          <w:rFonts w:ascii="Arial" w:eastAsia="Arial" w:hAnsi="Arial"/>
          <w:b/>
          <w:color w:val="202B34"/>
          <w:spacing w:val="1"/>
          <w:sz w:val="16"/>
        </w:rPr>
      </w:pPr>
      <w:r>
        <w:rPr>
          <w:rFonts w:ascii="Arial" w:eastAsia="Arial" w:hAnsi="Arial"/>
          <w:b/>
          <w:color w:val="202B34"/>
          <w:spacing w:val="1"/>
          <w:sz w:val="16"/>
        </w:rPr>
        <w:t xml:space="preserve">Project name: </w:t>
      </w:r>
      <w:r>
        <w:rPr>
          <w:rFonts w:ascii="Tahoma" w:eastAsia="Tahoma" w:hAnsi="Tahoma"/>
          <w:color w:val="202B34"/>
          <w:spacing w:val="1"/>
          <w:sz w:val="15"/>
        </w:rPr>
        <w:t>Northern Endeavour Decommissioning Project Phase 1</w:t>
      </w:r>
    </w:p>
    <w:p w:rsidR="00B4237B" w:rsidRDefault="00804516">
      <w:pPr>
        <w:spacing w:before="28" w:line="192" w:lineRule="exact"/>
        <w:textAlignment w:val="baseline"/>
        <w:rPr>
          <w:rFonts w:ascii="Arial" w:eastAsia="Arial" w:hAnsi="Arial"/>
          <w:b/>
          <w:color w:val="202B34"/>
          <w:sz w:val="16"/>
        </w:rPr>
      </w:pPr>
      <w:r>
        <w:rPr>
          <w:rFonts w:ascii="Arial" w:eastAsia="Arial" w:hAnsi="Arial"/>
          <w:b/>
          <w:color w:val="202B34"/>
          <w:sz w:val="16"/>
        </w:rPr>
        <w:t xml:space="preserve">Description of the project: </w:t>
      </w:r>
      <w:r>
        <w:rPr>
          <w:rFonts w:ascii="Tahoma" w:eastAsia="Tahoma" w:hAnsi="Tahoma"/>
          <w:color w:val="202B34"/>
          <w:sz w:val="15"/>
        </w:rPr>
        <w:t>In February 2020, the registered titleholder of the Laminaria Corallina (LamCor) oil fields in the West Timor Sea went</w:t>
      </w:r>
    </w:p>
    <w:p w:rsidR="00B4237B" w:rsidRDefault="00804516">
      <w:pPr>
        <w:spacing w:before="27" w:line="190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into liquidation and disclaimed a number of assets, including the Northern Endeavour floating production stor</w:t>
      </w:r>
      <w:r>
        <w:rPr>
          <w:rFonts w:ascii="Tahoma" w:eastAsia="Tahoma" w:hAnsi="Tahoma"/>
          <w:color w:val="202B34"/>
          <w:sz w:val="15"/>
        </w:rPr>
        <w:t>age and offtake facility (FPSO) and</w:t>
      </w:r>
    </w:p>
    <w:p w:rsidR="00B4237B" w:rsidRDefault="00804516">
      <w:pPr>
        <w:spacing w:before="31" w:line="189" w:lineRule="exact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associated petroleum licenses, subsea infrastructure and wells (collectively, the Facility).</w:t>
      </w:r>
    </w:p>
    <w:p w:rsidR="00B4237B" w:rsidRDefault="00804516">
      <w:pPr>
        <w:spacing w:before="32" w:line="189" w:lineRule="exact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The Commonwealth, through the newly established Northern Endeavour Taskforce (the Taskforce), took physical custody of the Faci</w:t>
      </w:r>
      <w:r>
        <w:rPr>
          <w:rFonts w:ascii="Tahoma" w:eastAsia="Tahoma" w:hAnsi="Tahoma"/>
          <w:color w:val="202B34"/>
          <w:spacing w:val="1"/>
          <w:sz w:val="15"/>
        </w:rPr>
        <w:t>lity and</w:t>
      </w:r>
    </w:p>
    <w:p w:rsidR="00B4237B" w:rsidRDefault="00804516">
      <w:pPr>
        <w:spacing w:before="32"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contracted out control of the operations of the FPSO to ensure the safety of persons, maritime operations and the environment.</w:t>
      </w:r>
    </w:p>
    <w:p w:rsidR="00B4237B" w:rsidRDefault="00804516">
      <w:pPr>
        <w:spacing w:before="27" w:line="189" w:lineRule="exact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The Australian Government evaluated a range of options for the Facility’s future, culminating in a decision to disconnec</w:t>
      </w:r>
      <w:r>
        <w:rPr>
          <w:rFonts w:ascii="Tahoma" w:eastAsia="Tahoma" w:hAnsi="Tahoma"/>
          <w:color w:val="202B34"/>
          <w:spacing w:val="1"/>
          <w:sz w:val="15"/>
        </w:rPr>
        <w:t>t the FPSO, decommission the</w:t>
      </w:r>
    </w:p>
    <w:p w:rsidR="00B4237B" w:rsidRDefault="00804516">
      <w:pPr>
        <w:spacing w:before="31" w:line="190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wells, remove the subsea infrastructure, and remediate the seabed (the Project).</w:t>
      </w:r>
    </w:p>
    <w:p w:rsidR="00B4237B" w:rsidRDefault="00804516">
      <w:pPr>
        <w:spacing w:before="31" w:line="190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The Project will be undertaken in three distinct phases:</w:t>
      </w:r>
    </w:p>
    <w:p w:rsidR="00B4237B" w:rsidRDefault="00804516">
      <w:pPr>
        <w:numPr>
          <w:ilvl w:val="0"/>
          <w:numId w:val="1"/>
        </w:numPr>
        <w:spacing w:before="31"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Phase 1 – Disconnection of the FPSO and unmanned tow, including well isolations;</w:t>
      </w:r>
    </w:p>
    <w:p w:rsidR="00B4237B" w:rsidRDefault="00804516">
      <w:pPr>
        <w:numPr>
          <w:ilvl w:val="0"/>
          <w:numId w:val="1"/>
        </w:numPr>
        <w:spacing w:before="32" w:line="189" w:lineRule="exact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Phase 2 –Permanent Plugging and Abandonment (P&amp;A) of the wells, including removal of Xmas Trees (XT) and wellheads; and</w:t>
      </w:r>
    </w:p>
    <w:p w:rsidR="00B4237B" w:rsidRDefault="00804516">
      <w:pPr>
        <w:numPr>
          <w:ilvl w:val="0"/>
          <w:numId w:val="1"/>
        </w:numPr>
        <w:spacing w:before="32"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Phase 3 – Subsea infrastructure removal and seabed remediation campaign.</w:t>
      </w:r>
    </w:p>
    <w:p w:rsidR="00B4237B" w:rsidRDefault="00804516">
      <w:pPr>
        <w:spacing w:before="247" w:line="190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Procurement Strategy shall be adopted based on the good and ser</w:t>
      </w:r>
      <w:r>
        <w:rPr>
          <w:rFonts w:ascii="Tahoma" w:eastAsia="Tahoma" w:hAnsi="Tahoma"/>
          <w:color w:val="202B34"/>
          <w:sz w:val="15"/>
        </w:rPr>
        <w:t>vices required for the below six packages:</w:t>
      </w:r>
    </w:p>
    <w:p w:rsidR="00B4237B" w:rsidRDefault="00804516">
      <w:pPr>
        <w:spacing w:before="31" w:line="190" w:lineRule="exact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Work Package A – Engineering Design and Planning; Work Package B – Operation and Maintenance; Work Package C – FPSO Disconnection</w:t>
      </w:r>
    </w:p>
    <w:p w:rsidR="00B4237B" w:rsidRDefault="00804516">
      <w:pPr>
        <w:spacing w:before="31" w:line="189" w:lineRule="exact"/>
        <w:textAlignment w:val="baseline"/>
        <w:rPr>
          <w:rFonts w:ascii="Tahoma" w:eastAsia="Tahoma" w:hAnsi="Tahoma"/>
          <w:color w:val="202B34"/>
          <w:spacing w:val="3"/>
          <w:sz w:val="15"/>
        </w:rPr>
      </w:pPr>
      <w:r>
        <w:rPr>
          <w:rFonts w:ascii="Tahoma" w:eastAsia="Tahoma" w:hAnsi="Tahoma"/>
          <w:color w:val="202B34"/>
          <w:spacing w:val="3"/>
          <w:sz w:val="15"/>
        </w:rPr>
        <w:t>Work Package D – FPSO Sail Away; Work Package E – Monitor and Maintain;</w:t>
      </w:r>
    </w:p>
    <w:p w:rsidR="00B4237B" w:rsidRDefault="00804516">
      <w:pPr>
        <w:spacing w:before="7" w:line="436" w:lineRule="exact"/>
        <w:ind w:right="1440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Each work package shall be broken down into the work scopes and will be issued to the market to find the potential subcontractors. Major work-scopes can be classified as below:</w:t>
      </w:r>
    </w:p>
    <w:p w:rsidR="00B4237B" w:rsidRDefault="00804516">
      <w:pPr>
        <w:numPr>
          <w:ilvl w:val="0"/>
          <w:numId w:val="2"/>
        </w:numPr>
        <w:spacing w:before="251" w:line="190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Waste management– including liquid, hazardous, sludge, mud, food, norms</w:t>
      </w:r>
    </w:p>
    <w:p w:rsidR="00B4237B" w:rsidRDefault="00804516">
      <w:pPr>
        <w:numPr>
          <w:ilvl w:val="0"/>
          <w:numId w:val="2"/>
        </w:numPr>
        <w:spacing w:before="31" w:line="187" w:lineRule="exact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Fuel Di</w:t>
      </w:r>
      <w:r>
        <w:rPr>
          <w:rFonts w:ascii="Tahoma" w:eastAsia="Tahoma" w:hAnsi="Tahoma"/>
          <w:color w:val="202B34"/>
          <w:spacing w:val="1"/>
          <w:sz w:val="15"/>
        </w:rPr>
        <w:t>esel, aviation, Gas, Lubes &amp; Oils</w:t>
      </w:r>
    </w:p>
    <w:p w:rsidR="00B4237B" w:rsidRDefault="00804516">
      <w:pPr>
        <w:numPr>
          <w:ilvl w:val="0"/>
          <w:numId w:val="2"/>
        </w:numPr>
        <w:spacing w:before="8" w:line="216" w:lineRule="exact"/>
        <w:ind w:right="720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Services: Charter flights, Helicopters, Charter vessels (including Standby Vessels, Work boats, Adhoc supply boats), Quayside services including Road transport, Catering services</w:t>
      </w:r>
    </w:p>
    <w:p w:rsidR="00B4237B" w:rsidRDefault="00804516">
      <w:pPr>
        <w:numPr>
          <w:ilvl w:val="0"/>
          <w:numId w:val="2"/>
        </w:numPr>
        <w:spacing w:line="221" w:lineRule="exact"/>
        <w:ind w:right="57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Subsea Services: Flushing and Chemical Clea</w:t>
      </w:r>
      <w:r>
        <w:rPr>
          <w:rFonts w:ascii="Tahoma" w:eastAsia="Tahoma" w:hAnsi="Tahoma"/>
          <w:color w:val="202B34"/>
          <w:sz w:val="15"/>
        </w:rPr>
        <w:t>ning services, Light well intervention vessel, Subsea Construction and tow vessels, Subsea engineering services, O&amp;M Crewing Services</w:t>
      </w:r>
    </w:p>
    <w:p w:rsidR="00B4237B" w:rsidRDefault="00804516">
      <w:pPr>
        <w:spacing w:line="220" w:lineRule="exact"/>
        <w:ind w:righ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The pre-qualification stage will commence shortly after Contract award and utilize ISN to pre-qualify suitable subcontract</w:t>
      </w:r>
      <w:r>
        <w:rPr>
          <w:rFonts w:ascii="Tahoma" w:eastAsia="Tahoma" w:hAnsi="Tahoma"/>
          <w:color w:val="202B34"/>
          <w:sz w:val="15"/>
        </w:rPr>
        <w:t>ors. After pre-qualification, RFQ and/or tenders will be issued to pre-qualified subcontractors.</w:t>
      </w:r>
    </w:p>
    <w:p w:rsidR="00B4237B" w:rsidRDefault="00804516">
      <w:pPr>
        <w:spacing w:before="250" w:line="192" w:lineRule="exact"/>
        <w:textAlignment w:val="baseline"/>
        <w:rPr>
          <w:rFonts w:ascii="Arial" w:eastAsia="Arial" w:hAnsi="Arial"/>
          <w:b/>
          <w:color w:val="202B34"/>
          <w:spacing w:val="-1"/>
          <w:sz w:val="16"/>
        </w:rPr>
      </w:pPr>
      <w:r>
        <w:rPr>
          <w:rFonts w:ascii="Arial" w:eastAsia="Arial" w:hAnsi="Arial"/>
          <w:b/>
          <w:color w:val="202B34"/>
          <w:spacing w:val="-1"/>
          <w:sz w:val="16"/>
        </w:rPr>
        <w:t xml:space="preserve">Estimated capital expenditure/total value of the project: </w:t>
      </w:r>
      <w:r>
        <w:rPr>
          <w:rFonts w:ascii="Tahoma" w:eastAsia="Tahoma" w:hAnsi="Tahoma"/>
          <w:color w:val="202B34"/>
          <w:spacing w:val="-1"/>
          <w:sz w:val="15"/>
        </w:rPr>
        <w:t>$325,000,000 AUD</w:t>
      </w:r>
    </w:p>
    <w:p w:rsidR="00B4237B" w:rsidRDefault="00804516">
      <w:pPr>
        <w:spacing w:before="28" w:line="192" w:lineRule="exact"/>
        <w:textAlignment w:val="baseline"/>
        <w:rPr>
          <w:rFonts w:ascii="Arial" w:eastAsia="Arial" w:hAnsi="Arial"/>
          <w:b/>
          <w:color w:val="202B34"/>
          <w:spacing w:val="-2"/>
          <w:sz w:val="16"/>
        </w:rPr>
      </w:pPr>
      <w:r>
        <w:rPr>
          <w:rFonts w:ascii="Arial" w:eastAsia="Arial" w:hAnsi="Arial"/>
          <w:b/>
          <w:color w:val="202B34"/>
          <w:spacing w:val="-2"/>
          <w:sz w:val="16"/>
        </w:rPr>
        <w:t xml:space="preserve">Estimated total value of key goods and services: </w:t>
      </w:r>
      <w:r>
        <w:rPr>
          <w:rFonts w:ascii="Tahoma" w:eastAsia="Tahoma" w:hAnsi="Tahoma"/>
          <w:color w:val="202B34"/>
          <w:spacing w:val="-2"/>
          <w:sz w:val="15"/>
        </w:rPr>
        <w:t>$473,500,000 AUD</w:t>
      </w:r>
    </w:p>
    <w:p w:rsidR="00B4237B" w:rsidRDefault="00804516">
      <w:pPr>
        <w:spacing w:before="29" w:line="192" w:lineRule="exact"/>
        <w:textAlignment w:val="baseline"/>
        <w:rPr>
          <w:rFonts w:ascii="Arial" w:eastAsia="Arial" w:hAnsi="Arial"/>
          <w:b/>
          <w:color w:val="202B34"/>
          <w:sz w:val="16"/>
        </w:rPr>
      </w:pPr>
      <w:r>
        <w:rPr>
          <w:rFonts w:ascii="Arial" w:eastAsia="Arial" w:hAnsi="Arial"/>
          <w:b/>
          <w:color w:val="202B34"/>
          <w:sz w:val="16"/>
        </w:rPr>
        <w:t xml:space="preserve">Project location: </w:t>
      </w:r>
      <w:r>
        <w:rPr>
          <w:rFonts w:ascii="Tahoma" w:eastAsia="Tahoma" w:hAnsi="Tahoma"/>
          <w:color w:val="202B34"/>
          <w:sz w:val="15"/>
        </w:rPr>
        <w:t>Timor Sea</w:t>
      </w:r>
    </w:p>
    <w:p w:rsidR="00B4237B" w:rsidRDefault="00804516">
      <w:pPr>
        <w:spacing w:before="29" w:line="192" w:lineRule="exact"/>
        <w:textAlignment w:val="baseline"/>
        <w:rPr>
          <w:rFonts w:ascii="Arial" w:eastAsia="Arial" w:hAnsi="Arial"/>
          <w:b/>
          <w:color w:val="202B34"/>
          <w:sz w:val="16"/>
        </w:rPr>
      </w:pPr>
      <w:r>
        <w:rPr>
          <w:rFonts w:ascii="Arial" w:eastAsia="Arial" w:hAnsi="Arial"/>
          <w:b/>
          <w:color w:val="202B34"/>
          <w:sz w:val="16"/>
        </w:rPr>
        <w:t xml:space="preserve">Link to project information: </w:t>
      </w:r>
      <w:hyperlink r:id="rId6">
        <w:r>
          <w:rPr>
            <w:rFonts w:ascii="Tahoma" w:eastAsia="Tahoma" w:hAnsi="Tahoma"/>
            <w:color w:val="0000FF"/>
            <w:sz w:val="15"/>
            <w:u w:val="single"/>
          </w:rPr>
          <w:t>www.petrofac.com</w:t>
        </w:r>
      </w:hyperlink>
      <w:r>
        <w:rPr>
          <w:rFonts w:ascii="Tahoma" w:eastAsia="Tahoma" w:hAnsi="Tahoma"/>
          <w:color w:val="202B34"/>
          <w:sz w:val="15"/>
        </w:rPr>
        <w:t xml:space="preserve"> </w:t>
      </w:r>
    </w:p>
    <w:p w:rsidR="00B4237B" w:rsidRDefault="00804516">
      <w:pPr>
        <w:spacing w:before="34" w:line="187" w:lineRule="exact"/>
        <w:textAlignment w:val="baseline"/>
        <w:rPr>
          <w:rFonts w:ascii="Arial" w:eastAsia="Arial" w:hAnsi="Arial"/>
          <w:b/>
          <w:color w:val="202B34"/>
          <w:sz w:val="16"/>
        </w:rPr>
      </w:pPr>
      <w:r>
        <w:rPr>
          <w:rFonts w:ascii="Arial" w:eastAsia="Arial" w:hAnsi="Arial"/>
          <w:b/>
          <w:color w:val="202B34"/>
          <w:sz w:val="16"/>
        </w:rPr>
        <w:t>Contact person for procurement information:</w:t>
      </w:r>
    </w:p>
    <w:p w:rsidR="00B4237B" w:rsidRDefault="00B4237B">
      <w:pPr>
        <w:sectPr w:rsidR="00B4237B">
          <w:type w:val="continuous"/>
          <w:pgSz w:w="11904" w:h="16843"/>
          <w:pgMar w:top="2680" w:right="845" w:bottom="1627" w:left="859" w:header="720" w:footer="720" w:gutter="0"/>
          <w:cols w:space="720"/>
        </w:sectPr>
      </w:pPr>
    </w:p>
    <w:p w:rsidR="00B4237B" w:rsidRDefault="00804516">
      <w:pPr>
        <w:spacing w:before="30" w:line="196" w:lineRule="exact"/>
        <w:ind w:left="648"/>
        <w:textAlignment w:val="baseline"/>
        <w:rPr>
          <w:rFonts w:ascii="Arial" w:eastAsia="Arial" w:hAnsi="Arial"/>
          <w:b/>
          <w:color w:val="202B34"/>
          <w:spacing w:val="-6"/>
          <w:sz w:val="17"/>
        </w:rPr>
      </w:pPr>
      <w:r>
        <w:rPr>
          <w:rFonts w:ascii="Arial" w:eastAsia="Arial" w:hAnsi="Arial"/>
          <w:b/>
          <w:color w:val="202B34"/>
          <w:spacing w:val="-6"/>
          <w:sz w:val="17"/>
        </w:rPr>
        <w:lastRenderedPageBreak/>
        <w:t xml:space="preserve">Name: </w:t>
      </w:r>
      <w:r>
        <w:rPr>
          <w:rFonts w:ascii="Tahoma" w:eastAsia="Tahoma" w:hAnsi="Tahoma"/>
          <w:color w:val="202B34"/>
          <w:spacing w:val="-6"/>
          <w:sz w:val="16"/>
        </w:rPr>
        <w:t>na</w:t>
      </w:r>
    </w:p>
    <w:p w:rsidR="00B4237B" w:rsidRDefault="00804516">
      <w:pPr>
        <w:spacing w:before="24" w:line="196" w:lineRule="exact"/>
        <w:ind w:left="648"/>
        <w:textAlignment w:val="baseline"/>
        <w:rPr>
          <w:rFonts w:ascii="Arial" w:eastAsia="Arial" w:hAnsi="Arial"/>
          <w:b/>
          <w:color w:val="202B34"/>
          <w:spacing w:val="-6"/>
          <w:sz w:val="17"/>
        </w:rPr>
      </w:pPr>
      <w:r>
        <w:rPr>
          <w:rFonts w:ascii="Arial" w:eastAsia="Arial" w:hAnsi="Arial"/>
          <w:b/>
          <w:color w:val="202B34"/>
          <w:spacing w:val="-6"/>
          <w:sz w:val="17"/>
        </w:rPr>
        <w:t xml:space="preserve">Phone number: </w:t>
      </w:r>
      <w:r>
        <w:rPr>
          <w:rFonts w:ascii="Tahoma" w:eastAsia="Tahoma" w:hAnsi="Tahoma"/>
          <w:color w:val="202B34"/>
          <w:spacing w:val="-6"/>
          <w:sz w:val="16"/>
        </w:rPr>
        <w:t>0861540323</w:t>
      </w:r>
    </w:p>
    <w:p w:rsidR="00B4237B" w:rsidRDefault="00804516">
      <w:pPr>
        <w:spacing w:before="25" w:line="196" w:lineRule="exact"/>
        <w:ind w:left="648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 xml:space="preserve">Email address: </w:t>
      </w:r>
      <w:hyperlink r:id="rId7">
        <w:r>
          <w:rPr>
            <w:rFonts w:ascii="Tahoma" w:eastAsia="Tahoma" w:hAnsi="Tahoma"/>
            <w:color w:val="0000FF"/>
            <w:spacing w:val="-5"/>
            <w:sz w:val="16"/>
            <w:u w:val="single"/>
          </w:rPr>
          <w:t>procurement.au@petrofac.com</w:t>
        </w:r>
      </w:hyperlink>
      <w:r>
        <w:rPr>
          <w:rFonts w:ascii="Tahoma" w:eastAsia="Tahoma" w:hAnsi="Tahoma"/>
          <w:color w:val="202B34"/>
          <w:spacing w:val="-5"/>
          <w:sz w:val="16"/>
        </w:rPr>
        <w:t xml:space="preserve"> </w:t>
      </w:r>
    </w:p>
    <w:p w:rsidR="00B4237B" w:rsidRDefault="00804516">
      <w:pPr>
        <w:spacing w:before="654" w:after="168" w:line="449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rFonts w:ascii="Tahoma" w:eastAsia="Tahoma" w:hAnsi="Tahoma"/>
          <w:color w:val="202B34"/>
          <w:spacing w:val="11"/>
          <w:sz w:val="36"/>
        </w:rPr>
        <w:t>2. Opportunities to supply goods and services</w:t>
      </w:r>
    </w:p>
    <w:p w:rsidR="00B4237B" w:rsidRDefault="00804516">
      <w:pPr>
        <w:spacing w:before="180" w:line="20" w:lineRule="exac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2853055</wp:posOffset>
                </wp:positionV>
                <wp:extent cx="647763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FC99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224.65pt" to="552.6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" strokecolor="#202b34" strokeweight="1.2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478"/>
        <w:gridCol w:w="1498"/>
      </w:tblGrid>
      <w:tr w:rsidR="00B4237B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209" w:after="215" w:line="220" w:lineRule="exact"/>
              <w:ind w:left="108" w:right="180"/>
              <w:jc w:val="both"/>
              <w:textAlignment w:val="baseline"/>
              <w:rPr>
                <w:rFonts w:ascii="Arial" w:eastAsia="Arial" w:hAnsi="Arial"/>
                <w:b/>
                <w:color w:val="202B34"/>
                <w:spacing w:val="-7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pacing w:val="-7"/>
                <w:sz w:val="17"/>
              </w:rPr>
              <w:t>List of goods and services to be procured for the project and the expected opportunity for industry participation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after="177" w:line="22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>Opportunities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 xml:space="preserve">Australian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 *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after="177" w:line="22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 xml:space="preserve">international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52" w:after="77" w:line="221" w:lineRule="exact"/>
              <w:ind w:left="72" w:right="324"/>
              <w:textAlignment w:val="baseline"/>
              <w:rPr>
                <w:rFonts w:ascii="Tahoma" w:eastAsia="Tahoma" w:hAnsi="Tahoma"/>
                <w:color w:val="202B34"/>
                <w:spacing w:val="-3"/>
                <w:sz w:val="16"/>
              </w:rPr>
            </w:pPr>
            <w:r>
              <w:rPr>
                <w:rFonts w:ascii="Tahoma" w:eastAsia="Tahoma" w:hAnsi="Tahoma"/>
                <w:color w:val="202B34"/>
                <w:spacing w:val="-3"/>
                <w:sz w:val="16"/>
              </w:rPr>
              <w:t>Waste management Services: - Collection and disposal of liquid waste - Collection, treatment and disposal of hazardous waste including NORMs. - Handling of Sludge, Mud, Food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120" w:after="261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120" w:after="261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101" w:after="130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Provision for Supply of Fuel Diesel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9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9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97" w:after="129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Provision for Supply of aviation fuel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8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8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101" w:after="125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Provision for Supply of Gas, Lubes &amp; Oils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8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8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97" w:after="124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Provision for Charter flights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101" w:after="120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Provision of Helicopters,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97" w:after="120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Provision of Charter vessel (including Supply Vessels, Adhoc supply boats if required),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79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79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101" w:after="130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Catering Services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9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9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97" w:after="129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Provision for Quayside services including Road transport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8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8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101" w:after="125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Flushing and Chemical Cleaning services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8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8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97" w:after="124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Light well intervention vessel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101" w:after="121" w:line="190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Subsea Construction and tow vessels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8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97" w:after="120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Subsea engineering services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79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79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B4237B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237B" w:rsidRDefault="00804516">
            <w:pPr>
              <w:spacing w:before="101" w:after="130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O&amp;M Crewing Services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9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37B" w:rsidRDefault="00804516">
            <w:pPr>
              <w:spacing w:before="39" w:after="193" w:line="190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</w:tbl>
    <w:p w:rsidR="00B4237B" w:rsidRDefault="00B4237B">
      <w:pPr>
        <w:spacing w:after="320" w:line="20" w:lineRule="exact"/>
      </w:pPr>
    </w:p>
    <w:p w:rsidR="00B4237B" w:rsidRDefault="00804516">
      <w:pPr>
        <w:spacing w:before="7" w:line="191" w:lineRule="exact"/>
        <w:ind w:left="72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* An Australian supplier means an entity that has an ABN or an ACN</w:t>
      </w:r>
    </w:p>
    <w:p w:rsidR="00B4237B" w:rsidRDefault="00804516">
      <w:pPr>
        <w:spacing w:before="196" w:line="221" w:lineRule="exact"/>
        <w:ind w:left="72" w:right="576"/>
        <w:textAlignment w:val="baseline"/>
        <w:rPr>
          <w:rFonts w:ascii="Tahoma" w:eastAsia="Tahoma" w:hAnsi="Tahoma"/>
          <w:color w:val="202B34"/>
          <w:sz w:val="16"/>
        </w:rPr>
      </w:pPr>
      <w:r>
        <w:rPr>
          <w:rFonts w:ascii="Tahoma" w:eastAsia="Tahoma" w:hAnsi="Tahoma"/>
          <w:color w:val="202B34"/>
          <w:sz w:val="16"/>
        </w:rPr>
        <w:t>Disclaimer: The information provided in the table above is based on an initial assessment by the company. Any questions or issues should be raised with the project contact.</w:t>
      </w:r>
    </w:p>
    <w:p w:rsidR="00B4237B" w:rsidRDefault="00804516">
      <w:pPr>
        <w:numPr>
          <w:ilvl w:val="0"/>
          <w:numId w:val="3"/>
        </w:numPr>
        <w:tabs>
          <w:tab w:val="clear" w:pos="288"/>
          <w:tab w:val="left" w:pos="504"/>
        </w:tabs>
        <w:spacing w:before="226" w:line="192" w:lineRule="exact"/>
        <w:ind w:left="216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 xml:space="preserve">Australian and International standards and certifications will be required for the </w:t>
      </w:r>
      <w:r>
        <w:rPr>
          <w:rFonts w:ascii="Tahoma" w:eastAsia="Tahoma" w:hAnsi="Tahoma"/>
          <w:color w:val="202B34"/>
          <w:spacing w:val="-4"/>
          <w:sz w:val="16"/>
        </w:rPr>
        <w:t>key goods and services in this project.</w:t>
      </w:r>
    </w:p>
    <w:p w:rsidR="00B4237B" w:rsidRDefault="00804516">
      <w:pPr>
        <w:spacing w:before="659" w:line="450" w:lineRule="exact"/>
        <w:ind w:left="216"/>
        <w:textAlignment w:val="baseline"/>
        <w:rPr>
          <w:rFonts w:ascii="Tahoma" w:eastAsia="Tahoma" w:hAnsi="Tahoma"/>
          <w:color w:val="202B34"/>
          <w:spacing w:val="10"/>
          <w:sz w:val="3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9201785</wp:posOffset>
                </wp:positionV>
                <wp:extent cx="64776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214C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724.55pt" to="552.65pt,7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+vIAIAAEIEAAAOAAAAZHJzL2Uyb0RvYy54bWysU02P2jAQvVfqf7B8hyQQPjYirFoCvdAW&#10;abc/wNgOserYlm0IqOp/79gBtLS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10"/>
          <w:sz w:val="36"/>
        </w:rPr>
        <w:t>3. Communicating and providing opportunities</w:t>
      </w:r>
    </w:p>
    <w:p w:rsidR="00B4237B" w:rsidRDefault="00B4237B">
      <w:pPr>
        <w:sectPr w:rsidR="00B4237B">
          <w:pgSz w:w="11904" w:h="16843"/>
          <w:pgMar w:top="2540" w:right="852" w:bottom="1927" w:left="852" w:header="720" w:footer="720" w:gutter="0"/>
          <w:cols w:space="720"/>
        </w:sectPr>
      </w:pP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90" w:line="190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lastRenderedPageBreak/>
        <w:t>Project website OR Project supplier portal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Liaison with industry associations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Public announcements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9" w:line="190" w:lineRule="exact"/>
        <w:ind w:left="288"/>
        <w:textAlignment w:val="baseline"/>
        <w:rPr>
          <w:rFonts w:ascii="Tahoma" w:eastAsia="Tahoma" w:hAnsi="Tahoma"/>
          <w:color w:val="202B34"/>
          <w:spacing w:val="4"/>
          <w:sz w:val="15"/>
        </w:rPr>
      </w:pPr>
      <w:r>
        <w:rPr>
          <w:rFonts w:ascii="Tahoma" w:eastAsia="Tahoma" w:hAnsi="Tahoma"/>
          <w:color w:val="202B34"/>
          <w:spacing w:val="4"/>
          <w:sz w:val="15"/>
        </w:rPr>
        <w:t>Social media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112" w:line="190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Workshops/industry briefings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Direct contact with Australian industry (phone/email/letter)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Promote opportunities to Australian industry in the early stages of the project, including information on how to prequalify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Make tender documents available to all possible suppliers at the same t</w:t>
      </w:r>
      <w:r>
        <w:rPr>
          <w:rFonts w:ascii="Tahoma" w:eastAsia="Tahoma" w:hAnsi="Tahoma"/>
          <w:color w:val="202B34"/>
          <w:spacing w:val="1"/>
          <w:sz w:val="15"/>
        </w:rPr>
        <w:t>ime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288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Allow reasonable and equal time for submissions/responses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Create, publish and distribute an AIP policy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107" w:line="191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Include requirement in tender documents that successful tenderers comply with AIP plan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Establish reporting requirement that shows how the AIP plan has been implemented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Train procurement entities to ensure they understand AIP plan obligations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288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All tenders from Australian and overseas suppliers will be assessed on the same basis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after="552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The organisation will ensure all AIP plan obligations will flow down to contractors and subcontractors</w:t>
      </w:r>
    </w:p>
    <w:p w:rsidR="00B4237B" w:rsidRDefault="00804516">
      <w:pPr>
        <w:spacing w:after="163" w:line="446" w:lineRule="exact"/>
        <w:ind w:left="288"/>
        <w:textAlignment w:val="baseline"/>
        <w:rPr>
          <w:rFonts w:ascii="Tahoma" w:eastAsia="Tahoma" w:hAnsi="Tahoma"/>
          <w:color w:val="202B34"/>
          <w:spacing w:val="11"/>
          <w:w w:val="95"/>
          <w:sz w:val="36"/>
        </w:rPr>
      </w:pPr>
      <w:r>
        <w:rPr>
          <w:rFonts w:ascii="Tahoma" w:eastAsia="Tahoma" w:hAnsi="Tahoma"/>
          <w:color w:val="202B34"/>
          <w:spacing w:val="11"/>
          <w:w w:val="95"/>
          <w:sz w:val="36"/>
        </w:rPr>
        <w:t>4. Facilitating future opportunities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217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5022850</wp:posOffset>
                </wp:positionV>
                <wp:extent cx="64776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7AB2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395.5pt" to="552.65pt,3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8BIQIAAEIEAAAOAAAAZHJzL2Uyb0RvYy54bWysU02P2jAQvVfqf7B8hyQQPjYirFoCvdAW&#10;abc/wNgOserYlm0IqOp/79gBxLa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z w:val="15"/>
        </w:rPr>
        <w:t>Support and assist project suppliers to adopt specific standards and accreditations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Brief procurement managers on t</w:t>
      </w:r>
      <w:r>
        <w:rPr>
          <w:rFonts w:ascii="Tahoma" w:eastAsia="Tahoma" w:hAnsi="Tahoma"/>
          <w:color w:val="202B34"/>
          <w:spacing w:val="1"/>
          <w:sz w:val="15"/>
        </w:rPr>
        <w:t>he capabilities and achievements of project suppliers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Provide strategic feedback to the Commonwealth on emerging trends in industry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Introduce project suppliers to global companies or suppliers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 xml:space="preserve">Arrange visits by project suppliers to the project proponent’s </w:t>
      </w:r>
      <w:r>
        <w:rPr>
          <w:rFonts w:ascii="Tahoma" w:eastAsia="Tahoma" w:hAnsi="Tahoma"/>
          <w:color w:val="202B34"/>
          <w:spacing w:val="1"/>
          <w:sz w:val="15"/>
        </w:rPr>
        <w:t>overseas facilities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Provide references for high performing suppliers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112" w:after="537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Provide unsuccessful tenderers with appropriate feedback to encourage future performance</w:t>
      </w:r>
    </w:p>
    <w:p w:rsidR="00B4237B" w:rsidRDefault="00804516">
      <w:pPr>
        <w:spacing w:after="153" w:line="446" w:lineRule="exact"/>
        <w:ind w:left="288"/>
        <w:textAlignment w:val="baseline"/>
        <w:rPr>
          <w:rFonts w:ascii="Tahoma" w:eastAsia="Tahoma" w:hAnsi="Tahoma"/>
          <w:color w:val="202B34"/>
          <w:spacing w:val="14"/>
          <w:w w:val="95"/>
          <w:sz w:val="36"/>
        </w:rPr>
      </w:pPr>
      <w:r>
        <w:rPr>
          <w:rFonts w:ascii="Tahoma" w:eastAsia="Tahoma" w:hAnsi="Tahoma"/>
          <w:color w:val="202B34"/>
          <w:spacing w:val="14"/>
          <w:w w:val="95"/>
          <w:sz w:val="36"/>
        </w:rPr>
        <w:t>5. Implementation resources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216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7092950</wp:posOffset>
                </wp:positionV>
                <wp:extent cx="64776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D6D6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558.5pt" to="552.65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z w:val="15"/>
        </w:rPr>
        <w:t>The organisation will record and/or retain evidence to demonstrate implementation of the approved AIP plan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and implement standard contractual arrangements with suppliers to give Australian industry opportunities to participate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mo</w:t>
      </w:r>
      <w:r>
        <w:rPr>
          <w:rFonts w:ascii="Tahoma" w:eastAsia="Tahoma" w:hAnsi="Tahoma"/>
          <w:color w:val="202B34"/>
          <w:sz w:val="15"/>
        </w:rPr>
        <w:t>nitor and report on the extent of Australian industry participation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112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identify inappropriate action under the AIP plan and to monitor/record the corrective action taken</w:t>
      </w:r>
    </w:p>
    <w:p w:rsidR="00B4237B" w:rsidRDefault="00804516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identify and report any variations in AIP plan acti</w:t>
      </w:r>
      <w:r>
        <w:rPr>
          <w:rFonts w:ascii="Tahoma" w:eastAsia="Tahoma" w:hAnsi="Tahoma"/>
          <w:color w:val="202B34"/>
          <w:sz w:val="15"/>
        </w:rPr>
        <w:t>vities</w:t>
      </w:r>
    </w:p>
    <w:sectPr w:rsidR="00B4237B">
      <w:pgSz w:w="11904" w:h="16843"/>
      <w:pgMar w:top="2480" w:right="852" w:bottom="372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153B1"/>
    <w:multiLevelType w:val="multilevel"/>
    <w:tmpl w:val="D65040C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202B34"/>
        <w:spacing w:val="-4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992A23"/>
    <w:multiLevelType w:val="multilevel"/>
    <w:tmpl w:val="52EE034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67447"/>
    <w:multiLevelType w:val="multilevel"/>
    <w:tmpl w:val="4706FDE8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1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2D2978"/>
    <w:multiLevelType w:val="multilevel"/>
    <w:tmpl w:val="5114E25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7B"/>
    <w:rsid w:val="00804516"/>
    <w:rsid w:val="00B4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B319AF1D-7A02-4B77-8063-2A20EB49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.au@petrofac.com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rofac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þÿ</vt:lpstr>
    </vt:vector>
  </TitlesOfParts>
  <Company>Department of Industry, Innovation and Science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Garnham, Louise</dc:creator>
  <cp:lastModifiedBy>Garnham, Louise</cp:lastModifiedBy>
  <cp:revision>2</cp:revision>
  <dcterms:created xsi:type="dcterms:W3CDTF">2022-04-04T02:25:00Z</dcterms:created>
  <dcterms:modified xsi:type="dcterms:W3CDTF">2022-04-04T02:25:00Z</dcterms:modified>
</cp:coreProperties>
</file>