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F3" w:rsidRDefault="00E66BB1">
      <w:pPr>
        <w:spacing w:before="4" w:after="330"/>
        <w:ind w:right="17"/>
        <w:textAlignment w:val="baseline"/>
      </w:pPr>
      <w:r>
        <w:rPr>
          <w:noProof/>
          <w:lang w:val="en-AU" w:eastAsia="en-AU"/>
        </w:rPr>
        <w:drawing>
          <wp:inline distT="0" distB="0" distL="0" distR="0">
            <wp:extent cx="3303905" cy="5060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DF3" w:rsidRDefault="00301DF3">
      <w:pPr>
        <w:spacing w:before="4" w:after="330"/>
        <w:sectPr w:rsidR="00301DF3">
          <w:pgSz w:w="11904" w:h="16843"/>
          <w:pgMar w:top="980" w:right="5647" w:bottom="687" w:left="1037" w:header="720" w:footer="720" w:gutter="0"/>
          <w:cols w:space="720"/>
        </w:sectPr>
      </w:pPr>
    </w:p>
    <w:p w:rsidR="00301DF3" w:rsidRDefault="00E66BB1">
      <w:pPr>
        <w:spacing w:after="379" w:line="418" w:lineRule="exact"/>
        <w:jc w:val="center"/>
        <w:textAlignment w:val="baseline"/>
        <w:rPr>
          <w:rFonts w:ascii="Arial Narrow" w:eastAsia="Arial Narrow" w:hAnsi="Arial Narrow"/>
          <w:color w:val="202B34"/>
          <w:w w:val="120"/>
          <w:sz w:val="34"/>
        </w:rPr>
      </w:pPr>
      <w:r>
        <w:rPr>
          <w:rFonts w:ascii="Arial Narrow" w:eastAsia="Arial Narrow" w:hAnsi="Arial Narrow"/>
          <w:color w:val="202B34"/>
          <w:w w:val="120"/>
          <w:sz w:val="34"/>
        </w:rPr>
        <w:t xml:space="preserve">Australian Industry Participation (AIP) plan </w:t>
      </w:r>
      <w:r>
        <w:rPr>
          <w:rFonts w:ascii="Arial Narrow" w:eastAsia="Arial Narrow" w:hAnsi="Arial Narrow"/>
          <w:color w:val="202B34"/>
          <w:w w:val="120"/>
          <w:sz w:val="34"/>
        </w:rPr>
        <w:br/>
        <w:t>Executive Summary</w:t>
      </w:r>
    </w:p>
    <w:p w:rsidR="00301DF3" w:rsidRDefault="00B72280">
      <w:pPr>
        <w:spacing w:before="756" w:after="171" w:line="444" w:lineRule="exact"/>
        <w:ind w:left="216"/>
        <w:textAlignment w:val="baseline"/>
        <w:rPr>
          <w:rFonts w:ascii="Arial Narrow" w:eastAsia="Arial Narrow" w:hAnsi="Arial Narrow"/>
          <w:color w:val="202B34"/>
          <w:spacing w:val="5"/>
          <w:w w:val="120"/>
          <w:sz w:val="3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2133600</wp:posOffset>
                </wp:positionV>
                <wp:extent cx="64776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D3D6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44F0E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168pt" to="553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" strokecolor="#d3d6e2" strokeweight="2.15pt">
                <w10:wrap anchorx="page" anchory="page"/>
              </v:line>
            </w:pict>
          </mc:Fallback>
        </mc:AlternateContent>
      </w:r>
      <w:proofErr w:type="gramStart"/>
      <w:r w:rsidR="00E66BB1">
        <w:rPr>
          <w:rFonts w:ascii="Arial Narrow" w:eastAsia="Arial Narrow" w:hAnsi="Arial Narrow"/>
          <w:color w:val="202B34"/>
          <w:spacing w:val="5"/>
          <w:w w:val="120"/>
          <w:sz w:val="38"/>
        </w:rPr>
        <w:t>1.Organisation</w:t>
      </w:r>
      <w:proofErr w:type="gramEnd"/>
      <w:r w:rsidR="00E66BB1">
        <w:rPr>
          <w:rFonts w:ascii="Arial Narrow" w:eastAsia="Arial Narrow" w:hAnsi="Arial Narrow"/>
          <w:color w:val="202B34"/>
          <w:spacing w:val="5"/>
          <w:w w:val="120"/>
          <w:sz w:val="38"/>
        </w:rPr>
        <w:t xml:space="preserve"> and project details</w:t>
      </w:r>
    </w:p>
    <w:p w:rsidR="00301DF3" w:rsidRDefault="00B72280">
      <w:pPr>
        <w:spacing w:before="234" w:line="217" w:lineRule="exact"/>
        <w:textAlignment w:val="baseline"/>
        <w:rPr>
          <w:rFonts w:ascii="Arial" w:eastAsia="Arial" w:hAnsi="Arial"/>
          <w:b/>
          <w:color w:val="202B34"/>
          <w:spacing w:val="11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3005455</wp:posOffset>
                </wp:positionV>
                <wp:extent cx="64776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4AC22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236.65pt" to="553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" strokecolor="#202b34" strokeweight="1.2pt">
                <w10:wrap anchorx="page" anchory="page"/>
              </v:line>
            </w:pict>
          </mc:Fallback>
        </mc:AlternateContent>
      </w:r>
      <w:r w:rsidR="00E66BB1">
        <w:rPr>
          <w:rFonts w:ascii="Arial" w:eastAsia="Arial" w:hAnsi="Arial"/>
          <w:b/>
          <w:color w:val="202B34"/>
          <w:spacing w:val="11"/>
          <w:sz w:val="18"/>
        </w:rPr>
        <w:t>Company/</w:t>
      </w:r>
      <w:proofErr w:type="spellStart"/>
      <w:r w:rsidR="00E66BB1">
        <w:rPr>
          <w:rFonts w:ascii="Arial" w:eastAsia="Arial" w:hAnsi="Arial"/>
          <w:b/>
          <w:color w:val="202B34"/>
          <w:spacing w:val="11"/>
          <w:sz w:val="18"/>
        </w:rPr>
        <w:t>organisation</w:t>
      </w:r>
      <w:proofErr w:type="spellEnd"/>
      <w:r w:rsidR="00E66BB1">
        <w:rPr>
          <w:rFonts w:ascii="Arial" w:eastAsia="Arial" w:hAnsi="Arial"/>
          <w:b/>
          <w:color w:val="202B34"/>
          <w:spacing w:val="11"/>
          <w:sz w:val="18"/>
        </w:rPr>
        <w:t xml:space="preserve"> name: </w:t>
      </w:r>
      <w:r w:rsidR="00E66BB1">
        <w:rPr>
          <w:rFonts w:ascii="Arial Narrow" w:eastAsia="Arial Narrow" w:hAnsi="Arial Narrow"/>
          <w:color w:val="202B34"/>
          <w:spacing w:val="11"/>
          <w:sz w:val="20"/>
        </w:rPr>
        <w:t>ALINTA ENERGY TRANSMISSION (CHICHESTER) PTY LTD</w:t>
      </w:r>
    </w:p>
    <w:p w:rsidR="00301DF3" w:rsidRDefault="00E66BB1">
      <w:pPr>
        <w:spacing w:line="238" w:lineRule="exact"/>
        <w:ind w:right="576"/>
        <w:textAlignment w:val="baseline"/>
        <w:rPr>
          <w:rFonts w:ascii="Arial" w:eastAsia="Arial" w:hAnsi="Arial"/>
          <w:b/>
          <w:color w:val="202B34"/>
          <w:spacing w:val="11"/>
          <w:sz w:val="18"/>
        </w:rPr>
      </w:pPr>
      <w:r>
        <w:rPr>
          <w:rFonts w:ascii="Arial" w:eastAsia="Arial" w:hAnsi="Arial"/>
          <w:b/>
          <w:color w:val="202B34"/>
          <w:spacing w:val="11"/>
          <w:sz w:val="18"/>
        </w:rPr>
        <w:t xml:space="preserve">Description of the project: </w:t>
      </w:r>
      <w:r>
        <w:rPr>
          <w:rFonts w:ascii="Arial Narrow" w:eastAsia="Arial Narrow" w:hAnsi="Arial Narrow"/>
          <w:color w:val="202B34"/>
          <w:spacing w:val="11"/>
          <w:sz w:val="20"/>
        </w:rPr>
        <w:t xml:space="preserve">Construction of a 60MW solar PV power station with interconnecting transmission infrastructure to supply electricity to Fortescue Metals Group </w:t>
      </w:r>
      <w:proofErr w:type="spellStart"/>
      <w:r>
        <w:rPr>
          <w:rFonts w:ascii="Arial Narrow" w:eastAsia="Arial Narrow" w:hAnsi="Arial Narrow"/>
          <w:color w:val="202B34"/>
          <w:spacing w:val="11"/>
          <w:sz w:val="20"/>
        </w:rPr>
        <w:t>Chichester</w:t>
      </w:r>
      <w:proofErr w:type="spellEnd"/>
      <w:r>
        <w:rPr>
          <w:rFonts w:ascii="Arial Narrow" w:eastAsia="Arial Narrow" w:hAnsi="Arial Narrow"/>
          <w:color w:val="202B34"/>
          <w:spacing w:val="11"/>
          <w:sz w:val="20"/>
        </w:rPr>
        <w:t xml:space="preserve"> Hub mining operations in the East Pilbara, WA.</w:t>
      </w:r>
    </w:p>
    <w:p w:rsidR="00301DF3" w:rsidRDefault="00E66BB1">
      <w:pPr>
        <w:spacing w:line="240" w:lineRule="exact"/>
        <w:ind w:right="432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Project elements include: a new 26km 220kV transmission</w:t>
      </w:r>
      <w:r>
        <w:rPr>
          <w:rFonts w:ascii="Arial Narrow" w:eastAsia="Arial Narrow" w:hAnsi="Arial Narrow"/>
          <w:color w:val="202B34"/>
          <w:spacing w:val="10"/>
          <w:sz w:val="20"/>
        </w:rPr>
        <w:t xml:space="preserve"> line from Roy Hill mine substation to the new Christmas Creek termination station; 60MW solar PV facility stepping up to 220kV at new Christmas Creek terminal station – to supply Fortescue’s daytime energy requirements;</w:t>
      </w:r>
    </w:p>
    <w:p w:rsidR="00301DF3" w:rsidRDefault="00E66BB1">
      <w:pPr>
        <w:spacing w:line="240" w:lineRule="exact"/>
        <w:ind w:right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A 3km 33kV transmission line from t</w:t>
      </w:r>
      <w:r>
        <w:rPr>
          <w:rFonts w:ascii="Arial Narrow" w:eastAsia="Arial Narrow" w:hAnsi="Arial Narrow"/>
          <w:color w:val="202B34"/>
          <w:spacing w:val="11"/>
          <w:sz w:val="20"/>
        </w:rPr>
        <w:t xml:space="preserve">he new Christmas Creek terminal station which then steps down to 11kV via a new 33kV/11kV step-up transformer at the existing Christmas Creek mine; A 35km 220kV transmission line from the new Christmas Creek terminal station to the </w:t>
      </w:r>
      <w:proofErr w:type="spellStart"/>
      <w:r>
        <w:rPr>
          <w:rFonts w:ascii="Arial Narrow" w:eastAsia="Arial Narrow" w:hAnsi="Arial Narrow"/>
          <w:color w:val="202B34"/>
          <w:spacing w:val="11"/>
          <w:sz w:val="20"/>
        </w:rPr>
        <w:t>Cloudbreak</w:t>
      </w:r>
      <w:proofErr w:type="spellEnd"/>
      <w:r>
        <w:rPr>
          <w:rFonts w:ascii="Arial Narrow" w:eastAsia="Arial Narrow" w:hAnsi="Arial Narrow"/>
          <w:color w:val="202B34"/>
          <w:spacing w:val="11"/>
          <w:sz w:val="20"/>
        </w:rPr>
        <w:t xml:space="preserve"> Mine – which </w:t>
      </w:r>
      <w:r>
        <w:rPr>
          <w:rFonts w:ascii="Arial Narrow" w:eastAsia="Arial Narrow" w:hAnsi="Arial Narrow"/>
          <w:color w:val="202B34"/>
          <w:spacing w:val="11"/>
          <w:sz w:val="20"/>
        </w:rPr>
        <w:t xml:space="preserve">then steps down to the 11kV via a new 200kV/11kV step-up transformer at the existing </w:t>
      </w:r>
      <w:proofErr w:type="spellStart"/>
      <w:r>
        <w:rPr>
          <w:rFonts w:ascii="Arial Narrow" w:eastAsia="Arial Narrow" w:hAnsi="Arial Narrow"/>
          <w:color w:val="202B34"/>
          <w:spacing w:val="11"/>
          <w:sz w:val="20"/>
        </w:rPr>
        <w:t>Cloudbreak</w:t>
      </w:r>
      <w:proofErr w:type="spellEnd"/>
      <w:r>
        <w:rPr>
          <w:rFonts w:ascii="Arial Narrow" w:eastAsia="Arial Narrow" w:hAnsi="Arial Narrow"/>
          <w:color w:val="202B34"/>
          <w:spacing w:val="11"/>
          <w:sz w:val="20"/>
        </w:rPr>
        <w:t xml:space="preserve"> mine.</w:t>
      </w:r>
    </w:p>
    <w:p w:rsidR="00301DF3" w:rsidRDefault="00E66BB1">
      <w:pPr>
        <w:spacing w:line="240" w:lineRule="exact"/>
        <w:ind w:right="432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 xml:space="preserve">Project separated into transmission line and solar works. One EPC Contractor to design, engineer, procure, project </w:t>
      </w:r>
      <w:proofErr w:type="spellStart"/>
      <w:r>
        <w:rPr>
          <w:rFonts w:ascii="Arial Narrow" w:eastAsia="Arial Narrow" w:hAnsi="Arial Narrow"/>
          <w:color w:val="202B34"/>
          <w:spacing w:val="10"/>
          <w:sz w:val="20"/>
        </w:rPr>
        <w:t>manage</w:t>
      </w:r>
      <w:proofErr w:type="spellEnd"/>
      <w:r>
        <w:rPr>
          <w:rFonts w:ascii="Arial Narrow" w:eastAsia="Arial Narrow" w:hAnsi="Arial Narrow"/>
          <w:color w:val="202B34"/>
          <w:spacing w:val="10"/>
          <w:sz w:val="20"/>
        </w:rPr>
        <w:t>, manufacture, package and proces</w:t>
      </w:r>
      <w:r>
        <w:rPr>
          <w:rFonts w:ascii="Arial Narrow" w:eastAsia="Arial Narrow" w:hAnsi="Arial Narrow"/>
          <w:color w:val="202B34"/>
          <w:spacing w:val="10"/>
          <w:sz w:val="20"/>
        </w:rPr>
        <w:t xml:space="preserve">s, supply, transport, unload with works handed to </w:t>
      </w:r>
      <w:proofErr w:type="spellStart"/>
      <w:r>
        <w:rPr>
          <w:rFonts w:ascii="Arial Narrow" w:eastAsia="Arial Narrow" w:hAnsi="Arial Narrow"/>
          <w:color w:val="202B34"/>
          <w:spacing w:val="10"/>
          <w:sz w:val="20"/>
        </w:rPr>
        <w:t>Alinta</w:t>
      </w:r>
      <w:proofErr w:type="spellEnd"/>
      <w:r>
        <w:rPr>
          <w:rFonts w:ascii="Arial Narrow" w:eastAsia="Arial Narrow" w:hAnsi="Arial Narrow"/>
          <w:color w:val="202B34"/>
          <w:spacing w:val="10"/>
          <w:sz w:val="20"/>
        </w:rPr>
        <w:t xml:space="preserve"> for operation and maintenance at completion of Works.</w:t>
      </w:r>
    </w:p>
    <w:p w:rsidR="00301DF3" w:rsidRDefault="00E66BB1">
      <w:pPr>
        <w:spacing w:before="249" w:line="217" w:lineRule="exact"/>
        <w:textAlignment w:val="baseline"/>
        <w:rPr>
          <w:rFonts w:ascii="Arial" w:eastAsia="Arial" w:hAnsi="Arial"/>
          <w:b/>
          <w:color w:val="202B34"/>
          <w:spacing w:val="6"/>
          <w:sz w:val="18"/>
        </w:rPr>
      </w:pPr>
      <w:r>
        <w:rPr>
          <w:rFonts w:ascii="Arial" w:eastAsia="Arial" w:hAnsi="Arial"/>
          <w:b/>
          <w:color w:val="202B34"/>
          <w:spacing w:val="6"/>
          <w:sz w:val="18"/>
        </w:rPr>
        <w:t xml:space="preserve">Estimated capital expenditure/total value of the project: </w:t>
      </w:r>
      <w:r>
        <w:rPr>
          <w:rFonts w:ascii="Arial Narrow" w:eastAsia="Arial Narrow" w:hAnsi="Arial Narrow"/>
          <w:color w:val="202B34"/>
          <w:spacing w:val="6"/>
          <w:sz w:val="20"/>
        </w:rPr>
        <w:t>$185,000,000 AUD</w:t>
      </w:r>
    </w:p>
    <w:p w:rsidR="00301DF3" w:rsidRDefault="00E66BB1">
      <w:pPr>
        <w:spacing w:before="23" w:line="217" w:lineRule="exact"/>
        <w:textAlignment w:val="baseline"/>
        <w:rPr>
          <w:rFonts w:ascii="Arial" w:eastAsia="Arial" w:hAnsi="Arial"/>
          <w:b/>
          <w:color w:val="202B34"/>
          <w:spacing w:val="6"/>
          <w:sz w:val="18"/>
        </w:rPr>
      </w:pPr>
      <w:r>
        <w:rPr>
          <w:rFonts w:ascii="Arial" w:eastAsia="Arial" w:hAnsi="Arial"/>
          <w:b/>
          <w:color w:val="202B34"/>
          <w:spacing w:val="6"/>
          <w:sz w:val="18"/>
        </w:rPr>
        <w:t xml:space="preserve">Estimated total value of key goods and services: </w:t>
      </w:r>
      <w:r>
        <w:rPr>
          <w:rFonts w:ascii="Arial Narrow" w:eastAsia="Arial Narrow" w:hAnsi="Arial Narrow"/>
          <w:color w:val="202B34"/>
          <w:spacing w:val="6"/>
          <w:sz w:val="20"/>
        </w:rPr>
        <w:t>$123,000,650 AUD</w:t>
      </w:r>
    </w:p>
    <w:p w:rsidR="00301DF3" w:rsidRDefault="00E66BB1">
      <w:pPr>
        <w:spacing w:before="23" w:line="217" w:lineRule="exact"/>
        <w:textAlignment w:val="baseline"/>
        <w:rPr>
          <w:rFonts w:ascii="Arial" w:eastAsia="Arial" w:hAnsi="Arial"/>
          <w:b/>
          <w:color w:val="202B34"/>
          <w:spacing w:val="10"/>
          <w:sz w:val="18"/>
        </w:rPr>
      </w:pPr>
      <w:r>
        <w:rPr>
          <w:rFonts w:ascii="Arial" w:eastAsia="Arial" w:hAnsi="Arial"/>
          <w:b/>
          <w:color w:val="202B34"/>
          <w:spacing w:val="10"/>
          <w:sz w:val="18"/>
        </w:rPr>
        <w:t>Proj</w:t>
      </w:r>
      <w:r>
        <w:rPr>
          <w:rFonts w:ascii="Arial" w:eastAsia="Arial" w:hAnsi="Arial"/>
          <w:b/>
          <w:color w:val="202B34"/>
          <w:spacing w:val="10"/>
          <w:sz w:val="18"/>
        </w:rPr>
        <w:t xml:space="preserve">ect location: </w:t>
      </w:r>
      <w:r>
        <w:rPr>
          <w:rFonts w:ascii="Arial Narrow" w:eastAsia="Arial Narrow" w:hAnsi="Arial Narrow"/>
          <w:color w:val="202B34"/>
          <w:spacing w:val="10"/>
          <w:sz w:val="20"/>
        </w:rPr>
        <w:t>North of the Fortescue Marsh, approximately 150km north of Newman, Pilbara</w:t>
      </w:r>
    </w:p>
    <w:p w:rsidR="00301DF3" w:rsidRDefault="00E66BB1">
      <w:pPr>
        <w:spacing w:before="23" w:line="217" w:lineRule="exact"/>
        <w:textAlignment w:val="baseline"/>
        <w:rPr>
          <w:rFonts w:ascii="Arial" w:eastAsia="Arial" w:hAnsi="Arial"/>
          <w:b/>
          <w:color w:val="202B34"/>
          <w:spacing w:val="7"/>
          <w:sz w:val="18"/>
        </w:rPr>
      </w:pPr>
      <w:r>
        <w:rPr>
          <w:rFonts w:ascii="Arial" w:eastAsia="Arial" w:hAnsi="Arial"/>
          <w:b/>
          <w:color w:val="202B34"/>
          <w:spacing w:val="7"/>
          <w:sz w:val="18"/>
        </w:rPr>
        <w:t>Link to project information:</w:t>
      </w:r>
      <w:r w:rsidR="00C56147">
        <w:rPr>
          <w:rFonts w:ascii="Arial Narrow" w:eastAsia="Arial Narrow" w:hAnsi="Arial Narrow"/>
          <w:color w:val="202B34"/>
          <w:spacing w:val="7"/>
          <w:sz w:val="20"/>
        </w:rPr>
        <w:t xml:space="preserve"> https://www.alintaenergy.com.au/nsw/about-us/power-generation/Chichester</w:t>
      </w:r>
      <w:bookmarkStart w:id="0" w:name="_GoBack"/>
      <w:bookmarkEnd w:id="0"/>
    </w:p>
    <w:p w:rsidR="00301DF3" w:rsidRDefault="00E66BB1">
      <w:pPr>
        <w:spacing w:before="30" w:line="210" w:lineRule="exact"/>
        <w:textAlignment w:val="baseline"/>
        <w:rPr>
          <w:rFonts w:ascii="Arial" w:eastAsia="Arial" w:hAnsi="Arial"/>
          <w:b/>
          <w:color w:val="202B34"/>
          <w:spacing w:val="5"/>
          <w:sz w:val="18"/>
        </w:rPr>
      </w:pPr>
      <w:r>
        <w:rPr>
          <w:rFonts w:ascii="Arial" w:eastAsia="Arial" w:hAnsi="Arial"/>
          <w:b/>
          <w:color w:val="202B34"/>
          <w:spacing w:val="5"/>
          <w:sz w:val="18"/>
        </w:rPr>
        <w:t>Contact person for procurement information:</w:t>
      </w:r>
    </w:p>
    <w:p w:rsidR="00301DF3" w:rsidRDefault="00E66BB1">
      <w:pPr>
        <w:spacing w:before="23" w:line="217" w:lineRule="exact"/>
        <w:ind w:left="648"/>
        <w:textAlignment w:val="baseline"/>
        <w:rPr>
          <w:rFonts w:ascii="Arial" w:eastAsia="Arial" w:hAnsi="Arial"/>
          <w:b/>
          <w:color w:val="202B34"/>
          <w:spacing w:val="7"/>
          <w:sz w:val="18"/>
        </w:rPr>
      </w:pPr>
      <w:r>
        <w:rPr>
          <w:rFonts w:ascii="Arial" w:eastAsia="Arial" w:hAnsi="Arial"/>
          <w:b/>
          <w:color w:val="202B34"/>
          <w:spacing w:val="7"/>
          <w:sz w:val="18"/>
        </w:rPr>
        <w:t xml:space="preserve">Name: </w:t>
      </w:r>
      <w:r>
        <w:rPr>
          <w:rFonts w:ascii="Arial Narrow" w:eastAsia="Arial Narrow" w:hAnsi="Arial Narrow"/>
          <w:color w:val="202B34"/>
          <w:spacing w:val="7"/>
          <w:sz w:val="20"/>
        </w:rPr>
        <w:t>Glen Fraser</w:t>
      </w:r>
    </w:p>
    <w:p w:rsidR="00301DF3" w:rsidRDefault="00E66BB1">
      <w:pPr>
        <w:spacing w:before="23" w:line="217" w:lineRule="exact"/>
        <w:ind w:left="648"/>
        <w:textAlignment w:val="baseline"/>
        <w:rPr>
          <w:rFonts w:ascii="Arial" w:eastAsia="Arial" w:hAnsi="Arial"/>
          <w:b/>
          <w:color w:val="202B34"/>
          <w:spacing w:val="6"/>
          <w:sz w:val="18"/>
        </w:rPr>
      </w:pPr>
      <w:r>
        <w:rPr>
          <w:rFonts w:ascii="Arial" w:eastAsia="Arial" w:hAnsi="Arial"/>
          <w:b/>
          <w:color w:val="202B34"/>
          <w:spacing w:val="6"/>
          <w:sz w:val="18"/>
        </w:rPr>
        <w:t xml:space="preserve">Phone number: </w:t>
      </w:r>
      <w:r>
        <w:rPr>
          <w:rFonts w:ascii="Arial Narrow" w:eastAsia="Arial Narrow" w:hAnsi="Arial Narrow"/>
          <w:color w:val="202B34"/>
          <w:spacing w:val="6"/>
          <w:sz w:val="20"/>
        </w:rPr>
        <w:t>0431387314</w:t>
      </w:r>
    </w:p>
    <w:p w:rsidR="00301DF3" w:rsidRDefault="00E66BB1">
      <w:pPr>
        <w:spacing w:before="23" w:line="217" w:lineRule="exact"/>
        <w:ind w:left="648"/>
        <w:textAlignment w:val="baseline"/>
        <w:rPr>
          <w:rFonts w:ascii="Arial" w:eastAsia="Arial" w:hAnsi="Arial"/>
          <w:b/>
          <w:color w:val="202B34"/>
          <w:spacing w:val="8"/>
          <w:sz w:val="18"/>
        </w:rPr>
      </w:pPr>
      <w:r>
        <w:rPr>
          <w:rFonts w:ascii="Arial" w:eastAsia="Arial" w:hAnsi="Arial"/>
          <w:b/>
          <w:color w:val="202B34"/>
          <w:spacing w:val="8"/>
          <w:sz w:val="18"/>
        </w:rPr>
        <w:t xml:space="preserve">Email address: </w:t>
      </w:r>
      <w:hyperlink r:id="rId6">
        <w:r>
          <w:rPr>
            <w:rFonts w:ascii="Arial Narrow" w:eastAsia="Arial Narrow" w:hAnsi="Arial Narrow"/>
            <w:color w:val="0000FF"/>
            <w:spacing w:val="8"/>
            <w:sz w:val="20"/>
            <w:u w:val="single"/>
          </w:rPr>
          <w:t>Glen.Fraser@alintaenergy.com.au</w:t>
        </w:r>
      </w:hyperlink>
      <w:r>
        <w:rPr>
          <w:rFonts w:ascii="Arial Narrow" w:eastAsia="Arial Narrow" w:hAnsi="Arial Narrow"/>
          <w:color w:val="202B34"/>
          <w:spacing w:val="8"/>
          <w:sz w:val="20"/>
        </w:rPr>
        <w:t xml:space="preserve"> </w:t>
      </w:r>
    </w:p>
    <w:p w:rsidR="00301DF3" w:rsidRDefault="00E66BB1">
      <w:pPr>
        <w:spacing w:before="660" w:after="157" w:line="444" w:lineRule="exact"/>
        <w:ind w:left="216"/>
        <w:textAlignment w:val="baseline"/>
        <w:rPr>
          <w:rFonts w:ascii="Arial Narrow" w:eastAsia="Arial Narrow" w:hAnsi="Arial Narrow"/>
          <w:color w:val="202B34"/>
          <w:spacing w:val="4"/>
          <w:w w:val="120"/>
          <w:sz w:val="38"/>
        </w:rPr>
      </w:pPr>
      <w:r>
        <w:rPr>
          <w:rFonts w:ascii="Arial Narrow" w:eastAsia="Arial Narrow" w:hAnsi="Arial Narrow"/>
          <w:color w:val="202B34"/>
          <w:spacing w:val="4"/>
          <w:w w:val="120"/>
          <w:sz w:val="38"/>
        </w:rPr>
        <w:t>2. Opportunities to supply goods and services</w:t>
      </w:r>
    </w:p>
    <w:p w:rsidR="00301DF3" w:rsidRDefault="00B72280">
      <w:pPr>
        <w:spacing w:before="180" w:line="20" w:lineRule="exac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7437120</wp:posOffset>
                </wp:positionV>
                <wp:extent cx="64776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D9A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585.6pt" to="553pt,5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1"/>
        <w:gridCol w:w="1498"/>
        <w:gridCol w:w="1517"/>
      </w:tblGrid>
      <w:tr w:rsidR="00301DF3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332" w:after="349" w:line="240" w:lineRule="exact"/>
              <w:ind w:left="108" w:right="900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>List of goods and services to be procured for the project and the expected opportunity for industry participation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155" w:after="286" w:line="24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 xml:space="preserve">Opportunities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for Australian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>suppliers *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35" w:after="166" w:line="24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 xml:space="preserve">Opportunities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for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>suppliers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6" w:after="120" w:line="211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Photovoltaic cells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4" w:after="182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4" w:after="182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6" w:after="110" w:line="211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Steel Pilings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3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3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5" w:after="119" w:line="212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Solar trackers for arrays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77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77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6" w:after="125" w:line="211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AC Cables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4" w:after="187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4" w:after="187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6" w:after="115" w:line="211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DC Cables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8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8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5" w:after="139" w:line="211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Transmission Conductor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96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96" w:line="211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</w:tbl>
    <w:p w:rsidR="00301DF3" w:rsidRDefault="00301DF3">
      <w:pPr>
        <w:sectPr w:rsidR="00301DF3">
          <w:type w:val="continuous"/>
          <w:pgSz w:w="11904" w:h="16843"/>
          <w:pgMar w:top="980" w:right="845" w:bottom="687" w:left="859" w:header="720" w:footer="720" w:gutter="0"/>
          <w:cols w:space="720"/>
        </w:sectPr>
      </w:pPr>
    </w:p>
    <w:p w:rsidR="00301DF3" w:rsidRDefault="00301DF3">
      <w:pPr>
        <w:spacing w:before="21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1"/>
        <w:gridCol w:w="1498"/>
        <w:gridCol w:w="1517"/>
      </w:tblGrid>
      <w:tr w:rsidR="00301DF3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153" w:after="319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Steel tower structures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53" w:after="41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53" w:after="41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6" w:after="107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Inverters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0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0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5" w:after="117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Concrete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5" w:after="12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Reinforcing for concrete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8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8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6" w:after="11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Earthworks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5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5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5" w:after="12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Civil works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5" w:after="11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Mechanical works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6" w:after="116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Electrical works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5" w:after="11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Transport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6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8" w:after="16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5" w:after="117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Port Handling &amp; Logistics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301DF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1DF3" w:rsidRDefault="00E66BB1">
            <w:pPr>
              <w:spacing w:before="106" w:after="121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Control Rooms and other site buildings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8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01DF3" w:rsidRDefault="00E66BB1">
            <w:pPr>
              <w:spacing w:before="43" w:after="18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</w:tbl>
    <w:p w:rsidR="00301DF3" w:rsidRDefault="00301DF3">
      <w:pPr>
        <w:spacing w:after="315" w:line="20" w:lineRule="exact"/>
      </w:pPr>
    </w:p>
    <w:p w:rsidR="00301DF3" w:rsidRDefault="00E66BB1">
      <w:pPr>
        <w:spacing w:before="16" w:line="214" w:lineRule="exact"/>
        <w:ind w:left="72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* An Australian supplier means an entity that has an ABN or an ACN</w:t>
      </w:r>
    </w:p>
    <w:p w:rsidR="00301DF3" w:rsidRDefault="00E66BB1">
      <w:pPr>
        <w:spacing w:before="201" w:line="240" w:lineRule="exact"/>
        <w:ind w:left="72" w:right="792"/>
        <w:textAlignment w:val="baseline"/>
        <w:rPr>
          <w:rFonts w:ascii="Arial Narrow" w:eastAsia="Arial Narrow" w:hAnsi="Arial Narrow"/>
          <w:color w:val="202B34"/>
          <w:sz w:val="20"/>
        </w:rPr>
      </w:pPr>
      <w:r>
        <w:rPr>
          <w:rFonts w:ascii="Arial Narrow" w:eastAsia="Arial Narrow" w:hAnsi="Arial Narrow"/>
          <w:color w:val="202B34"/>
          <w:sz w:val="20"/>
        </w:rPr>
        <w:t>Disclaimer: The information provided in the table above is based on an initial assessment by the company. Any questions or issues should be raised with the project contact.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221" w:line="240" w:lineRule="exact"/>
        <w:ind w:left="504" w:right="576" w:hanging="216"/>
        <w:textAlignment w:val="baseline"/>
        <w:rPr>
          <w:rFonts w:ascii="Arial Narrow" w:eastAsia="Arial Narrow" w:hAnsi="Arial Narrow"/>
          <w:color w:val="202B34"/>
          <w:spacing w:val="8"/>
          <w:sz w:val="20"/>
        </w:rPr>
      </w:pPr>
      <w:r>
        <w:rPr>
          <w:rFonts w:ascii="Arial Narrow" w:eastAsia="Arial Narrow" w:hAnsi="Arial Narrow"/>
          <w:color w:val="202B34"/>
          <w:spacing w:val="8"/>
          <w:sz w:val="20"/>
        </w:rPr>
        <w:t xml:space="preserve">Australian and International standards and certifications will be required for the </w:t>
      </w:r>
      <w:r>
        <w:rPr>
          <w:rFonts w:ascii="Arial Narrow" w:eastAsia="Arial Narrow" w:hAnsi="Arial Narrow"/>
          <w:color w:val="202B34"/>
          <w:spacing w:val="8"/>
          <w:sz w:val="20"/>
        </w:rPr>
        <w:t>key goods and services in this project.</w:t>
      </w:r>
    </w:p>
    <w:p w:rsidR="00301DF3" w:rsidRDefault="00E66BB1">
      <w:pPr>
        <w:spacing w:before="663" w:after="147" w:line="444" w:lineRule="exact"/>
        <w:ind w:left="288"/>
        <w:textAlignment w:val="baseline"/>
        <w:rPr>
          <w:rFonts w:ascii="Arial Narrow" w:eastAsia="Arial Narrow" w:hAnsi="Arial Narrow"/>
          <w:color w:val="202B34"/>
          <w:spacing w:val="3"/>
          <w:w w:val="120"/>
          <w:sz w:val="38"/>
        </w:rPr>
      </w:pPr>
      <w:r>
        <w:rPr>
          <w:rFonts w:ascii="Arial Narrow" w:eastAsia="Arial Narrow" w:hAnsi="Arial Narrow"/>
          <w:color w:val="202B34"/>
          <w:spacing w:val="3"/>
          <w:w w:val="120"/>
          <w:sz w:val="38"/>
        </w:rPr>
        <w:t>3. Communicating and providing opportunities</w:t>
      </w:r>
    </w:p>
    <w:p w:rsidR="00301DF3" w:rsidRDefault="00B72280">
      <w:pPr>
        <w:numPr>
          <w:ilvl w:val="0"/>
          <w:numId w:val="1"/>
        </w:numPr>
        <w:tabs>
          <w:tab w:val="clear" w:pos="216"/>
          <w:tab w:val="left" w:pos="504"/>
        </w:tabs>
        <w:spacing w:before="20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6571615</wp:posOffset>
                </wp:positionV>
                <wp:extent cx="64776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878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517.45pt" to="552.65pt,5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+vIAIAAEIEAAAOAAAAZHJzL2Uyb0RvYy54bWysU02P2jAQvVfqf7B8hyQQPjYirFoCvdAW&#10;abc/wNgOserYlm0IqOp/79gBtLS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  <w:r w:rsidR="00E66BB1">
        <w:rPr>
          <w:rFonts w:ascii="Arial Narrow" w:eastAsia="Arial Narrow" w:hAnsi="Arial Narrow"/>
          <w:color w:val="202B34"/>
          <w:spacing w:val="10"/>
          <w:sz w:val="20"/>
        </w:rPr>
        <w:t>Project website OR Project supplier portal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Liaison with industry associations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85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Media releases – national broadsheet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Development of supplier information guide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Direct contact with Australian industry (phone/email/letter)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Public advertising of some work packages.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8"/>
          <w:sz w:val="20"/>
        </w:rPr>
      </w:pPr>
      <w:r>
        <w:rPr>
          <w:rFonts w:ascii="Arial Narrow" w:eastAsia="Arial Narrow" w:hAnsi="Arial Narrow"/>
          <w:color w:val="202B34"/>
          <w:spacing w:val="8"/>
          <w:sz w:val="20"/>
        </w:rPr>
        <w:t>Supplier coordination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Promote opportunities to Australian industry in the early stages of the project, including information on how to</w:t>
      </w:r>
    </w:p>
    <w:p w:rsidR="00301DF3" w:rsidRDefault="00E66BB1">
      <w:pPr>
        <w:spacing w:before="26" w:line="214" w:lineRule="exact"/>
        <w:ind w:left="504"/>
        <w:textAlignment w:val="baseline"/>
        <w:rPr>
          <w:rFonts w:ascii="Arial Narrow" w:eastAsia="Arial Narrow" w:hAnsi="Arial Narrow"/>
          <w:color w:val="202B34"/>
          <w:spacing w:val="6"/>
          <w:sz w:val="20"/>
        </w:rPr>
      </w:pPr>
      <w:proofErr w:type="gramStart"/>
      <w:r>
        <w:rPr>
          <w:rFonts w:ascii="Arial Narrow" w:eastAsia="Arial Narrow" w:hAnsi="Arial Narrow"/>
          <w:color w:val="202B34"/>
          <w:spacing w:val="6"/>
          <w:sz w:val="20"/>
        </w:rPr>
        <w:t>prequalify</w:t>
      </w:r>
      <w:proofErr w:type="gramEnd"/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7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Make tender documents available to all possible suppliers at the same time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71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Allow reasonable and equal time for submissions/responses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7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Include requirement in tender documents that successful tenderers comply with AIP plan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71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Include contractual arrangements with suppliers to outline AIP arrangements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Establish reporting requirement that shows how the AIP plan has been implemented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Train procurement entities to ensure they understand AIP plan obligations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All tenders from Australi</w:t>
      </w:r>
      <w:r>
        <w:rPr>
          <w:rFonts w:ascii="Arial Narrow" w:eastAsia="Arial Narrow" w:hAnsi="Arial Narrow"/>
          <w:color w:val="202B34"/>
          <w:spacing w:val="11"/>
          <w:sz w:val="20"/>
        </w:rPr>
        <w:t>an and overseas suppliers will be assessed on the same basis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28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 xml:space="preserve">The </w:t>
      </w:r>
      <w:proofErr w:type="spellStart"/>
      <w:r>
        <w:rPr>
          <w:rFonts w:ascii="Arial Narrow" w:eastAsia="Arial Narrow" w:hAnsi="Arial Narrow"/>
          <w:color w:val="202B34"/>
          <w:spacing w:val="10"/>
          <w:sz w:val="20"/>
        </w:rPr>
        <w:t>organisation</w:t>
      </w:r>
      <w:proofErr w:type="spellEnd"/>
      <w:r>
        <w:rPr>
          <w:rFonts w:ascii="Arial Narrow" w:eastAsia="Arial Narrow" w:hAnsi="Arial Narrow"/>
          <w:color w:val="202B34"/>
          <w:spacing w:val="10"/>
          <w:sz w:val="20"/>
        </w:rPr>
        <w:t xml:space="preserve"> will ensure all AIP plan obligations will flow down to contractors and subcontractors</w:t>
      </w:r>
    </w:p>
    <w:p w:rsidR="00301DF3" w:rsidRDefault="00301DF3">
      <w:pPr>
        <w:sectPr w:rsidR="00301DF3">
          <w:pgSz w:w="11904" w:h="16843"/>
          <w:pgMar w:top="1980" w:right="852" w:bottom="867" w:left="852" w:header="720" w:footer="720" w:gutter="0"/>
          <w:cols w:space="720"/>
        </w:sectPr>
      </w:pPr>
    </w:p>
    <w:p w:rsidR="00301DF3" w:rsidRDefault="00E66BB1">
      <w:pPr>
        <w:spacing w:before="13" w:after="171" w:line="444" w:lineRule="exact"/>
        <w:ind w:left="288"/>
        <w:textAlignment w:val="baseline"/>
        <w:rPr>
          <w:rFonts w:ascii="Arial Narrow" w:eastAsia="Arial Narrow" w:hAnsi="Arial Narrow"/>
          <w:color w:val="202B34"/>
          <w:w w:val="120"/>
          <w:sz w:val="38"/>
        </w:rPr>
      </w:pPr>
      <w:r>
        <w:rPr>
          <w:rFonts w:ascii="Arial Narrow" w:eastAsia="Arial Narrow" w:hAnsi="Arial Narrow"/>
          <w:color w:val="202B34"/>
          <w:w w:val="120"/>
          <w:sz w:val="38"/>
        </w:rPr>
        <w:lastRenderedPageBreak/>
        <w:t>4. Facilitating future opportunities</w:t>
      </w:r>
    </w:p>
    <w:p w:rsidR="00301DF3" w:rsidRDefault="00B72280">
      <w:pPr>
        <w:numPr>
          <w:ilvl w:val="0"/>
          <w:numId w:val="1"/>
        </w:numPr>
        <w:tabs>
          <w:tab w:val="clear" w:pos="216"/>
          <w:tab w:val="left" w:pos="504"/>
        </w:tabs>
        <w:spacing w:before="169" w:line="240" w:lineRule="exact"/>
        <w:ind w:left="504" w:right="720" w:hanging="216"/>
        <w:textAlignment w:val="baseline"/>
        <w:rPr>
          <w:rFonts w:ascii="Arial Narrow" w:eastAsia="Arial Narrow" w:hAnsi="Arial Narrow"/>
          <w:color w:val="202B34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1176655</wp:posOffset>
                </wp:positionV>
                <wp:extent cx="64776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DD7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92.65pt" to="552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8BIQIAAEIEAAAOAAAAZHJzL2Uyb0RvYy54bWysU02P2jAQvVfqf7B8hyQQPjYirFoCvdAW&#10;abc/wNgOserYlm0IqOp/79gBxLa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  <w:r w:rsidR="00E66BB1">
        <w:rPr>
          <w:rFonts w:ascii="Arial Narrow" w:eastAsia="Arial Narrow" w:hAnsi="Arial Narrow"/>
          <w:color w:val="202B34"/>
          <w:sz w:val="20"/>
        </w:rPr>
        <w:t>Provide advice to project suppliers on strategies and activities to undertake to be considered for inclusion in domestic and international supply chains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82" w:line="240" w:lineRule="exact"/>
        <w:ind w:left="504" w:right="288" w:hanging="216"/>
        <w:textAlignment w:val="baseline"/>
        <w:rPr>
          <w:rFonts w:ascii="Arial Narrow" w:eastAsia="Arial Narrow" w:hAnsi="Arial Narrow"/>
          <w:color w:val="202B34"/>
          <w:sz w:val="20"/>
        </w:rPr>
      </w:pPr>
      <w:r>
        <w:rPr>
          <w:rFonts w:ascii="Arial Narrow" w:eastAsia="Arial Narrow" w:hAnsi="Arial Narrow"/>
          <w:color w:val="202B34"/>
          <w:sz w:val="20"/>
        </w:rPr>
        <w:t>Recommend training and certification that enhance the ability of project suppliers to obtain additional business in Australia and overseas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 xml:space="preserve">Transfer product and process technology, and </w:t>
      </w:r>
      <w:proofErr w:type="spellStart"/>
      <w:r>
        <w:rPr>
          <w:rFonts w:ascii="Arial Narrow" w:eastAsia="Arial Narrow" w:hAnsi="Arial Narrow"/>
          <w:color w:val="202B34"/>
          <w:spacing w:val="10"/>
          <w:sz w:val="20"/>
        </w:rPr>
        <w:t>organisational</w:t>
      </w:r>
      <w:proofErr w:type="spellEnd"/>
      <w:r>
        <w:rPr>
          <w:rFonts w:ascii="Arial Narrow" w:eastAsia="Arial Narrow" w:hAnsi="Arial Narrow"/>
          <w:color w:val="202B34"/>
          <w:spacing w:val="10"/>
          <w:sz w:val="20"/>
        </w:rPr>
        <w:t xml:space="preserve"> know-how, to project suppliers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3" w:line="240" w:lineRule="exact"/>
        <w:ind w:left="504" w:right="288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 xml:space="preserve">Develop a </w:t>
      </w:r>
      <w:proofErr w:type="spellStart"/>
      <w:r>
        <w:rPr>
          <w:rFonts w:ascii="Arial Narrow" w:eastAsia="Arial Narrow" w:hAnsi="Arial Narrow"/>
          <w:color w:val="202B34"/>
          <w:spacing w:val="10"/>
          <w:sz w:val="20"/>
        </w:rPr>
        <w:t>programme</w:t>
      </w:r>
      <w:proofErr w:type="spellEnd"/>
      <w:r>
        <w:rPr>
          <w:rFonts w:ascii="Arial Narrow" w:eastAsia="Arial Narrow" w:hAnsi="Arial Narrow"/>
          <w:color w:val="202B34"/>
          <w:spacing w:val="10"/>
          <w:sz w:val="20"/>
        </w:rPr>
        <w:t xml:space="preserve"> for pr</w:t>
      </w:r>
      <w:r>
        <w:rPr>
          <w:rFonts w:ascii="Arial Narrow" w:eastAsia="Arial Narrow" w:hAnsi="Arial Narrow"/>
          <w:color w:val="202B34"/>
          <w:spacing w:val="10"/>
          <w:sz w:val="20"/>
        </w:rPr>
        <w:t>oject suppliers that provides training and technical consultation to assist in mastering new technologies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Introduce project suppliers to global companies or suppliers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Communicate with global supply chain managers and procurement agents about Australian ind</w:t>
      </w:r>
      <w:r>
        <w:rPr>
          <w:rFonts w:ascii="Arial Narrow" w:eastAsia="Arial Narrow" w:hAnsi="Arial Narrow"/>
          <w:color w:val="202B34"/>
          <w:spacing w:val="11"/>
          <w:sz w:val="20"/>
        </w:rPr>
        <w:t>ustry capability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Provide references for high performing suppliers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71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Provide unsuccessful tenderers with appropriate feedback to encourage future performance</w:t>
      </w:r>
    </w:p>
    <w:p w:rsidR="00301DF3" w:rsidRDefault="00E66BB1">
      <w:pPr>
        <w:spacing w:before="543" w:after="181" w:line="444" w:lineRule="exact"/>
        <w:ind w:left="288"/>
        <w:textAlignment w:val="baseline"/>
        <w:rPr>
          <w:rFonts w:ascii="Arial Narrow" w:eastAsia="Arial Narrow" w:hAnsi="Arial Narrow"/>
          <w:color w:val="202B34"/>
          <w:w w:val="120"/>
          <w:sz w:val="38"/>
        </w:rPr>
      </w:pPr>
      <w:r>
        <w:rPr>
          <w:rFonts w:ascii="Arial Narrow" w:eastAsia="Arial Narrow" w:hAnsi="Arial Narrow"/>
          <w:color w:val="202B34"/>
          <w:w w:val="120"/>
          <w:sz w:val="38"/>
        </w:rPr>
        <w:t>5. Implementation resources</w:t>
      </w:r>
    </w:p>
    <w:p w:rsidR="00301DF3" w:rsidRDefault="00B72280">
      <w:pPr>
        <w:numPr>
          <w:ilvl w:val="0"/>
          <w:numId w:val="1"/>
        </w:numPr>
        <w:tabs>
          <w:tab w:val="clear" w:pos="216"/>
          <w:tab w:val="left" w:pos="504"/>
        </w:tabs>
        <w:spacing w:before="197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3996055</wp:posOffset>
                </wp:positionV>
                <wp:extent cx="64776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0AE6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314.65pt" to="552.6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 w:rsidR="00E66BB1">
        <w:rPr>
          <w:rFonts w:ascii="Arial Narrow" w:eastAsia="Arial Narrow" w:hAnsi="Arial Narrow"/>
          <w:color w:val="202B34"/>
          <w:spacing w:val="10"/>
          <w:sz w:val="20"/>
        </w:rPr>
        <w:t xml:space="preserve">The </w:t>
      </w:r>
      <w:proofErr w:type="spellStart"/>
      <w:r w:rsidR="00E66BB1">
        <w:rPr>
          <w:rFonts w:ascii="Arial Narrow" w:eastAsia="Arial Narrow" w:hAnsi="Arial Narrow"/>
          <w:color w:val="202B34"/>
          <w:spacing w:val="10"/>
          <w:sz w:val="20"/>
        </w:rPr>
        <w:t>organisation</w:t>
      </w:r>
      <w:proofErr w:type="spellEnd"/>
      <w:r w:rsidR="00E66BB1">
        <w:rPr>
          <w:rFonts w:ascii="Arial Narrow" w:eastAsia="Arial Narrow" w:hAnsi="Arial Narrow"/>
          <w:color w:val="202B34"/>
          <w:spacing w:val="10"/>
          <w:sz w:val="20"/>
        </w:rPr>
        <w:t xml:space="preserve"> will record and/or retain evidence to demonstrate implementation of the approved AIP plan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3" w:line="240" w:lineRule="exact"/>
        <w:ind w:left="504" w:right="216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Develop and implement standard contractual arrangements with suppliers to give Australian industry opportunities to participate</w:t>
      </w:r>
    </w:p>
    <w:p w:rsidR="00301DF3" w:rsidRDefault="00E66BB1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Develop systems to mo</w:t>
      </w:r>
      <w:r>
        <w:rPr>
          <w:rFonts w:ascii="Arial Narrow" w:eastAsia="Arial Narrow" w:hAnsi="Arial Narrow"/>
          <w:color w:val="202B34"/>
          <w:spacing w:val="11"/>
          <w:sz w:val="20"/>
        </w:rPr>
        <w:t>nitor and report on the extent of Australian industry participation</w:t>
      </w:r>
    </w:p>
    <w:sectPr w:rsidR="00301DF3">
      <w:pgSz w:w="11904" w:h="16843"/>
      <w:pgMar w:top="1200" w:right="852" w:bottom="888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B6900"/>
    <w:multiLevelType w:val="multilevel"/>
    <w:tmpl w:val="E51C14C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3"/>
    <w:rsid w:val="00301DF3"/>
    <w:rsid w:val="00B72280"/>
    <w:rsid w:val="00C56147"/>
    <w:rsid w:val="00E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444B0FD3-6946-4796-9847-3B02F11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1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en.Fraser@alintaenergy.com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Swarbrick, Richard</dc:creator>
  <cp:lastModifiedBy>Swarbrick, Richard</cp:lastModifiedBy>
  <cp:revision>3</cp:revision>
  <dcterms:created xsi:type="dcterms:W3CDTF">2019-12-09T06:21:00Z</dcterms:created>
  <dcterms:modified xsi:type="dcterms:W3CDTF">2019-12-09T06:42:00Z</dcterms:modified>
</cp:coreProperties>
</file>