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media/image1.jpg" ContentType="image/jp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body>
    <w:p>
      <w:pPr>
        <w:spacing w:before="8" w:after="526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955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shapetype id="_x0000_t1" coordsize="21600,21600" o:spt="202" path="m,l,21600r21600,l21600,xe">
            <v:stroke joinstyle="miter"/>
            <v:path gradientshapeok="t" o:connecttype="rect"/>
          </v:shapetype>
          <v:shape id="_x0000_s0" type="#_x0000_t1" filled="f" stroked="f" style="position:absolute;width:381.6pt;height:44.65pt;z-index:-2;margin-left:33.15pt;margin-top:0pt;mso-wrap-distance-left:0pt;mso-wrap-distance-right:0pt">
            <v:fill opacity="1" o:opacity2="1" recolor="f" rotate="f" type="solid"/>
            <v:textbox inset="0pt, 0pt, 0pt, 0pt">
              <w:txbxContent>
                <w:tbl>
                  <w:tblPr>
                    <w:jc w:val="left"/>
                    <w:tblLayout w:type="fixed"/>
                    <w:tblCellMar>
                      <w:left w:w="0" w:type="dxa"/>
                      <w:right w:w="0" w:type="dxa"/>
                    </w:tblCellMar>
                  </w:tblPr>
                  <w:tblGrid>
                    <w:gridCol w:w="3028"/>
                    <w:gridCol w:w="4604"/>
                  </w:tblGrid>
                  <w:tr>
                    <w:trPr>
                      <w:trHeight w:val="893" w:hRule="exact"/>
                    </w:trPr>
                    <w:tc>
                      <w:tcPr>
                        <w:tcW w:w="3028" w:type="dxa"/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textDirection w:val="lrTb"/>
                        <w:vAlign w:val="top"/>
                      </w:tcPr>
                      <w:p>
                        <w:pPr>
                          <w:spacing w:before="0" w:after="0" w:line="240" w:lineRule="auto"/>
                          <w:ind w:right="0" w:left="0"/>
                          <w:jc w:val="center"/>
                          <w:textAlignment w:val="baseline"/>
                        </w:pPr>
                        <w:r>
                          <w:drawing>
                            <wp:inline>
                              <wp:extent cx="1922780" cy="567055"/>
                              <wp:docPr name="Picture" id="1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Picture"/>
                                      <pic:cNvPicPr preferRelativeResize="false"/>
                                    </pic:nvPicPr>
                                    <pic:blipFill>
                                      <a:blip r:embed="prId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922780" cy="567055"/>
                                      </a:xfrm>
                                      <a:prstGeom prst="rect"/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4604" w:type="dxa"/>
                        <w:tcBorders>
                          <w:top w:val="none"/>
                          <w:left w:val="none"/>
                          <w:bottom w:val="none"/>
                          <w:right w:val="none"/>
                        </w:tcBorders>
                        <w:textDirection w:val="lrTb"/>
                        <w:vAlign w:val="center"/>
                      </w:tcPr>
                      <w:p>
                        <w:pPr>
                          <w:spacing w:before="409" w:after="41" w:line="442" w:lineRule="exact"/>
                          <w:ind w:right="5" w:left="0" w:firstLine="0"/>
                          <w:jc w:val="right"/>
                          <w:textAlignment w:val="baseline"/>
                          <w:rPr>
                            <w:rFonts w:ascii="Calibri" w:hAnsi="Calibri" w:eastAsia="Calibri"/>
                            <w:color w:val="0F4761"/>
                            <w:spacing w:val="0"/>
                            <w:w w:val="95"/>
                            <w:sz w:val="40"/>
                            <w:vertAlign w:val="baseline"/>
                            <w:lang w:val="en-US"/>
                          </w:rPr>
                        </w:pPr>
                        <w:r>
                          <w:rPr>
                            <w:rFonts w:ascii="Calibri" w:hAnsi="Calibri" w:eastAsia="Calibri"/>
                            <w:color w:val="0F4761"/>
                            <w:spacing w:val="0"/>
                            <w:w w:val="95"/>
                            <w:sz w:val="40"/>
                            <w:vertAlign w:val="baseline"/>
                            <w:lang w:val="en-US"/>
                          </w:rPr>
                          <w:t xml:space="preserve">Australian Jobs Act 2013</w:t>
                        </w:r>
                      </w:p>
                    </w:tc>
                  </w:tr>
                </w:tbl>
              </w:txbxContent>
            </v:textbox>
          </v:shape>
        </w:pict>
      </w:r>
    </w:p>
    <w:p>
      <w:pPr>
        <w:spacing w:before="27" w:after="670" w:line="266" w:lineRule="exact"/>
        <w:ind w:right="0" w:left="5256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4"/>
          <w:vertAlign w:val="baseline"/>
          <w:lang w:val="en-US"/>
        </w:rPr>
        <w:t xml:space="preserve">Reference code: W1C2D5-T9Y3Y5</w:t>
      </w:r>
    </w:p>
    <w:p>
      <w:pPr>
        <w:spacing w:before="102" w:after="0" w:line="324" w:lineRule="exact"/>
        <w:ind w:right="0" w:left="576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32"/>
          <w:vertAlign w:val="baseline"/>
          <w:lang w:val="en-US"/>
        </w:rPr>
      </w:pPr>
      <w:r>
        <w:pict>
          <v:line strokeweight="3.1pt" strokecolor="#2373A5" from="44.15pt,166.55pt" to="555.2pt,166.5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F4761"/>
          <w:spacing w:val="0"/>
          <w:w w:val="100"/>
          <w:sz w:val="32"/>
          <w:vertAlign w:val="baseline"/>
          <w:lang w:val="en-US"/>
        </w:rPr>
        <w:t xml:space="preserve">Australian Industry Participation Plan Summary – Project Phase</w:t>
      </w:r>
    </w:p>
    <w:p>
      <w:pPr>
        <w:spacing w:before="167" w:after="18" w:line="222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Nominated project proponent: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573" w:line="220" w:lineRule="exact"/>
        <w:ind w:right="581" w:left="514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VICKERY COAL PTY LTD</w:t>
      </w:r>
    </w:p>
    <w:p>
      <w:pPr>
        <w:spacing w:before="33" w:after="0" w:line="287" w:lineRule="exact"/>
        <w:ind w:right="0" w:left="576" w:firstLine="0"/>
        <w:jc w:val="left"/>
        <w:textAlignment w:val="baseline"/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  <w:t xml:space="preserve">Project details</w:t>
      </w:r>
    </w:p>
    <w:p>
      <w:pPr>
        <w:spacing w:before="158" w:after="14" w:line="221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Project name: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27" w:line="222" w:lineRule="exact"/>
        <w:ind w:right="581" w:left="514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Vickery Extension Project</w:t>
      </w:r>
    </w:p>
    <w:p>
      <w:pPr>
        <w:spacing w:before="26" w:after="15" w:line="220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Location: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27" w:line="220" w:lineRule="exact"/>
        <w:ind w:right="581" w:left="586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25km's North of Gunnedah</w:t>
      </w:r>
    </w:p>
    <w:p>
      <w:pPr>
        <w:spacing w:before="26" w:after="14" w:line="221" w:lineRule="exact"/>
        <w:ind w:right="0" w:left="504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Type: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27" w:line="222" w:lineRule="exact"/>
        <w:ind w:right="581" w:left="586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Mine or quarry</w:t>
      </w:r>
    </w:p>
    <w:p>
      <w:pPr>
        <w:spacing w:before="26" w:after="14" w:line="221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Purpose:</w:t>
      </w:r>
    </w:p>
    <w:p>
      <w:pPr>
        <w:pBdr>
          <w:top w:sz="9" w:space="6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32" w:line="183" w:lineRule="exact"/>
        <w:ind w:right="581" w:left="586" w:firstLine="0"/>
        <w:jc w:val="left"/>
        <w:textAlignment w:val="baseline"/>
        <w:rPr>
          <w:rFonts w:ascii="Arial" w:hAnsi="Arial" w:eastAsia="Arial"/>
          <w:color w:val="000000"/>
          <w:spacing w:val="-2"/>
          <w:w w:val="100"/>
          <w:sz w:val="16"/>
          <w:vertAlign w:val="baseline"/>
          <w:lang w:val="en-US"/>
        </w:rPr>
      </w:pPr>
      <w:r>
        <w:rPr>
          <w:rFonts w:ascii="Arial" w:hAnsi="Arial" w:eastAsia="Arial"/>
          <w:color w:val="000000"/>
          <w:spacing w:val="-2"/>
          <w:w w:val="100"/>
          <w:sz w:val="16"/>
          <w:vertAlign w:val="baseline"/>
          <w:lang w:val="en-US"/>
        </w:rPr>
        <w:t xml:space="preserve">Establish new facility</w:t>
      </w:r>
    </w:p>
    <w:p>
      <w:pPr>
        <w:spacing w:before="26" w:after="14" w:line="221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Capital expenditure: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396" w:line="220" w:lineRule="exact"/>
        <w:ind w:right="581" w:left="514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$500 million - $1 billion</w:t>
      </w:r>
    </w:p>
    <w:p>
      <w:pPr>
        <w:spacing w:before="26" w:after="9" w:line="221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Capital expenditure:</w:t>
      </w:r>
    </w:p>
    <w:p>
      <w:pPr>
        <w:pBdr>
          <w:top w:sz="9" w:space="2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396" w:line="254" w:lineRule="exact"/>
        <w:ind w:right="581" w:left="586" w:firstLine="0"/>
        <w:jc w:val="left"/>
        <w:textAlignment w:val="baseline"/>
        <w:rPr>
          <w:rFonts w:ascii="Arial" w:hAnsi="Arial" w:eastAsia="Arial"/>
          <w:color w:val="000000"/>
          <w:spacing w:val="2"/>
          <w:w w:val="100"/>
          <w:sz w:val="16"/>
          <w:vertAlign w:val="baseline"/>
          <w:lang w:val="en-US"/>
        </w:rPr>
      </w:pPr>
      <w:r>
        <w:rPr>
          <w:rFonts w:ascii="Arial" w:hAnsi="Arial" w:eastAsia="Arial"/>
          <w:color w:val="000000"/>
          <w:spacing w:val="2"/>
          <w:w w:val="100"/>
          <w:sz w:val="16"/>
          <w:vertAlign w:val="baseline"/>
          <w:lang w:val="en-US"/>
        </w:rPr>
        <w:t xml:space="preserve">☒ </w:t>
      </w:r>
      <w:r>
        <w:rPr>
          <w:rFonts w:ascii="Calibri" w:hAnsi="Calibri" w:eastAsia="Calibri"/>
          <w:color w:val="000000"/>
          <w:spacing w:val="2"/>
          <w:w w:val="100"/>
          <w:sz w:val="22"/>
          <w:vertAlign w:val="baseline"/>
          <w:lang w:val="en-US"/>
        </w:rPr>
        <w:t xml:space="preserve">Confirm the total project estimated capital expenditure value will be $500 million or more</w:t>
      </w:r>
    </w:p>
    <w:p>
      <w:pPr>
        <w:spacing w:before="26" w:after="14" w:line="221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Description: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201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The Vickery Extension Project would involve the development of a 10Mta open cut predominately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1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metallurgical coal mine with associated Coal Handling and Preparation Plant (CHPP), train load out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79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facility, rail spur and mine infrastructure.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The main activities associated with the development of the Project are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use of open cut mining equipment to extract ROM coal at a maximum rate of 10 Mtpa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construction and operation of mine infrastructure areas, including ROM pads, workshops, offices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an on-site CHPP and rail load out facility,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construction and operation of a Project rail loop and rail spur (including associated local road level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crossings) to connect the Project to the Maules Creek Coal Mine and Boggabri Coal Mine rail spur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and the Werris Creek Mungindi Railway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on-site excavation and production of waste rock and gravel construction fill materials for use in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Project rail spur and road construction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construction of 66 to 22 kV electricity substations and 66 kV powerline to supply mine infrastructure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0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areas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0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construction and operation of ancillary infrastructure in support of mining including, haul roads,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electricity supply, consumable storage areas, light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vehicle roads and access tracks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0" w:line="183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construction and use of water supply bores associated pump and pipeline systems</w:t>
      </w:r>
    </w:p>
    <w:p>
      <w:pPr>
        <w:pBdr>
          <w:top w:sz="9" w:space="3" w:color="808080" w:val="single"/>
          <w:left w:sz="9" w:space="3" w:color="808080" w:val="single"/>
          <w:right w:sz="9" w:space="0" w:color="808080" w:val="single"/>
        </w:pBdr>
        <w:spacing w:before="0" w:after="1026" w:line="202" w:lineRule="exact"/>
        <w:ind w:right="588" w:left="515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construction and use of dams, sediment basins, up-catchment diversions, channels, dewatering</w:t>
      </w: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nextPage"/>
          <w:pgSz w:w="11909" w:h="16838" w:orient="portrait"/>
          <w:pgMar w:bottom="119" w:top="300" w:right="806" w:left="883" w:header="720" w:footer="720"/>
          <w:titlePg w:val="false"/>
          <w:textDirection w:val="lrTb"/>
        </w:sectPr>
      </w:pPr>
    </w:p>
    <w:p>
      <w:pPr>
        <w:spacing w:before="16" w:after="854" w:line="275" w:lineRule="exact"/>
        <w:ind w:right="0" w:left="72" w:firstLine="0"/>
        <w:jc w:val="center"/>
        <w:textAlignment w:val="baseline"/>
        <w:rPr>
          <w:rFonts w:ascii="Tahoma" w:hAnsi="Tahoma" w:eastAsia="Tahoma"/>
          <w:b w:val="true"/>
          <w:color w:val="C00000"/>
          <w:spacing w:val="-5"/>
          <w:w w:val="100"/>
          <w:sz w:val="23"/>
          <w:vertAlign w:val="baseline"/>
          <w:lang w:val="en-US"/>
        </w:rPr>
      </w:pPr>
      <w:r>
        <w:rPr>
          <w:rFonts w:ascii="Tahoma" w:hAnsi="Tahoma" w:eastAsia="Tahoma"/>
          <w:b w:val="true"/>
          <w:color w:val="C00000"/>
          <w:spacing w:val="-5"/>
          <w:w w:val="100"/>
          <w:sz w:val="23"/>
          <w:vertAlign w:val="baseline"/>
          <w:lang w:val="en-US"/>
        </w:rPr>
        <w:t xml:space="preserve">OFFICIAL</w:t>
      </w:r>
    </w:p>
    <w:p>
      <w:pPr>
        <w:spacing w:before="6" w:after="0" w:line="182" w:lineRule="exact"/>
        <w:ind w:right="288" w:left="72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pict>
          <v:line strokeweight="1.2pt" strokecolor="#808080" from="66.25pt,158.25pt" to="526.25pt,158.2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66.25pt,71.75pt" to="66.25pt,158.2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526.25pt,71.75pt" to="526.25pt,158.2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bores and other water management infrastructure required to operate the Project and construction and use of other associated minor infrastructure and plant and other minor activities</w:t>
      </w:r>
    </w:p>
    <w:p>
      <w:pPr>
        <w:spacing w:before="181" w:after="0" w:line="183" w:lineRule="exact"/>
        <w:ind w:right="288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The Feasibility Study (FS) was presented to the WHC Board in August 2025 and the decision was to pause the project until further notice.</w:t>
      </w:r>
    </w:p>
    <w:p>
      <w:pPr>
        <w:spacing w:before="1" w:after="422" w:line="182" w:lineRule="exact"/>
        <w:ind w:right="72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There will be no new large tenders in the foreseeable future until the WHC's Board gives their financial approval for the project.</w:t>
      </w:r>
    </w:p>
    <w:p>
      <w:pPr>
        <w:spacing w:before="26" w:after="14" w:line="22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Estimated completion date: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61" w:line="221" w:lineRule="exact"/>
        <w:ind w:right="6195" w:left="72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31/12/2031</w:t>
      </w:r>
    </w:p>
    <w:p>
      <w:pPr>
        <w:spacing w:before="33" w:after="0" w:line="286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  <w:t xml:space="preserve">Key goods and services</w:t>
      </w:r>
    </w:p>
    <w:p>
      <w:pPr>
        <w:spacing w:before="153" w:after="0" w:line="22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Indicative list of key goods and services to be acquired for the project:</w:t>
      </w:r>
    </w:p>
    <w:p>
      <w:pPr>
        <w:spacing w:before="230" w:after="0" w:line="226" w:lineRule="exact"/>
        <w:ind w:right="0" w:left="72" w:firstLine="0"/>
        <w:jc w:val="left"/>
        <w:textAlignment w:val="baseline"/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  <w:t xml:space="preserve">List of key goods and services:</w:t>
      </w:r>
    </w:p>
    <w:p>
      <w:pPr>
        <w:spacing w:before="42" w:after="455" w:line="222" w:lineRule="exact"/>
        <w:ind w:right="0" w:left="72" w:firstLine="0"/>
        <w:jc w:val="left"/>
        <w:textAlignment w:val="baseline"/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  <w:t xml:space="preserve">An Australian entity is an entity with an ABN or CAN.</w:t>
      </w:r>
    </w:p>
    <w:tbl>
      <w:tblPr>
        <w:jc w:val="left"/>
        <w:tblInd w:w="115" w:type="dxa"/>
        <w:tblLayout w:type="fixed"/>
        <w:tblCellMar>
          <w:left w:w="0" w:type="dxa"/>
          <w:right w:w="0" w:type="dxa"/>
        </w:tblCellMar>
      </w:tblPr>
      <w:tblGrid>
        <w:gridCol w:w="3010"/>
        <w:gridCol w:w="3004"/>
        <w:gridCol w:w="3010"/>
      </w:tblGrid>
      <w:tr>
        <w:trPr>
          <w:trHeight w:val="821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557" w:line="226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Key goods and services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557" w:line="226" w:lineRule="exact"/>
              <w:ind w:right="0" w:left="115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Opportunity for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0" w:line="22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Explanation for no</w:t>
            </w:r>
          </w:p>
          <w:p>
            <w:pPr>
              <w:spacing w:before="0" w:after="19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826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Mobile Diesel Equipment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0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4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52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Coal Handling Process Plant Equipment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5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4" w:after="816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Mining Equipment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5" w:line="26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47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83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Office Supplies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5" w:line="259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61" w:line="259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Water Infrastructure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Equipment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4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56" w:line="259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Pre-cast concrete products (culverts, sleepers, beams)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9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0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821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Steel Rail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4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90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830" w:line="222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Pre-fabricated buildings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4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Tahoma" w:hAnsi="Tahoma" w:eastAsia="Tahoma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1305" w:line="20" w:lineRule="exact"/>
      </w:pPr>
    </w:p>
    <w:p>
      <w:pPr>
        <w:spacing w:before="3" w:after="0" w:line="275" w:lineRule="exact"/>
        <w:ind w:right="0" w:left="72" w:firstLine="0"/>
        <w:jc w:val="center"/>
        <w:textAlignment w:val="baseline"/>
        <w:rPr>
          <w:rFonts w:ascii="Tahoma" w:hAnsi="Tahoma" w:eastAsia="Tahoma"/>
          <w:b w:val="true"/>
          <w:color w:val="C00000"/>
          <w:spacing w:val="-5"/>
          <w:w w:val="100"/>
          <w:sz w:val="23"/>
          <w:vertAlign w:val="baseline"/>
          <w:lang w:val="en-US"/>
        </w:rPr>
      </w:pPr>
      <w:r>
        <w:rPr>
          <w:rFonts w:ascii="Tahoma" w:hAnsi="Tahoma" w:eastAsia="Tahoma"/>
          <w:b w:val="true"/>
          <w:color w:val="C00000"/>
          <w:spacing w:val="-5"/>
          <w:w w:val="100"/>
          <w:sz w:val="23"/>
          <w:vertAlign w:val="baseline"/>
          <w:lang w:val="en-US"/>
        </w:rPr>
        <w:t xml:space="preserve">OFFICIAL</w:t>
      </w:r>
    </w:p>
    <w:p>
      <w:pPr>
        <w:sectPr>
          <w:type w:val="nextPage"/>
          <w:pgSz w:w="11909" w:h="16838" w:orient="portrait"/>
          <w:pgMar w:bottom="129" w:top="280" w:right="1384" w:left="1325" w:header="720" w:footer="720"/>
          <w:titlePg w:val="false"/>
          <w:textDirection w:val="lrTb"/>
        </w:sectPr>
      </w:pPr>
    </w:p>
    <w:p>
      <w:pPr>
        <w:spacing w:before="8" w:after="843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" w:after="843" w:line="274" w:lineRule="exact"/>
        <w:sectPr>
          <w:type w:val="nextPage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tbl>
      <w:tblPr>
        <w:jc w:val="left"/>
        <w:tblInd w:w="116" w:type="dxa"/>
        <w:tblLayout w:type="fixed"/>
        <w:tblCellMar>
          <w:left w:w="0" w:type="dxa"/>
          <w:right w:w="0" w:type="dxa"/>
        </w:tblCellMar>
      </w:tblPr>
      <w:tblGrid>
        <w:gridCol w:w="3010"/>
        <w:gridCol w:w="3004"/>
        <w:gridCol w:w="3010"/>
      </w:tblGrid>
      <w:tr>
        <w:trPr>
          <w:trHeight w:val="1090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52" w:line="264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High voltage equipment and cabling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4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5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47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83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Accommodation services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5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61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Engineering and design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services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4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52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92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Project Management services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4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246" w:line="20" w:lineRule="exact"/>
      </w:pPr>
    </w:p>
    <w:p>
      <w:pPr>
        <w:spacing w:before="26" w:after="14" w:line="221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Project standards: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Australian</w:t>
      </w:r>
    </w:p>
    <w:p>
      <w:pPr>
        <w:sectPr>
          <w:type w:val="continuous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10260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0" w:line="274" w:lineRule="exact"/>
        <w:ind w:right="0" w:left="72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93" w:after="0" w:line="287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  <w:t xml:space="preserve">Supplier information and communication</w:t>
      </w:r>
    </w:p>
    <w:p>
      <w:pPr>
        <w:spacing w:before="153" w:after="0" w:line="240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Project Proponents Contact Person</w:t>
      </w:r>
    </w:p>
    <w:p>
      <w:pPr>
        <w:spacing w:before="115" w:after="0" w:line="221" w:lineRule="exact"/>
        <w:ind w:right="0" w:left="72" w:firstLine="0"/>
        <w:jc w:val="left"/>
        <w:textAlignment w:val="baseline"/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  <w:t xml:space="preserve">Project proponent’s contact person for supplier enquires.</w:t>
      </w:r>
    </w:p>
    <w:p>
      <w:pPr>
        <w:spacing w:before="230" w:after="10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Contact person’s name: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32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Phill Wade</w:t>
      </w:r>
    </w:p>
    <w:p>
      <w:pPr>
        <w:spacing w:before="26" w:after="5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Contact person’s position:</w:t>
      </w:r>
    </w:p>
    <w:p>
      <w:pPr>
        <w:pBdr>
          <w:top w:sz="9" w:space="6" w:color="808080" w:val="single"/>
          <w:left w:sz="9" w:space="3" w:color="808080" w:val="single"/>
          <w:bottom w:sz="9" w:space="6" w:color="808080" w:val="single"/>
          <w:right w:sz="9" w:space="0" w:color="808080" w:val="single"/>
        </w:pBdr>
        <w:spacing w:before="0" w:after="127" w:line="16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15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15"/>
          <w:vertAlign w:val="baseline"/>
          <w:lang w:val="en-US"/>
        </w:rPr>
        <w:t xml:space="preserve">Senior Project Manager</w:t>
      </w:r>
    </w:p>
    <w:p>
      <w:pPr>
        <w:spacing w:before="26" w:after="6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Phone number: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27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0488111971</w:t>
      </w:r>
    </w:p>
    <w:p>
      <w:pPr>
        <w:spacing w:before="26" w:after="6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Email address: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577" w:line="22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hyperlink r:id="dhId1">
        <w:r>
          <w:rPr>
            <w:rFonts w:ascii="Calibri" w:hAnsi="Calibri" w:eastAsia="Calibri"/>
            <w:color w:val="0000FF"/>
            <w:spacing w:val="0"/>
            <w:w w:val="100"/>
            <w:sz w:val="22"/>
            <w:u w:val="single"/>
            <w:vertAlign w:val="baseline"/>
            <w:lang w:val="en-US"/>
          </w:rPr>
          <w:t xml:space="preserve">pwade@whitehavencoal.com.au</w:t>
        </w:r>
      </w:hyperlink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
</w:t>
      </w:r>
    </w:p>
    <w:p>
      <w:pPr>
        <w:spacing w:before="0" w:after="18" w:line="302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Project Proponent Website</w:t>
        <w:br/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Project proponent website: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578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hyperlink r:id="dhId2">
        <w:r>
          <w:rPr>
            <w:rFonts w:ascii="Calibri" w:hAnsi="Calibri" w:eastAsia="Calibri"/>
            <w:color w:val="0000FF"/>
            <w:spacing w:val="0"/>
            <w:w w:val="100"/>
            <w:sz w:val="22"/>
            <w:u w:val="single"/>
            <w:vertAlign w:val="baseline"/>
            <w:lang w:val="en-US"/>
          </w:rPr>
          <w:t xml:space="preserve">https://whitehavencoal.com.au/our-business/our-assets/vickery-extension-project/</w:t>
        </w:r>
      </w:hyperlink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
</w:t>
      </w:r>
    </w:p>
    <w:p>
      <w:pPr>
        <w:spacing w:before="0" w:after="0" w:line="303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Project Opportunities Website</w:t>
        <w:br/>
      </w:r>
      <w:r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  <w:t xml:space="preserve">List of websites:</w:t>
      </w:r>
    </w:p>
    <w:tbl>
      <w:tblPr>
        <w:jc w:val="left"/>
        <w:tblInd w:w="116" w:type="dxa"/>
        <w:tblLayout w:type="fixed"/>
        <w:tblCellMar>
          <w:left w:w="0" w:type="dxa"/>
          <w:right w:w="0" w:type="dxa"/>
        </w:tblCellMar>
      </w:tblPr>
      <w:tblGrid>
        <w:gridCol w:w="3686"/>
        <w:gridCol w:w="1844"/>
        <w:gridCol w:w="3494"/>
      </w:tblGrid>
      <w:tr>
        <w:trPr>
          <w:trHeight w:val="552" w:hRule="exact"/>
        </w:trPr>
        <w:tc>
          <w:tcPr>
            <w:tcW w:w="3686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283" w:line="226" w:lineRule="exact"/>
              <w:ind w:right="0" w:left="125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Is this website active?</w:t>
            </w:r>
          </w:p>
        </w:tc>
        <w:tc>
          <w:tcPr>
            <w:tcW w:w="184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0" w:after="14" w:line="266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Is this website active?</w:t>
            </w:r>
          </w:p>
        </w:tc>
        <w:tc>
          <w:tcPr>
            <w:tcW w:w="349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0" w:after="14" w:line="266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Date the website is expected to go live:</w:t>
            </w:r>
          </w:p>
        </w:tc>
      </w:tr>
      <w:tr>
        <w:trPr>
          <w:trHeight w:val="552" w:hRule="exact"/>
        </w:trPr>
        <w:tc>
          <w:tcPr>
            <w:tcW w:w="3686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0" w:line="261" w:lineRule="exact"/>
              <w:ind w:right="144" w:left="108" w:firstLine="0"/>
              <w:jc w:val="both"/>
              <w:textAlignment w:val="baseline"/>
              <w:rPr>
                <w:rFonts w:ascii="Calibri" w:hAnsi="Calibri" w:eastAsia="Calibri"/>
                <w:color w:val="000000"/>
                <w:spacing w:val="-3"/>
                <w:w w:val="100"/>
                <w:sz w:val="22"/>
                <w:vertAlign w:val="baseline"/>
                <w:lang w:val="en-US"/>
              </w:rPr>
            </w:pPr>
            <w:hyperlink r:id="dhId3">
              <w:r>
                <w:rPr>
                  <w:rFonts w:ascii="Calibri" w:hAnsi="Calibri" w:eastAsia="Calibri"/>
                  <w:color w:val="0000FF"/>
                  <w:spacing w:val="-3"/>
                  <w:w w:val="100"/>
                  <w:sz w:val="22"/>
                  <w:u w:val="single"/>
                  <w:vertAlign w:val="baseline"/>
                  <w:lang w:val="en-US"/>
                </w:rPr>
                <w:t xml:space="preserve">https://whitehavencoal.com.au/suppli</w:t>
              </w:r>
            </w:hyperlink>
            <w:r>
              <w:rPr>
                <w:rFonts w:ascii="Calibri" w:hAnsi="Calibri" w:eastAsia="Calibri"/>
                <w:color w:val="000000"/>
                <w:spacing w:val="-3"/>
                <w:w w:val="100"/>
                <w:sz w:val="22"/>
                <w:vertAlign w:val="baseline"/>
                <w:lang w:val="en-US"/>
              </w:rPr>
              <w:t xml:space="preserve"> ers/</w:t>
            </w:r>
          </w:p>
        </w:tc>
        <w:tc>
          <w:tcPr>
            <w:tcW w:w="184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89" w:line="220" w:lineRule="exact"/>
              <w:ind w:right="0" w:left="111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Yes</w:t>
            </w:r>
          </w:p>
        </w:tc>
        <w:tc>
          <w:tcPr>
            <w:tcW w:w="349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18" w:after="14" w:line="22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Supplier engagement and communication actions: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20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Promote project opportunities through industry associations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183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Conduct supplier information briefings on project opportunities and bid processes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18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Issue media releases or ASX announcements on project developments and opportunities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203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Develop and distribute a supplier information guide for the project</w:t>
      </w:r>
    </w:p>
    <w:p>
      <w:pPr>
        <w:sectPr>
          <w:type w:val="nextPage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4438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858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" w:after="858" w:line="274" w:lineRule="exact"/>
        <w:sectPr>
          <w:type w:val="nextPage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33" w:after="0" w:line="287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  <w:t xml:space="preserve">Building Australian industry capability</w:t>
      </w:r>
    </w:p>
    <w:p>
      <w:pPr>
        <w:spacing w:before="153" w:after="9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Supplier capability development actions:</w:t>
      </w:r>
    </w:p>
    <w:p>
      <w:pPr>
        <w:pBdr>
          <w:top w:sz="9" w:space="6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583" w:line="178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Recommend suppliers undertake training and/or accreditation</w:t>
        <w:br/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Provide market intelligence to suppliers</w:t>
      </w:r>
    </w:p>
    <w:p>
      <w:pPr>
        <w:spacing w:before="26" w:after="19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Global supply chain integration actions:</w:t>
      </w:r>
    </w:p>
    <w:p>
      <w:pPr>
        <w:pBdr>
          <w:top w:sz="9" w:space="4" w:color="808080" w:val="single"/>
          <w:left w:sz="9" w:space="3" w:color="808080" w:val="single"/>
          <w:bottom w:sz="9" w:space="6" w:color="808080" w:val="single"/>
          <w:right w:sz="9" w:space="0" w:color="808080" w:val="single"/>
        </w:pBdr>
        <w:spacing w:before="0" w:after="583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Provide references for high performing suppliers</w:t>
      </w:r>
    </w:p>
    <w:p>
      <w:pPr>
        <w:spacing w:before="26" w:after="11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Feedback:</w:t>
      </w:r>
    </w:p>
    <w:p>
      <w:pPr>
        <w:spacing w:before="119" w:after="0" w:line="182" w:lineRule="exact"/>
        <w:ind w:right="216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pict>
          <v:line strokeweight="1.2pt" strokecolor="#808080" from="66.2pt,248.9pt" to="526.2pt,248.9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66.2pt,248.9pt" to="66.2pt,317.7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526.2pt,248.9pt" to="526.2pt,317.7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Confirm you, and/or your procurement entities will offer and, if requested, provide feedback to unsuccessful Australian entities whose bids to supply key goods or services for the project have not been successful</w:t>
      </w:r>
    </w:p>
    <w:p>
      <w:pPr>
        <w:spacing w:before="3" w:after="0" w:line="172" w:lineRule="exact"/>
        <w:ind w:right="36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Confirm feedback provided to unsuccessful bidders will include any recommendations of relevant training, skills, capability and capacity development</w:t>
      </w:r>
    </w:p>
    <w:p>
      <w:pPr>
        <w:spacing w:before="0" w:after="105" w:line="202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Confirm you will collect written evidence of feedback offered or provided to unsuccessful bidders</w:t>
      </w:r>
    </w:p>
    <w:p>
      <w:pPr>
        <w:spacing w:before="0" w:after="105" w:line="202" w:lineRule="exact"/>
        <w:sectPr>
          <w:type w:val="continuous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9622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1.2pt" strokecolor="#808080" from="0pt,0pt" to="460pt,0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1174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107" w:after="0" w:line="324" w:lineRule="exact"/>
        <w:ind w:right="0" w:left="648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32"/>
          <w:vertAlign w:val="baseline"/>
          <w:lang w:val="en-US"/>
        </w:rPr>
      </w:pPr>
      <w:r>
        <w:pict>
          <v:line strokeweight="3.1pt" strokecolor="#2373A5" from="40.3pt,89.75pt" to="551.35pt,89.7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F4761"/>
          <w:spacing w:val="0"/>
          <w:w w:val="100"/>
          <w:sz w:val="32"/>
          <w:vertAlign w:val="baseline"/>
          <w:lang w:val="en-US"/>
        </w:rPr>
        <w:t xml:space="preserve">Australian Industry Participation Plan Summary – Operations Phase</w:t>
      </w:r>
    </w:p>
    <w:p>
      <w:pPr>
        <w:spacing w:before="162" w:after="14" w:line="222" w:lineRule="exact"/>
        <w:ind w:right="0" w:left="648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Nominated facility operator: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60" w:line="221" w:lineRule="exact"/>
        <w:ind w:right="504" w:left="591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VICKERY COAL PTY LTD</w:t>
      </w:r>
    </w:p>
    <w:p>
      <w:pPr>
        <w:spacing w:before="33" w:after="0" w:line="287" w:lineRule="exact"/>
        <w:ind w:right="0" w:left="648" w:firstLine="0"/>
        <w:jc w:val="left"/>
        <w:textAlignment w:val="baseline"/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  <w:t xml:space="preserve">Facility details</w:t>
      </w:r>
    </w:p>
    <w:p>
      <w:pPr>
        <w:spacing w:before="153" w:after="23" w:line="222" w:lineRule="exact"/>
        <w:ind w:right="0" w:left="648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Facility name:</w:t>
      </w:r>
    </w:p>
    <w:p>
      <w:pPr>
        <w:pBdr>
          <w:top w:sz="9" w:space="6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127" w:line="182" w:lineRule="exact"/>
        <w:ind w:right="504" w:left="591" w:firstLine="0"/>
        <w:jc w:val="left"/>
        <w:textAlignment w:val="baseline"/>
        <w:rPr>
          <w:rFonts w:ascii="Arial" w:hAnsi="Arial" w:eastAsia="Arial"/>
          <w:color w:val="000000"/>
          <w:spacing w:val="0"/>
          <w:w w:val="100"/>
          <w:sz w:val="16"/>
          <w:vertAlign w:val="baseline"/>
          <w:lang w:val="en-US"/>
        </w:rPr>
      </w:pPr>
      <w:r>
        <w:rPr>
          <w:rFonts w:ascii="Arial" w:hAnsi="Arial" w:eastAsia="Arial"/>
          <w:color w:val="000000"/>
          <w:spacing w:val="0"/>
          <w:w w:val="100"/>
          <w:sz w:val="16"/>
          <w:vertAlign w:val="baseline"/>
          <w:lang w:val="en-US"/>
        </w:rPr>
        <w:t xml:space="preserve">Vickery Extension Project</w:t>
      </w:r>
    </w:p>
    <w:p>
      <w:pPr>
        <w:spacing w:before="26" w:after="10" w:line="221" w:lineRule="exact"/>
        <w:ind w:right="0" w:left="648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Location: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27" w:line="221" w:lineRule="exact"/>
        <w:ind w:right="504" w:left="663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25km's North of Gunnedah</w:t>
      </w:r>
    </w:p>
    <w:p>
      <w:pPr>
        <w:spacing w:before="26" w:after="9" w:line="222" w:lineRule="exact"/>
        <w:ind w:right="0" w:left="576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Type: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60" w:line="221" w:lineRule="exact"/>
        <w:ind w:right="504" w:left="663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Mine or quarry</w:t>
      </w:r>
    </w:p>
    <w:p>
      <w:pPr>
        <w:spacing w:before="33" w:after="0" w:line="287" w:lineRule="exact"/>
        <w:ind w:right="0" w:left="648" w:firstLine="0"/>
        <w:jc w:val="left"/>
        <w:textAlignment w:val="baseline"/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  <w:t xml:space="preserve">Key goods and services</w:t>
      </w:r>
    </w:p>
    <w:p>
      <w:pPr>
        <w:spacing w:before="153" w:after="0" w:line="222" w:lineRule="exact"/>
        <w:ind w:right="0" w:left="648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Indicative list of key goods and services to be acquired for the new facility:</w:t>
      </w:r>
    </w:p>
    <w:p>
      <w:pPr>
        <w:spacing w:before="229" w:after="0" w:line="227" w:lineRule="exact"/>
        <w:ind w:right="0" w:left="648" w:firstLine="0"/>
        <w:jc w:val="left"/>
        <w:textAlignment w:val="baseline"/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  <w:t xml:space="preserve">List of key goods and services:</w:t>
      </w:r>
    </w:p>
    <w:p>
      <w:pPr>
        <w:spacing w:before="42" w:after="450" w:line="222" w:lineRule="exact"/>
        <w:ind w:right="0" w:left="648" w:firstLine="0"/>
        <w:jc w:val="left"/>
        <w:textAlignment w:val="baseline"/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  <w:t xml:space="preserve">An Australian entity is an entity with an ABN or CAN.</w:t>
      </w:r>
    </w:p>
    <w:tbl>
      <w:tblPr>
        <w:jc w:val="left"/>
        <w:tblInd w:w="634" w:type="dxa"/>
        <w:tblLayout w:type="fixed"/>
        <w:tblCellMar>
          <w:left w:w="0" w:type="dxa"/>
          <w:right w:w="0" w:type="dxa"/>
        </w:tblCellMar>
      </w:tblPr>
      <w:tblGrid>
        <w:gridCol w:w="3010"/>
        <w:gridCol w:w="3004"/>
        <w:gridCol w:w="3010"/>
      </w:tblGrid>
      <w:tr>
        <w:trPr>
          <w:trHeight w:val="821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552" w:line="226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Key goods and services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552" w:line="226" w:lineRule="exact"/>
              <w:ind w:right="0" w:left="115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Opportunity for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8" w:after="0" w:line="22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Explanation for no</w:t>
            </w:r>
          </w:p>
          <w:p>
            <w:pPr>
              <w:spacing w:before="1" w:after="15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821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Explosives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0" w:line="266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4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552" w:line="259" w:lineRule="exact"/>
              <w:ind w:right="54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Spare parts for mining and CHPP equipment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5" w:line="268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830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Fuel and Lubricants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24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0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825" w:line="222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Operational Consumables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5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9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1085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821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Chemicals and Industrial Gases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61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  <w:p>
            <w:pPr>
              <w:spacing w:before="0" w:after="14" w:line="269" w:lineRule="exact"/>
              <w:ind w:right="0" w:left="144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non-</w:t>
            </w: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</w:t>
              <w:br/>
            </w: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52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98" w:line="221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Waste Management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9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1251" w:line="20" w:lineRule="exact"/>
      </w:pPr>
    </w:p>
    <w:p>
      <w:pPr>
        <w:spacing w:before="0" w:after="1251" w:line="20" w:lineRule="exact"/>
        <w:sectPr>
          <w:type w:val="nextPage"/>
          <w:pgSz w:w="11909" w:h="16838" w:orient="portrait"/>
          <w:pgMar w:bottom="119" w:top="300" w:right="883" w:left="806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843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" w:after="843" w:line="274" w:lineRule="exact"/>
        <w:sectPr>
          <w:type w:val="nextPage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tbl>
      <w:tblPr>
        <w:jc w:val="left"/>
        <w:tblInd w:w="116" w:type="dxa"/>
        <w:tblLayout w:type="fixed"/>
        <w:tblCellMar>
          <w:left w:w="0" w:type="dxa"/>
          <w:right w:w="0" w:type="dxa"/>
        </w:tblCellMar>
      </w:tblPr>
      <w:tblGrid>
        <w:gridCol w:w="3010"/>
        <w:gridCol w:w="3004"/>
        <w:gridCol w:w="3010"/>
      </w:tblGrid>
      <w:tr>
        <w:trPr>
          <w:trHeight w:val="552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8" w:after="288" w:line="221" w:lineRule="exact"/>
              <w:ind w:right="0" w:left="125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Repairs and servicing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9" w:line="264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47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88" w:line="221" w:lineRule="exact"/>
              <w:ind w:right="0" w:left="125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Contract Labour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9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  <w:tr>
        <w:trPr>
          <w:trHeight w:val="552" w:hRule="exact"/>
        </w:trPr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33" w:after="287" w:line="222" w:lineRule="exact"/>
              <w:ind w:right="0" w:left="125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Equipment hire</w:t>
            </w:r>
          </w:p>
        </w:tc>
        <w:tc>
          <w:tcPr>
            <w:tcW w:w="30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9" w:line="261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Opportunities for Australian entities</w:t>
            </w:r>
          </w:p>
        </w:tc>
        <w:tc>
          <w:tcPr>
            <w:tcW w:w="3010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0" w:after="251" w:line="20" w:lineRule="exact"/>
      </w:pPr>
    </w:p>
    <w:p>
      <w:pPr>
        <w:spacing w:before="26" w:after="18" w:line="222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Facility standards:</w:t>
      </w:r>
    </w:p>
    <w:p>
      <w:pPr>
        <w:pBdr>
          <w:top w:sz="9" w:space="4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0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Australian</w:t>
      </w:r>
    </w:p>
    <w:p>
      <w:pPr>
        <w:sectPr>
          <w:type w:val="continuous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11883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858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" w:after="858" w:line="274" w:lineRule="exact"/>
        <w:sectPr>
          <w:type w:val="nextPage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33" w:after="0" w:line="287" w:lineRule="exact"/>
        <w:ind w:right="0" w:left="144" w:firstLine="0"/>
        <w:jc w:val="left"/>
        <w:textAlignment w:val="baseline"/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-1"/>
          <w:w w:val="100"/>
          <w:sz w:val="28"/>
          <w:vertAlign w:val="baseline"/>
          <w:lang w:val="en-US"/>
        </w:rPr>
        <w:t xml:space="preserve">Supplier information and communication</w:t>
      </w:r>
    </w:p>
    <w:p>
      <w:pPr>
        <w:spacing w:before="153" w:after="0" w:line="240" w:lineRule="exact"/>
        <w:ind w:right="0" w:left="144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Facility operators Contact Person</w:t>
      </w:r>
    </w:p>
    <w:p>
      <w:pPr>
        <w:spacing w:before="115" w:after="0" w:line="221" w:lineRule="exact"/>
        <w:ind w:right="0" w:left="144" w:firstLine="0"/>
        <w:jc w:val="left"/>
        <w:textAlignment w:val="baseline"/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i w:val="true"/>
          <w:color w:val="000000"/>
          <w:spacing w:val="0"/>
          <w:w w:val="100"/>
          <w:sz w:val="22"/>
          <w:vertAlign w:val="baseline"/>
          <w:lang w:val="en-US"/>
        </w:rPr>
        <w:t xml:space="preserve">Facility operators contact person for supplier enquires.</w:t>
      </w:r>
    </w:p>
    <w:p>
      <w:pPr>
        <w:spacing w:before="230" w:after="10" w:line="221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Contact person’s name: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32" w:line="220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5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5"/>
          <w:w w:val="100"/>
          <w:sz w:val="22"/>
          <w:vertAlign w:val="baseline"/>
          <w:lang w:val="en-US"/>
        </w:rPr>
        <w:t xml:space="preserve">Phill Wade</w:t>
      </w:r>
    </w:p>
    <w:p>
      <w:pPr>
        <w:spacing w:before="26" w:after="5" w:line="221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1"/>
          <w:w w:val="100"/>
          <w:sz w:val="22"/>
          <w:vertAlign w:val="baseline"/>
          <w:lang w:val="en-US"/>
        </w:rPr>
        <w:t xml:space="preserve">Contact person’s position: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27" w:line="222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Senior Project Manager</w:t>
      </w:r>
    </w:p>
    <w:p>
      <w:pPr>
        <w:spacing w:before="26" w:after="6" w:line="220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Phone number: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127" w:line="220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5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5"/>
          <w:w w:val="100"/>
          <w:sz w:val="22"/>
          <w:vertAlign w:val="baseline"/>
          <w:lang w:val="en-US"/>
        </w:rPr>
        <w:t xml:space="preserve">0488111971</w:t>
      </w:r>
    </w:p>
    <w:p>
      <w:pPr>
        <w:spacing w:before="26" w:after="6" w:line="220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Email address:</w:t>
      </w:r>
    </w:p>
    <w:p>
      <w:pPr>
        <w:pBdr>
          <w:top w:sz="9" w:space="4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577" w:line="222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</w:pPr>
      <w:hyperlink r:id="dhId4">
        <w:r>
          <w:rPr>
            <w:rFonts w:ascii="Calibri" w:hAnsi="Calibri" w:eastAsia="Calibri"/>
            <w:color w:val="0000FF"/>
            <w:spacing w:val="-2"/>
            <w:w w:val="100"/>
            <w:sz w:val="22"/>
            <w:u w:val="single"/>
            <w:vertAlign w:val="baseline"/>
            <w:lang w:val="en-US"/>
          </w:rPr>
          <w:t xml:space="preserve">pwade@whitehavencoal.com.au</w:t>
        </w:r>
      </w:hyperlink>
      <w:r>
        <w:rPr>
          <w:rFonts w:ascii="Calibri" w:hAnsi="Calibri" w:eastAsia="Calibri"/>
          <w:color w:val="000000"/>
          <w:spacing w:val="-2"/>
          <w:w w:val="100"/>
          <w:sz w:val="22"/>
          <w:vertAlign w:val="baseline"/>
          <w:lang w:val="en-US"/>
        </w:rPr>
        <w:t xml:space="preserve">
</w:t>
      </w:r>
    </w:p>
    <w:p>
      <w:pPr>
        <w:spacing w:before="0" w:after="18" w:line="302" w:lineRule="exact"/>
        <w:ind w:right="0" w:left="144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Facility Operator Website</w:t>
        <w:br/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Facility operator website:</w:t>
      </w:r>
    </w:p>
    <w:p>
      <w:pPr>
        <w:pBdr>
          <w:top w:sz="9" w:space="6" w:color="808080" w:val="single"/>
          <w:left w:sz="9" w:space="7" w:color="808080" w:val="single"/>
          <w:bottom w:sz="9" w:space="5" w:color="808080" w:val="single"/>
          <w:right w:sz="9" w:space="0" w:color="808080" w:val="single"/>
        </w:pBdr>
        <w:spacing w:before="0" w:after="578" w:line="160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4"/>
          <w:w w:val="100"/>
          <w:sz w:val="15"/>
          <w:vertAlign w:val="baseline"/>
          <w:lang w:val="en-US"/>
        </w:rPr>
      </w:pPr>
      <w:hyperlink r:id="dhId5">
        <w:r>
          <w:rPr>
            <w:rFonts w:ascii="Calibri" w:hAnsi="Calibri" w:eastAsia="Calibri"/>
            <w:color w:val="0000FF"/>
            <w:spacing w:val="4"/>
            <w:w w:val="100"/>
            <w:sz w:val="15"/>
            <w:u w:val="single"/>
            <w:vertAlign w:val="baseline"/>
            <w:lang w:val="en-US"/>
          </w:rPr>
          <w:t xml:space="preserve">https://whitehavencoal.com.au/our-business/our-assets/vickery-extension-project/</w:t>
        </w:r>
      </w:hyperlink>
      <w:r>
        <w:rPr>
          <w:rFonts w:ascii="Calibri" w:hAnsi="Calibri" w:eastAsia="Calibri"/>
          <w:color w:val="000000"/>
          <w:spacing w:val="4"/>
          <w:w w:val="100"/>
          <w:sz w:val="15"/>
          <w:vertAlign w:val="baseline"/>
          <w:lang w:val="en-US"/>
        </w:rPr>
        <w:t xml:space="preserve">
</w:t>
      </w:r>
    </w:p>
    <w:p>
      <w:pPr>
        <w:spacing w:before="0" w:after="447" w:line="303" w:lineRule="exact"/>
        <w:ind w:right="0" w:left="144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4"/>
          <w:vertAlign w:val="baseline"/>
          <w:lang w:val="en-US"/>
        </w:rPr>
        <w:t xml:space="preserve">Facility Opportunities Website</w:t>
        <w:br/>
      </w:r>
      <w:r>
        <w:rPr>
          <w:rFonts w:ascii="Calibri" w:hAnsi="Calibri" w:eastAsia="Calibri"/>
          <w:b w:val="true"/>
          <w:color w:val="000000"/>
          <w:spacing w:val="0"/>
          <w:w w:val="100"/>
          <w:sz w:val="22"/>
          <w:vertAlign w:val="baseline"/>
          <w:lang w:val="en-US"/>
        </w:rPr>
        <w:t xml:space="preserve">List of websites:</w:t>
      </w:r>
    </w:p>
    <w:tbl>
      <w:tblPr>
        <w:jc w:val="left"/>
        <w:tblInd w:w="116" w:type="dxa"/>
        <w:tblLayout w:type="fixed"/>
        <w:tblCellMar>
          <w:left w:w="0" w:type="dxa"/>
          <w:right w:w="0" w:type="dxa"/>
        </w:tblCellMar>
      </w:tblPr>
      <w:tblGrid>
        <w:gridCol w:w="3504"/>
        <w:gridCol w:w="1742"/>
        <w:gridCol w:w="1032"/>
        <w:gridCol w:w="2746"/>
      </w:tblGrid>
      <w:tr>
        <w:trPr>
          <w:trHeight w:val="552" w:hRule="exact"/>
        </w:trPr>
        <w:tc>
          <w:tcPr>
            <w:tcW w:w="3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33" w:after="282" w:line="227" w:lineRule="exact"/>
              <w:ind w:right="0" w:left="120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Website address (URL only)</w:t>
            </w:r>
          </w:p>
        </w:tc>
        <w:tc>
          <w:tcPr>
            <w:tcW w:w="1742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0" w:after="15" w:line="263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Is this website active?</w:t>
            </w:r>
          </w:p>
        </w:tc>
        <w:tc>
          <w:tcPr>
            <w:tcW w:w="3778" w:type="dxa"/>
            <w:gridSpan w:val="2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shd w:val="clear" w:color="156082" w:fill="156082"/>
            <w:textDirection w:val="lrTb"/>
            <w:vAlign w:val="top"/>
          </w:tcPr>
          <w:p>
            <w:pPr>
              <w:spacing w:before="0" w:after="15" w:line="263" w:lineRule="exact"/>
              <w:ind w:right="540" w:left="108" w:firstLine="0"/>
              <w:jc w:val="left"/>
              <w:textAlignment w:val="baseline"/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b w:val="true"/>
                <w:color w:val="FFFFFF"/>
                <w:spacing w:val="0"/>
                <w:w w:val="100"/>
                <w:sz w:val="22"/>
                <w:vertAlign w:val="baseline"/>
                <w:lang w:val="en-US"/>
              </w:rPr>
              <w:t xml:space="preserve">Date the website is expected to go live:</w:t>
            </w:r>
          </w:p>
        </w:tc>
      </w:tr>
      <w:tr>
        <w:trPr>
          <w:trHeight w:val="552" w:hRule="exact"/>
        </w:trPr>
        <w:tc>
          <w:tcPr>
            <w:tcW w:w="3504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19" w:line="259" w:lineRule="exact"/>
              <w:ind w:right="0" w:left="108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hyperlink r:id="dhId6">
              <w:r>
                <w:rPr>
                  <w:rFonts w:ascii="Calibri" w:hAnsi="Calibri" w:eastAsia="Calibri"/>
                  <w:color w:val="0000FF"/>
                  <w:spacing w:val="0"/>
                  <w:w w:val="100"/>
                  <w:sz w:val="22"/>
                  <w:u w:val="single"/>
                  <w:vertAlign w:val="baseline"/>
                  <w:lang w:val="en-US"/>
                </w:rPr>
                <w:t xml:space="preserve">https://whitehavencoal.com.au/sup</w:t>
              </w:r>
            </w:hyperlink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 pliers/</w:t>
            </w:r>
          </w:p>
        </w:tc>
        <w:tc>
          <w:tcPr>
            <w:tcW w:w="2774" w:type="dxa"/>
            <w:gridSpan w:val="2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289" w:line="220" w:lineRule="exact"/>
              <w:ind w:right="0" w:left="110" w:firstLine="0"/>
              <w:jc w:val="left"/>
              <w:textAlignment w:val="baseline"/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</w:pPr>
            <w:r>
              <w:rPr>
                <w:rFonts w:ascii="Calibri" w:hAnsi="Calibri" w:eastAsia="Calibri"/>
                <w:color w:val="000000"/>
                <w:spacing w:val="0"/>
                <w:w w:val="100"/>
                <w:sz w:val="22"/>
                <w:vertAlign w:val="baseline"/>
                <w:lang w:val="en-US"/>
              </w:rPr>
              <w:t xml:space="preserve">Yes</w:t>
            </w:r>
          </w:p>
        </w:tc>
        <w:tc>
          <w:tcPr>
            <w:tcW w:w="2746" w:type="dxa"/>
            <w:tcBorders>
              <w:top w:val="single" w:sz="4" w:color="000000"/>
              <w:left w:val="single" w:sz="4" w:color="000000"/>
              <w:bottom w:val="single" w:sz="4" w:color="000000"/>
              <w:right w:val="single" w:sz="4" w:color="000000"/>
            </w:tcBorders>
            <w:textDirection w:val="lrTb"/>
            <w:vAlign w:val="top"/>
          </w:tcPr>
          <w:p>
            <w:pPr>
              <w:spacing w:before="0" w:after="0" w:line="240" w:lineRule="auto"/>
              <w:ind w:right="0" w:left="0" w:firstLine="0"/>
              <w:jc w:val="left"/>
              <w:textAlignment w:val="baseline"/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</w:pPr>
            <w:r>
              <w:rPr>
                <w:rFonts w:ascii="Arial" w:hAnsi="Arial" w:eastAsia="Arial"/>
                <w:color w:val="000000"/>
                <w:w w:val="100"/>
                <w:sz w:val="24"/>
                <w:vertAlign w:val="baseline"/>
                <w:lang w:val="en-US"/>
              </w:rPr>
              <w:t xml:space="preserve">
</w:t>
            </w:r>
          </w:p>
        </w:tc>
      </w:tr>
    </w:tbl>
    <w:p>
      <w:pPr>
        <w:spacing w:before="14" w:after="14" w:line="221" w:lineRule="exact"/>
        <w:ind w:right="0" w:left="144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Supplier engagement and communication actions:</w:t>
      </w:r>
    </w:p>
    <w:p>
      <w:pPr>
        <w:spacing w:before="119" w:after="100" w:line="183" w:lineRule="exact"/>
        <w:ind w:right="1008" w:left="144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pict>
          <v:line strokeweight="1.2pt" strokecolor="#808080" from="66.2pt,536.15pt" to="526.2pt,536.1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66.2pt,536.15pt" to="66.2pt,568.5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526.2pt,536.15pt" to="526.2pt,568.5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Conduct supplier information briefings on new facility opportunities and bid processes Directly contact suppliers with information on new facility opportunities and bid processes</w:t>
      </w:r>
    </w:p>
    <w:p>
      <w:pPr>
        <w:spacing w:before="119" w:after="100" w:line="183" w:lineRule="exact"/>
        <w:sectPr>
          <w:type w:val="continuous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4606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1.2pt" strokecolor="#808080" from="0pt,0pt" to="460pt,0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ectPr>
          <w:type w:val="continuous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8" w:after="858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p>
      <w:pPr>
        <w:spacing w:before="8" w:after="858" w:line="274" w:lineRule="exact"/>
        <w:sectPr>
          <w:type w:val="nextPage"/>
          <w:pgSz w:w="11909" w:h="16838" w:orient="portrait"/>
          <w:pgMar w:bottom="119" w:top="300" w:right="1352" w:left="1357" w:header="720" w:footer="720"/>
          <w:titlePg w:val="false"/>
          <w:textDirection w:val="lrTb"/>
        </w:sectPr>
      </w:pPr>
    </w:p>
    <w:p>
      <w:pPr>
        <w:spacing w:before="33" w:after="0" w:line="287" w:lineRule="exact"/>
        <w:ind w:right="0" w:left="72" w:firstLine="0"/>
        <w:jc w:val="left"/>
        <w:textAlignment w:val="baseline"/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</w:pPr>
      <w:r>
        <w:rPr>
          <w:rFonts w:ascii="Calibri" w:hAnsi="Calibri" w:eastAsia="Calibri"/>
          <w:color w:val="0F4761"/>
          <w:spacing w:val="0"/>
          <w:w w:val="100"/>
          <w:sz w:val="28"/>
          <w:vertAlign w:val="baseline"/>
          <w:lang w:val="en-US"/>
        </w:rPr>
        <w:t xml:space="preserve">Building Australian industry capability</w:t>
      </w:r>
    </w:p>
    <w:p>
      <w:pPr>
        <w:spacing w:before="153" w:after="9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Supplier capability development actions:</w:t>
      </w:r>
    </w:p>
    <w:p>
      <w:pPr>
        <w:pBdr>
          <w:top w:sz="9" w:space="6" w:color="808080" w:val="single"/>
          <w:left w:sz="9" w:space="3" w:color="808080" w:val="single"/>
          <w:bottom w:sz="9" w:space="5" w:color="808080" w:val="single"/>
          <w:right w:sz="9" w:space="0" w:color="808080" w:val="single"/>
        </w:pBdr>
        <w:spacing w:before="0" w:after="583" w:line="178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Recommend suppliers undertake training and/or accreditation</w:t>
        <w:br/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Provide market intelligence to suppliers</w:t>
      </w:r>
    </w:p>
    <w:p>
      <w:pPr>
        <w:spacing w:before="26" w:after="19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Global supply chain integration actions:</w:t>
      </w:r>
    </w:p>
    <w:p>
      <w:pPr>
        <w:pBdr>
          <w:top w:sz="9" w:space="4" w:color="808080" w:val="single"/>
          <w:left w:sz="9" w:space="3" w:color="808080" w:val="single"/>
          <w:bottom w:sz="9" w:space="6" w:color="808080" w:val="single"/>
          <w:right w:sz="9" w:space="0" w:color="808080" w:val="single"/>
        </w:pBdr>
        <w:spacing w:before="0" w:after="583" w:line="221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Provide references for high performing suppliers</w:t>
      </w:r>
    </w:p>
    <w:p>
      <w:pPr>
        <w:spacing w:before="26" w:after="11" w:line="220" w:lineRule="exact"/>
        <w:ind w:right="0" w:left="72" w:firstLine="0"/>
        <w:jc w:val="left"/>
        <w:textAlignment w:val="baseline"/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-3"/>
          <w:w w:val="100"/>
          <w:sz w:val="22"/>
          <w:vertAlign w:val="baseline"/>
          <w:lang w:val="en-US"/>
        </w:rPr>
        <w:t xml:space="preserve">Feedback:</w:t>
      </w:r>
    </w:p>
    <w:p>
      <w:pPr>
        <w:spacing w:before="120" w:after="0" w:line="182" w:lineRule="exact"/>
        <w:ind w:right="360" w:left="72" w:firstLine="0"/>
        <w:jc w:val="both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pict>
          <v:line strokeweight="1.2pt" strokecolor="#808080" from="66.2pt,248.9pt" to="526.2pt,248.9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66.2pt,248.9pt" to="66.2pt,317.75pt" style="position:absolute;mso-position-horizontal-relative:page;mso-position-vertical-relative:page;">
            <v:stroke dashstyle="solid"/>
          </v:line>
        </w:pict>
      </w:r>
      <w:r>
        <w:pict>
          <v:line strokeweight="1.2pt" strokecolor="#808080" from="526.2pt,248.9pt" to="526.2pt,317.75pt" style="position:absolute;mso-position-horizontal-relative:page;mso-position-vertical-relative:page;">
            <v:stroke dashstyle="solid"/>
          </v:line>
        </w:pict>
      </w: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Confirm feedback provided to unsuccessful bidders will include any recommendations of relevant training, skills, capability and capacity development</w:t>
      </w:r>
    </w:p>
    <w:p>
      <w:pPr>
        <w:spacing w:before="1" w:after="106" w:line="182" w:lineRule="exact"/>
        <w:ind w:right="216" w:left="72" w:firstLine="0"/>
        <w:jc w:val="left"/>
        <w:textAlignment w:val="baseline"/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</w:pPr>
      <w:r>
        <w:rPr>
          <w:rFonts w:ascii="Calibri" w:hAnsi="Calibri" w:eastAsia="Calibri"/>
          <w:color w:val="000000"/>
          <w:spacing w:val="0"/>
          <w:w w:val="100"/>
          <w:sz w:val="22"/>
          <w:vertAlign w:val="baseline"/>
          <w:lang w:val="en-US"/>
        </w:rPr>
        <w:t xml:space="preserve">Confirm you will collect written evidence of feedback offered or provided to unsuccessful bidders Confirm you, and/or your procurement entities will offer and, if requested, provide feedback to unsuccessful Australian entities whose bids to supply key goods or services for the new facility have not been successful</w:t>
      </w:r>
    </w:p>
    <w:p>
      <w:pPr>
        <w:spacing w:before="1" w:after="106" w:line="182" w:lineRule="exact"/>
        <w:sectPr>
          <w:type w:val="continuous"/>
          <w:pgSz w:w="11909" w:h="16838" w:orient="portrait"/>
          <w:pgMar w:bottom="119" w:top="300" w:right="1385" w:left="1324" w:header="720" w:footer="720"/>
          <w:titlePg w:val="false"/>
          <w:textDirection w:val="lrTb"/>
        </w:sectPr>
      </w:pPr>
    </w:p>
    <w:p>
      <w:pPr>
        <w:spacing w:before="9622" w:after="0" w:line="288" w:lineRule="exact"/>
        <w:ind w:right="0" w:left="0" w:firstLine="0"/>
        <w:jc w:val="left"/>
        <w:textAlignment w:val="baseline"/>
        <w:rPr>
          <w:rFonts w:ascii="Times New Roman" w:hAnsi="Times New Roman" w:eastAsia="Times New Roman"/>
          <w:color w:val="000000"/>
          <w:w w:val="100"/>
          <w:sz w:val="24"/>
          <w:vertAlign w:val="baseline"/>
          <w:lang w:val="en-US"/>
        </w:rPr>
      </w:pPr>
      <w:r>
        <w:pict>
          <v:line strokeweight="1.2pt" strokecolor="#808080" from="0pt,0pt" to="460pt,0pt" style="position:absolute;mso-position-horizontal-relative:text;mso-position-vertical-relative:text;">
            <v:stroke dashstyle="solid"/>
          </v:line>
        </w:pict>
      </w:r>
    </w:p>
    <w:p>
      <w:pPr>
        <w:sectPr>
          <w:type w:val="continuous"/>
          <w:pgSz w:w="11909" w:h="16838" w:orient="portrait"/>
          <w:pgMar w:bottom="119" w:top="300" w:right="1352" w:left="1324" w:header="720" w:footer="720"/>
          <w:titlePg w:val="false"/>
          <w:textDirection w:val="lrTb"/>
        </w:sectPr>
      </w:pPr>
    </w:p>
    <w:p>
      <w:pPr>
        <w:spacing w:before="2" w:after="0" w:line="274" w:lineRule="exact"/>
        <w:ind w:right="0" w:left="0" w:firstLine="0"/>
        <w:jc w:val="center"/>
        <w:textAlignment w:val="baseline"/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</w:pPr>
      <w:r>
        <w:rPr>
          <w:rFonts w:ascii="Arial" w:hAnsi="Arial" w:eastAsia="Arial"/>
          <w:color w:val="C00000"/>
          <w:spacing w:val="-1"/>
          <w:w w:val="100"/>
          <w:sz w:val="24"/>
          <w:vertAlign w:val="baseline"/>
          <w:lang w:val="en-US"/>
        </w:rPr>
        <w:t xml:space="preserve">OFFICIAL</w:t>
      </w:r>
    </w:p>
    <w:sectPr>
      <w:type w:val="continuous"/>
      <w:pgSz w:w="11909" w:h="16838" w:orient="portrait"/>
      <w:pgMar w:bottom="119" w:top="300" w:right="1352" w:left="1357" w:header="720" w:footer="720"/>
      <w:titlePg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Calibri">
    <w:charset w:val="00"/>
    <w:pitch w:val="variable"/>
    <w:family w:val="swiss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panose1 w:val="02020603050405020304"/>
  </w:font>
</w:fonts>
</file>

<file path=word/footnotes.xml><?xml version="1.0" encoding="utf-8"?>
<w:footnot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otnote w:type="separator" w:id="-1">
    <w:p/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5"/>
  </w:compat>
  <w:footnotePr>
    <w:footnote w:id="-1"/>
    <w:footnote w:id="0"/>
  </w:footnotePr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docDefaults>
    <w:rPrDefault>
      <w:rPr>
        <w:rFonts w:ascii="Times New Roman" w:hAnsi="Times New Roman" w:eastAsia="PMingLiU" w:cs="Times New Roman"/>
        <w:sz w:val="22"/>
        <w:szCs w:val="22"/>
        <w:lang w:val="en-US" w:eastAsia="en-US" w:bidi="ar-SA"/>
      </w:rPr>
    </w:rPrDefault>
    <w:pPrDefault/>
  </w:docDefaults>
  <w:style w:styleId="DefaultParagraphFont" w:type="paragraph" w:default="1">
    <w:name w:val="Normal"/>
  </w:style>
  <w:style w:styleId="DefaultParagraphFont" w:type="character" w:default="1">
    <w:name w:val="Default Paragraph Font"/>
  </w:style>
</w:styles>
</file>

<file path=word/_rels/document.xml.rels><Relationships xmlns="http://schemas.openxmlformats.org/package/2006/relationships"><Relationship Id="nId" Type="http://schemas.openxmlformats.org/officeDocument/2006/relationships/numbering" Target="numbering.xml"/><Relationship Id="fId" Type="http://schemas.openxmlformats.org/wordprocessingml/2006/fontTable" Target="fontTable.xml"/><Relationship Id="dhId1" Type="http://schemas.openxmlformats.org/officeDocument/2006/relationships/hyperlink" TargetMode="External" Target="mailto:pwade@whitehavencoal.com.au"/><Relationship Id="dhId2" Type="http://schemas.openxmlformats.org/officeDocument/2006/relationships/hyperlink" TargetMode="External" Target="https://whitehavencoal.com.au/our-business/our-assets/vickery-extension-project/"/><Relationship Id="dhId3" Type="http://schemas.openxmlformats.org/officeDocument/2006/relationships/hyperlink" TargetMode="External" Target="https://whitehavencoal.com.au/suppli"/><Relationship Id="dhId4" Type="http://schemas.openxmlformats.org/officeDocument/2006/relationships/hyperlink" TargetMode="External" Target="mailto:pwade@whitehavencoal.com.au"/><Relationship Id="dhId5" Type="http://schemas.openxmlformats.org/officeDocument/2006/relationships/hyperlink" TargetMode="External" Target="https://whitehavencoal.com.au/our-business/our-assets/vickery-extension-project/"/><Relationship Id="dhId6" Type="http://schemas.openxmlformats.org/officeDocument/2006/relationships/hyperlink" TargetMode="External" Target="https://whitehavencoal.com.au/sup"/><Relationship Id="prId1" Type="http://schemas.openxmlformats.org/officeDocument/2006/relationships/image" Target="media/image1.jpg"/><Relationship Id="styleId" Type="http://schemas.openxmlformats.org/officeDocument/2006/relationships/styles" Target="styles.xml"/><Relationship Id="settingId" Type="http://schemas.openxmlformats.org/officeDocument/2006/relationships/settings" Target="settings.xml"/><Relationship Id="footnotesId" Type="http://schemas.openxmlformats.org/officeDocument/2006/relationships/footnotes" Target="footnotes.xml"/></Relationships>
</file>

<file path=docProps/app.xml><?xml version="1.0" encoding="utf-8"?>
<Propertie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 xmlns="http://schemas.openxmlformats.org/officeDocument/2006/extended-properties"/>
</file>

<file path=docProps/core.xml><?xml version="1.0" encoding="utf-8"?>
<cp:coreProperties xmlns:dcterms="http://purl.org/dc/terms/" xmlns:xsi="http://www.w3.org/2001/XMLSchema-instance"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dc:creator>Syed Muneeb</dc:creator>
  <dcterms:created xsi:type="dcterms:W3CDTF">2026-08-10T00:47:04Z</dcterms:created>
  <dcterms:modified xsi:type="dcterms:W3CDTF">2026-08-10T00:47:04Z</dcterms:modified>
</cp:coreProperties>
</file>