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14 2026 17:27:38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MPYQLSKS</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BHP OLYMPIC DAM CORPORATION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Olympic Dam Smelter and Refinery Expansion (SRE) Study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Olympic Dam, South Australia</w:t>
      </w:r>
    </w:p>
    <w:p>
      <w:pPr>
        <w:spacing w:before="13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2" w:after="0" w:line="219" w:lineRule="exact"/>
        <w:ind w:right="576" w:left="50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Description: The proposed project is part of BHP’s Copper South Australia Growth Program for a staged expansion of the existing Copper Smelter at BHP’s Olympic Dam Asset to process copper concentrate from the wider Copper SA portfolio. The scope will include copper concentrate import and blending facilities, additional smelting capacity, additional refining capacity, and additional Non-Process Infrastructure to support the expansion program.</w:t>
      </w:r>
    </w:p>
    <w:p>
      <w:pPr>
        <w:spacing w:before="140" w:after="5904"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24 Mar 2033</w:t>
      </w:r>
    </w:p>
    <w:p>
      <w:pPr>
        <w:spacing w:before="140" w:after="5904"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14 2026 17:27:38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360"/>
        <w:gridCol w:w="2196"/>
        <w:gridCol w:w="1677"/>
        <w:gridCol w:w="3847"/>
      </w:tblGrid>
      <w:tr>
        <w:trPr>
          <w:trHeight w:val="628" w:hRule="exact"/>
        </w:trPr>
        <w:tc>
          <w:tcPr>
            <w:tcW w:w="2360" w:type="dxa"/>
            <w:tcBorders>
              <w:top w:val="none"/>
              <w:left w:val="none"/>
              <w:bottom w:val="none"/>
              <w:right w:val="none"/>
            </w:tcBorders>
            <w:textDirection w:val="lrTb"/>
            <w:vAlign w:val="center"/>
          </w:tcPr>
          <w:p>
            <w:pPr>
              <w:spacing w:before="258" w:after="178" w:line="182" w:lineRule="exact"/>
              <w:ind w:right="60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196" w:type="dxa"/>
            <w:tcBorders>
              <w:top w:val="none"/>
              <w:left w:val="none"/>
              <w:bottom w:val="none"/>
              <w:right w:val="none"/>
            </w:tcBorders>
            <w:textDirection w:val="lrTb"/>
            <w:vAlign w:val="center"/>
          </w:tcPr>
          <w:p>
            <w:pPr>
              <w:spacing w:before="98" w:after="80" w:line="220" w:lineRule="exact"/>
              <w:ind w:right="0" w:left="36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7"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847" w:type="dxa"/>
            <w:tcBorders>
              <w:top w:val="none"/>
              <w:left w:val="none"/>
              <w:bottom w:val="none"/>
              <w:right w:val="none"/>
            </w:tcBorders>
            <w:textDirection w:val="lrTb"/>
            <w:vAlign w:val="center"/>
          </w:tcPr>
          <w:p>
            <w:pPr>
              <w:spacing w:before="101" w:after="77" w:line="220"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w:t>
              <w:br/>
            </w:r>
            <w:r>
              <w:rPr>
                <w:rFonts w:ascii="Arial" w:hAnsi="Arial" w:eastAsia="Arial"/>
                <w:b w:val="true"/>
                <w:color w:val="000000"/>
                <w:spacing w:val="0"/>
                <w:w w:val="100"/>
                <w:sz w:val="16"/>
                <w:vertAlign w:val="baseline"/>
                <w:lang w:val="en-US"/>
              </w:rPr>
              <w:t xml:space="preserve">Australian entities</w:t>
            </w:r>
          </w:p>
        </w:tc>
      </w:tr>
    </w:tbl>
    <w:p>
      <w:pPr>
        <w:spacing w:before="0" w:after="51" w:line="20" w:lineRule="exact"/>
      </w:pPr>
    </w:p>
    <w:p>
      <w:pPr>
        <w:tabs>
          <w:tab w:val="left" w:leader="none" w:pos="3528"/>
          <w:tab w:val="left" w:leader="none" w:pos="5328"/>
        </w:tabs>
        <w:spacing w:before="1"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Acid Plant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Oxygen Plant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Smelting Furnace Complex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Copper Electro Refinery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High Voltage Electrical Reticulation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Electrical &amp; Instrumentation (E&amp;I)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Structural, Mechanical, Piping (SMP)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Process Air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Process Water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528"/>
          <w:tab w:val="left" w:leader="none" w:pos="5328"/>
        </w:tabs>
        <w:spacing w:before="51" w:after="0" w:line="215"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Construction Facilities - Building,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laydowns, warehouse</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&amp; 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Bulk Earthworks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</w:t>
        <w:br/>
      </w:r>
      <w:r>
        <w:rPr>
          <w:rFonts w:ascii="Arial" w:hAnsi="Arial" w:eastAsia="Arial"/>
          <w:color w:val="000000"/>
          <w:spacing w:val="0"/>
          <w:w w:val="100"/>
          <w:sz w:val="16"/>
          <w:vertAlign w:val="baseline"/>
          <w:lang w:val="en-US"/>
        </w:rPr>
        <w:t xml:space="preserve">BHP Standards</w:t>
      </w:r>
    </w:p>
    <w:p>
      <w:pPr>
        <w:spacing w:before="468"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Maurice Wilcox</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Manager Projects Commercial, Copper SA</w:t>
      </w:r>
    </w:p>
    <w:p>
      <w:pPr>
        <w:spacing w:before="34"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0401434778</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Maurice.wilcox@bhp.com</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www.bhp.com</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648" w:firstLine="0"/>
        <w:jc w:val="left"/>
        <w:textAlignment w:val="baseline"/>
        <w:rPr>
          <w:rFonts w:ascii="Arial" w:hAnsi="Arial" w:eastAsia="Arial"/>
          <w:color w:val="000000"/>
          <w:spacing w:val="-2"/>
          <w:w w:val="100"/>
          <w:sz w:val="16"/>
          <w:vertAlign w:val="baseline"/>
          <w:lang w:val="en-US"/>
        </w:rPr>
      </w:pPr>
      <w:hyperlink r:id="dhId3">
        <w:r>
          <w:rPr>
            <w:rFonts w:ascii="Arial" w:hAnsi="Arial" w:eastAsia="Arial"/>
            <w:color w:val="0000FF"/>
            <w:spacing w:val="-2"/>
            <w:w w:val="100"/>
            <w:sz w:val="16"/>
            <w:u w:val="single"/>
            <w:vertAlign w:val="baseline"/>
            <w:lang w:val="en-US"/>
          </w:rPr>
          <w:t xml:space="preserve">www.icn.org.au</w:t>
        </w:r>
      </w:hyperlink>
      <w:r>
        <w:rPr>
          <w:rFonts w:ascii="Arial" w:hAnsi="Arial" w:eastAsia="Arial"/>
          <w:color w:val="000000"/>
          <w:spacing w:val="-2"/>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3" w:after="0" w:line="219"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1892" w:after="0" w:line="249" w:lineRule="exact"/>
        <w:ind w:right="144"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3</w:t>
      </w:r>
    </w:p>
    <w:p>
      <w:pPr>
        <w:sectPr>
          <w:type w:val="nextPage"/>
          <w:pgSz w:w="11904" w:h="16843" w:orient="portrait"/>
          <w:pgMar w:bottom="867" w:top="1040" w:right="80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Thu May 14 2026 17:27:38 GMT+1000 (AEST) *****</w:t>
      </w:r>
    </w:p>
    <w:p>
      <w:pPr>
        <w:spacing w:before="3" w:after="818" w:line="183" w:lineRule="exact"/>
        <w:sectPr>
          <w:type w:val="nextPage"/>
          <w:pgSz w:w="11904" w:h="16843" w:orient="portrait"/>
          <w:pgMar w:bottom="867" w:top="1040" w:right="3034" w:left="27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 engagement of local, small or Indigenous Australian entities by project proponent</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202"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948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9485" w:line="221"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18" w:left="98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Maurice.wilcox@bhp.com"/><Relationship Id="dhId2" Type="http://schemas.openxmlformats.org/officeDocument/2006/relationships/hyperlink" TargetMode="External" Target="http://www.bhp.com"/><Relationship Id="dhId3" Type="http://schemas.openxmlformats.org/officeDocument/2006/relationships/hyperlink" TargetMode="External" Target="http://www.icn.org.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2026-07-06T06:31:17Z</dcterms:created>
  <dcterms:modified xsi:type="dcterms:W3CDTF">2026-07-06T06:31:17Z</dcterms:modified>
</cp:coreProperties>
</file>