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May 19 2026 14:27:38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X8ATKJ9D</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project proponent: </w:t>
      </w:r>
      <w:r>
        <w:rPr>
          <w:rFonts w:ascii="Arial" w:hAnsi="Arial" w:eastAsia="Arial"/>
          <w:color w:val="000000"/>
          <w:spacing w:val="-2"/>
          <w:w w:val="100"/>
          <w:sz w:val="16"/>
          <w:vertAlign w:val="baseline"/>
          <w:lang w:val="en-US"/>
        </w:rPr>
        <w:t xml:space="preserve">The Trustee for Moorebank Industrial Warehouse Trust</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Moorebank Intermodal Precinct</w:t>
      </w:r>
    </w:p>
    <w:p>
      <w:pPr>
        <w:spacing w:before="160"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Moorebank NSW</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Other productive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32" w:after="0" w:line="219" w:lineRule="exact"/>
        <w:ind w:right="648"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Description: In June 2021, the LOGOS Australia Moorebank Venture (LAMV or Venture) was established having secured the Moorebank Intermodal Precinct (“Moorebank”, “M IP”, “Site” or the “Estate”), comprising 243Ha of strategically located prime logistics real estate in Sydney’s Central Western precinct, directly adjacent to Australia’s largest rail intermodal terminal with the capacity to accommodate -890,000sqm of industrial gross lettable area (GLA), − The M IP Investment comprises of multiple investment components and risk profiles including: — Stabilised warehousing assets: 133,020sqm of stabilised GLA, 100% leased across 6 assets, including leases to Target/Catch, Caesarstone, ATS, Federal Hospitality, PCA and Qube (excl. WH 50-54 earmarked for redevelopment); — Woolworths ‘fixed-yield’ development fund-through: 75,300sqm of GLA across 2 facilities (National Distribution Centre and Regional Distribution Centre) with lease terms of 20 years from commencement; — Develop-to-core Land: -684,800sqm developable GLA across M PE and M PW; and — Ancillary MLP assets: Includes Land Trust (passive entity which collects ground rent from stabilised assets and the intermodals), MLP solar development and other income stream The Trustee for Moorebank Industrial Warehouse Trust is an entity established by Logos to manage the development and construction of warehouses on the project (and appoints head contractors for the warehouse construction), Logos Property is the property management arm of Logos and will manage the operations phase of the project. As at the time of purchase of the interests in the Moorebank project, there were 3 head contractors already appointed, with a further number of head contractors as well as procurement of key goods and services are still to be finalised. These tenders are estimated to go out Q3 2023 - Q4 2024. The operations phase of the project will involve the appointment of contractors by Logos to assist in the management of the precinct.</w:t>
      </w:r>
    </w:p>
    <w:p>
      <w:pPr>
        <w:spacing w:before="141" w:after="3486"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2026</w:t>
      </w:r>
    </w:p>
    <w:p>
      <w:pPr>
        <w:spacing w:before="141" w:after="3486"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May 19 2026 14:27:38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180"/>
        <w:gridCol w:w="2016"/>
        <w:gridCol w:w="1677"/>
        <w:gridCol w:w="2867"/>
      </w:tblGrid>
      <w:tr>
        <w:trPr>
          <w:trHeight w:val="628" w:hRule="exact"/>
        </w:trPr>
        <w:tc>
          <w:tcPr>
            <w:tcW w:w="2180" w:type="dxa"/>
            <w:tcBorders>
              <w:top w:val="none"/>
              <w:left w:val="none"/>
              <w:bottom w:val="none"/>
              <w:right w:val="none"/>
            </w:tcBorders>
            <w:textDirection w:val="lrTb"/>
            <w:vAlign w:val="center"/>
          </w:tcPr>
          <w:p>
            <w:pPr>
              <w:spacing w:before="258" w:after="178" w:line="182" w:lineRule="exact"/>
              <w:ind w:right="42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016" w:type="dxa"/>
            <w:tcBorders>
              <w:top w:val="none"/>
              <w:left w:val="none"/>
              <w:bottom w:val="none"/>
              <w:right w:val="none"/>
            </w:tcBorders>
            <w:textDirection w:val="lrTb"/>
            <w:vAlign w:val="center"/>
          </w:tcPr>
          <w:p>
            <w:pPr>
              <w:spacing w:before="98" w:after="80" w:line="220" w:lineRule="exact"/>
              <w:ind w:right="0" w:left="18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7"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67" w:type="dxa"/>
            <w:tcBorders>
              <w:top w:val="none"/>
              <w:left w:val="none"/>
              <w:bottom w:val="none"/>
              <w:right w:val="none"/>
            </w:tcBorders>
            <w:textDirection w:val="lrTb"/>
            <w:vAlign w:val="center"/>
          </w:tcPr>
          <w:p>
            <w:pPr>
              <w:spacing w:before="101" w:after="77" w:line="220"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15" w:line="20" w:lineRule="exact"/>
      </w:pPr>
    </w:p>
    <w:tbl>
      <w:tblPr>
        <w:jc w:val="left"/>
        <w:tblLayout w:type="fixed"/>
        <w:tblCellMar>
          <w:left w:w="0" w:type="dxa"/>
          <w:right w:w="0" w:type="dxa"/>
        </w:tblCellMar>
      </w:tblPr>
      <w:tblGrid>
        <w:gridCol w:w="2689"/>
        <w:gridCol w:w="6051"/>
      </w:tblGrid>
      <w:tr>
        <w:trPr>
          <w:trHeight w:val="441" w:hRule="exact"/>
        </w:trPr>
        <w:tc>
          <w:tcPr>
            <w:tcW w:w="2689" w:type="dxa"/>
            <w:tcBorders>
              <w:top w:val="none"/>
              <w:left w:val="none"/>
              <w:bottom w:val="none"/>
              <w:right w:val="none"/>
            </w:tcBorders>
            <w:textDirection w:val="lrTb"/>
            <w:vAlign w:val="center"/>
          </w:tcPr>
          <w:p>
            <w:pPr>
              <w:spacing w:before="0" w:after="0" w:line="215"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Suppliers (Pipes, Conduits, sundries)</w:t>
            </w:r>
          </w:p>
        </w:tc>
        <w:tc>
          <w:tcPr>
            <w:tcW w:w="6051" w:type="dxa"/>
            <w:tcBorders>
              <w:top w:val="none"/>
              <w:left w:val="none"/>
              <w:bottom w:val="none"/>
              <w:right w:val="none"/>
            </w:tcBorders>
            <w:textDirection w:val="lrTb"/>
            <w:vAlign w:val="center"/>
          </w:tcPr>
          <w:p>
            <w:pPr>
              <w:tabs>
                <w:tab w:val="left" w:leader="none" w:pos="2304"/>
              </w:tabs>
              <w:spacing w:before="138" w:after="110" w:line="182" w:lineRule="exact"/>
              <w:ind w:right="3577"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c>
      </w:tr>
    </w:tbl>
    <w:p>
      <w:pPr>
        <w:tabs>
          <w:tab w:val="left" w:leader="none" w:pos="3168"/>
          <w:tab w:val="left" w:leader="none" w:pos="496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Architecture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"Structural &amp; Civil Engineering"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Building and Quantity Surveyors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Statutory Planning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Fire Engineering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Traffic Engineering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Waste Management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Geotechnical Investigation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Environmental Investigation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Hazmat Assessment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Contract Legal Advice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PR &amp; Marketing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Cybersecurity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Logistics/Storage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Structural Steel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Cladding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Earth Works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Cementing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Facility Electrics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IT Networks and Cabling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Office Fit Out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Staff Amenities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168"/>
          <w:tab w:val="left" w:leader="none" w:pos="496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Roads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No</w:t>
      </w:r>
    </w:p>
    <w:p>
      <w:pPr>
        <w:spacing w:before="317" w:after="0" w:line="86"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135"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An Australian entity is an entity with an ABN or ACN</w:t>
      </w:r>
    </w:p>
    <w:p>
      <w:pPr>
        <w:spacing w:before="13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standards:</w:t>
      </w:r>
    </w:p>
    <w:p>
      <w:pPr>
        <w:spacing w:before="159" w:after="0" w:line="182" w:lineRule="exact"/>
        <w:ind w:right="0" w:left="648" w:firstLine="0"/>
        <w:jc w:val="left"/>
        <w:textAlignment w:val="baseline"/>
        <w:rPr>
          <w:rFonts w:ascii="Arial" w:hAnsi="Arial" w:eastAsia="Arial"/>
          <w:color w:val="000000"/>
          <w:spacing w:val="-3"/>
          <w:w w:val="100"/>
          <w:sz w:val="16"/>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2 of 5</w:t>
                  </w:r>
                </w:p>
              </w:txbxContent>
            </v:textbox>
          </v:shape>
        </w:pict>
      </w:r>
      <w:r>
        <w:rPr>
          <w:rFonts w:ascii="Arial" w:hAnsi="Arial" w:eastAsia="Arial"/>
          <w:color w:val="000000"/>
          <w:spacing w:val="-3"/>
          <w:w w:val="100"/>
          <w:sz w:val="16"/>
          <w:vertAlign w:val="baseline"/>
          <w:lang w:val="en-US"/>
        </w:rPr>
        <w:t xml:space="preserve">Australian</w:t>
      </w:r>
    </w:p>
    <w:p>
      <w:pPr>
        <w:sectPr>
          <w:type w:val="nextPage"/>
          <w:pgSz w:w="11904" w:h="16843" w:orient="portrait"/>
          <w:pgMar w:bottom="867" w:top="1040" w:right="21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May 19 2026 14:27:38 GMT+1000 (AEST) *****</w:t>
      </w:r>
    </w:p>
    <w:p>
      <w:pPr>
        <w:spacing w:before="3" w:after="818" w:line="183" w:lineRule="exact"/>
        <w:sectPr>
          <w:type w:val="nextPage"/>
          <w:pgSz w:w="11904" w:h="16843" w:orient="portrait"/>
          <w:pgMar w:bottom="867" w:top="1040" w:right="1733" w:left="143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Ivonne Muryadi</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Compliance Manager</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0449830930</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ivonne.muryadi@esr.com</w:t>
        </w:r>
      </w:hyperlink>
      <w:r>
        <w:rPr>
          <w:rFonts w:ascii="Arial" w:hAnsi="Arial" w:eastAsia="Arial"/>
          <w:color w:val="000000"/>
          <w:spacing w:val="0"/>
          <w:w w:val="100"/>
          <w:sz w:val="16"/>
          <w:vertAlign w:val="baseline"/>
          <w:lang w:val="en-US"/>
        </w:rPr>
        <w:t xml:space="preserve">
</w:t>
      </w:r>
    </w:p>
    <w:p>
      <w:pPr>
        <w:spacing w:before="59" w:after="0" w:line="3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https://moorebankintermodalprecinct.com.au/</w:t>
        <w:br/>
      </w:r>
      <w:r>
        <w:rPr>
          <w:rFonts w:ascii="Arial" w:hAnsi="Arial" w:eastAsia="Arial"/>
          <w:color w:val="000000"/>
          <w:spacing w:val="0"/>
          <w:w w:val="100"/>
          <w:sz w:val="16"/>
          <w:vertAlign w:val="baseline"/>
          <w:lang w:val="en-US"/>
        </w:rPr>
        <w:t xml:space="preserve">Project opportunities website:</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https://moorebankintermodalprecinct.com.au/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Publish key goods and services on the project webpage, or another publicly accessible website, along with standards,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prequalification requirements and the procurement contact person's details.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14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147" w:line="218"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430.1pt;height:34.05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3" coordsize="21600,21600" o:spt="202" path="m,l,21600r21600,l21600,xe">
            <v:stroke joinstyle="miter"/>
            <v:path gradientshapeok="t" o:connecttype="rect"/>
          </v:shapetype>
          <v:shape id="_x0000_s2" type="#_x0000_t3"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May 19 2026 14:27:38 GMT+1000 (AEST) *****</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ESR (AUS)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Moorebank Intermodal Precinct</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Moorebank NSW</w:t>
                  </w:r>
                </w:p>
                <w:p>
                  <w:pPr>
                    <w:spacing w:before="159" w:after="0" w:line="182" w:lineRule="exact"/>
                    <w:ind w:right="0" w:left="14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Other productive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70.85pt;height:16.1pt;z-index:-1;margin-left:175.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70.85pt;height:17.05pt;z-index:-1;margin-left:175.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8" w:line="184" w:lineRule="exact"/>
                    <w:ind w:right="0" w:left="0"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Australian entities </w:t>
                  </w:r>
                  <w:r>
                    <w:rPr>
                      <w:rFonts w:ascii="Arial" w:hAnsi="Arial" w:eastAsia="Arial"/>
                      <w:b w:val="true"/>
                      <w:color w:val="000000"/>
                      <w:spacing w:val="-7"/>
                      <w:w w:val="100"/>
                      <w:sz w:val="10"/>
                      <w:vertAlign w:val="baseline"/>
                      <w:lang w:val="en-US"/>
                    </w:rPr>
                    <w:t xml:space="preserve">*</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65.25pt;height:33.15pt;z-index:-1;margin-left:266.65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35.1pt;height:33.15pt;z-index:-1;margin-left:347.3pt;margin-top:335.05pt;mso-wrap-distance-left:0pt;mso-wrap-distance-right:0pt;mso-position-horizontal-relative:page;mso-position-vertical-relative:page">
            <w10:wrap type="square" side="both"/>
            <v:fill opacity="1" o:opacity2="1" recolor="f" rotate="f" type="solid"/>
            <v:textbox inset="0pt, 0pt, 0pt, 0pt">
              <w:txbxContent>
                <w:p>
                  <w:pPr>
                    <w:spacing w:before="101" w:after="114" w:line="221" w:lineRule="exact"/>
                    <w:ind w:right="0" w:left="0"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86.9pt;height:33.15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5" w:line="183" w:lineRule="exact"/>
                    <w:ind w:right="0" w:left="0" w:firstLine="0"/>
                    <w:jc w:val="lef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252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024"/>
                      <w:tab w:val="right" w:leader="none" w:pos="5040"/>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Machinery &amp;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Waste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Product Handling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Training and Development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Staff Amenities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Cleaning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Traffic Control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56"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Heating, Ventilation and Air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Conditioning</w:t>
                  </w:r>
                </w:p>
                <w:p>
                  <w:pPr>
                    <w:tabs>
                      <w:tab w:val="left" w:leader="none" w:pos="3024"/>
                      <w:tab w:val="righ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Customs Clearance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right" w:leader="none" w:pos="5040"/>
                    </w:tabs>
                    <w:spacing w:before="56" w:after="0" w:line="21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Road Haulage and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tabs>
                      <w:tab w:val="left" w:leader="none" w:pos="3024"/>
                      <w:tab w:val="right" w:leader="none" w:pos="5040"/>
                    </w:tabs>
                    <w:spacing w:before="31" w:after="0" w:line="205"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Bulk Container Provision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Handling</w:t>
                  </w:r>
                </w:p>
                <w:p>
                  <w:pPr>
                    <w:spacing w:before="356" w:after="0" w:line="185" w:lineRule="exact"/>
                    <w:ind w:right="0" w:left="0" w:firstLine="0"/>
                    <w:jc w:val="left"/>
                    <w:textAlignment w:val="baseline"/>
                    <w:rPr>
                      <w:rFonts w:ascii="Arial" w:hAnsi="Arial" w:eastAsia="Arial"/>
                      <w:color w:val="000000"/>
                      <w:spacing w:val="-3"/>
                      <w:w w:val="100"/>
                      <w:sz w:val="10"/>
                      <w:vertAlign w:val="superscript"/>
                      <w:lang w:val="en-US"/>
                    </w:rPr>
                  </w:pPr>
                  <w:r>
                    <w:rPr>
                      <w:rFonts w:ascii="Arial" w:hAnsi="Arial" w:eastAsia="Arial"/>
                      <w:color w:val="000000"/>
                      <w:spacing w:val="-3"/>
                      <w:w w:val="100"/>
                      <w:sz w:val="10"/>
                      <w:vertAlign w:val="superscript"/>
                      <w:lang w:val="en-US"/>
                    </w:rPr>
                    <w:t xml:space="preserve">*</w:t>
                  </w:r>
                  <w:r>
                    <w:rPr>
                      <w:rFonts w:ascii="Arial" w:hAnsi="Arial" w:eastAsia="Arial"/>
                      <w:color w:val="000000"/>
                      <w:spacing w:val="-3"/>
                      <w:w w:val="100"/>
                      <w:sz w:val="16"/>
                      <w:vertAlign w:val="baseline"/>
                      <w:lang w:val="en-US"/>
                    </w:rPr>
                    <w:t xml:space="preserve">An Australian entity is an entity with an ABN or ACN</w:t>
                  </w:r>
                </w:p>
                <w:p>
                  <w:pPr>
                    <w:spacing w:before="156"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standards:</w:t>
                  </w:r>
                </w:p>
                <w:p>
                  <w:pPr>
                    <w:spacing w:before="139" w:after="3485"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Tue May 19 2026 14:27:38 GMT+1000 (AEST)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Fergus Adamson</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General Manager- Property Services NSW</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0291864727</w:t>
      </w:r>
    </w:p>
    <w:p>
      <w:pPr>
        <w:spacing w:before="34"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2">
        <w:r>
          <w:rPr>
            <w:rFonts w:ascii="Arial" w:hAnsi="Arial" w:eastAsia="Arial"/>
            <w:color w:val="0000FF"/>
            <w:spacing w:val="0"/>
            <w:w w:val="100"/>
            <w:sz w:val="16"/>
            <w:u w:val="single"/>
            <w:vertAlign w:val="baseline"/>
            <w:lang w:val="en-US"/>
          </w:rPr>
          <w:t xml:space="preserve">Fergus.Adamson@esr.com</w:t>
        </w:r>
      </w:hyperlink>
      <w:r>
        <w:rPr>
          <w:rFonts w:ascii="Arial" w:hAnsi="Arial" w:eastAsia="Arial"/>
          <w:color w:val="000000"/>
          <w:spacing w:val="0"/>
          <w:w w:val="100"/>
          <w:sz w:val="16"/>
          <w:vertAlign w:val="baseline"/>
          <w:lang w:val="en-US"/>
        </w:rPr>
        <w:t xml:space="preserve">
</w:t>
      </w:r>
    </w:p>
    <w:p>
      <w:pPr>
        <w:spacing w:before="57" w:after="0" w:line="3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https://moorebankintermodalprecinct.com.au/</w:t>
        <w:br/>
      </w:r>
      <w:r>
        <w:rPr>
          <w:rFonts w:ascii="Arial" w:hAnsi="Arial" w:eastAsia="Arial"/>
          <w:color w:val="000000"/>
          <w:spacing w:val="0"/>
          <w:w w:val="100"/>
          <w:sz w:val="16"/>
          <w:vertAlign w:val="baseline"/>
          <w:lang w:val="en-US"/>
        </w:rPr>
        <w:t xml:space="preserve">Facility opportunities website: https://moorebankintermodalprecinct.com.au/</w:t>
        <w:br/>
      </w:r>
      <w:r>
        <w:rPr>
          <w:rFonts w:ascii="Arial" w:hAnsi="Arial" w:eastAsia="Arial"/>
          <w:color w:val="000000"/>
          <w:spacing w:val="0"/>
          <w:w w:val="100"/>
          <w:sz w:val="16"/>
          <w:vertAlign w:val="baseline"/>
          <w:lang w:val="en-US"/>
        </w:rPr>
        <w:t xml:space="preserve">Supplier engagement and communication actions :</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Publish key goods and services on the project webpage, or another publicly accessible website, along with standards,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prequalification requirements and the procurement contact person's details.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19"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1" w:after="4843"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1" w:after="4843" w:line="221"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ivonne.muryadi@esr.com"/><Relationship Id="dhId2" Type="http://schemas.openxmlformats.org/officeDocument/2006/relationships/hyperlink" TargetMode="External" Target="mailto:Fergus.Adamson@esr.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2026-07-06T06:31:35Z</dcterms:created>
  <dcterms:modified xsi:type="dcterms:W3CDTF">2026-07-06T06:31:35Z</dcterms:modified>
</cp:coreProperties>
</file>