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29 2026 17:46:58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79GQ5DK4</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project proponent: </w:t>
      </w:r>
      <w:r>
        <w:rPr>
          <w:rFonts w:ascii="Arial" w:hAnsi="Arial" w:eastAsia="Arial"/>
          <w:color w:val="000000"/>
          <w:spacing w:val="-2"/>
          <w:w w:val="100"/>
          <w:sz w:val="16"/>
          <w:vertAlign w:val="baseline"/>
          <w:lang w:val="en-US"/>
        </w:rPr>
        <w:t xml:space="preserve">AGL LIDDELL BESS PTY LTD</w:t>
      </w:r>
    </w:p>
    <w:p>
      <w:pPr>
        <w:spacing w:before="158" w:after="0" w:line="183" w:lineRule="exact"/>
        <w:ind w:right="0" w:left="28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Other project proponent(s):</w:t>
      </w:r>
    </w:p>
    <w:p>
      <w:pPr>
        <w:spacing w:before="139" w:after="0" w:line="181" w:lineRule="exact"/>
        <w:ind w:right="0" w:left="93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FLUENCE ENERGY PTY LTD</w:t>
      </w:r>
    </w:p>
    <w:p>
      <w:pPr>
        <w:spacing w:before="39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Liddell Battery Energy Storage System</w:t>
      </w:r>
    </w:p>
    <w:p>
      <w:pPr>
        <w:spacing w:before="15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Muswellbrook NSW 2333</w:t>
      </w:r>
    </w:p>
    <w:p>
      <w:pPr>
        <w:spacing w:before="140"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19" w:after="0" w:line="220" w:lineRule="exact"/>
        <w:ind w:right="648"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The Liddell Battery Energy Storage System Project (the Project) will be constructed adjacent to the recently retired Liddell Power Station in Muswellbrook NSW. The purpose of the Liddell Battery Energy Storage System (BESS) aims to accelerate the demonstration of advanced inverter capabilities on battery projects at scale. Advanced inverters, also known as grid-forming inverters, enable batteries to provide essential system services traditionally provided by synchronous generation such as coal or gas and are expected to play a large role in supporting a future grid capable of operating with 100% instantaneous renewable generation. The Project will be 500 MW / 1000 MWh operating in grid-forming mode. The grid-forming inverters will be tuned to improve system stability in New South Wales. Currently, the targeted Commercial Operation Date (COD) for the new facility is April 2026. In 2023 AGL ran a market-wide procurement process for the Project, in accordance with its approved procurement policy, and received responses from potential BESS and Balance of Plant suppliers, which included Australian entities and international suppliers. Subsequently, Fluence Energy Pty Ltd (Fluence), being an Australian entity with a USA parent company, has been selected to deliver the Project on an Engineering Procurement and Construction basis.</w:t>
      </w:r>
    </w:p>
    <w:p>
      <w:pPr>
        <w:spacing w:before="136" w:after="3668"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30 Jun 2026</w:t>
      </w:r>
    </w:p>
    <w:p>
      <w:pPr>
        <w:spacing w:before="136" w:after="3668"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29 2026 17:46:58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511"/>
        <w:gridCol w:w="2347"/>
        <w:gridCol w:w="1671"/>
        <w:gridCol w:w="3311"/>
      </w:tblGrid>
      <w:tr>
        <w:trPr>
          <w:trHeight w:val="628" w:hRule="exact"/>
        </w:trPr>
        <w:tc>
          <w:tcPr>
            <w:tcW w:w="2511" w:type="dxa"/>
            <w:tcBorders>
              <w:top w:val="none"/>
              <w:left w:val="none"/>
              <w:bottom w:val="none"/>
              <w:right w:val="none"/>
            </w:tcBorders>
            <w:textDirection w:val="lrTb"/>
            <w:vAlign w:val="center"/>
          </w:tcPr>
          <w:p>
            <w:pPr>
              <w:spacing w:before="258" w:after="178" w:line="182" w:lineRule="exact"/>
              <w:ind w:right="751"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347" w:type="dxa"/>
            <w:tcBorders>
              <w:top w:val="none"/>
              <w:left w:val="none"/>
              <w:bottom w:val="none"/>
              <w:right w:val="none"/>
            </w:tcBorders>
            <w:textDirection w:val="lrTb"/>
            <w:vAlign w:val="center"/>
          </w:tcPr>
          <w:p>
            <w:pPr>
              <w:spacing w:before="98" w:after="80" w:line="220" w:lineRule="exact"/>
              <w:ind w:right="0" w:left="504"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1"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311" w:type="dxa"/>
            <w:tcBorders>
              <w:top w:val="none"/>
              <w:left w:val="none"/>
              <w:bottom w:val="none"/>
              <w:right w:val="none"/>
            </w:tcBorders>
            <w:textDirection w:val="lrTb"/>
            <w:vAlign w:val="center"/>
          </w:tcPr>
          <w:p>
            <w:pPr>
              <w:spacing w:before="101" w:after="77" w:line="220" w:lineRule="exact"/>
              <w:ind w:right="720"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c>
      </w:tr>
    </w:tbl>
    <w:p>
      <w:pPr>
        <w:spacing w:before="0" w:after="51" w:line="20" w:lineRule="exact"/>
      </w:pPr>
    </w:p>
    <w:p>
      <w:pPr>
        <w:tabs>
          <w:tab w:val="left" w:leader="none" w:pos="3816"/>
          <w:tab w:val="left" w:leader="none" w:pos="5616"/>
        </w:tabs>
        <w:spacing w:before="1"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Battery Energy Storage System (BESS)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Balance of Plant - Design and Construction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16"/>
          <w:tab w:val="left" w:leader="none" w:pos="561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High Voltage Transformer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816"/>
          <w:tab w:val="left" w:leader="none" w:pos="5616"/>
        </w:tabs>
        <w:spacing w:before="46"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Materials Supply (e.g road material, quarry,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24"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concrete and reinforcing)</w:t>
      </w:r>
    </w:p>
    <w:tbl>
      <w:tblPr>
        <w:jc w:val="left"/>
        <w:tblLayout w:type="fixed"/>
        <w:tblCellMar>
          <w:left w:w="0" w:type="dxa"/>
          <w:right w:w="0" w:type="dxa"/>
        </w:tblCellMar>
      </w:tblPr>
      <w:tblGrid>
        <w:gridCol w:w="3680"/>
        <w:gridCol w:w="6160"/>
      </w:tblGrid>
      <w:tr>
        <w:trPr>
          <w:trHeight w:val="1796" w:hRule="exact"/>
        </w:trPr>
        <w:tc>
          <w:tcPr>
            <w:tcW w:w="3680" w:type="dxa"/>
            <w:tcBorders>
              <w:top w:val="none"/>
              <w:left w:val="none"/>
              <w:bottom w:val="none"/>
              <w:right w:val="none"/>
            </w:tcBorders>
            <w:textDirection w:val="lrTb"/>
            <w:vAlign w:val="top"/>
          </w:tcPr>
          <w:p>
            <w:pPr>
              <w:spacing w:before="0" w:after="0" w:line="202"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Supply and Install of Site Temporary</w:t>
              <w:br/>
            </w:r>
            <w:r>
              <w:rPr>
                <w:rFonts w:ascii="Arial" w:hAnsi="Arial" w:eastAsia="Arial"/>
                <w:color w:val="000000"/>
                <w:spacing w:val="0"/>
                <w:w w:val="100"/>
                <w:sz w:val="16"/>
                <w:vertAlign w:val="baseline"/>
                <w:lang w:val="en-US"/>
              </w:rPr>
              <w:t xml:space="preserve">Facilities</w:t>
            </w:r>
          </w:p>
          <w:p>
            <w:pPr>
              <w:spacing w:before="317" w:after="0" w:line="86" w:lineRule="exact"/>
              <w:ind w:right="0" w:left="72"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144"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Project standards:</w:t>
            </w:r>
          </w:p>
          <w:p>
            <w:pPr>
              <w:spacing w:before="91" w:after="0" w:line="216"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c>
        <w:tc>
          <w:tcPr>
            <w:tcW w:w="6160" w:type="dxa"/>
            <w:tcBorders>
              <w:top w:val="none"/>
              <w:left w:val="none"/>
              <w:bottom w:val="none"/>
              <w:right w:val="none"/>
            </w:tcBorders>
            <w:textDirection w:val="lrTb"/>
            <w:vAlign w:val="top"/>
          </w:tcPr>
          <w:p>
            <w:pPr>
              <w:tabs>
                <w:tab w:val="left" w:leader="none" w:pos="1944"/>
              </w:tabs>
              <w:spacing w:before="102" w:after="1502" w:line="182" w:lineRule="exact"/>
              <w:ind w:right="4019" w:left="0" w:firstLine="0"/>
              <w:jc w:val="right"/>
              <w:textAlignment w:val="baseline"/>
              <w:rPr>
                <w:rFonts w:ascii="Arial" w:hAnsi="Arial" w:eastAsia="Arial"/>
                <w:color w:val="000000"/>
                <w:spacing w:val="0"/>
                <w:w w:val="95"/>
                <w:sz w:val="16"/>
                <w:vertAlign w:val="baseline"/>
                <w:lang w:val="en-US"/>
              </w:rPr>
            </w:pPr>
            <w:r>
              <w:rPr>
                <w:rFonts w:ascii="Arial" w:hAnsi="Arial" w:eastAsia="Arial"/>
                <w:color w:val="000000"/>
                <w:spacing w:val="0"/>
                <w:w w:val="95"/>
                <w:sz w:val="16"/>
                <w:vertAlign w:val="baseline"/>
                <w:lang w:val="en-US"/>
              </w:rPr>
              <w:t xml:space="preserve">Yes	</w:t>
            </w:r>
            <w:r>
              <w:rPr>
                <w:rFonts w:ascii="Arial" w:hAnsi="Arial" w:eastAsia="Arial"/>
                <w:color w:val="000000"/>
                <w:spacing w:val="0"/>
                <w:w w:val="95"/>
                <w:sz w:val="16"/>
                <w:vertAlign w:val="baseline"/>
                <w:lang w:val="en-US"/>
              </w:rPr>
              <w:t xml:space="preserve">No</w:t>
            </w:r>
          </w:p>
        </w:tc>
      </w:tr>
    </w:tbl>
    <w:p>
      <w:pPr>
        <w:spacing w:before="0" w:after="484" w:line="20" w:lineRule="exact"/>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4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Smrutish Tarde</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Director Procurement and Logistics (Fluence Energy Australia)</w:t>
      </w:r>
    </w:p>
    <w:p>
      <w:pPr>
        <w:spacing w:before="39" w:after="0" w:line="182" w:lineRule="exact"/>
        <w:ind w:right="0" w:left="64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Phone number </w:t>
      </w:r>
      <w:r>
        <w:rPr>
          <w:rFonts w:ascii="Arial" w:hAnsi="Arial" w:eastAsia="Arial"/>
          <w:color w:val="000000"/>
          <w:spacing w:val="-1"/>
          <w:w w:val="100"/>
          <w:sz w:val="16"/>
          <w:vertAlign w:val="baseline"/>
          <w:lang w:val="en-US"/>
        </w:rPr>
        <w:t xml:space="preserve">0447373421</w:t>
      </w:r>
    </w:p>
    <w:p>
      <w:pPr>
        <w:spacing w:before="34"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smrutish.tarde@fluenceenergy.com</w:t>
        </w:r>
      </w:hyperlink>
      <w:r>
        <w:rPr>
          <w:rFonts w:ascii="Arial" w:hAnsi="Arial" w:eastAsia="Arial"/>
          <w:color w:val="000000"/>
          <w:spacing w:val="-1"/>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https://www.agl.com.au/about-agl/how-we-source-energy/agl-macquarie/documents</w:t>
        </w:r>
      </w:hyperlink>
      <w:r>
        <w:rPr>
          <w:rFonts w:ascii="Arial" w:hAnsi="Arial" w:eastAsia="Arial"/>
          <w:color w:val="000000"/>
          <w:spacing w:val="-3"/>
          <w:w w:val="100"/>
          <w:sz w:val="16"/>
          <w:vertAlign w:val="baseline"/>
          <w:lang w:val="en-US"/>
        </w:rPr>
        <w:t xml:space="preserve">
</w:t>
      </w:r>
    </w:p>
    <w:p>
      <w:pPr>
        <w:spacing w:before="13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0" w:after="0" w:line="360" w:lineRule="exact"/>
        <w:ind w:right="0" w:left="0" w:firstLine="648"/>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https://gateway.icn.org.au/projects/11752/pg-11752</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40"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4" w:after="3427"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29 2026 17:46:58 GMT+1000 (AEST)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144" w:firstLine="648"/>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493"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42.1pt;height:34pt;z-index:-1;margin-left:52.3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76.5pt;height:52.85pt;z-index:-1;margin-left:51.8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29 2026 17:46:58 GMT+1000 (AEST)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Nominated facility operator: </w:t>
                  </w:r>
                  <w:r>
                    <w:rPr>
                      <w:rFonts w:ascii="Arial" w:hAnsi="Arial" w:eastAsia="Arial"/>
                      <w:color w:val="000000"/>
                      <w:spacing w:val="0"/>
                      <w:w w:val="100"/>
                      <w:sz w:val="16"/>
                      <w:vertAlign w:val="baseline"/>
                      <w:lang w:val="en-US"/>
                    </w:rPr>
                    <w:t xml:space="preserve">AGL LIDDELL BESS PTY LTD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Liddell Battery Energy Storage System</w:t>
                  </w:r>
                </w:p>
                <w:p>
                  <w:pPr>
                    <w:spacing w:before="140"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Muswellbrook NSW 2333</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70.85pt;height:16.1pt;z-index:-1;margin-left:187.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70.85pt;height:17pt;z-index:-1;margin-left:187.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9" w:line="183"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Australian entities </w:t>
                  </w:r>
                  <w:r>
                    <w:rPr>
                      <w:rFonts w:ascii="Arial" w:hAnsi="Arial" w:eastAsia="Arial"/>
                      <w:b w:val="true"/>
                      <w:color w:val="000000"/>
                      <w:spacing w:val="-1"/>
                      <w:w w:val="100"/>
                      <w:sz w:val="10"/>
                      <w:vertAlign w:val="baseline"/>
                      <w:lang w:val="en-US"/>
                    </w:rPr>
                    <w:t xml:space="preserve">*</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5.25pt;height:33.1pt;z-index:-1;margin-left:278.65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</w:t>
                    <w:br/>
                  </w:r>
                  <w:r>
                    <w:rPr>
                      <w:rFonts w:ascii="Arial" w:hAnsi="Arial" w:eastAsia="Arial"/>
                      <w:b w:val="true"/>
                      <w:color w:val="000000"/>
                      <w:spacing w:val="0"/>
                      <w:w w:val="90"/>
                      <w:sz w:val="16"/>
                      <w:vertAlign w:val="baseline"/>
                      <w:lang w:val="en-US"/>
                    </w:rPr>
                    <w:t xml:space="preserve">non-Australian</w:t>
                    <w:br/>
                  </w:r>
                  <w:r>
                    <w:rPr>
                      <w:rFonts w:ascii="Arial" w:hAnsi="Arial" w:eastAsia="Arial"/>
                      <w:b w:val="true"/>
                      <w:color w:val="000000"/>
                      <w:spacing w:val="0"/>
                      <w:w w:val="90"/>
                      <w:sz w:val="16"/>
                      <w:vertAlign w:val="baseline"/>
                      <w:lang w:val="en-US"/>
                    </w:rPr>
                    <w:t xml:space="preserve">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35.1pt;height:33.1pt;z-index:-1;margin-left:359.3pt;margin-top:335.05pt;mso-wrap-distance-left:0pt;mso-wrap-distance-right:0pt;mso-position-horizontal-relative:page;mso-position-vertical-relative:page">
            <w10:wrap type="square" side="both"/>
            <v:fill opacity="1" o:opacity2="1" recolor="f" rotate="f" type="solid"/>
            <v:textbox inset="0pt, 0pt, 0pt, 0pt">
              <w:txbxContent>
                <w:p>
                  <w:pPr>
                    <w:spacing w:before="100" w:after="115" w:line="221" w:lineRule="exact"/>
                    <w:ind w:right="0" w:left="0" w:firstLine="0"/>
                    <w:jc w:val="both"/>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Explanation for no opportunities for Australian entities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86.9pt;height:33.1pt;z-index:-1;margin-left:52.3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6" w:line="182"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Key goods and services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327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240"/>
                      <w:tab w:val="left" w:leader="none" w:pos="5040"/>
                    </w:tabs>
                    <w:spacing w:before="20" w:after="0" w:line="20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Services Contract</w:t>
                  </w:r>
                </w:p>
                <w:p>
                  <w:pPr>
                    <w:tabs>
                      <w:tab w:val="left" w:leader="none" w:pos="3240"/>
                      <w:tab w:val="left" w:leader="none" w:pos="504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Balance of Plant Service Contract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198" w:after="0" w:line="343" w:lineRule="exact"/>
                    <w:ind w:right="0"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95"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2" w:lineRule="exact"/>
                    <w:ind w:right="0" w:left="216" w:firstLine="0"/>
                    <w:jc w:val="left"/>
                    <w:textAlignment w:val="baseline"/>
                    <w:rPr>
                      <w:rFonts w:ascii="Arial" w:hAnsi="Arial" w:eastAsia="Arial"/>
                      <w:b w:val="true"/>
                      <w:color w:val="000000"/>
                      <w:spacing w:val="6"/>
                      <w:w w:val="90"/>
                      <w:sz w:val="16"/>
                      <w:vertAlign w:val="baseline"/>
                      <w:lang w:val="en-US"/>
                    </w:rPr>
                  </w:pPr>
                  <w:r>
                    <w:rPr>
                      <w:rFonts w:ascii="Arial" w:hAnsi="Arial" w:eastAsia="Arial"/>
                      <w:b w:val="true"/>
                      <w:color w:val="000000"/>
                      <w:spacing w:val="6"/>
                      <w:w w:val="90"/>
                      <w:sz w:val="16"/>
                      <w:vertAlign w:val="baseline"/>
                      <w:lang w:val="en-US"/>
                    </w:rPr>
                    <w:t xml:space="preserve">Contact person name </w:t>
                  </w:r>
                  <w:r>
                    <w:rPr>
                      <w:rFonts w:ascii="Arial" w:hAnsi="Arial" w:eastAsia="Arial"/>
                      <w:color w:val="000000"/>
                      <w:spacing w:val="6"/>
                      <w:w w:val="100"/>
                      <w:sz w:val="16"/>
                      <w:vertAlign w:val="baseline"/>
                      <w:lang w:val="en-US"/>
                    </w:rPr>
                    <w:t xml:space="preserve">David Bowly</w:t>
                  </w:r>
                </w:p>
                <w:p>
                  <w:pPr>
                    <w:spacing w:before="0" w:after="0" w:line="218" w:lineRule="exact"/>
                    <w:ind w:right="3168" w:left="720" w:hanging="720"/>
                    <w:jc w:val="both"/>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Contact person position </w:t>
                  </w:r>
                  <w:r>
                    <w:rPr>
                      <w:rFonts w:ascii="Arial" w:hAnsi="Arial" w:eastAsia="Arial"/>
                      <w:color w:val="000000"/>
                      <w:spacing w:val="0"/>
                      <w:w w:val="100"/>
                      <w:sz w:val="16"/>
                      <w:vertAlign w:val="baseline"/>
                      <w:lang w:val="en-US"/>
                    </w:rPr>
                    <w:t xml:space="preserve">Operations Manager </w:t>
                  </w:r>
                  <w:r>
                    <w:rPr>
                      <w:rFonts w:ascii="Arial" w:hAnsi="Arial" w:eastAsia="Arial"/>
                      <w:b w:val="true"/>
                      <w:color w:val="000000"/>
                      <w:spacing w:val="0"/>
                      <w:w w:val="90"/>
                      <w:sz w:val="16"/>
                      <w:vertAlign w:val="baseline"/>
                      <w:lang w:val="en-US"/>
                    </w:rPr>
                    <w:t xml:space="preserve">Phone number </w:t>
                  </w:r>
                  <w:r>
                    <w:rPr>
                      <w:rFonts w:ascii="Arial" w:hAnsi="Arial" w:eastAsia="Arial"/>
                      <w:color w:val="000000"/>
                      <w:spacing w:val="0"/>
                      <w:w w:val="100"/>
                      <w:sz w:val="16"/>
                      <w:vertAlign w:val="baseline"/>
                      <w:lang w:val="en-US"/>
                    </w:rPr>
                    <w:t xml:space="preserve">0434698983</w:t>
                  </w:r>
                </w:p>
                <w:p>
                  <w:pPr>
                    <w:spacing w:before="39" w:after="0" w:line="182" w:lineRule="exact"/>
                    <w:ind w:right="0" w:left="1368"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dbowly@agl.com.au</w:t>
                    </w:r>
                  </w:hyperlink>
                  <w:r>
                    <w:rPr>
                      <w:rFonts w:ascii="Arial" w:hAnsi="Arial" w:eastAsia="Arial"/>
                      <w:color w:val="000000"/>
                      <w:spacing w:val="0"/>
                      <w:w w:val="100"/>
                      <w:sz w:val="16"/>
                      <w:vertAlign w:val="baseline"/>
                      <w:lang w:val="en-US"/>
                    </w:rPr>
                    <w:t xml:space="preserve">
</w:t>
                  </w:r>
                </w:p>
                <w:p>
                  <w:pPr>
                    <w:spacing w:before="49" w:after="0" w:line="331" w:lineRule="exact"/>
                    <w:ind w:right="504"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operator website: </w:t>
                  </w:r>
                  <w:hyperlink r:id="dhId5">
                    <w:r>
                      <w:rPr>
                        <w:rFonts w:ascii="Arial" w:hAnsi="Arial" w:eastAsia="Arial"/>
                        <w:color w:val="0000FF"/>
                        <w:spacing w:val="0"/>
                        <w:w w:val="100"/>
                        <w:sz w:val="16"/>
                        <w:u w:val="single"/>
                        <w:vertAlign w:val="baseline"/>
                        <w:lang w:val="en-US"/>
                      </w:rPr>
                      <w:t xml:space="preserve">https://www.agl.com.au/about-agl/operations/liddell-battery</w:t>
                    </w:r>
                  </w:hyperlink>
                  <w:r>
                    <w:rPr>
                      <w:rFonts w:ascii="Arial" w:hAnsi="Arial" w:eastAsia="Arial"/>
                      <w:color w:val="000000"/>
                      <w:spacing w:val="0"/>
                      <w:w w:val="100"/>
                      <w:sz w:val="16"/>
                      <w:vertAlign w:val="baseline"/>
                      <w:lang w:val="en-US"/>
                    </w:rPr>
                    <w:t xml:space="preserve"> Facility opportunities website: </w:t>
                  </w:r>
                  <w:hyperlink r:id="dhId6">
                    <w:r>
                      <w:rPr>
                        <w:rFonts w:ascii="Arial" w:hAnsi="Arial" w:eastAsia="Arial"/>
                        <w:color w:val="0000FF"/>
                        <w:spacing w:val="0"/>
                        <w:w w:val="100"/>
                        <w:sz w:val="16"/>
                        <w:u w:val="single"/>
                        <w:vertAlign w:val="baseline"/>
                        <w:lang w:val="en-US"/>
                      </w:rPr>
                      <w:t xml:space="preserve">https://www.agl.com.au/about-agl/who-we-are/our-suppliers</w:t>
                    </w:r>
                  </w:hyperlink>
                  <w:r>
                    <w:rPr>
                      <w:rFonts w:ascii="Arial" w:hAnsi="Arial" w:eastAsia="Arial"/>
                      <w:color w:val="000000"/>
                      <w:spacing w:val="0"/>
                      <w:w w:val="100"/>
                      <w:sz w:val="16"/>
                      <w:vertAlign w:val="baseline"/>
                      <w:lang w:val="en-US"/>
                    </w:rPr>
                    <w:t xml:space="preserve"> Supplier engagement and communication actions :</w:t>
                  </w:r>
                </w:p>
                <w:p>
                  <w:pPr>
                    <w:spacing w:before="135"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Issue media releases or ASX announcements on project developments and opportunities</w:t>
                  </w:r>
                </w:p>
                <w:p>
                  <w:pPr>
                    <w:spacing w:before="39" w:after="1704"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29 2026 17:46:58 GMT+1000 (AEST) *****</w:t>
      </w:r>
    </w:p>
    <w:p>
      <w:pPr>
        <w:spacing w:before="3" w:after="818" w:line="183" w:lineRule="exact"/>
        <w:sectPr>
          <w:type w:val="nextPage"/>
          <w:pgSz w:w="11904" w:h="16843" w:orient="portrait"/>
          <w:pgMar w:bottom="867" w:top="1040" w:right="1338" w:left="1036"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39"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197"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72" w:firstLine="648"/>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72"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420" w:left="954"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smrutish.tarde@fluenceenergy.com"/><Relationship Id="dhId2" Type="http://schemas.openxmlformats.org/officeDocument/2006/relationships/hyperlink" TargetMode="External" Target="https://www.agl.com.au/about-agl/how-we-source-energy/agl-macquarie/documents"/><Relationship Id="dhId3" Type="http://schemas.openxmlformats.org/officeDocument/2006/relationships/hyperlink" TargetMode="External" Target="https://gateway.icn.org.au/projects/11752/pg-11752"/><Relationship Id="dhId4" Type="http://schemas.openxmlformats.org/officeDocument/2006/relationships/hyperlink" TargetMode="External" Target="mailto:dbowly@agl.com.au"/><Relationship Id="dhId5" Type="http://schemas.openxmlformats.org/officeDocument/2006/relationships/hyperlink" TargetMode="External" Target="https://www.agl.com.au/about-agl/operations/liddell-battery"/><Relationship Id="dhId6" Type="http://schemas.openxmlformats.org/officeDocument/2006/relationships/hyperlink" TargetMode="External" Target="https://www.agl.com.au/about-agl/who-we-are/our-suppliers"/><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2026-07-06T06:31:56Z</dcterms:created>
  <dcterms:modified xsi:type="dcterms:W3CDTF">2026-07-06T06:31:56Z</dcterms:modified>
</cp:coreProperties>
</file>