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May 1 1 2026 12:51:59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TC49VJCT</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SOLINDO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HPA First Project Stage 2</w:t>
      </w:r>
    </w:p>
    <w:p>
      <w:pPr>
        <w:spacing w:before="160" w:after="0"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Location: Gladstone, QLD</w:t>
      </w:r>
    </w:p>
    <w:p>
      <w:pPr>
        <w:spacing w:before="135"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Other productive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 $1 billion</w:t>
      </w:r>
    </w:p>
    <w:p>
      <w:pPr>
        <w:spacing w:before="131" w:after="0" w:line="219" w:lineRule="exact"/>
        <w:ind w:right="576"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Description: HPA First Project Stage 2 (the Project) is the execution phase to build Australia's first large-scale, ultra-high-purity alumina (HPA) refinery. Strategic Location and Sustainable Operations: Located beside Alpha's HPA First Stage 1 Precursor Production Facility (PPF) in Gladstone, QLD, the Project will produce commercial volumes of HPA and related premium HPA based products. The facility will implement Alpha’s proprietary solvent extraction (SX) and refining Intellectual property technology (Alpha IP), which has been developed in QLD, and owned by Australia. The innovative refining process enables near-zero waste, nearly 100% reagent recycling, and will utilize 100% renewable energy for operations, that achieves a 70% reduction in carbon emissions compared to traditional HPA refining methods. Integrated Project Delivery: Building on the PPF learnings and experience, Alpha is self-performing and executing the Project through an Integrated Owners Team (IOT). The IOT is responsible for the overall delivery of the Project, overseeing all aspects from detailed engineering, procurement, construction, commissioning, and handover to Alpha HPA's Operations team. Leveraging on Existing Capabilities and Partnerships: Resulting from successful development of Alpha's IP and refining process in the PPF, to de-risk the Project the IOT pre</w:t>
        <w:softHyphen/>
      </w:r>
      <w:r>
        <w:rPr>
          <w:rFonts w:ascii="Arial" w:hAnsi="Arial" w:eastAsia="Arial"/>
          <w:color w:val="000000"/>
          <w:spacing w:val="-3"/>
          <w:w w:val="100"/>
          <w:sz w:val="16"/>
          <w:vertAlign w:val="baseline"/>
          <w:lang w:val="en-US"/>
        </w:rPr>
        <w:t xml:space="preserve">selected and its engineering service provider and specific equipment suppliers based on known capabilities and compatibility with existing infrastructure to ensure HPA purity. Leveraging on the experience and capability of Alpha’s existing partners was critical to the Definitive Feasibility Study and Investment Decision. Opportunities for Australian Suppliers: Significant opportunities for Australian suppliers to participate in the Project exist. Project Schedule Financial Investment Decision - 20 May 2024</w:t>
      </w:r>
    </w:p>
    <w:p>
      <w:pPr>
        <w:spacing w:before="140" w:after="3707"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15 Sep 2027</w:t>
      </w:r>
    </w:p>
    <w:p>
      <w:pPr>
        <w:spacing w:before="140" w:after="3707"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May 1 1 2026 12:51:59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550"/>
        <w:gridCol w:w="2385"/>
        <w:gridCol w:w="1675"/>
        <w:gridCol w:w="3230"/>
      </w:tblGrid>
      <w:tr>
        <w:trPr>
          <w:trHeight w:val="628" w:hRule="exact"/>
        </w:trPr>
        <w:tc>
          <w:tcPr>
            <w:tcW w:w="2550" w:type="dxa"/>
            <w:tcBorders>
              <w:top w:val="none"/>
              <w:left w:val="none"/>
              <w:bottom w:val="none"/>
              <w:right w:val="none"/>
            </w:tcBorders>
            <w:textDirection w:val="lrTb"/>
            <w:vAlign w:val="center"/>
          </w:tcPr>
          <w:p>
            <w:pPr>
              <w:spacing w:before="258" w:after="178" w:line="182" w:lineRule="exact"/>
              <w:ind w:right="790"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385" w:type="dxa"/>
            <w:tcBorders>
              <w:top w:val="none"/>
              <w:left w:val="none"/>
              <w:bottom w:val="none"/>
              <w:right w:val="none"/>
            </w:tcBorders>
            <w:textDirection w:val="lrTb"/>
            <w:vAlign w:val="center"/>
          </w:tcPr>
          <w:p>
            <w:pPr>
              <w:spacing w:before="98" w:after="80" w:line="220" w:lineRule="exact"/>
              <w:ind w:right="0" w:left="792" w:firstLine="72"/>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5"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230" w:type="dxa"/>
            <w:tcBorders>
              <w:top w:val="none"/>
              <w:left w:val="none"/>
              <w:bottom w:val="none"/>
              <w:right w:val="none"/>
            </w:tcBorders>
            <w:textDirection w:val="lrTb"/>
            <w:vAlign w:val="center"/>
          </w:tcPr>
          <w:p>
            <w:pPr>
              <w:spacing w:before="101" w:after="77" w:line="220" w:lineRule="exact"/>
              <w:ind w:right="648" w:left="144"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Explanation for no opportunities for Australian entities</w:t>
            </w:r>
          </w:p>
        </w:tc>
      </w:tr>
    </w:tbl>
    <w:p>
      <w:pPr>
        <w:spacing w:before="0" w:after="14" w:line="20" w:lineRule="exact"/>
      </w:pPr>
    </w:p>
    <w:p>
      <w:pPr>
        <w:tabs>
          <w:tab w:val="left" w:leader="none" w:pos="3888"/>
          <w:tab w:val="left" w:leader="none" w:pos="568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Civil Works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Ergon Power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Process and Electrical &amp; Design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68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Cranage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888"/>
          <w:tab w:val="left" w:leader="none" w:pos="5688"/>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Security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Piling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Gas Tie In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Scaffolding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Commissioning &amp; Equipment Spares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Commissioning &amp; Vendor Support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Electrical Works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Ammonium Nitrate Plant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Microniser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Pressure Filter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Fire Water Pumps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888"/>
          <w:tab w:val="left" w:leader="none" w:pos="5688"/>
        </w:tabs>
        <w:spacing w:before="34"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Absorber &amp; Dryer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8"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Tanks	</w:t>
      </w:r>
      <w:r>
        <w:rPr>
          <w:rFonts w:ascii="Arial" w:hAnsi="Arial" w:eastAsia="Arial"/>
          <w:color w:val="000000"/>
          <w:spacing w:val="-4"/>
          <w:w w:val="100"/>
          <w:sz w:val="16"/>
          <w:vertAlign w:val="baseline"/>
          <w:lang w:val="en-US"/>
        </w:rPr>
        <w:t xml:space="preserve">Yes	</w:t>
      </w:r>
      <w:r>
        <w:rPr>
          <w:rFonts w:ascii="Arial" w:hAnsi="Arial" w:eastAsia="Arial"/>
          <w:color w:val="000000"/>
          <w:spacing w:val="-4"/>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Carbon Columns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Centrifuge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Fire System Component Supply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Non-Process Buildings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688"/>
        </w:tabs>
        <w:spacing w:before="58" w:after="0" w:line="20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Belt Conveyors &amp; Precursor Handling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System</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Control Systems Software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Control and Actuated Valves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Control Systems Hardware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Instruments &amp; Valves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Solvent Extraction Process Package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Jet Milling Air Compressors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66/11kV Transformer &amp; Switchgear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Power Generators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Cable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Structural, Mechanical &amp; Piping Installation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88"/>
          <w:tab w:val="left" w:leader="none" w:pos="5688"/>
        </w:tabs>
        <w:spacing w:before="58"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Instrumentation &amp; Control systems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Installation</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Establishment &amp; Earthworks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left" w:leader="none" w:pos="5688"/>
        </w:tabs>
        <w:spacing w:before="64" w:after="0" w:line="20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Transportable switch room &amp; Motor Control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Center</w:t>
      </w:r>
    </w:p>
    <w:p>
      <w:pPr>
        <w:tabs>
          <w:tab w:val="left" w:leader="none" w:pos="3888"/>
          <w:tab w:val="left" w:leader="none" w:pos="568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Rotary Dryer &amp; Calcinier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888"/>
          <w:tab w:val="left" w:leader="none" w:pos="5688"/>
        </w:tabs>
        <w:spacing w:before="58"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Process, Electrical and Instrumentation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Engineering and Design Services</w:t>
      </w:r>
    </w:p>
    <w:p>
      <w:pPr>
        <w:spacing w:before="317"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1" w:after="0" w:line="220"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1071"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May 1 1 2026 12:51:59 GMT+1000 (AEST)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216"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21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43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Tom Roberts</w:t>
      </w:r>
    </w:p>
    <w:p>
      <w:pPr>
        <w:spacing w:before="39"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Corporate Contracts Manager</w:t>
      </w:r>
    </w:p>
    <w:p>
      <w:pPr>
        <w:spacing w:before="34" w:after="0" w:line="182" w:lineRule="exact"/>
        <w:ind w:right="0" w:left="93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0737090900</w:t>
      </w:r>
    </w:p>
    <w:p>
      <w:pPr>
        <w:spacing w:before="38" w:after="0" w:line="182" w:lineRule="exact"/>
        <w:ind w:right="0" w:left="1584"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troberts@alphahpa.com.au</w:t>
        </w:r>
      </w:hyperlink>
      <w:r>
        <w:rPr>
          <w:rFonts w:ascii="Arial" w:hAnsi="Arial" w:eastAsia="Arial"/>
          <w:color w:val="000000"/>
          <w:spacing w:val="-1"/>
          <w:w w:val="100"/>
          <w:sz w:val="16"/>
          <w:vertAlign w:val="baseline"/>
          <w:lang w:val="en-US"/>
        </w:rPr>
        <w:t xml:space="preserve">
</w:t>
      </w:r>
    </w:p>
    <w:p>
      <w:pPr>
        <w:spacing w:before="59" w:after="0" w:line="321" w:lineRule="exact"/>
        <w:ind w:right="0" w:left="21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https://alphahpa.com.au/</w:t>
        <w:br/>
      </w:r>
      <w:r>
        <w:rPr>
          <w:rFonts w:ascii="Arial" w:hAnsi="Arial" w:eastAsia="Arial"/>
          <w:color w:val="000000"/>
          <w:spacing w:val="0"/>
          <w:w w:val="100"/>
          <w:sz w:val="16"/>
          <w:vertAlign w:val="baseline"/>
          <w:lang w:val="en-US"/>
        </w:rPr>
        <w:t xml:space="preserve">Project opportunities website:</w:t>
      </w:r>
    </w:p>
    <w:p>
      <w:pPr>
        <w:spacing w:before="159"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https://alphahpa.com.au/</w:t>
      </w:r>
    </w:p>
    <w:p>
      <w:pPr>
        <w:spacing w:before="197" w:after="0" w:line="182" w:lineRule="exact"/>
        <w:ind w:right="0" w:left="21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4"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8"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216"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21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35"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8"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8" w:after="0" w:line="182" w:lineRule="exact"/>
        <w:ind w:right="0" w:left="21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8"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references for high performing suppliers</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(where requested) to form onshore alliances with Australian suppliers and encourage engagement with industry</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associations.</w:t>
      </w:r>
    </w:p>
    <w:p>
      <w:pPr>
        <w:spacing w:before="197" w:after="0" w:line="182" w:lineRule="exact"/>
        <w:ind w:right="0" w:left="216"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5" w:after="4147" w:line="218" w:lineRule="exact"/>
        <w:ind w:right="216"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4147" w:line="218" w:lineRule="exact"/>
        <w:sectPr>
          <w:type w:val="continuous"/>
          <w:pgSz w:w="11904" w:h="16843" w:orient="portrait"/>
          <w:pgMar w:bottom="867" w:top="1040" w:right="1241" w:left="823"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52.9pt;height:34.05pt;z-index:-1;margin-left:52.3pt;margin-top:335.0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92pt;height:52.85pt;z-index:-1;margin-left:44.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May 1 1 2026 12:51:59 GMT+1000 (AEST) *****</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facility operator: </w:t>
                  </w:r>
                  <w:r>
                    <w:rPr>
                      <w:rFonts w:ascii="Arial" w:hAnsi="Arial" w:eastAsia="Arial"/>
                      <w:color w:val="000000"/>
                      <w:spacing w:val="-2"/>
                      <w:w w:val="100"/>
                      <w:sz w:val="16"/>
                      <w:vertAlign w:val="baseline"/>
                      <w:lang w:val="en-US"/>
                    </w:rPr>
                    <w:t xml:space="preserve">SOLINDO PTY LTD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HPA First Project Stage 2</w:t>
                  </w:r>
                </w:p>
                <w:p>
                  <w:pPr>
                    <w:spacing w:before="140" w:after="0" w:line="182" w:lineRule="exact"/>
                    <w:ind w:right="0" w:left="14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Location: Gladstone, QLD</w:t>
                  </w:r>
                </w:p>
                <w:p>
                  <w:pPr>
                    <w:spacing w:before="159" w:after="0" w:line="182"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Other productive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70.85pt;height:16.1pt;z-index:-1;margin-left:211.2pt;margin-top:335.05pt;mso-wrap-distance-left:0pt;mso-wrap-distance-right:0pt;mso-position-horizontal-relative:page;mso-position-vertical-relative:page">
            <w10:wrap type="square" side="both"/>
            <v:fill opacity="1" o:opacity2="1" recolor="f" rotate="f" type="solid"/>
            <v:textbox inset="0pt, 0pt, 0pt, 0pt">
              <w:txbxContent>
                <w:p>
                  <w:pPr>
                    <w:spacing w:before="139" w:after="0" w:line="17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70.85pt;height:17.05pt;z-index:-1;margin-left:211.2pt;margin-top:351.15pt;mso-wrap-distance-left:0pt;mso-wrap-distance-right:0pt;mso-position-horizontal-relative:page;mso-position-vertical-relative:page">
            <w10:wrap type="square" side="both"/>
            <v:fill opacity="1" o:opacity2="1" recolor="f" rotate="f" type="solid"/>
            <v:textbox inset="0pt, 0pt, 0pt, 0pt">
              <w:txbxContent>
                <w:p>
                  <w:pPr>
                    <w:spacing w:before="33" w:after="118" w:line="184" w:lineRule="exact"/>
                    <w:ind w:right="0" w:left="0"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Australian entities </w:t>
                  </w:r>
                  <w:r>
                    <w:rPr>
                      <w:rFonts w:ascii="Arial" w:hAnsi="Arial" w:eastAsia="Arial"/>
                      <w:b w:val="true"/>
                      <w:color w:val="000000"/>
                      <w:spacing w:val="-7"/>
                      <w:w w:val="100"/>
                      <w:sz w:val="10"/>
                      <w:vertAlign w:val="baseline"/>
                      <w:lang w:val="en-US"/>
                    </w:rPr>
                    <w:t xml:space="preserve">*</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65.25pt;height:33.15pt;z-index:-1;margin-left:302.65pt;margin-top:335.0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122.15pt;height:33.15pt;z-index:-1;margin-left:383.05pt;margin-top:335.05pt;mso-wrap-distance-left:0pt;mso-wrap-distance-right:0pt;mso-position-horizontal-relative:page;mso-position-vertical-relative:page">
            <w10:wrap type="square" side="both"/>
            <v:fill opacity="1" o:opacity2="1" recolor="f" rotate="f" type="solid"/>
            <v:textbox inset="0pt, 0pt, 0pt, 0pt">
              <w:txbxContent>
                <w:p>
                  <w:pPr>
                    <w:spacing w:before="101" w:after="114" w:line="221" w:lineRule="exact"/>
                    <w:ind w:right="0" w:left="0"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Explanation for no opportunities for Australian entities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86.9pt;height:33.15pt;z-index:-1;margin-left:52.3pt;margin-top:335.05pt;mso-wrap-distance-left:0pt;mso-wrap-distance-right:0pt;mso-position-horizontal-relative:page;mso-position-vertical-relative:page">
            <w10:wrap type="square" side="both"/>
            <v:fill opacity="1" o:opacity2="1" recolor="f" rotate="f" type="solid"/>
            <v:textbox inset="0pt, 0pt, 0pt, 0pt">
              <w:txbxContent>
                <w:p>
                  <w:pPr>
                    <w:spacing w:before="259" w:after="215" w:line="183" w:lineRule="exact"/>
                    <w:ind w:right="0" w:left="0" w:firstLine="0"/>
                    <w:jc w:val="left"/>
                    <w:textAlignment w:val="baseline"/>
                    <w:rPr>
                      <w:rFonts w:ascii="Arial" w:hAnsi="Arial" w:eastAsia="Arial"/>
                      <w:b w:val="true"/>
                      <w:color w:val="000000"/>
                      <w:spacing w:val="-5"/>
                      <w:w w:val="95"/>
                      <w:sz w:val="16"/>
                      <w:vertAlign w:val="baseline"/>
                      <w:lang w:val="en-US"/>
                    </w:rPr>
                  </w:pPr>
                  <w:r>
                    <w:rPr>
                      <w:rFonts w:ascii="Arial" w:hAnsi="Arial" w:eastAsia="Arial"/>
                      <w:b w:val="true"/>
                      <w:color w:val="000000"/>
                      <w:spacing w:val="-5"/>
                      <w:w w:val="95"/>
                      <w:sz w:val="16"/>
                      <w:vertAlign w:val="baseline"/>
                      <w:lang w:val="en-US"/>
                    </w:rPr>
                    <w:t xml:space="preserve">Key goods and services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289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744"/>
                      <w:tab w:val="right" w:leader="none" w:pos="5760"/>
                    </w:tabs>
                    <w:spacing w:before="13" w:after="0" w:line="21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Supply of equipment including: 1. High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Density Polyethylene Tanks</w:t>
                  </w:r>
                </w:p>
                <w:p>
                  <w:pPr>
                    <w:tabs>
                      <w:tab w:val="left" w:leader="none" w:pos="3744"/>
                      <w:tab w:val="right" w:leader="none" w:pos="576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Plumbing and Buidling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744"/>
                      <w:tab w:val="righ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Supply of control valves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744"/>
                      <w:tab w:val="righ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Liquid Sampling Systems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744"/>
                      <w:tab w:val="righ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OHSE Supplies including Safey Showers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744"/>
                      <w:tab w:val="righ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Security Systems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744"/>
                      <w:tab w:val="right" w:leader="none" w:pos="576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Fire System Designs and Controls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744"/>
                      <w:tab w:val="right" w:leader="none" w:pos="576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Buildings - Wharehouse / Office buildings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744"/>
                      <w:tab w:val="righ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Skips and Generals Fabrication servcies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744"/>
                      <w:tab w:val="righ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Gas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744"/>
                      <w:tab w:val="righ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 Piling Servcies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744"/>
                      <w:tab w:val="right" w:leader="none" w:pos="5760"/>
                    </w:tabs>
                    <w:spacing w:before="51" w:after="0" w:line="21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Temporary Site facilities (demountable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buildings)</w:t>
                  </w:r>
                </w:p>
                <w:p>
                  <w:pPr>
                    <w:tabs>
                      <w:tab w:val="left" w:leader="none" w:pos="3744"/>
                      <w:tab w:val="right" w:leader="none" w:pos="5760"/>
                    </w:tabs>
                    <w:spacing w:before="23" w:after="0" w:line="209"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Instrumentation and Controls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installation services</w:t>
                  </w:r>
                </w:p>
                <w:p>
                  <w:pPr>
                    <w:tabs>
                      <w:tab w:val="left" w:leader="none" w:pos="3744"/>
                      <w:tab w:val="right" w:leader="none" w:pos="5760"/>
                    </w:tabs>
                    <w:spacing w:before="39"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and Concrete contracting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194" w:after="0" w:line="342" w:lineRule="exact"/>
                    <w:ind w:right="2232" w:left="0" w:firstLine="0"/>
                    <w:jc w:val="both"/>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Facility standards:</w:t>
                  </w:r>
                </w:p>
                <w:p>
                  <w:pPr>
                    <w:spacing w:before="101" w:after="3043"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May 1 1 2026 12:51:59 GMT+1000 (AEST)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216"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21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43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Tom Roberts</w:t>
      </w:r>
    </w:p>
    <w:p>
      <w:pPr>
        <w:spacing w:before="39"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Corporate Contracts Manager</w:t>
      </w:r>
    </w:p>
    <w:p>
      <w:pPr>
        <w:spacing w:before="39" w:after="0" w:line="182" w:lineRule="exact"/>
        <w:ind w:right="0" w:left="93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0737090900</w:t>
      </w:r>
    </w:p>
    <w:p>
      <w:pPr>
        <w:spacing w:before="34" w:after="0" w:line="182" w:lineRule="exact"/>
        <w:ind w:right="0" w:left="1584"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2">
        <w:r>
          <w:rPr>
            <w:rFonts w:ascii="Arial" w:hAnsi="Arial" w:eastAsia="Arial"/>
            <w:color w:val="0000FF"/>
            <w:spacing w:val="-1"/>
            <w:w w:val="100"/>
            <w:sz w:val="16"/>
            <w:u w:val="single"/>
            <w:vertAlign w:val="baseline"/>
            <w:lang w:val="en-US"/>
          </w:rPr>
          <w:t xml:space="preserve">troberts@alphahpa.com.au</w:t>
        </w:r>
      </w:hyperlink>
      <w:r>
        <w:rPr>
          <w:rFonts w:ascii="Arial" w:hAnsi="Arial" w:eastAsia="Arial"/>
          <w:color w:val="000000"/>
          <w:spacing w:val="-1"/>
          <w:w w:val="100"/>
          <w:sz w:val="16"/>
          <w:vertAlign w:val="baseline"/>
          <w:lang w:val="en-US"/>
        </w:rPr>
        <w:t xml:space="preserve">
</w:t>
      </w:r>
    </w:p>
    <w:p>
      <w:pPr>
        <w:spacing w:before="202" w:after="0" w:line="182" w:lineRule="exact"/>
        <w:ind w:right="0" w:left="21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 website: https://alphahpa.com.au/</w:t>
      </w:r>
    </w:p>
    <w:p>
      <w:pPr>
        <w:spacing w:before="154" w:after="0" w:line="182" w:lineRule="exact"/>
        <w:ind w:right="0" w:left="21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 Gateway by ICN - </w:t>
      </w:r>
      <w:hyperlink r:id="dhId3">
        <w:r>
          <w:rPr>
            <w:rFonts w:ascii="Arial" w:hAnsi="Arial" w:eastAsia="Arial"/>
            <w:color w:val="0000FF"/>
            <w:spacing w:val="-3"/>
            <w:w w:val="100"/>
            <w:sz w:val="16"/>
            <w:u w:val="single"/>
            <w:vertAlign w:val="baseline"/>
            <w:lang w:val="en-US"/>
          </w:rPr>
          <w:t xml:space="preserve">https://alphahpa.icn.org.au</w:t>
        </w:r>
      </w:hyperlink>
      <w:r>
        <w:rPr>
          <w:rFonts w:ascii="Arial" w:hAnsi="Arial" w:eastAsia="Arial"/>
          <w:color w:val="000000"/>
          <w:spacing w:val="-3"/>
          <w:w w:val="100"/>
          <w:sz w:val="16"/>
          <w:vertAlign w:val="baseline"/>
          <w:lang w:val="en-US"/>
        </w:rPr>
        <w:t xml:space="preserve">
</w:t>
      </w:r>
    </w:p>
    <w:p>
      <w:pPr>
        <w:spacing w:before="139" w:after="0" w:line="182" w:lineRule="exact"/>
        <w:ind w:right="0" w:left="21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59"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4"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8"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216"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21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4"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202" w:after="0" w:line="182" w:lineRule="exact"/>
        <w:ind w:right="0" w:left="21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4"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references for high performing suppliers</w:t>
      </w:r>
    </w:p>
    <w:p>
      <w:pPr>
        <w:spacing w:before="38"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onsite or internal training or accreditation</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(where requested) to form onshore alliances with Australian suppliers and encourage engagement with industry</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associations.</w:t>
      </w:r>
    </w:p>
    <w:p>
      <w:pPr>
        <w:spacing w:before="197" w:after="0" w:line="182" w:lineRule="exact"/>
        <w:ind w:right="0" w:left="216"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5" w:after="4627" w:line="218" w:lineRule="exact"/>
        <w:ind w:right="216"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4627" w:line="218" w:lineRule="exact"/>
        <w:sectPr>
          <w:type w:val="continuous"/>
          <w:pgSz w:w="11904" w:h="16843" w:orient="portrait"/>
          <w:pgMar w:bottom="867" w:top="1040" w:right="1241" w:left="823"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troberts@alphahpa.com.au"/><Relationship Id="dhId2" Type="http://schemas.openxmlformats.org/officeDocument/2006/relationships/hyperlink" TargetMode="External" Target="mailto:troberts@alphahpa.com.au"/><Relationship Id="dhId3" Type="http://schemas.openxmlformats.org/officeDocument/2006/relationships/hyperlink" TargetMode="External" Target="https://alphahpa.icn.org.au"/><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2026-07-06T06:32:13Z</dcterms:created>
  <dcterms:modified xsi:type="dcterms:W3CDTF">2026-07-06T06:32:13Z</dcterms:modified>
</cp:coreProperties>
</file>