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 w:after="125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Apr24 2026 1 1:1 1:58 GMT+1000 (AEST) *****</w:t>
      </w:r>
    </w:p>
    <w:p>
      <w:pPr>
        <w:spacing w:before="3" w:after="1250" w:line="183" w:lineRule="exact"/>
        <w:sectPr>
          <w:type w:val="nextPage"/>
          <w:pgSz w:w="11904" w:h="16843" w:orient="portrait"/>
          <w:pgMar w:bottom="867" w:top="1040" w:right="847" w:left="557" w:header="720" w:footer="720"/>
          <w:titlePg w:val="false"/>
          <w:textDirection w:val="lrTb"/>
        </w:sectPr>
      </w:pPr>
    </w:p>
    <w:p>
      <w:pPr>
        <w:spacing w:before="0" w:after="162" w:line="240" w:lineRule="auto"/>
        <w:ind w:right="4025" w:left="3629"/>
        <w:jc w:val="left"/>
        <w:textAlignment w:val="baseline"/>
      </w:pPr>
      <w:r>
        <w:drawing>
          <wp:inline>
            <wp:extent cx="1807210" cy="2101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07210" cy="210185"/>
                    </a:xfrm>
                    <a:prstGeom prst="rect"/>
                  </pic:spPr>
                </pic:pic>
              </a:graphicData>
            </a:graphic>
          </wp:inline>
        </w:drawing>
      </w:r>
    </w:p>
    <w:p>
      <w:pPr>
        <w:spacing w:before="0" w:after="0" w:line="391" w:lineRule="exact"/>
        <w:ind w:right="0" w:left="3312" w:firstLine="0"/>
        <w:jc w:val="left"/>
        <w:textAlignment w:val="baseline"/>
        <w:rPr>
          <w:rFonts w:ascii="Arial" w:hAnsi="Arial" w:eastAsia="Arial"/>
          <w:color w:val="000000"/>
          <w:spacing w:val="6"/>
          <w:w w:val="95"/>
          <w:sz w:val="34"/>
          <w:vertAlign w:val="baseline"/>
          <w:lang w:val="en-US"/>
        </w:rPr>
      </w:pPr>
      <w:r>
        <w:rPr>
          <w:rFonts w:ascii="Arial" w:hAnsi="Arial" w:eastAsia="Arial"/>
          <w:color w:val="000000"/>
          <w:spacing w:val="6"/>
          <w:w w:val="95"/>
          <w:sz w:val="34"/>
          <w:vertAlign w:val="baseline"/>
          <w:lang w:val="en-US"/>
        </w:rPr>
        <w:t xml:space="preserve">Australian Jobs Act 2013</w:t>
      </w:r>
    </w:p>
    <w:p>
      <w:pPr>
        <w:spacing w:before="203" w:after="338" w:line="297" w:lineRule="exact"/>
        <w:ind w:right="0" w:left="331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AIP Plan reference code: </w:t>
      </w:r>
      <w:r>
        <w:rPr>
          <w:rFonts w:ascii="Arial" w:hAnsi="Arial" w:eastAsia="Arial"/>
          <w:color w:val="000000"/>
          <w:spacing w:val="-1"/>
          <w:w w:val="100"/>
          <w:sz w:val="26"/>
          <w:vertAlign w:val="baseline"/>
          <w:lang w:val="en-US"/>
        </w:rPr>
        <w:t xml:space="preserve">R9259AFC</w:t>
      </w:r>
    </w:p>
    <w:p>
      <w:pPr>
        <w:spacing w:before="474" w:after="84" w:line="393" w:lineRule="exact"/>
        <w:ind w:right="0" w:left="0" w:firstLine="0"/>
        <w:jc w:val="center"/>
        <w:textAlignment w:val="baseline"/>
        <w:rPr>
          <w:rFonts w:ascii="Arial" w:hAnsi="Arial" w:eastAsia="Arial"/>
          <w:color w:val="000000"/>
          <w:spacing w:val="7"/>
          <w:w w:val="95"/>
          <w:sz w:val="34"/>
          <w:vertAlign w:val="baseline"/>
          <w:lang w:val="en-US"/>
        </w:rPr>
      </w:pPr>
      <w:r>
        <w:pict>
          <v:line strokeweight="3.35pt" strokecolor="#347C87" from="27.85pt,212.65pt" to="552.9pt,212.65pt" style="position:absolute;mso-position-horizontal-relative:page;mso-position-vertical-relative:page;">
            <v:stroke dashstyle="solid"/>
          </v:line>
        </w:pict>
      </w:r>
      <w:r>
        <w:rPr>
          <w:rFonts w:ascii="Arial" w:hAnsi="Arial" w:eastAsia="Arial"/>
          <w:color w:val="000000"/>
          <w:spacing w:val="7"/>
          <w:w w:val="95"/>
          <w:sz w:val="34"/>
          <w:vertAlign w:val="baseline"/>
          <w:lang w:val="en-US"/>
        </w:rPr>
        <w:t xml:space="preserve">Australian Industry Participation Plan Summary - Project Phase</w:t>
      </w:r>
    </w:p>
    <w:p>
      <w:pPr>
        <w:spacing w:before="123" w:after="0" w:line="183" w:lineRule="exact"/>
        <w:ind w:right="0" w:left="288" w:firstLine="0"/>
        <w:jc w:val="left"/>
        <w:textAlignment w:val="baseline"/>
        <w:rPr>
          <w:rFonts w:ascii="Arial" w:hAnsi="Arial" w:eastAsia="Arial"/>
          <w:b w:val="true"/>
          <w:color w:val="000000"/>
          <w:spacing w:val="-1"/>
          <w:w w:val="100"/>
          <w:sz w:val="16"/>
          <w:vertAlign w:val="baseline"/>
          <w:lang w:val="en-US"/>
        </w:rPr>
      </w:pPr>
      <w:r>
        <w:pict>
          <v:line strokeweight="1.2pt" strokecolor="#000000" from="43.9pt,259.45pt" to="538.15pt,259.45pt" style="position:absolute;mso-position-horizontal-relative:page;mso-position-vertical-relative:page;">
            <v:stroke dashstyle="solid"/>
          </v:line>
        </w:pict>
      </w:r>
      <w:r>
        <w:rPr>
          <w:rFonts w:ascii="Arial" w:hAnsi="Arial" w:eastAsia="Arial"/>
          <w:b w:val="true"/>
          <w:color w:val="000000"/>
          <w:spacing w:val="-1"/>
          <w:w w:val="100"/>
          <w:sz w:val="16"/>
          <w:vertAlign w:val="baseline"/>
          <w:lang w:val="en-US"/>
        </w:rPr>
        <w:t xml:space="preserve">Nominated project proponent: </w:t>
      </w:r>
      <w:r>
        <w:rPr>
          <w:rFonts w:ascii="Arial" w:hAnsi="Arial" w:eastAsia="Arial"/>
          <w:color w:val="000000"/>
          <w:spacing w:val="-1"/>
          <w:w w:val="100"/>
          <w:sz w:val="16"/>
          <w:vertAlign w:val="baseline"/>
          <w:lang w:val="en-US"/>
        </w:rPr>
        <w:t xml:space="preserve">GPT PLATFORM PTY LIMITED</w:t>
      </w:r>
    </w:p>
    <w:p>
      <w:pPr>
        <w:spacing w:before="158" w:after="0" w:line="183" w:lineRule="exact"/>
        <w:ind w:right="0" w:left="28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Other project proponent(s):</w:t>
      </w:r>
    </w:p>
    <w:p>
      <w:pPr>
        <w:spacing w:before="139" w:after="0" w:line="181" w:lineRule="exact"/>
        <w:ind w:right="0" w:left="93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HB &amp; B PROPERTY PTY LTD</w:t>
      </w:r>
    </w:p>
    <w:p>
      <w:pPr>
        <w:spacing w:before="392"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Project details</w:t>
      </w:r>
    </w:p>
    <w:p>
      <w:pPr>
        <w:spacing w:before="354"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Name: Deer Park Estate</w:t>
      </w:r>
    </w:p>
    <w:p>
      <w:pPr>
        <w:spacing w:before="155" w:after="0" w:line="181"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Location: 179 Tilburn Road, Deer Park, Vic, 3023</w:t>
      </w:r>
    </w:p>
    <w:p>
      <w:pPr>
        <w:spacing w:before="140"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Type: Other productive facility</w:t>
      </w:r>
    </w:p>
    <w:p>
      <w:pPr>
        <w:spacing w:before="160"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Purpose: Establish new facility</w:t>
      </w:r>
    </w:p>
    <w:p>
      <w:pPr>
        <w:spacing w:before="141"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Capital expenditure: $500 million - $1 billion</w:t>
      </w:r>
    </w:p>
    <w:p>
      <w:pPr>
        <w:spacing w:before="117" w:after="0" w:line="220" w:lineRule="exact"/>
        <w:ind w:right="576"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Description: 179 Tilburn Road, Deer Park, is located 15 Kilometers west of Melbourne CBD, and is 66-hectare in size. The site has the potential to accommodate over 330,000 square meters of prime logistics space once fully developed. It is expected the site will deliver much needed modern industrial accommodation within the increasingly constrained West Melbourne industrial precinct, where occupiers are continuing to seek high quality, well located facilities in the face of limited supply. The warehouses to be constructed will include tenancies ranging from 2,000m2 to 100,000m2 + gross floor area. The project will be delivered in multiple stages over a 5 to 6 year period, with the first stage of works commencing mid to late 2025. We will be engaging a number of head contractors throughout the duration of the project to deliver the various stages! work packages. The appointed head contractors will then be responsible for commencing the procurement of trades and materials. The appointment of the Head Contractor for the early works and stage 1 works is expected between May 2025 and July 2025. Noting that the process will be open.</w:t>
      </w:r>
    </w:p>
    <w:p>
      <w:pPr>
        <w:spacing w:before="141" w:after="4105" w:line="181"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Completion date: 30 Nov 2029</w:t>
      </w:r>
    </w:p>
    <w:p>
      <w:pPr>
        <w:spacing w:before="141" w:after="4105" w:line="181" w:lineRule="exact"/>
        <w:sectPr>
          <w:type w:val="continuous"/>
          <w:pgSz w:w="11904" w:h="16843" w:orient="portrait"/>
          <w:pgMar w:bottom="867" w:top="1040" w:right="847" w:left="55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1 of 5</w:t>
      </w:r>
    </w:p>
    <w:p>
      <w:pPr>
        <w:sectPr>
          <w:type w:val="continuous"/>
          <w:pgSz w:w="11904" w:h="16843" w:orient="portrait"/>
          <w:pgMar w:bottom="867" w:top="1040" w:right="1042" w:left="9782"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293.55pt;height:93.95pt;z-index:-1;margin-left:222.7pt;margin-top:157pt;mso-wrap-distance-left:0pt;mso-wrap-distance-right:0pt;mso-position-horizontal-relative:page;mso-position-vertical-relative:page">
            <w10:wrap type="square"/>
            <v:fill opacity="1" o:opacity2="1" recolor="f" rotate="f" type="solid"/>
            <v:textbox inset="0pt, 0pt, 0pt, 0pt">
              <w:txbxContent>
                <w:tbl>
                  <w:tblPr>
                    <w:jc w:val="left"/>
                    <w:tblLayout w:type="fixed"/>
                    <w:tblCellMar>
                      <w:left w:w="0" w:type="dxa"/>
                      <w:right w:w="0" w:type="dxa"/>
                    </w:tblCellMar>
                  </w:tblPr>
                  <w:tblGrid>
                    <w:gridCol w:w="1601"/>
                    <w:gridCol w:w="1675"/>
                    <w:gridCol w:w="2595"/>
                  </w:tblGrid>
                  <w:tr>
                    <w:trPr>
                      <w:trHeight w:val="628" w:hRule="exact"/>
                    </w:trPr>
                    <w:tc>
                      <w:tcPr>
                        <w:tcW w:w="1601" w:type="dxa"/>
                        <w:tcBorders>
                          <w:top w:val="none"/>
                          <w:left w:val="none"/>
                          <w:bottom w:val="none"/>
                          <w:right w:val="none"/>
                        </w:tcBorders>
                        <w:textDirection w:val="lrTb"/>
                        <w:vAlign w:val="center"/>
                      </w:tcPr>
                      <w:p>
                        <w:pPr>
                          <w:spacing w:before="98" w:after="80" w:line="220" w:lineRule="exact"/>
                          <w:ind w:right="0" w:left="3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Australian entities</w:t>
                        </w:r>
                        <w:r>
                          <w:rPr>
                            <w:rFonts w:ascii="Arial" w:hAnsi="Arial" w:eastAsia="Arial"/>
                            <w:b w:val="true"/>
                            <w:color w:val="000000"/>
                            <w:spacing w:val="0"/>
                            <w:w w:val="100"/>
                            <w:sz w:val="16"/>
                            <w:vertAlign w:val="superscript"/>
                            <w:lang w:val="en-US"/>
                          </w:rPr>
                          <w:t xml:space="preserve">*</w:t>
                        </w:r>
                        <w:r>
                          <w:rPr>
                            <w:rFonts w:ascii="Arial" w:hAnsi="Arial" w:eastAsia="Arial"/>
                            <w:b w:val="true"/>
                            <w:color w:val="000000"/>
                            <w:spacing w:val="0"/>
                            <w:w w:val="100"/>
                            <w:sz w:val="7"/>
                            <w:vertAlign w:val="baseline"/>
                            <w:lang w:val="en-US"/>
                          </w:rPr>
                          <w:t xml:space="preserve">
</w:t>
                        </w:r>
                      </w:p>
                    </w:tc>
                    <w:tc>
                      <w:tcPr>
                        <w:tcW w:w="1675" w:type="dxa"/>
                        <w:tcBorders>
                          <w:top w:val="none"/>
                          <w:left w:val="none"/>
                          <w:bottom w:val="none"/>
                          <w:right w:val="none"/>
                        </w:tcBorders>
                        <w:textDirection w:val="lrTb"/>
                        <w:vAlign w:val="top"/>
                      </w:tcPr>
                      <w:p>
                        <w:pPr>
                          <w:spacing w:before="0" w:after="0" w:line="206"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2595" w:type="dxa"/>
                        <w:tcBorders>
                          <w:top w:val="none"/>
                          <w:left w:val="none"/>
                          <w:bottom w:val="none"/>
                          <w:right w:val="none"/>
                        </w:tcBorders>
                        <w:textDirection w:val="lrTb"/>
                        <w:vAlign w:val="center"/>
                      </w:tcPr>
                      <w:p>
                        <w:pPr>
                          <w:spacing w:before="101" w:after="77" w:line="220" w:lineRule="exact"/>
                          <w:ind w:right="0" w:left="144" w:firstLine="0"/>
                          <w:jc w:val="left"/>
                          <w:textAlignment w:val="baseline"/>
                          <w:rPr>
                            <w:rFonts w:ascii="Arial" w:hAnsi="Arial" w:eastAsia="Arial"/>
                            <w:b w:val="true"/>
                            <w:color w:val="000000"/>
                            <w:spacing w:val="-3"/>
                            <w:w w:val="100"/>
                            <w:sz w:val="16"/>
                            <w:vertAlign w:val="baseline"/>
                            <w:lang w:val="en-US"/>
                          </w:rPr>
                        </w:pPr>
                        <w:r>
                          <w:rPr>
                            <w:rFonts w:ascii="Arial" w:hAnsi="Arial" w:eastAsia="Arial"/>
                            <w:b w:val="true"/>
                            <w:color w:val="000000"/>
                            <w:spacing w:val="-3"/>
                            <w:w w:val="100"/>
                            <w:sz w:val="16"/>
                            <w:vertAlign w:val="baseline"/>
                            <w:lang w:val="en-US"/>
                          </w:rPr>
                          <w:t xml:space="preserve">Explanation for no opportunities for Australian entities</w:t>
                        </w:r>
                      </w:p>
                    </w:tc>
                  </w:tr>
                </w:tbl>
                <w:p>
                  <w:pPr>
                    <w:spacing w:before="0" w:after="152" w:line="20" w:lineRule="exact"/>
                  </w:pPr>
                </w:p>
                <w:p>
                  <w:pPr>
                    <w:tabs>
                      <w:tab w:val="left" w:leader="none" w:pos="2376"/>
                    </w:tabs>
                    <w:spacing w:before="1" w:after="0" w:line="182" w:lineRule="exact"/>
                    <w:ind w:right="0" w:left="504" w:firstLine="0"/>
                    <w:jc w:val="left"/>
                    <w:textAlignment w:val="baseline"/>
                    <w:rPr>
                      <w:rFonts w:ascii="Arial" w:hAnsi="Arial" w:eastAsia="Arial"/>
                      <w:color w:val="000000"/>
                      <w:spacing w:val="-8"/>
                      <w:w w:val="95"/>
                      <w:sz w:val="16"/>
                      <w:vertAlign w:val="baseline"/>
                      <w:lang w:val="en-US"/>
                    </w:rPr>
                  </w:pPr>
                  <w:r>
                    <w:rPr>
                      <w:rFonts w:ascii="Arial" w:hAnsi="Arial" w:eastAsia="Arial"/>
                      <w:color w:val="000000"/>
                      <w:spacing w:val="-8"/>
                      <w:w w:val="95"/>
                      <w:sz w:val="16"/>
                      <w:vertAlign w:val="baseline"/>
                      <w:lang w:val="en-US"/>
                    </w:rPr>
                    <w:t xml:space="preserve">Yes	</w:t>
                  </w:r>
                  <w:r>
                    <w:rPr>
                      <w:rFonts w:ascii="Arial" w:hAnsi="Arial" w:eastAsia="Arial"/>
                      <w:color w:val="000000"/>
                      <w:spacing w:val="-8"/>
                      <w:w w:val="95"/>
                      <w:sz w:val="16"/>
                      <w:vertAlign w:val="baseline"/>
                      <w:lang w:val="en-US"/>
                    </w:rPr>
                    <w:t xml:space="preserve">No</w:t>
                  </w:r>
                </w:p>
                <w:p>
                  <w:pPr>
                    <w:tabs>
                      <w:tab w:val="left" w:leader="none" w:pos="2376"/>
                    </w:tabs>
                    <w:spacing w:before="255" w:after="0" w:line="182" w:lineRule="exact"/>
                    <w:ind w:right="0" w:left="504" w:firstLine="0"/>
                    <w:jc w:val="left"/>
                    <w:textAlignment w:val="baseline"/>
                    <w:rPr>
                      <w:rFonts w:ascii="Arial" w:hAnsi="Arial" w:eastAsia="Arial"/>
                      <w:color w:val="000000"/>
                      <w:spacing w:val="-13"/>
                      <w:w w:val="95"/>
                      <w:sz w:val="16"/>
                      <w:vertAlign w:val="baseline"/>
                      <w:lang w:val="en-US"/>
                    </w:rPr>
                  </w:pPr>
                  <w:r>
                    <w:rPr>
                      <w:rFonts w:ascii="Arial" w:hAnsi="Arial" w:eastAsia="Arial"/>
                      <w:color w:val="000000"/>
                      <w:spacing w:val="-13"/>
                      <w:w w:val="95"/>
                      <w:sz w:val="16"/>
                      <w:vertAlign w:val="baseline"/>
                      <w:lang w:val="en-US"/>
                    </w:rPr>
                    <w:t xml:space="preserve">Yes	</w:t>
                  </w:r>
                  <w:r>
                    <w:rPr>
                      <w:rFonts w:ascii="Arial" w:hAnsi="Arial" w:eastAsia="Arial"/>
                      <w:color w:val="000000"/>
                      <w:spacing w:val="-13"/>
                      <w:w w:val="95"/>
                      <w:sz w:val="16"/>
                      <w:vertAlign w:val="baseline"/>
                      <w:lang w:val="en-US"/>
                    </w:rPr>
                    <w:t xml:space="preserve">Yes</w:t>
                  </w:r>
                </w:p>
                <w:p>
                  <w:pPr>
                    <w:tabs>
                      <w:tab w:val="left" w:leader="none" w:pos="2376"/>
                    </w:tabs>
                    <w:spacing w:before="259" w:after="0" w:line="177" w:lineRule="exact"/>
                    <w:ind w:right="0" w:left="504" w:firstLine="0"/>
                    <w:jc w:val="left"/>
                    <w:textAlignment w:val="baseline"/>
                    <w:rPr>
                      <w:rFonts w:ascii="Arial" w:hAnsi="Arial" w:eastAsia="Arial"/>
                      <w:color w:val="000000"/>
                      <w:spacing w:val="-8"/>
                      <w:w w:val="95"/>
                      <w:sz w:val="16"/>
                      <w:vertAlign w:val="baseline"/>
                      <w:lang w:val="en-US"/>
                    </w:rPr>
                  </w:pPr>
                  <w:r>
                    <w:rPr>
                      <w:rFonts w:ascii="Arial" w:hAnsi="Arial" w:eastAsia="Arial"/>
                      <w:color w:val="000000"/>
                      <w:spacing w:val="-8"/>
                      <w:w w:val="95"/>
                      <w:sz w:val="16"/>
                      <w:vertAlign w:val="baseline"/>
                      <w:lang w:val="en-US"/>
                    </w:rPr>
                    <w:t xml:space="preserve">Yes	</w:t>
                  </w:r>
                  <w:r>
                    <w:rPr>
                      <w:rFonts w:ascii="Arial" w:hAnsi="Arial" w:eastAsia="Arial"/>
                      <w:color w:val="000000"/>
                      <w:spacing w:val="-8"/>
                      <w:w w:val="95"/>
                      <w:sz w:val="16"/>
                      <w:vertAlign w:val="baseline"/>
                      <w:lang w:val="en-US"/>
                    </w:rPr>
                    <w:t xml:space="preserve">No</w:t>
                  </w:r>
                </w:p>
              </w:txbxContent>
            </v:textbox>
          </v:shape>
        </w:pict>
      </w:r>
      <w:r>
        <w:pict>
          <v:shapetype id="_x0000_t2" coordsize="21600,21600" o:spt="202" path="m,l,21600r21600,l21600,xe">
            <v:stroke joinstyle="miter"/>
            <v:path gradientshapeok="t" o:connecttype="rect"/>
          </v:shapetype>
          <v:shape id="_x0000_s1" type="#_x0000_t2" filled="f" stroked="f" style="position:absolute;width:306pt;height:50.7pt;z-index:-1;margin-left:138.95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Apr24 2026 1 1:1 1:58 GMT+1000 (AEST) *****</w:t>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234pt;height:54.3pt;z-index:1;margin-left:52.8pt;margin-top:102.7pt;mso-wrap-distance-left:0pt;mso-wrap-distance-right:0pt;mso-position-horizontal-relative:page;mso-position-vertical-relative:page">
            <w10:wrap anchorx="page" anchory="page"/>
            <v:fill opacity="1" o:opacity2="1" recolor="f" rotate="f" type="solid"/>
            <v:textbox inset="0pt, 0pt, 0pt, 0pt">
              <w:txbxContent>
                <w:p>
                  <w:pPr>
                    <w:spacing w:before="0" w:after="0" w:line="391" w:lineRule="exact"/>
                    <w:ind w:right="0" w:left="0"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59" w:line="182" w:lineRule="exact"/>
                    <w:ind w:right="0" w:left="0"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Indicative list of key goods and services to be acquired for the project:</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162pt;height:100.95pt;z-index:-1;margin-left:52.3pt;margin-top:157pt;mso-wrap-distance-left:0pt;mso-wrap-distance-right:0pt;mso-position-horizontal-relative:page;mso-position-vertical-relative:page">
            <w10:wrap type="square" side="both"/>
            <v:fill opacity="1" o:opacity2="1" recolor="f" rotate="f" type="solid"/>
            <v:textbox inset="0pt, 0pt, 0pt, 0pt">
              <w:txbxContent>
                <w:p>
                  <w:pPr>
                    <w:spacing w:before="258" w:after="0" w:line="182" w:lineRule="exact"/>
                    <w:ind w:right="0" w:left="0" w:firstLine="0"/>
                    <w:jc w:val="left"/>
                    <w:textAlignment w:val="baseline"/>
                    <w:rPr>
                      <w:rFonts w:ascii="Arial" w:hAnsi="Arial" w:eastAsia="Arial"/>
                      <w:b w:val="true"/>
                      <w:color w:val="000000"/>
                      <w:spacing w:val="-4"/>
                      <w:w w:val="100"/>
                      <w:sz w:val="16"/>
                      <w:vertAlign w:val="baseline"/>
                      <w:lang w:val="en-US"/>
                    </w:rPr>
                  </w:pPr>
                  <w:r>
                    <w:rPr>
                      <w:rFonts w:ascii="Arial" w:hAnsi="Arial" w:eastAsia="Arial"/>
                      <w:b w:val="true"/>
                      <w:color w:val="000000"/>
                      <w:spacing w:val="-4"/>
                      <w:w w:val="100"/>
                      <w:sz w:val="16"/>
                      <w:vertAlign w:val="baseline"/>
                      <w:lang w:val="en-US"/>
                    </w:rPr>
                    <w:t xml:space="preserve">Key goods and services</w:t>
                  </w:r>
                </w:p>
                <w:p>
                  <w:pPr>
                    <w:spacing w:before="221" w:after="0" w:line="221" w:lineRule="exact"/>
                    <w:ind w:right="144"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Civil road &amp; drainage supplies (drainage pipes, fill material, road material)</w:t>
                  </w:r>
                </w:p>
                <w:p>
                  <w:pPr>
                    <w:spacing w:before="5" w:after="0" w:line="216" w:lineRule="exact"/>
                    <w:ind w:right="144"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Civil infrastructure supplies (electrical, water, sewerage &amp; telecom materials)</w:t>
                  </w:r>
                </w:p>
                <w:p>
                  <w:pPr>
                    <w:spacing w:before="0" w:after="34" w:line="220" w:lineRule="exact"/>
                    <w:ind w:right="36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Civil earth works (bulk earth works and fill material)</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306pt;height:507.45pt;z-index:-1;margin-left:50.95pt;margin-top:257.9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4032"/>
                      <w:tab w:val="right" w:leader="none" w:pos="6048"/>
                    </w:tabs>
                    <w:spacing w:before="1"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Civil design engineer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right" w:leader="none" w:pos="604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Building and Quantity surveyor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right" w:leader="none" w:pos="604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Statutory planning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right" w:leader="none" w:pos="6048"/>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Fire engineering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right" w:leader="none" w:pos="6048"/>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Traffic engineer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right" w:leader="none" w:pos="604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Geotechnical engineer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right" w:leader="none" w:pos="6048"/>
                    </w:tabs>
                    <w:spacing w:before="53" w:after="0" w:line="219"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Environmental and Hazmat consulting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services</w:t>
                  </w:r>
                </w:p>
                <w:p>
                  <w:pPr>
                    <w:tabs>
                      <w:tab w:val="left" w:leader="none" w:pos="4032"/>
                      <w:tab w:val="right" w:leader="none" w:pos="604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Legal advice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right" w:leader="none" w:pos="6048"/>
                    </w:tabs>
                    <w:spacing w:before="48" w:after="0" w:line="21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Warehouse construction (structural steel,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cladding and concrete)</w:t>
                  </w:r>
                </w:p>
                <w:p>
                  <w:pPr>
                    <w:tabs>
                      <w:tab w:val="left" w:leader="none" w:pos="4032"/>
                      <w:tab w:val="right" w:leader="none" w:pos="604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Warehouse fitout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032"/>
                      <w:tab w:val="right" w:leader="none" w:pos="604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Architect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right" w:leader="none" w:pos="604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Leasing &amp; Marketing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right" w:leader="none" w:pos="604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Glazing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032"/>
                      <w:tab w:val="right" w:leader="none" w:pos="6048"/>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Vertical transportation (lifts)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316" w:after="0" w:line="88" w:lineRule="exact"/>
                    <w:ind w:right="0" w:left="0" w:firstLine="0"/>
                    <w:jc w:val="left"/>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w:t>
                  </w:r>
                </w:p>
                <w:p>
                  <w:pPr>
                    <w:spacing w:before="0" w:after="0" w:line="138"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An Australian entity is an entity with an ABN or ACN</w:t>
                  </w:r>
                </w:p>
                <w:p>
                  <w:pPr>
                    <w:spacing w:before="140"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Project standards:</w:t>
                  </w:r>
                </w:p>
                <w:p>
                  <w:pPr>
                    <w:spacing w:before="154" w:after="5467"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Australian</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55.5pt;height:13.6pt;z-index:-1;margin-left:487.8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5" w:line="249" w:lineRule="exact"/>
                    <w:ind w:right="0" w:left="0" w:firstLine="0"/>
                    <w:jc w:val="lef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2 of 5</w:t>
                  </w:r>
                </w:p>
              </w:txbxContent>
            </v:textbox>
          </v:shape>
        </w:pict>
      </w:r>
    </w:p>
    <w:p>
      <w:pPr>
        <w:sectPr>
          <w:type w:val="nextPage"/>
          <w:pgSz w:w="11904" w:h="16843" w:orient="portrait"/>
          <w:pgMar w:bottom="890" w:top="752" w:right="1038" w:left="1019"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Apr24 2026 1 1:1 1:58 GMT+1000 (AEST) *****</w:t>
      </w:r>
    </w:p>
    <w:p>
      <w:pPr>
        <w:spacing w:before="3" w:after="818" w:line="183" w:lineRule="exact"/>
        <w:sectPr>
          <w:type w:val="nextPage"/>
          <w:pgSz w:w="11904" w:h="16843" w:orient="portrait"/>
          <w:pgMar w:bottom="867" w:top="1040" w:right="3005" w:left="2779"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proponent’s contact person for supplier enquiries:</w:t>
      </w:r>
    </w:p>
    <w:p>
      <w:pPr>
        <w:spacing w:before="481"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Luke Wilson</w:t>
      </w:r>
    </w:p>
    <w:p>
      <w:pPr>
        <w:spacing w:before="39"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State Development Manager</w:t>
      </w:r>
    </w:p>
    <w:p>
      <w:pPr>
        <w:spacing w:before="34" w:after="0" w:line="182" w:lineRule="exact"/>
        <w:ind w:right="0" w:left="72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0400506926</w:t>
      </w:r>
    </w:p>
    <w:p>
      <w:pPr>
        <w:spacing w:before="38" w:after="0" w:line="182" w:lineRule="exact"/>
        <w:ind w:right="0" w:left="136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E-mail </w:t>
      </w:r>
      <w:hyperlink r:id="dhId1">
        <w:r>
          <w:rPr>
            <w:rFonts w:ascii="Arial" w:hAnsi="Arial" w:eastAsia="Arial"/>
            <w:color w:val="0000FF"/>
            <w:spacing w:val="0"/>
            <w:w w:val="100"/>
            <w:sz w:val="16"/>
            <w:u w:val="single"/>
            <w:vertAlign w:val="baseline"/>
            <w:lang w:val="en-US"/>
          </w:rPr>
          <w:t xml:space="preserve">lwilson@hbbproperty.com.au</w:t>
        </w:r>
      </w:hyperlink>
      <w:r>
        <w:rPr>
          <w:rFonts w:ascii="Arial" w:hAnsi="Arial" w:eastAsia="Arial"/>
          <w:color w:val="000000"/>
          <w:spacing w:val="0"/>
          <w:w w:val="100"/>
          <w:sz w:val="16"/>
          <w:vertAlign w:val="baseline"/>
          <w:lang w:val="en-US"/>
        </w:rPr>
        <w:t xml:space="preserve">
</w:t>
      </w:r>
    </w:p>
    <w:p>
      <w:pPr>
        <w:spacing w:before="59" w:after="0" w:line="321"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Project proponent website: https://deerparkestate.com.au/</w:t>
        <w:br/>
      </w:r>
      <w:r>
        <w:rPr>
          <w:rFonts w:ascii="Arial" w:hAnsi="Arial" w:eastAsia="Arial"/>
          <w:color w:val="000000"/>
          <w:spacing w:val="0"/>
          <w:w w:val="100"/>
          <w:sz w:val="16"/>
          <w:vertAlign w:val="baseline"/>
          <w:lang w:val="en-US"/>
        </w:rPr>
        <w:t xml:space="preserve">Project opportunities website:</w:t>
      </w:r>
    </w:p>
    <w:p>
      <w:pPr>
        <w:spacing w:before="159"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https://deerparkestate.com.au/</w:t>
      </w:r>
    </w:p>
    <w:p>
      <w:pPr>
        <w:spacing w:before="197"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40"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2" w:after="0" w:line="219"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Engage with vendor identification agencies on project opportunities and bid processes</w:t>
        <w:br/>
      </w:r>
      <w:r>
        <w:rPr>
          <w:rFonts w:ascii="Arial" w:hAnsi="Arial" w:eastAsia="Arial"/>
          <w:color w:val="000000"/>
          <w:spacing w:val="0"/>
          <w:w w:val="100"/>
          <w:sz w:val="16"/>
          <w:vertAlign w:val="baseline"/>
          <w:lang w:val="en-US"/>
        </w:rPr>
        <w:t xml:space="preserve">Issue media releases or ASX announcements on project developments and opportunities</w:t>
        <w:br/>
      </w:r>
      <w:r>
        <w:rPr>
          <w:rFonts w:ascii="Arial" w:hAnsi="Arial" w:eastAsia="Arial"/>
          <w:color w:val="000000"/>
          <w:spacing w:val="0"/>
          <w:w w:val="100"/>
          <w:sz w:val="16"/>
          <w:vertAlign w:val="baseline"/>
          <w:lang w:val="en-US"/>
        </w:rPr>
        <w:t xml:space="preserve">Directly contact suppliers with information on project opportunities and bid processes</w:t>
        <w:br/>
      </w:r>
      <w:r>
        <w:rPr>
          <w:rFonts w:ascii="Arial" w:hAnsi="Arial" w:eastAsia="Arial"/>
          <w:color w:val="000000"/>
          <w:spacing w:val="0"/>
          <w:w w:val="100"/>
          <w:sz w:val="16"/>
          <w:vertAlign w:val="baseline"/>
          <w:lang w:val="en-US"/>
        </w:rPr>
        <w:t xml:space="preserve">Pre Qualify Project Consultants and Contractors</w:t>
      </w:r>
    </w:p>
    <w:p>
      <w:pPr>
        <w:spacing w:before="473" w:after="0" w:line="393"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97" w:after="0" w:line="220"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Recommend suppliers undertake training and/or accreditation</w:t>
        <w:br/>
      </w:r>
      <w:r>
        <w:rPr>
          <w:rFonts w:ascii="Arial" w:hAnsi="Arial" w:eastAsia="Arial"/>
          <w:color w:val="000000"/>
          <w:spacing w:val="0"/>
          <w:w w:val="100"/>
          <w:sz w:val="16"/>
          <w:vertAlign w:val="baseline"/>
          <w:lang w:val="en-US"/>
        </w:rPr>
        <w:t xml:space="preserve">Provide market intelligence to suppliers</w:t>
      </w:r>
    </w:p>
    <w:p>
      <w:pPr>
        <w:spacing w:before="198"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0" w:after="0" w:line="360" w:lineRule="exact"/>
        <w:ind w:right="0" w:left="0" w:firstLine="576"/>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Provide references for high performing suppliers</w:t>
        <w:br/>
      </w:r>
      <w:r>
        <w:rPr>
          <w:rFonts w:ascii="Arial" w:hAnsi="Arial" w:eastAsia="Arial"/>
          <w:color w:val="000000"/>
          <w:spacing w:val="0"/>
          <w:w w:val="100"/>
          <w:sz w:val="16"/>
          <w:vertAlign w:val="baseline"/>
          <w:lang w:val="en-US"/>
        </w:rPr>
        <w:t xml:space="preserve">Feedback:</w:t>
      </w:r>
    </w:p>
    <w:p>
      <w:pPr>
        <w:spacing w:before="100" w:after="4584" w:line="221"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100" w:after="4584" w:line="221" w:lineRule="exact"/>
        <w:sectPr>
          <w:type w:val="continuous"/>
          <w:pgSz w:w="11904" w:h="16843" w:orient="portrait"/>
          <w:pgMar w:bottom="867" w:top="1040" w:right="1498" w:left="1046"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3 of 5</w:t>
      </w:r>
    </w:p>
    <w:p>
      <w:pPr>
        <w:sectPr>
          <w:type w:val="continuous"/>
          <w:pgSz w:w="11904" w:h="16843" w:orient="portrait"/>
          <w:pgMar w:bottom="867" w:top="1040" w:right="1044" w:left="978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7" coordsize="21600,21600" o:spt="202" path="m,l,21600r21600,l21600,xe">
            <v:stroke joinstyle="miter"/>
            <v:path gradientshapeok="t" o:connecttype="rect"/>
          </v:shapetype>
          <v:shape id="_x0000_s6" type="#_x0000_t7" filled="f" stroked="f" style="position:absolute;width:468pt;height:52.85pt;z-index:-1;margin-left:56.05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862"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Apr24 2026 1 1:1 1:58 GMT+1000 (AEST) *****</w:t>
                  </w:r>
                </w:p>
              </w:txbxContent>
            </v:textbox>
          </v:shape>
        </w:pict>
      </w:r>
      <w:r>
        <w:pict>
          <v:shapetype id="_x0000_t8" coordsize="21600,21600" o:spt="202" path="m,l,21600r21600,l21600,xe">
            <v:stroke joinstyle="miter"/>
            <v:path gradientshapeok="t" o:connecttype="rect"/>
          </v:shapetype>
          <v:shape id="_x0000_s7" type="#_x0000_t8" filled="f" stroked="f" style="position:absolute;width:504pt;height:43.05pt;z-index:-1;margin-left:43.9pt;margin-top:104.85pt;mso-wrap-distance-left:0pt;mso-wrap-distance-right:0pt;mso-position-horizontal-relative:page;mso-position-vertical-relative:page">
            <w10:wrap type="square" side="both"/>
            <v:fill opacity="1" o:opacity2="1" recolor="f" rotate="f" type="solid"/>
            <v:textbox inset="0pt, 0pt, 0pt, 0pt">
              <w:txbxContent>
                <w:p>
                  <w:pPr>
                    <w:spacing w:before="31" w:after="104" w:line="360" w:lineRule="exact"/>
                    <w:ind w:right="936"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Australian Industry Participation Plan Summary - Operations Phase</w:t>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504pt;height:187.15pt;z-index:1;margin-left:43.9pt;margin-top:147.9pt;mso-wrap-distance-left:0pt;mso-wrap-distance-right:0pt;mso-position-horizontal-relative:page;mso-position-vertical-relative:page">
            <w10:wrap anchorx="page" anchory="page"/>
            <v:fill opacity="1" o:opacity2="1" recolor="f" rotate="f" type="solid"/>
            <v:textbox inset="0pt, 0pt, 0pt, 0pt">
              <w:txbxContent>
                <w:p>
                  <w:pPr>
                    <w:spacing w:before="124" w:after="0" w:line="183" w:lineRule="exact"/>
                    <w:ind w:right="0" w:left="0"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Nominated facility operator: </w:t>
                  </w:r>
                  <w:r>
                    <w:rPr>
                      <w:rFonts w:ascii="Arial" w:hAnsi="Arial" w:eastAsia="Arial"/>
                      <w:color w:val="000000"/>
                      <w:spacing w:val="-1"/>
                      <w:w w:val="100"/>
                      <w:sz w:val="16"/>
                      <w:vertAlign w:val="baseline"/>
                      <w:lang w:val="en-US"/>
                    </w:rPr>
                    <w:t xml:space="preserve">GPT PLATFORM PTY LIMITED</w:t>
                  </w:r>
                </w:p>
                <w:p>
                  <w:pPr>
                    <w:spacing w:before="347"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Facility details</w:t>
                  </w:r>
                </w:p>
                <w:p>
                  <w:pPr>
                    <w:spacing w:before="353"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Name: Deer Park Estate</w:t>
                  </w:r>
                </w:p>
                <w:p>
                  <w:pPr>
                    <w:spacing w:before="140" w:after="0" w:line="182" w:lineRule="exact"/>
                    <w:ind w:right="0" w:left="14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Location: 179 Tilburn Road, Deer Park, Vic, 3023</w:t>
                  </w:r>
                </w:p>
                <w:p>
                  <w:pPr>
                    <w:spacing w:before="159" w:after="0" w:line="182" w:lineRule="exact"/>
                    <w:ind w:right="0" w:left="14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Type: Other productive facility</w:t>
                  </w:r>
                </w:p>
                <w:p>
                  <w:pPr>
                    <w:spacing w:before="410"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4" w:after="154"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new facility:</w:t>
                  </w:r>
                </w:p>
              </w:txbxContent>
            </v:textbox>
          </v:shape>
        </w:pict>
      </w:r>
      <w:r>
        <w:pict>
          <v:shapetype id="_x0000_t10" coordsize="21600,21600" o:spt="202" path="m,l,21600r21600,l21600,xe">
            <v:stroke joinstyle="miter"/>
            <v:path gradientshapeok="t" o:connecttype="rect"/>
          </v:shapetype>
          <v:shape id="_x0000_s9" type="#_x0000_t10" filled="f" stroked="f" style="position:absolute;width:449.05pt;height:31.45pt;z-index:-1;margin-left:52.3pt;margin-top:335.05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2292"/>
                    <w:gridCol w:w="1899"/>
                    <w:gridCol w:w="261"/>
                    <w:gridCol w:w="1673"/>
                    <w:gridCol w:w="2856"/>
                  </w:tblGrid>
                  <w:tr>
                    <w:trPr>
                      <w:trHeight w:val="629" w:hRule="exact"/>
                    </w:trPr>
                    <w:tc>
                      <w:tcPr>
                        <w:tcW w:w="2292" w:type="dxa"/>
                        <w:tcBorders>
                          <w:top w:val="none"/>
                          <w:left w:val="none"/>
                          <w:bottom w:val="none"/>
                          <w:right w:val="none"/>
                        </w:tcBorders>
                        <w:textDirection w:val="lrTb"/>
                        <w:vAlign w:val="center"/>
                      </w:tcPr>
                      <w:p>
                        <w:pPr>
                          <w:spacing w:before="259" w:after="186" w:line="183" w:lineRule="exact"/>
                          <w:ind w:right="559" w:left="0" w:firstLine="0"/>
                          <w:jc w:val="right"/>
                          <w:textAlignment w:val="baseline"/>
                          <w:rPr>
                            <w:rFonts w:ascii="Arial" w:hAnsi="Arial" w:eastAsia="Arial"/>
                            <w:b w:val="true"/>
                            <w:color w:val="000000"/>
                            <w:spacing w:val="0"/>
                            <w:w w:val="95"/>
                            <w:sz w:val="16"/>
                            <w:vertAlign w:val="baseline"/>
                            <w:lang w:val="en-US"/>
                          </w:rPr>
                        </w:pPr>
                        <w:r>
                          <w:rPr>
                            <w:rFonts w:ascii="Arial" w:hAnsi="Arial" w:eastAsia="Arial"/>
                            <w:b w:val="true"/>
                            <w:color w:val="000000"/>
                            <w:spacing w:val="0"/>
                            <w:w w:val="95"/>
                            <w:sz w:val="16"/>
                            <w:vertAlign w:val="baseline"/>
                            <w:lang w:val="en-US"/>
                          </w:rPr>
                          <w:t xml:space="preserve">Key goods and services</w:t>
                        </w:r>
                      </w:p>
                    </w:tc>
                    <w:tc>
                      <w:tcPr>
                        <w:tcW w:w="1899" w:type="dxa"/>
                        <w:tcBorders>
                          <w:top w:val="none"/>
                          <w:left w:val="none"/>
                          <w:bottom w:val="none"/>
                          <w:right w:val="none"/>
                        </w:tcBorders>
                        <w:textDirection w:val="lrTb"/>
                        <w:vAlign w:val="center"/>
                      </w:tcPr>
                      <w:p>
                        <w:pPr>
                          <w:spacing w:before="101" w:after="85" w:line="221" w:lineRule="exact"/>
                          <w:ind w:right="0" w:left="576" w:firstLine="0"/>
                          <w:jc w:val="left"/>
                          <w:textAlignment w:val="baseline"/>
                          <w:rPr>
                            <w:rFonts w:ascii="Arial" w:hAnsi="Arial" w:eastAsia="Arial"/>
                            <w:b w:val="true"/>
                            <w:color w:val="000000"/>
                            <w:spacing w:val="-6"/>
                            <w:w w:val="100"/>
                            <w:sz w:val="16"/>
                            <w:vertAlign w:val="baseline"/>
                            <w:lang w:val="en-US"/>
                          </w:rPr>
                        </w:pPr>
                        <w:r>
                          <w:rPr>
                            <w:rFonts w:ascii="Arial" w:hAnsi="Arial" w:eastAsia="Arial"/>
                            <w:b w:val="true"/>
                            <w:color w:val="000000"/>
                            <w:spacing w:val="-6"/>
                            <w:w w:val="100"/>
                            <w:sz w:val="16"/>
                            <w:vertAlign w:val="baseline"/>
                            <w:lang w:val="en-US"/>
                          </w:rPr>
                          <w:t xml:space="preserve">Opportunities for Australian entities</w:t>
                        </w:r>
                      </w:p>
                    </w:tc>
                    <w:tc>
                      <w:tcPr>
                        <w:tcW w:w="261" w:type="dxa"/>
                        <w:tcBorders>
                          <w:top w:val="none"/>
                          <w:left w:val="none"/>
                          <w:bottom w:val="none"/>
                          <w:right w:val="none"/>
                        </w:tcBorders>
                        <w:textDirection w:val="lrTb"/>
                        <w:vAlign w:val="top"/>
                      </w:tcPr>
                      <w:p>
                        <w:pPr>
                          <w:spacing w:before="336" w:after="163" w:line="129" w:lineRule="exact"/>
                          <w:ind w:right="0" w:left="0" w:firstLine="0"/>
                          <w:jc w:val="center"/>
                          <w:textAlignment w:val="baseline"/>
                          <w:rPr>
                            <w:rFonts w:ascii="Arial" w:hAnsi="Arial" w:eastAsia="Arial"/>
                            <w:b w:val="true"/>
                            <w:color w:val="000000"/>
                            <w:spacing w:val="0"/>
                            <w:w w:val="100"/>
                            <w:sz w:val="10"/>
                            <w:vertAlign w:val="baseline"/>
                            <w:lang w:val="en-US"/>
                          </w:rPr>
                        </w:pPr>
                        <w:r>
                          <w:rPr>
                            <w:rFonts w:ascii="Arial" w:hAnsi="Arial" w:eastAsia="Arial"/>
                            <w:b w:val="true"/>
                            <w:color w:val="000000"/>
                            <w:spacing w:val="0"/>
                            <w:w w:val="100"/>
                            <w:sz w:val="10"/>
                            <w:vertAlign w:val="baseline"/>
                            <w:lang w:val="en-US"/>
                          </w:rPr>
                          <w:t xml:space="preserve">*</w:t>
                        </w:r>
                      </w:p>
                    </w:tc>
                    <w:tc>
                      <w:tcPr>
                        <w:tcW w:w="1673" w:type="dxa"/>
                        <w:tcBorders>
                          <w:top w:val="none"/>
                          <w:left w:val="none"/>
                          <w:bottom w:val="none"/>
                          <w:right w:val="none"/>
                        </w:tcBorders>
                        <w:textDirection w:val="lrTb"/>
                        <w:vAlign w:val="top"/>
                      </w:tcPr>
                      <w:p>
                        <w:pPr>
                          <w:spacing w:before="0" w:after="0" w:line="209"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2856" w:type="dxa"/>
                        <w:tcBorders>
                          <w:top w:val="none"/>
                          <w:left w:val="none"/>
                          <w:bottom w:val="none"/>
                          <w:right w:val="none"/>
                        </w:tcBorders>
                        <w:textDirection w:val="lrTb"/>
                        <w:vAlign w:val="center"/>
                      </w:tcPr>
                      <w:p>
                        <w:pPr>
                          <w:spacing w:before="101" w:after="85" w:line="221" w:lineRule="exact"/>
                          <w:ind w:right="0" w:left="144" w:firstLine="0"/>
                          <w:jc w:val="both"/>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 opportunities for Australian entities</w:t>
                        </w:r>
                      </w:p>
                    </w:tc>
                  </w:tr>
                </w:tbl>
              </w:txbxContent>
            </v:textbox>
          </v:shape>
        </w:pict>
      </w:r>
      <w:r>
        <w:pict>
          <v:shapetype id="_x0000_t11" coordsize="21600,21600" o:spt="202" path="m,l,21600r21600,l21600,xe">
            <v:stroke joinstyle="miter"/>
            <v:path gradientshapeok="t" o:connecttype="rect"/>
          </v:shapetype>
          <v:shape id="_x0000_s10" type="#_x0000_t11" filled="f" stroked="f" style="position:absolute;width:271pt;height:408.95pt;z-index:-1;margin-left:52.3pt;margin-top:370.0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3384"/>
                      <w:tab w:val="right" w:leader="none" w:pos="5472"/>
                    </w:tabs>
                    <w:spacing w:before="17" w:after="0" w:line="21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Heating, Ventilation and air-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conditioning maintenance</w:t>
                  </w:r>
                </w:p>
                <w:p>
                  <w:pPr>
                    <w:tabs>
                      <w:tab w:val="left" w:leader="none" w:pos="3384"/>
                      <w:tab w:val="right" w:leader="none" w:pos="5472"/>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Electrical services maintenance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384"/>
                      <w:tab w:val="right" w:leader="none" w:pos="5472"/>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Fire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384"/>
                      <w:tab w:val="right" w:leader="none" w:pos="5472"/>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Plumbing maintenance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384"/>
                      <w:tab w:val="right" w:leader="none" w:pos="5472"/>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Cleaning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384"/>
                      <w:tab w:val="right" w:leader="none" w:pos="5472"/>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Landscape maintenance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353" w:after="0" w:line="182" w:lineRule="exact"/>
                    <w:ind w:right="0" w:left="0" w:firstLine="0"/>
                    <w:jc w:val="left"/>
                    <w:textAlignment w:val="baseline"/>
                    <w:rPr>
                      <w:rFonts w:ascii="Arial" w:hAnsi="Arial" w:eastAsia="Arial"/>
                      <w:color w:val="000000"/>
                      <w:spacing w:val="-3"/>
                      <w:w w:val="100"/>
                      <w:sz w:val="10"/>
                      <w:vertAlign w:val="superscript"/>
                      <w:lang w:val="en-US"/>
                    </w:rPr>
                  </w:pPr>
                  <w:r>
                    <w:rPr>
                      <w:rFonts w:ascii="Arial" w:hAnsi="Arial" w:eastAsia="Arial"/>
                      <w:color w:val="000000"/>
                      <w:spacing w:val="-3"/>
                      <w:w w:val="100"/>
                      <w:sz w:val="10"/>
                      <w:vertAlign w:val="superscript"/>
                      <w:lang w:val="en-US"/>
                    </w:rPr>
                    <w:t xml:space="preserve">*</w:t>
                  </w:r>
                  <w:r>
                    <w:rPr>
                      <w:rFonts w:ascii="Arial" w:hAnsi="Arial" w:eastAsia="Arial"/>
                      <w:color w:val="000000"/>
                      <w:spacing w:val="-3"/>
                      <w:w w:val="100"/>
                      <w:sz w:val="16"/>
                      <w:vertAlign w:val="baseline"/>
                      <w:lang w:val="en-US"/>
                    </w:rPr>
                    <w:t xml:space="preserve">An Australian entity is an entity with an ABN or ACN</w:t>
                  </w:r>
                </w:p>
                <w:p>
                  <w:pPr>
                    <w:spacing w:before="161"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standards:</w:t>
                  </w:r>
                </w:p>
                <w:p>
                  <w:pPr>
                    <w:spacing w:before="140" w:after="5462"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Australian</w:t>
                  </w:r>
                </w:p>
              </w:txbxContent>
            </v:textbox>
          </v:shape>
        </w:pict>
      </w:r>
      <w:r>
        <w:pict>
          <v:shapetype id="_x0000_t12" coordsize="21600,21600" o:spt="202" path="m,l,21600r21600,l21600,xe">
            <v:stroke joinstyle="miter"/>
            <v:path gradientshapeok="t" o:connecttype="rect"/>
          </v:shapetype>
          <v:shape id="_x0000_s11" type="#_x0000_t12" filled="f" stroked="f" style="position:absolute;width:54.75pt;height:12.65pt;z-index:-1;margin-left:488.15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0" w:line="240"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4 of 5</w:t>
                  </w:r>
                </w:p>
              </w:txbxContent>
            </v:textbox>
          </v:shape>
        </w:pict>
      </w:r>
      <w:r>
        <w:pict>
          <v:line strokeweight="1.2pt" strokecolor="#000000" from="43.9pt,148.55pt" to="538.15pt,148.55pt" style="position:absolute;mso-position-horizontal-relative:page;mso-position-vertical-relative:page;">
            <v:stroke dashstyle="solid"/>
          </v:line>
        </w:pict>
      </w:r>
    </w:p>
    <w:p>
      <w:pPr>
        <w:sectPr>
          <w:type w:val="nextPage"/>
          <w:pgSz w:w="11904" w:h="16843" w:orient="portrait"/>
          <w:pgMar w:bottom="890" w:top="752" w:right="946" w:left="878"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Apr24 2026 1 1:1 1:58 GMT+1000 (AEST) *****</w:t>
      </w:r>
    </w:p>
    <w:p>
      <w:pPr>
        <w:spacing w:before="3" w:after="818" w:line="183" w:lineRule="exact"/>
        <w:sectPr>
          <w:type w:val="nextPage"/>
          <w:pgSz w:w="11904" w:h="16843" w:orient="portrait"/>
          <w:pgMar w:bottom="867" w:top="1040" w:right="1423" w:left="1121"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operator’s contact person for supplier enquiries:</w:t>
      </w:r>
    </w:p>
    <w:p>
      <w:pPr>
        <w:spacing w:before="140"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Luke Wilson</w:t>
      </w:r>
    </w:p>
    <w:p>
      <w:pPr>
        <w:spacing w:before="39"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State Development Manager</w:t>
      </w:r>
    </w:p>
    <w:p>
      <w:pPr>
        <w:spacing w:before="39" w:after="0" w:line="182" w:lineRule="exact"/>
        <w:ind w:right="0" w:left="72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0400506926</w:t>
      </w:r>
    </w:p>
    <w:p>
      <w:pPr>
        <w:spacing w:before="34" w:after="0" w:line="182" w:lineRule="exact"/>
        <w:ind w:right="0" w:left="136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E-mail </w:t>
      </w:r>
      <w:hyperlink r:id="dhId2">
        <w:r>
          <w:rPr>
            <w:rFonts w:ascii="Arial" w:hAnsi="Arial" w:eastAsia="Arial"/>
            <w:color w:val="0000FF"/>
            <w:spacing w:val="0"/>
            <w:w w:val="100"/>
            <w:sz w:val="16"/>
            <w:u w:val="single"/>
            <w:vertAlign w:val="baseline"/>
            <w:lang w:val="en-US"/>
          </w:rPr>
          <w:t xml:space="preserve">lwilson@hbbproperty.com.au</w:t>
        </w:r>
      </w:hyperlink>
      <w:r>
        <w:rPr>
          <w:rFonts w:ascii="Arial" w:hAnsi="Arial" w:eastAsia="Arial"/>
          <w:color w:val="000000"/>
          <w:spacing w:val="0"/>
          <w:w w:val="100"/>
          <w:sz w:val="16"/>
          <w:vertAlign w:val="baseline"/>
          <w:lang w:val="en-US"/>
        </w:rPr>
        <w:t xml:space="preserve">
</w:t>
      </w:r>
    </w:p>
    <w:p>
      <w:pPr>
        <w:spacing w:before="57" w:after="0" w:line="32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Facility operator website: </w:t>
      </w:r>
      <w:hyperlink r:id="dhId3">
        <w:r>
          <w:rPr>
            <w:rFonts w:ascii="Arial" w:hAnsi="Arial" w:eastAsia="Arial"/>
            <w:color w:val="0000FF"/>
            <w:spacing w:val="0"/>
            <w:w w:val="100"/>
            <w:sz w:val="16"/>
            <w:u w:val="single"/>
            <w:vertAlign w:val="baseline"/>
            <w:lang w:val="en-US"/>
          </w:rPr>
          <w:t xml:space="preserve">www.gpt.com.au</w:t>
        </w:r>
      </w:hyperlink>
      <w:r>
        <w:rPr>
          <w:rFonts w:ascii="Arial" w:hAnsi="Arial" w:eastAsia="Arial"/>
          <w:color w:val="000000"/>
          <w:spacing w:val="0"/>
          <w:w w:val="100"/>
          <w:sz w:val="16"/>
          <w:vertAlign w:val="baseline"/>
          <w:lang w:val="en-US"/>
        </w:rPr>
        <w:t xml:space="preserve"></w:t>
        <w:br/>
      </w:r>
      <w:r>
        <w:rPr>
          <w:rFonts w:ascii="Arial" w:hAnsi="Arial" w:eastAsia="Arial"/>
          <w:color w:val="000000"/>
          <w:spacing w:val="0"/>
          <w:w w:val="100"/>
          <w:sz w:val="16"/>
          <w:vertAlign w:val="baseline"/>
          <w:lang w:val="en-US"/>
        </w:rPr>
        <w:t xml:space="preserve">Facility opportunities website: </w:t>
      </w:r>
      <w:hyperlink r:id="dhId4">
        <w:r>
          <w:rPr>
            <w:rFonts w:ascii="Arial" w:hAnsi="Arial" w:eastAsia="Arial"/>
            <w:color w:val="0000FF"/>
            <w:spacing w:val="0"/>
            <w:w w:val="100"/>
            <w:sz w:val="16"/>
            <w:u w:val="single"/>
            <w:vertAlign w:val="baseline"/>
            <w:lang w:val="en-US"/>
          </w:rPr>
          <w:t xml:space="preserve">www.gpt.com.au</w:t>
        </w:r>
      </w:hyperlink>
      <w:r>
        <w:rPr>
          <w:rFonts w:ascii="Arial" w:hAnsi="Arial" w:eastAsia="Arial"/>
          <w:color w:val="000000"/>
          <w:spacing w:val="0"/>
          <w:w w:val="100"/>
          <w:sz w:val="16"/>
          <w:vertAlign w:val="baseline"/>
          <w:lang w:val="en-US"/>
        </w:rPr>
        <w:t xml:space="preserve"></w:t>
        <w:br/>
      </w:r>
      <w:r>
        <w:rPr>
          <w:rFonts w:ascii="Arial" w:hAnsi="Arial" w:eastAsia="Arial"/>
          <w:color w:val="000000"/>
          <w:spacing w:val="0"/>
          <w:w w:val="100"/>
          <w:sz w:val="16"/>
          <w:vertAlign w:val="baseline"/>
          <w:lang w:val="en-US"/>
        </w:rPr>
        <w:t xml:space="preserve">Supplier engagement and communication actions :</w:t>
      </w:r>
    </w:p>
    <w:p>
      <w:pPr>
        <w:spacing w:before="15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9"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Issue media releases or ASX announcements on project developments and opportunities</w:t>
      </w:r>
    </w:p>
    <w:p>
      <w:pPr>
        <w:spacing w:before="34"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p>
      <w:pPr>
        <w:spacing w:before="38"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Pre Qualify Project Consultants and Contractors</w:t>
      </w:r>
    </w:p>
    <w:p>
      <w:pPr>
        <w:spacing w:before="473" w:after="0" w:line="393"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06" w:after="0" w:line="216"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Recommend suppliers undertake training and/or accreditation</w:t>
        <w:br/>
      </w:r>
      <w:r>
        <w:rPr>
          <w:rFonts w:ascii="Arial" w:hAnsi="Arial" w:eastAsia="Arial"/>
          <w:color w:val="000000"/>
          <w:spacing w:val="0"/>
          <w:w w:val="100"/>
          <w:sz w:val="16"/>
          <w:vertAlign w:val="baseline"/>
          <w:lang w:val="en-US"/>
        </w:rPr>
        <w:t xml:space="preserve">Provide market intelligence to suppliers</w:t>
      </w:r>
    </w:p>
    <w:p>
      <w:pPr>
        <w:spacing w:before="202"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0" w:after="0" w:line="360" w:lineRule="exact"/>
        <w:ind w:right="5472" w:left="0" w:firstLine="576"/>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Provide references for high performing suppliers Feedback:</w:t>
      </w:r>
    </w:p>
    <w:p>
      <w:pPr>
        <w:spacing w:before="95" w:after="5285" w:line="221"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95" w:after="5285" w:line="221" w:lineRule="exact"/>
        <w:sectPr>
          <w:type w:val="continuous"/>
          <w:pgSz w:w="11904" w:h="16843" w:orient="portrait"/>
          <w:pgMar w:bottom="867" w:top="1040" w:right="1507" w:left="103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5 of 5</w:t>
      </w:r>
    </w:p>
    <w:sectPr>
      <w:type w:val="continuous"/>
      <w:pgSz w:w="11904" w:h="16843" w:orient="portrait"/>
      <w:pgMar w:bottom="867" w:top="1040" w:right="1041" w:left="976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lwilson@hbbproperty.com.au"/><Relationship Id="dhId2" Type="http://schemas.openxmlformats.org/officeDocument/2006/relationships/hyperlink" TargetMode="External" Target="mailto:lwilson@hbbproperty.com.au"/><Relationship Id="dhId3" Type="http://schemas.openxmlformats.org/officeDocument/2006/relationships/hyperlink" TargetMode="External" Target="http://www.gpt.com.au"/><Relationship Id="dhId4" Type="http://schemas.openxmlformats.org/officeDocument/2006/relationships/hyperlink" TargetMode="External" Target="http://www.gpt.com.au"/><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þÿ</dc:title>
  <dcterms:created xsi:type="dcterms:W3CDTF">2026-07-01T06:06:05Z</dcterms:created>
  <dcterms:modified xsi:type="dcterms:W3CDTF">2026-07-01T06:06:05Z</dcterms:modified>
</cp:coreProperties>
</file>