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15:06:57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SOLQUARTZ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Name: North Queensland Quartz Campus</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Location: Bidwilli Road, Calcium QLD 4816</w:t>
      </w:r>
    </w:p>
    <w:p>
      <w:pPr>
        <w:spacing w:before="135"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Type: Factory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$2 billion - $5 billion</w:t>
      </w:r>
    </w:p>
    <w:p>
      <w:pPr>
        <w:spacing w:before="126" w:after="0" w:line="219"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In Stage 1, the processing facility would convert Queensland-mined quartz into MG-Si through a smelting process. The silicon production process uses carbon reductant that can be imported low ash coal, imported biogenic charcoal or domestic bio-charcoal, preferably made at site from Queensland wood. Stage 1 of the Northern Quartz Campus includes development and operation of: Biochar plant with production capacity of up to 30,000 tpa, using sustainably sourced plantation wood chips as biomass, transported to the site to create biochar for use in the agricultural sector and silicon production process MG-Si Production Facility with capacity in the first stage of up to 50,000 tonnes per annum (tpa) of MG-Si. Stage 1 will start construction in 2027 and reach Commercial Operations in 2029. Proposed subsequent project stages will develop up to 100,000 tpa of additional MG-Si production capacity, and polysilicon manufacturing plants with production capacity of up to 2 x 50,000 tpa solar grade and 1 x 10,000 tpa electronic grade polysilicon. This will position North Queensland as integral to the global solar PV manufacturing supply chain.</w:t>
      </w:r>
    </w:p>
    <w:p>
      <w:pPr>
        <w:spacing w:before="141" w:after="4806"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Completion date: 31 Dec 2028</w:t>
      </w:r>
    </w:p>
    <w:p>
      <w:pPr>
        <w:spacing w:before="141" w:after="4806"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15:06:57 GMT+1000 (AEST)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430"/>
        <w:gridCol w:w="2265"/>
        <w:gridCol w:w="1678"/>
        <w:gridCol w:w="3467"/>
      </w:tblGrid>
      <w:tr>
        <w:trPr>
          <w:trHeight w:val="628" w:hRule="exact"/>
        </w:trPr>
        <w:tc>
          <w:tcPr>
            <w:tcW w:w="2430" w:type="dxa"/>
            <w:tcBorders>
              <w:top w:val="none"/>
              <w:left w:val="none"/>
              <w:bottom w:val="none"/>
              <w:right w:val="none"/>
            </w:tcBorders>
            <w:textDirection w:val="lrTb"/>
            <w:vAlign w:val="center"/>
          </w:tcPr>
          <w:p>
            <w:pPr>
              <w:spacing w:before="258" w:after="178" w:line="182" w:lineRule="exact"/>
              <w:ind w:right="670"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2265" w:type="dxa"/>
            <w:tcBorders>
              <w:top w:val="none"/>
              <w:left w:val="none"/>
              <w:bottom w:val="none"/>
              <w:right w:val="none"/>
            </w:tcBorders>
            <w:textDirection w:val="lrTb"/>
            <w:vAlign w:val="center"/>
          </w:tcPr>
          <w:p>
            <w:pPr>
              <w:spacing w:before="98" w:after="80" w:line="220" w:lineRule="exact"/>
              <w:ind w:right="0" w:left="432"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8"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467" w:type="dxa"/>
            <w:tcBorders>
              <w:top w:val="none"/>
              <w:left w:val="none"/>
              <w:bottom w:val="none"/>
              <w:right w:val="none"/>
            </w:tcBorders>
            <w:textDirection w:val="lrTb"/>
            <w:vAlign w:val="center"/>
          </w:tcPr>
          <w:p>
            <w:pPr>
              <w:spacing w:before="101" w:after="77" w:line="220" w:lineRule="exact"/>
              <w:ind w:right="612"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p>
      <w:pPr>
        <w:spacing w:before="0" w:after="51" w:line="20" w:lineRule="exact"/>
      </w:pPr>
    </w:p>
    <w:p>
      <w:pPr>
        <w:tabs>
          <w:tab w:val="left" w:leader="none" w:pos="3672"/>
          <w:tab w:val="left" w:leader="none" w:pos="5472"/>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Bulk earthworks and site prep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672"/>
          <w:tab w:val="left" w:leader="none" w:pos="5472"/>
        </w:tabs>
        <w:spacing w:before="55" w:after="0" w:line="217"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Silicon Furnace design, supply and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28"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installation</w:t>
      </w:r>
    </w:p>
    <w:tbl>
      <w:tblPr>
        <w:jc w:val="left"/>
        <w:tblLayout w:type="fixed"/>
        <w:tblCellMar>
          <w:left w:w="0" w:type="dxa"/>
          <w:right w:w="0" w:type="dxa"/>
        </w:tblCellMar>
      </w:tblPr>
      <w:tblGrid>
        <w:gridCol w:w="3241"/>
        <w:gridCol w:w="6599"/>
      </w:tblGrid>
      <w:tr>
        <w:trPr>
          <w:trHeight w:val="1761" w:hRule="exact"/>
        </w:trPr>
        <w:tc>
          <w:tcPr>
            <w:tcW w:w="3241" w:type="dxa"/>
            <w:tcBorders>
              <w:top w:val="none"/>
              <w:left w:val="none"/>
              <w:bottom w:val="none"/>
              <w:right w:val="none"/>
            </w:tcBorders>
            <w:textDirection w:val="lrTb"/>
            <w:vAlign w:val="top"/>
          </w:tcPr>
          <w:p>
            <w:pPr>
              <w:spacing w:before="0" w:after="0" w:line="201" w:lineRule="exact"/>
              <w:ind w:right="432"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Off gas treatment plant design, supply and installation</w:t>
            </w:r>
          </w:p>
          <w:p>
            <w:pPr>
              <w:spacing w:before="0" w:after="0" w:line="221" w:lineRule="exact"/>
              <w:ind w:right="576" w:left="72" w:firstLine="0"/>
              <w:jc w:val="both"/>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Site facilities and non-electrical design, supply and installation</w:t>
            </w:r>
          </w:p>
          <w:p>
            <w:pPr>
              <w:spacing w:before="0" w:after="0" w:line="221" w:lineRule="exact"/>
              <w:ind w:right="576" w:left="72" w:firstLine="0"/>
              <w:jc w:val="both"/>
              <w:textAlignment w:val="baseline"/>
              <w:rPr>
                <w:rFonts w:ascii="Arial" w:hAnsi="Arial" w:eastAsia="Arial"/>
                <w:color w:val="000000"/>
                <w:spacing w:val="-7"/>
                <w:w w:val="100"/>
                <w:sz w:val="16"/>
                <w:vertAlign w:val="baseline"/>
                <w:lang w:val="en-US"/>
              </w:rPr>
            </w:pPr>
            <w:r>
              <w:rPr>
                <w:rFonts w:ascii="Arial" w:hAnsi="Arial" w:eastAsia="Arial"/>
                <w:color w:val="000000"/>
                <w:spacing w:val="-7"/>
                <w:w w:val="100"/>
                <w:sz w:val="16"/>
                <w:vertAlign w:val="baseline"/>
                <w:lang w:val="en-US"/>
              </w:rPr>
              <w:t xml:space="preserve">Concrete, foundations and underground services</w:t>
            </w:r>
          </w:p>
          <w:p>
            <w:pPr>
              <w:spacing w:before="0" w:after="29" w:line="218" w:lineRule="exact"/>
              <w:ind w:right="0" w:left="72"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Roads, buildings and non-process</w:t>
              <w:br/>
            </w:r>
            <w:r>
              <w:rPr>
                <w:rFonts w:ascii="Arial" w:hAnsi="Arial" w:eastAsia="Arial"/>
                <w:color w:val="000000"/>
                <w:spacing w:val="0"/>
                <w:w w:val="100"/>
                <w:sz w:val="16"/>
                <w:vertAlign w:val="baseline"/>
                <w:lang w:val="en-US"/>
              </w:rPr>
              <w:t xml:space="preserve">infrastructure</w:t>
            </w:r>
          </w:p>
        </w:tc>
        <w:tc>
          <w:tcPr>
            <w:tcW w:w="6599" w:type="dxa"/>
            <w:tcBorders>
              <w:top w:val="none"/>
              <w:left w:val="none"/>
              <w:bottom w:val="none"/>
              <w:right w:val="none"/>
            </w:tcBorders>
            <w:textDirection w:val="lrTb"/>
            <w:vAlign w:val="top"/>
          </w:tcPr>
          <w:p>
            <w:pPr>
              <w:tabs>
                <w:tab w:val="left" w:leader="none" w:pos="2232"/>
              </w:tabs>
              <w:spacing w:before="101" w:after="0" w:line="182" w:lineRule="exact"/>
              <w:ind w:right="4140" w:left="0" w:firstLine="0"/>
              <w:jc w:val="right"/>
              <w:textAlignment w:val="baseline"/>
              <w:rPr>
                <w:rFonts w:ascii="Arial" w:hAnsi="Arial" w:eastAsia="Arial"/>
                <w:color w:val="000000"/>
                <w:spacing w:val="0"/>
                <w:w w:val="95"/>
                <w:sz w:val="16"/>
                <w:vertAlign w:val="baseline"/>
                <w:lang w:val="en-US"/>
              </w:rPr>
            </w:pPr>
            <w:r>
              <w:rPr>
                <w:rFonts w:ascii="Arial" w:hAnsi="Arial" w:eastAsia="Arial"/>
                <w:color w:val="000000"/>
                <w:spacing w:val="0"/>
                <w:w w:val="95"/>
                <w:sz w:val="16"/>
                <w:vertAlign w:val="baseline"/>
                <w:lang w:val="en-US"/>
              </w:rPr>
              <w:t xml:space="preserve">Yes	</w:t>
            </w:r>
            <w:r>
              <w:rPr>
                <w:rFonts w:ascii="Arial" w:hAnsi="Arial" w:eastAsia="Arial"/>
                <w:color w:val="000000"/>
                <w:spacing w:val="0"/>
                <w:w w:val="95"/>
                <w:sz w:val="16"/>
                <w:vertAlign w:val="baseline"/>
                <w:lang w:val="en-US"/>
              </w:rPr>
              <w:t xml:space="preserve">Yes</w:t>
            </w:r>
          </w:p>
          <w:p>
            <w:pPr>
              <w:tabs>
                <w:tab w:val="left" w:leader="none" w:pos="2232"/>
              </w:tabs>
              <w:spacing w:before="260" w:after="0" w:line="182" w:lineRule="exact"/>
              <w:ind w:right="4140"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232"/>
              </w:tabs>
              <w:spacing w:before="260" w:after="0" w:line="182" w:lineRule="exact"/>
              <w:ind w:right="4140"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232"/>
              </w:tabs>
              <w:spacing w:before="254" w:after="149" w:line="182" w:lineRule="exact"/>
              <w:ind w:right="4140"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tc>
      </w:tr>
    </w:tbl>
    <w:p>
      <w:pPr>
        <w:tabs>
          <w:tab w:val="left" w:leader="none" w:pos="3672"/>
          <w:tab w:val="left" w:leader="none" w:pos="5472"/>
        </w:tabs>
        <w:spacing w:before="1"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Electrical installation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3672"/>
          <w:tab w:val="left" w:leader="none" w:pos="5472"/>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Control systems and instrumentation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672"/>
          <w:tab w:val="left" w:leader="none" w:pos="5472"/>
        </w:tabs>
        <w:spacing w:before="56" w:after="0" w:line="216"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Transformers and major equipment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(OEM Supply)</w:t>
      </w:r>
    </w:p>
    <w:p>
      <w:pPr>
        <w:spacing w:before="312"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5" w:after="0" w:line="216"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2"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Vignesh Bandi</w:t>
      </w:r>
    </w:p>
    <w:p>
      <w:pPr>
        <w:spacing w:before="34"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Senior Vice President</w:t>
      </w:r>
    </w:p>
    <w:p>
      <w:pPr>
        <w:spacing w:before="38" w:after="0" w:line="182" w:lineRule="exact"/>
        <w:ind w:right="0" w:left="64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0493218895</w:t>
      </w:r>
    </w:p>
    <w:p>
      <w:pPr>
        <w:spacing w:before="39"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vignesh.bandi@quinbrook.com</w:t>
        </w:r>
      </w:hyperlink>
      <w:r>
        <w:rPr>
          <w:rFonts w:ascii="Arial" w:hAnsi="Arial" w:eastAsia="Arial"/>
          <w:color w:val="000000"/>
          <w:spacing w:val="-1"/>
          <w:w w:val="100"/>
          <w:sz w:val="16"/>
          <w:vertAlign w:val="baseline"/>
          <w:lang w:val="en-US"/>
        </w:rPr>
        <w:t xml:space="preserve">
</w:t>
      </w:r>
    </w:p>
    <w:p>
      <w:pPr>
        <w:spacing w:before="57" w:after="0" w:line="32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https://private-energypartnerscommunity.com.au/</w:t>
        <w:br/>
      </w:r>
      <w:r>
        <w:rPr>
          <w:rFonts w:ascii="Arial" w:hAnsi="Arial" w:eastAsia="Arial"/>
          <w:color w:val="000000"/>
          <w:spacing w:val="0"/>
          <w:w w:val="100"/>
          <w:sz w:val="16"/>
          <w:vertAlign w:val="baseline"/>
          <w:lang w:val="en-US"/>
        </w:rPr>
        <w:t xml:space="preserve">Project opportunities website:</w:t>
      </w:r>
    </w:p>
    <w:p>
      <w:pPr>
        <w:spacing w:before="0" w:after="0" w:line="360" w:lineRule="exact"/>
        <w:ind w:right="0" w:left="0" w:firstLine="648"/>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https://private-energypartnerscommunity.com.au/</w:t>
        <w:br/>
      </w:r>
      <w:r>
        <w:rPr>
          <w:rFonts w:ascii="Arial" w:hAnsi="Arial" w:eastAsia="Arial"/>
          <w:color w:val="000000"/>
          <w:spacing w:val="0"/>
          <w:w w:val="100"/>
          <w:sz w:val="16"/>
          <w:vertAlign w:val="baseline"/>
          <w:lang w:val="en-US"/>
        </w:rPr>
        <w:t xml:space="preserve">Supplier engagement and communication actions :</w:t>
      </w:r>
    </w:p>
    <w:p>
      <w:pPr>
        <w:spacing w:before="140"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4"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8"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1450"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p>
      <w:pPr>
        <w:sectPr>
          <w:type w:val="nextPage"/>
          <w:pgSz w:w="11904" w:h="16843" w:orient="portrait"/>
          <w:pgMar w:bottom="867" w:top="1040" w:right="10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15:06:57 GMT+1000 (AEST) *****</w:t>
      </w:r>
    </w:p>
    <w:p>
      <w:pPr>
        <w:spacing w:before="3" w:after="818" w:line="183" w:lineRule="exact"/>
        <w:sectPr>
          <w:type w:val="nextPage"/>
          <w:pgSz w:w="11904" w:h="16843" w:orient="portrait"/>
          <w:pgMar w:bottom="867" w:top="1040" w:right="1183" w:left="88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79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3" w:after="0" w:line="218" w:lineRule="exact"/>
        <w:ind w:right="2304"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Facilitate strategic partnering and joint ventures between Australian and international suppliers Support supplier export and global integration initiatives of industry associations or governments Provide references for high performing suppliers</w:t>
      </w:r>
    </w:p>
    <w:p>
      <w:pPr>
        <w:spacing w:before="198" w:after="0" w:line="182" w:lineRule="exact"/>
        <w:ind w:right="0" w:left="144"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0" w:after="9264" w:line="221" w:lineRule="exact"/>
        <w:ind w:right="0" w:left="79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0" w:after="9264" w:line="221" w:lineRule="exact"/>
        <w:sectPr>
          <w:type w:val="continuous"/>
          <w:pgSz w:w="11904" w:h="16843" w:orient="portrait"/>
          <w:pgMar w:bottom="867" w:top="1040" w:right="1493" w:left="88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76.5pt;height:52.85pt;z-index:-1;margin-left:51.8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15:06:57 GMT+1000 (AEST)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SOLQUARTZ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205" w:after="0" w:line="33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Name: North Queensland Quartz Campus</w:t>
                    <w:br/>
                  </w:r>
                  <w:r>
                    <w:rPr>
                      <w:rFonts w:ascii="Arial" w:hAnsi="Arial" w:eastAsia="Arial"/>
                      <w:color w:val="000000"/>
                      <w:spacing w:val="0"/>
                      <w:w w:val="100"/>
                      <w:sz w:val="16"/>
                      <w:vertAlign w:val="baseline"/>
                      <w:lang w:val="en-US"/>
                    </w:rPr>
                    <w:t xml:space="preserve">Location: Bidwilli Road, Calcium QLD 4816</w:t>
                    <w:br/>
                  </w:r>
                  <w:r>
                    <w:rPr>
                      <w:rFonts w:ascii="Arial" w:hAnsi="Arial" w:eastAsia="Arial"/>
                      <w:color w:val="000000"/>
                      <w:spacing w:val="0"/>
                      <w:w w:val="100"/>
                      <w:sz w:val="16"/>
                      <w:vertAlign w:val="baseline"/>
                      <w:lang w:val="en-US"/>
                    </w:rPr>
                    <w:t xml:space="preserve">Type: Factory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438.5pt;height:31.45pt;z-index:-1;margin-left:51.8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194"/>
                    <w:gridCol w:w="1786"/>
                    <w:gridCol w:w="261"/>
                    <w:gridCol w:w="1673"/>
                    <w:gridCol w:w="2856"/>
                  </w:tblGrid>
                  <w:tr>
                    <w:trPr>
                      <w:trHeight w:val="629" w:hRule="exact"/>
                    </w:trPr>
                    <w:tc>
                      <w:tcPr>
                        <w:tcW w:w="2194" w:type="dxa"/>
                        <w:tcBorders>
                          <w:top w:val="none"/>
                          <w:left w:val="none"/>
                          <w:bottom w:val="none"/>
                          <w:right w:val="none"/>
                        </w:tcBorders>
                        <w:textDirection w:val="lrTb"/>
                        <w:vAlign w:val="center"/>
                      </w:tcPr>
                      <w:p>
                        <w:pPr>
                          <w:spacing w:before="259" w:after="186" w:line="183" w:lineRule="exact"/>
                          <w:ind w:right="45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786" w:type="dxa"/>
                        <w:tcBorders>
                          <w:top w:val="none"/>
                          <w:left w:val="none"/>
                          <w:bottom w:val="none"/>
                          <w:right w:val="none"/>
                        </w:tcBorders>
                        <w:textDirection w:val="lrTb"/>
                        <w:vAlign w:val="center"/>
                      </w:tcPr>
                      <w:p>
                        <w:pPr>
                          <w:spacing w:before="101" w:after="85" w:line="221" w:lineRule="exact"/>
                          <w:ind w:right="0" w:left="468"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6" w:after="163" w:line="129" w:lineRule="exact"/>
                          <w:ind w:right="0" w:left="0" w:firstLine="0"/>
                          <w:jc w:val="center"/>
                          <w:textAlignment w:val="baseline"/>
                          <w:rPr>
                            <w:rFonts w:ascii="Arial" w:hAnsi="Arial" w:eastAsia="Arial"/>
                            <w:b w:val="true"/>
                            <w:color w:val="000000"/>
                            <w:spacing w:val="0"/>
                            <w:w w:val="100"/>
                            <w:sz w:val="10"/>
                            <w:vertAlign w:val="baseline"/>
                            <w:lang w:val="en-US"/>
                          </w:rPr>
                        </w:pPr>
                        <w:r>
                          <w:rPr>
                            <w:rFonts w:ascii="Arial" w:hAnsi="Arial" w:eastAsia="Arial"/>
                            <w:b w:val="true"/>
                            <w:color w:val="000000"/>
                            <w:spacing w:val="0"/>
                            <w:w w:val="100"/>
                            <w:sz w:val="10"/>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6" w:type="dxa"/>
                        <w:tcBorders>
                          <w:top w:val="none"/>
                          <w:left w:val="none"/>
                          <w:bottom w:val="none"/>
                          <w:right w:val="none"/>
                        </w:tcBorders>
                        <w:textDirection w:val="lrTb"/>
                        <w:vAlign w:val="center"/>
                      </w:tcPr>
                      <w:p>
                        <w:pPr>
                          <w:spacing w:before="101" w:after="85"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5" coordsize="21600,21600" o:spt="202" path="m,l,21600r21600,l21600,xe">
            <v:stroke joinstyle="miter"/>
            <v:path gradientshapeok="t" o:connecttype="rect"/>
          </v:shapetype>
          <v:shape id="_x0000_s4" type="#_x0000_t5" filled="f" stroked="f" style="position:absolute;width:496.3pt;height:408.95pt;z-index:-1;margin-left:51.6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168"/>
                      <w:tab w:val="left" w:leader="none" w:pos="4968"/>
                    </w:tabs>
                    <w:spacing w:before="1" w:after="0" w:line="182"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Mechanical Maintenance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168"/>
                      <w:tab w:val="left" w:leader="none" w:pos="4968"/>
                    </w:tabs>
                    <w:spacing w:before="50" w:after="0" w:line="216"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&amp; Instrumentation (E&amp;I)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36"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Maintenance</w:t>
                  </w:r>
                </w:p>
                <w:p>
                  <w:pPr>
                    <w:tabs>
                      <w:tab w:val="left" w:leader="none" w:pos="3168"/>
                      <w:tab w:val="left" w:leader="none" w:pos="4968"/>
                    </w:tabs>
                    <w:spacing w:before="39" w:after="0" w:line="182" w:lineRule="exact"/>
                    <w:ind w:right="36"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Refractory Maintenance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39" w:after="0" w:line="141" w:lineRule="exact"/>
                    <w:ind w:right="36" w:left="6048"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No Australian supplier currently exists for this</w:t>
                  </w:r>
                </w:p>
                <w:p>
                  <w:pPr>
                    <w:tabs>
                      <w:tab w:val="left" w:leader="none" w:pos="3168"/>
                      <w:tab w:val="left" w:leader="none" w:pos="4968"/>
                    </w:tabs>
                    <w:spacing w:before="0" w:after="0" w:line="111"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Carbon Electrodes Consumables	</w:t>
                  </w:r>
                  <w:r>
                    <w:rPr>
                      <w:rFonts w:ascii="Arial" w:hAnsi="Arial" w:eastAsia="Arial"/>
                      <w:color w:val="000000"/>
                      <w:spacing w:val="0"/>
                      <w:w w:val="100"/>
                      <w:sz w:val="16"/>
                      <w:vertAlign w:val="baseline"/>
                      <w:lang w:val="en-US"/>
                    </w:rPr>
                    <w:t xml:space="preserve">No	</w:t>
                  </w:r>
                  <w:r>
                    <w:rPr>
                      <w:rFonts w:ascii="Arial" w:hAnsi="Arial" w:eastAsia="Arial"/>
                      <w:color w:val="000000"/>
                      <w:spacing w:val="0"/>
                      <w:w w:val="100"/>
                      <w:sz w:val="16"/>
                      <w:vertAlign w:val="baseline"/>
                      <w:lang w:val="en-US"/>
                    </w:rPr>
                    <w:t xml:space="preserve">Yes</w:t>
                  </w:r>
                </w:p>
                <w:p>
                  <w:pPr>
                    <w:spacing w:before="0" w:after="0" w:line="151" w:lineRule="exact"/>
                    <w:ind w:right="36" w:left="60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specialty product</w:t>
                  </w:r>
                </w:p>
                <w:p>
                  <w:pPr>
                    <w:tabs>
                      <w:tab w:val="left" w:leader="none" w:pos="3168"/>
                      <w:tab w:val="left" w:leader="none" w:pos="4968"/>
                    </w:tabs>
                    <w:spacing w:before="57" w:after="0" w:line="210"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Raw Materials Handling &amp;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36"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Logistics</w:t>
                  </w:r>
                </w:p>
                <w:p>
                  <w:pPr>
                    <w:tabs>
                      <w:tab w:val="left" w:leader="none" w:pos="3168"/>
                      <w:tab w:val="left" w:leader="none" w:pos="4968"/>
                    </w:tabs>
                    <w:spacing w:before="38" w:after="0" w:line="182"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Industrial Gases &amp; Chemicals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168"/>
                      <w:tab w:val="left" w:leader="none" w:pos="4968"/>
                    </w:tabs>
                    <w:spacing w:before="55" w:after="0" w:line="217"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Site Services (Cleaning, Waste,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36"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Catering)</w:t>
                  </w:r>
                </w:p>
                <w:p>
                  <w:pPr>
                    <w:tabs>
                      <w:tab w:val="left" w:leader="none" w:pos="3168"/>
                      <w:tab w:val="left" w:leader="none" w:pos="4968"/>
                    </w:tabs>
                    <w:spacing w:before="39" w:after="0" w:line="182"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Security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168"/>
                      <w:tab w:val="left" w:leader="none" w:pos="4968"/>
                    </w:tabs>
                    <w:spacing w:before="39" w:after="0" w:line="182" w:lineRule="exact"/>
                    <w:ind w:right="36"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Charcoal supply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168"/>
                      <w:tab w:val="left" w:leader="none" w:pos="4968"/>
                    </w:tabs>
                    <w:spacing w:before="34" w:after="0" w:line="182" w:lineRule="exact"/>
                    <w:ind w:right="36"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Low ash coal supply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168"/>
                      <w:tab w:val="left" w:leader="none" w:pos="4968"/>
                    </w:tabs>
                    <w:spacing w:before="38" w:after="0" w:line="182" w:lineRule="exact"/>
                    <w:ind w:right="36"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Quartz supply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3168"/>
                      <w:tab w:val="left" w:leader="none" w:pos="4968"/>
                    </w:tabs>
                    <w:spacing w:before="39" w:after="0" w:line="182"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Electricity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168"/>
                      <w:tab w:val="left" w:leader="none" w:pos="4968"/>
                    </w:tabs>
                    <w:spacing w:before="39" w:after="0" w:line="182"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Water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168"/>
                      <w:tab w:val="left" w:leader="none" w:pos="4968"/>
                    </w:tabs>
                    <w:spacing w:before="39" w:after="0" w:line="182" w:lineRule="exact"/>
                    <w:ind w:right="3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Timber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192" w:after="0" w:line="343" w:lineRule="exact"/>
                    <w:ind w:right="36" w:left="0"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01" w:after="0" w:line="221" w:lineRule="exact"/>
                    <w:ind w:right="36"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2568" w:after="5" w:line="249" w:lineRule="exact"/>
                    <w:ind w:right="36"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01 2026 15:06:57 GMT+1000 (AEST) *****</w:t>
      </w:r>
    </w:p>
    <w:p>
      <w:pPr>
        <w:spacing w:before="3" w:after="818" w:line="183" w:lineRule="exact"/>
        <w:sectPr>
          <w:type w:val="nextPage"/>
          <w:pgSz w:w="11904" w:h="16843" w:orient="portrait"/>
          <w:pgMar w:bottom="867" w:top="1040" w:right="1338" w:left="1036" w:header="720" w:footer="720"/>
          <w:titlePg w:val="false"/>
          <w:textDirection w:val="lrTb"/>
        </w:sectPr>
      </w:pPr>
    </w:p>
    <w:p>
      <w:pPr>
        <w:spacing w:before="0" w:after="0" w:line="391" w:lineRule="exact"/>
        <w:ind w:right="0" w:left="72"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8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Vignesh Bandi</w:t>
      </w:r>
    </w:p>
    <w:p>
      <w:pPr>
        <w:spacing w:before="39" w:after="0" w:line="182" w:lineRule="exact"/>
        <w:ind w:right="0" w:left="72"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Senior Vice President</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0493218895</w:t>
      </w:r>
    </w:p>
    <w:p>
      <w:pPr>
        <w:spacing w:before="34" w:after="0" w:line="182" w:lineRule="exact"/>
        <w:ind w:right="0" w:left="144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2">
        <w:r>
          <w:rPr>
            <w:rFonts w:ascii="Arial" w:hAnsi="Arial" w:eastAsia="Arial"/>
            <w:color w:val="0000FF"/>
            <w:spacing w:val="-1"/>
            <w:w w:val="100"/>
            <w:sz w:val="16"/>
            <w:u w:val="single"/>
            <w:vertAlign w:val="baseline"/>
            <w:lang w:val="en-US"/>
          </w:rPr>
          <w:t xml:space="preserve">vignesh.bandi@quinbrook.com</w:t>
        </w:r>
      </w:hyperlink>
      <w:r>
        <w:rPr>
          <w:rFonts w:ascii="Arial" w:hAnsi="Arial" w:eastAsia="Arial"/>
          <w:color w:val="000000"/>
          <w:spacing w:val="-1"/>
          <w:w w:val="100"/>
          <w:sz w:val="16"/>
          <w:vertAlign w:val="baseline"/>
          <w:lang w:val="en-US"/>
        </w:rPr>
        <w:t xml:space="preserve">
</w:t>
      </w:r>
    </w:p>
    <w:p>
      <w:pPr>
        <w:spacing w:before="202" w:after="0" w:line="182" w:lineRule="exact"/>
        <w:ind w:right="0" w:left="72"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operator website: https://private-energypartnerscommunity.com.au/</w:t>
      </w:r>
    </w:p>
    <w:p>
      <w:pPr>
        <w:spacing w:before="154"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39" w:after="0" w:line="182" w:lineRule="exact"/>
        <w:ind w:right="0" w:left="72"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5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8"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72"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4" w:after="0" w:line="182"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8" w:after="0" w:line="182" w:lineRule="exact"/>
        <w:ind w:right="0" w:left="72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8" w:after="0" w:line="182" w:lineRule="exact"/>
        <w:ind w:right="0" w:left="72"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19" w:after="0" w:line="221"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Facilitate strategic partnering and joint ventures between Australian and international suppliers</w:t>
        <w:br/>
      </w:r>
      <w:r>
        <w:rPr>
          <w:rFonts w:ascii="Arial" w:hAnsi="Arial" w:eastAsia="Arial"/>
          <w:color w:val="000000"/>
          <w:spacing w:val="0"/>
          <w:w w:val="100"/>
          <w:sz w:val="16"/>
          <w:vertAlign w:val="baseline"/>
          <w:lang w:val="en-US"/>
        </w:rPr>
        <w:t xml:space="preserve">Support supplier export and global integration initiatives of industry associations or governments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72"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4627" w:line="218" w:lineRule="exact"/>
        <w:ind w:right="72"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4627" w:line="218" w:lineRule="exact"/>
        <w:sectPr>
          <w:type w:val="continuous"/>
          <w:pgSz w:w="11904" w:h="16843" w:orient="portrait"/>
          <w:pgMar w:bottom="867" w:top="1040" w:right="1422" w:left="952"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vignesh.bandi@quinbrook.com"/><Relationship Id="dhId2" Type="http://schemas.openxmlformats.org/officeDocument/2006/relationships/hyperlink" TargetMode="External" Target="mailto:vignesh.bandi@quinbrook.co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2026-05-06T05:08:03Z</dcterms:created>
  <dcterms:modified xsi:type="dcterms:W3CDTF">2026-05-06T05:08:03Z</dcterms:modified>
</cp:coreProperties>
</file>