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15 2026 09:17:38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39" w:after="348" w:line="251"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Woodstock Project Co</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Lansdown Solar North (formerly Woodstock Renewable Energy Hub)</w:t>
      </w:r>
    </w:p>
    <w:p>
      <w:pPr>
        <w:spacing w:before="159" w:after="0" w:line="182"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Woodstock, Qld</w:t>
      </w:r>
    </w:p>
    <w:p>
      <w:pPr>
        <w:spacing w:before="134" w:after="0" w:line="182"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Electricity facility</w:t>
      </w:r>
    </w:p>
    <w:p>
      <w:pPr>
        <w:spacing w:before="159"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0"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$1 billion - $2 billion</w:t>
      </w:r>
    </w:p>
    <w:p>
      <w:pPr>
        <w:spacing w:before="123" w:after="0" w:line="218" w:lineRule="exact"/>
        <w:ind w:right="936"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A nominal 350 MW solar farm, Battery Energy Storage System (BESS) and c. 10 km of private transmission line to be developed and constructed near Woodstock, Qld. The energy from this project is designed to supply emerging clean industry at the Lansdown Eco Industrial Precinct (LEIP) being developed by the Townsville City Council (TCC) approximately 40km from Townsville.</w:t>
      </w:r>
    </w:p>
    <w:p>
      <w:pPr>
        <w:spacing w:before="140" w:after="6125" w:line="182"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Completion date: 31 Dec 2029</w:t>
      </w:r>
    </w:p>
    <w:p>
      <w:pPr>
        <w:spacing w:before="140" w:after="6125" w:line="182"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306pt;height:50.7pt;z-index:-1;margin-left:138.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15 2026 09:17:38 GMT+1000 (AEST) *****</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458.9pt;height:54.3pt;z-index:-1;margin-left:52.3pt;margin-top:102.7pt;mso-wrap-distance-left:0pt;mso-wrap-distance-right:0pt;mso-position-horizontal-relative:page;mso-position-vertical-relative:page">
            <w10:wrap type="square" side="both"/>
            <v:fill opacity="1" o:opacity2="1" recolor="f" rotate="f" type="solid"/>
            <v:textbox inset="0pt, 0pt, 0pt, 0pt">
              <w:txbxContent>
                <w:p>
                  <w:pPr>
                    <w:spacing w:before="0" w:after="0" w:line="391"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134.2pt;height:55.15pt;z-index:-1;margin-left:52.3pt;margin-top:157pt;mso-wrap-distance-left:0pt;mso-wrap-distance-right:0pt;mso-position-horizontal-relative:page;mso-position-vertical-relative:page">
            <w10:wrap type="square" side="both"/>
            <v:fill opacity="1" o:opacity2="1" recolor="f" rotate="f" type="solid"/>
            <v:textbox inset="0pt, 0pt, 0pt, 0pt">
              <w:txbxContent>
                <w:p>
                  <w:pPr>
                    <w:spacing w:before="258" w:after="0" w:line="182" w:lineRule="exact"/>
                    <w:ind w:right="0" w:left="0" w:firstLine="0"/>
                    <w:jc w:val="left"/>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Key goods and services</w:t>
                  </w:r>
                </w:p>
                <w:p>
                  <w:pPr>
                    <w:spacing w:before="221" w:after="0" w:line="216" w:lineRule="exact"/>
                    <w:ind w:right="0" w:left="0" w:firstLine="0"/>
                    <w:jc w:val="both"/>
                    <w:textAlignment w:val="baseline"/>
                    <w:rPr>
                      <w:rFonts w:ascii="Arial" w:hAnsi="Arial" w:eastAsia="Arial"/>
                      <w:color w:val="000000"/>
                      <w:spacing w:val="-7"/>
                      <w:w w:val="100"/>
                      <w:sz w:val="16"/>
                      <w:vertAlign w:val="baseline"/>
                      <w:lang w:val="en-US"/>
                    </w:rPr>
                  </w:pPr>
                  <w:r>
                    <w:rPr>
                      <w:rFonts w:ascii="Arial" w:hAnsi="Arial" w:eastAsia="Arial"/>
                      <w:color w:val="000000"/>
                      <w:spacing w:val="-7"/>
                      <w:w w:val="100"/>
                      <w:sz w:val="16"/>
                      <w:vertAlign w:val="baseline"/>
                      <w:lang w:val="en-US"/>
                    </w:rPr>
                    <w:t xml:space="preserve">Flora fauna and vegetation management services</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69.1pt;height:16.05pt;z-index:-1;margin-left:217.7pt;margin-top:157pt;mso-wrap-distance-left:0pt;mso-wrap-distance-right:0pt;mso-position-horizontal-relative:page;mso-position-vertical-relative:page">
            <w10:wrap type="square" side="both"/>
            <v:fill opacity="1" o:opacity2="1" recolor="f" rotate="f" type="solid"/>
            <v:textbox inset="0pt, 0pt, 0pt, 0pt">
              <w:txbxContent>
                <w:p>
                  <w:pPr>
                    <w:spacing w:before="138" w:after="0" w:line="178"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Opportunities for</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69.1pt;height:13.35pt;z-index:-1;margin-left:217.7pt;margin-top:173.05pt;mso-wrap-distance-left:0pt;mso-wrap-distance-right:0pt;mso-position-horizontal-relative:page;mso-position-vertical-relative:page">
            <w10:wrap type="square" side="both"/>
            <v:fill opacity="1" o:opacity2="1" recolor="f" rotate="f" type="solid"/>
            <v:textbox inset="0pt, 0pt, 0pt, 0pt">
              <w:txbxContent>
                <w:p>
                  <w:pPr>
                    <w:spacing w:before="35" w:after="37" w:line="182" w:lineRule="exact"/>
                    <w:ind w:right="0" w:left="0" w:firstLine="0"/>
                    <w:jc w:val="lef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Australian entities</w:t>
                  </w:r>
                  <w:r>
                    <w:rPr>
                      <w:rFonts w:ascii="Arial" w:hAnsi="Arial" w:eastAsia="Arial"/>
                      <w:b w:val="true"/>
                      <w:color w:val="000000"/>
                      <w:spacing w:val="-8"/>
                      <w:w w:val="100"/>
                      <w:sz w:val="16"/>
                      <w:vertAlign w:val="superscript"/>
                      <w:lang w:val="en-US"/>
                    </w:rPr>
                    <w:t xml:space="preserve">*</w:t>
                  </w:r>
                  <w:r>
                    <w:rPr>
                      <w:rFonts w:ascii="Arial" w:hAnsi="Arial" w:eastAsia="Arial"/>
                      <w:b w:val="true"/>
                      <w:color w:val="000000"/>
                      <w:spacing w:val="-8"/>
                      <w:w w:val="100"/>
                      <w:sz w:val="7"/>
                      <w:vertAlign w:val="baseline"/>
                      <w:lang w:val="en-US"/>
                    </w:rPr>
                    <w:t xml:space="preserve">
</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65.25pt;height:33.05pt;z-index:-1;margin-left:308.65pt;margin-top:157pt;mso-wrap-distance-left:0pt;mso-wrap-distance-right:0pt;mso-position-horizontal-relative:page;mso-position-vertical-relative:page">
            <w10:wrap type="square" side="both"/>
            <v:fill opacity="1" o:opacity2="1" recolor="f" rotate="f" type="solid"/>
            <v:textbox inset="0pt, 0pt, 0pt, 0pt">
              <w:txbxContent>
                <w:p>
                  <w:pPr>
                    <w:spacing w:before="1" w:after="0" w:line="215" w:lineRule="exact"/>
                    <w:ind w:right="0" w:left="0" w:firstLine="0"/>
                    <w:jc w:val="center"/>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Opportunities for</w:t>
                    <w:br/>
                  </w:r>
                  <w:r>
                    <w:rPr>
                      <w:rFonts w:ascii="Arial" w:hAnsi="Arial" w:eastAsia="Arial"/>
                      <w:b w:val="true"/>
                      <w:color w:val="000000"/>
                      <w:spacing w:val="-4"/>
                      <w:w w:val="100"/>
                      <w:sz w:val="16"/>
                      <w:vertAlign w:val="baseline"/>
                      <w:lang w:val="en-US"/>
                    </w:rPr>
                    <w:t xml:space="preserve">non-Australian</w:t>
                    <w:br/>
                  </w:r>
                  <w:r>
                    <w:rPr>
                      <w:rFonts w:ascii="Arial" w:hAnsi="Arial" w:eastAsia="Arial"/>
                      <w:b w:val="true"/>
                      <w:color w:val="000000"/>
                      <w:spacing w:val="-4"/>
                      <w:w w:val="100"/>
                      <w:sz w:val="16"/>
                      <w:vertAlign w:val="baseline"/>
                      <w:lang w:val="en-US"/>
                    </w:rPr>
                    <w:t xml:space="preserve">entities</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122.15pt;height:27.05pt;z-index:-1;margin-left:389.05pt;margin-top:157pt;mso-wrap-distance-left:0pt;mso-wrap-distance-right:0pt;mso-position-horizontal-relative:page;mso-position-vertical-relative:page">
            <w10:wrap type="square" side="both"/>
            <v:fill opacity="1" o:opacity2="1" recolor="f" rotate="f" type="solid"/>
            <v:textbox inset="0pt, 0pt, 0pt, 0pt">
              <w:txbxContent>
                <w:p>
                  <w:pPr>
                    <w:spacing w:before="101" w:after="0" w:line="215" w:lineRule="exact"/>
                    <w:ind w:right="0" w:left="0" w:firstLine="0"/>
                    <w:jc w:val="left"/>
                    <w:textAlignment w:val="baseline"/>
                    <w:rPr>
                      <w:rFonts w:ascii="Arial" w:hAnsi="Arial" w:eastAsia="Arial"/>
                      <w:b w:val="true"/>
                      <w:color w:val="000000"/>
                      <w:spacing w:val="-3"/>
                      <w:w w:val="100"/>
                      <w:sz w:val="16"/>
                      <w:vertAlign w:val="baseline"/>
                      <w:lang w:val="en-US"/>
                    </w:rPr>
                  </w:pPr>
                  <w:r>
                    <w:rPr>
                      <w:rFonts w:ascii="Arial" w:hAnsi="Arial" w:eastAsia="Arial"/>
                      <w:b w:val="true"/>
                      <w:color w:val="000000"/>
                      <w:spacing w:val="-3"/>
                      <w:w w:val="100"/>
                      <w:sz w:val="16"/>
                      <w:vertAlign w:val="baseline"/>
                      <w:lang w:val="en-US"/>
                    </w:rPr>
                    <w:t xml:space="preserve">Explanation for no opportunities for Australian entities</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293.5pt;height:22.1pt;z-index:-1;margin-left:217.7pt;margin-top:19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2376"/>
                    </w:tabs>
                    <w:spacing w:before="140" w:after="110" w:line="182" w:lineRule="exact"/>
                    <w:ind w:right="0" w:left="576"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317pt;height:553.25pt;z-index:-1;margin-left:50.95pt;margin-top:212.1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888"/>
                      <w:tab w:val="right" w:leader="none" w:pos="590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Site security and animal exclusion fencing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88"/>
                      <w:tab w:val="right" w:leader="none" w:pos="5904"/>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Solar Tracker infrastructure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88"/>
                      <w:tab w:val="right" w:leader="none" w:pos="5904"/>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Solar Panel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88"/>
                      <w:tab w:val="right" w:leader="none" w:pos="590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DCand AC Cabling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88"/>
                      <w:tab w:val="right" w:leader="none" w:pos="590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Solar Inverter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88"/>
                      <w:tab w:val="right" w:leader="none" w:pos="590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BESS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88"/>
                      <w:tab w:val="right" w:leader="none" w:pos="590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Primary Plant and Control Rooms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88"/>
                      <w:tab w:val="right" w:leader="none" w:pos="5904"/>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Site facilities and non electrical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88"/>
                      <w:tab w:val="right" w:leader="none" w:pos="5904"/>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Water infrastructure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88"/>
                      <w:tab w:val="right" w:leader="none" w:pos="590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Power Transformers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888"/>
                      <w:tab w:val="right" w:leader="none" w:pos="590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Site mobilisation and establishment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88"/>
                      <w:tab w:val="right" w:leader="none" w:pos="5904"/>
                    </w:tabs>
                    <w:spacing w:before="51" w:after="0" w:line="22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Site preparation including bulk earthworks,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ground works and civil works</w:t>
                  </w:r>
                </w:p>
                <w:p>
                  <w:pPr>
                    <w:tabs>
                      <w:tab w:val="left" w:leader="none" w:pos="3888"/>
                      <w:tab w:val="right" w:leader="none" w:pos="5904"/>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Detailed Engineering Design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88"/>
                      <w:tab w:val="right" w:leader="none" w:pos="5904"/>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Planning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888"/>
                      <w:tab w:val="right" w:leader="none" w:pos="5904"/>
                    </w:tabs>
                    <w:spacing w:before="52" w:after="0" w:line="220"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Transmission line design, construction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operation services</w:t>
                  </w:r>
                </w:p>
                <w:p>
                  <w:pPr>
                    <w:spacing w:before="317" w:after="0" w:line="86"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0" w:after="0"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73"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4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0"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Vignesh Bandi</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Senior Vice President</w:t>
                  </w:r>
                </w:p>
                <w:p>
                  <w:pPr>
                    <w:spacing w:before="39" w:after="0" w:line="182" w:lineRule="exact"/>
                    <w:ind w:right="0" w:left="64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0493218895</w:t>
                  </w:r>
                </w:p>
                <w:p>
                  <w:pPr>
                    <w:spacing w:before="34" w:after="0" w:line="182"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1">
                    <w:r>
                      <w:rPr>
                        <w:rFonts w:ascii="Arial" w:hAnsi="Arial" w:eastAsia="Arial"/>
                        <w:color w:val="0000FF"/>
                        <w:spacing w:val="-1"/>
                        <w:w w:val="100"/>
                        <w:sz w:val="16"/>
                        <w:u w:val="single"/>
                        <w:vertAlign w:val="baseline"/>
                        <w:lang w:val="en-US"/>
                      </w:rPr>
                      <w:t xml:space="preserve">vignesh.bandi@quinbrook.com</w:t>
                    </w:r>
                  </w:hyperlink>
                  <w:r>
                    <w:rPr>
                      <w:rFonts w:ascii="Arial" w:hAnsi="Arial" w:eastAsia="Arial"/>
                      <w:color w:val="000000"/>
                      <w:spacing w:val="-1"/>
                      <w:w w:val="100"/>
                      <w:sz w:val="16"/>
                      <w:vertAlign w:val="baseline"/>
                      <w:lang w:val="en-US"/>
                    </w:rPr>
                    <w:t xml:space="preserve">
</w:t>
                  </w:r>
                </w:p>
                <w:p>
                  <w:pPr>
                    <w:spacing w:before="202"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 website: https://private-energypartnerscommunity.com.au/</w:t>
                  </w:r>
                </w:p>
                <w:p>
                  <w:pPr>
                    <w:spacing w:before="13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opportunities website:</w:t>
                  </w:r>
                </w:p>
                <w:p>
                  <w:pPr>
                    <w:spacing w:before="159" w:after="0" w:line="182" w:lineRule="exact"/>
                    <w:ind w:right="0"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https://gateway.icn.org.au/</w:t>
                  </w:r>
                </w:p>
                <w:p>
                  <w:pPr>
                    <w:spacing w:before="197"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40"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648"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Engage with vendor identification agencies on project opportunities and bid processes</w:t>
                  </w:r>
                </w:p>
                <w:p>
                  <w:pPr>
                    <w:spacing w:before="39"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4"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8" w:after="567" w:line="182" w:lineRule="exact"/>
                    <w:ind w:right="0" w:left="648"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Directly contact suppliers with information on project opportunities and bid processes</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55.5pt;height:13.6pt;z-index:-1;margin-left:487.8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txbxContent>
            </v:textbox>
          </v:shape>
        </w:pict>
      </w:r>
    </w:p>
    <w:p>
      <w:pPr>
        <w:sectPr>
          <w:type w:val="nextPage"/>
          <w:pgSz w:w="11904" w:h="16843" w:orient="portrait"/>
          <w:pgMar w:bottom="890" w:top="752" w:right="1038"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15 2026 09:17:38 GMT+1000 (AEST) *****</w:t>
      </w:r>
    </w:p>
    <w:p>
      <w:pPr>
        <w:spacing w:before="3" w:after="818" w:line="183" w:lineRule="exact"/>
        <w:sectPr>
          <w:type w:val="nextPage"/>
          <w:pgSz w:w="11904" w:h="16843" w:orient="portrait"/>
          <w:pgMar w:bottom="867" w:top="1040" w:right="3014" w:left="2770"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3" w:after="0" w:line="218" w:lineRule="exact"/>
        <w:ind w:right="2304"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Facilitate strategic partnering and joint ventures between Australian and international suppliers Support supplier export and global integration initiatives of industry associations or governments Provide references for high performing suppliers</w:t>
      </w:r>
    </w:p>
    <w:p>
      <w:pPr>
        <w:spacing w:before="198"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0" w:after="9264" w:line="221"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0" w:after="9264" w:line="221" w:lineRule="exact"/>
        <w:sectPr>
          <w:type w:val="continuous"/>
          <w:pgSz w:w="11904" w:h="16843" w:orient="portrait"/>
          <w:pgMar w:bottom="867" w:top="1040" w:right="1493" w:left="105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4" w:left="978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1" coordsize="21600,21600" o:spt="202" path="m,l,21600r21600,l21600,xe">
            <v:stroke joinstyle="miter"/>
            <v:path gradientshapeok="t" o:connecttype="rect"/>
          </v:shapetype>
          <v:shape id="_x0000_s10" type="#_x0000_t11" filled="f" stroked="f" style="position:absolute;width:468pt;height:52.85pt;z-index:-1;margin-left:56.0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15 2026 09:17:38 GMT+1000 (AEST) *****</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3"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Nominated facility operator: </w:t>
                  </w:r>
                  <w:r>
                    <w:rPr>
                      <w:rFonts w:ascii="Arial" w:hAnsi="Arial" w:eastAsia="Arial"/>
                      <w:color w:val="000000"/>
                      <w:spacing w:val="-2"/>
                      <w:w w:val="100"/>
                      <w:sz w:val="16"/>
                      <w:vertAlign w:val="baseline"/>
                      <w:lang w:val="en-US"/>
                    </w:rPr>
                    <w:t xml:space="preserve">Private Energy Partners Pty Ltd</w:t>
                  </w:r>
                </w:p>
                <w:p>
                  <w:pPr>
                    <w:spacing w:before="347"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Lansdown Solar North (formerly Woodstock Renewable Energy Hub)</w:t>
                  </w:r>
                </w:p>
                <w:p>
                  <w:pPr>
                    <w:spacing w:before="140"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Woodstock, Qld</w:t>
                  </w:r>
                </w:p>
                <w:p>
                  <w:pPr>
                    <w:spacing w:before="15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Type: Electricity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450pt;height:31.45pt;z-index:-1;margin-left:52.3pt;margin-top:335.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304"/>
                    <w:gridCol w:w="1906"/>
                    <w:gridCol w:w="261"/>
                    <w:gridCol w:w="1673"/>
                    <w:gridCol w:w="2856"/>
                  </w:tblGrid>
                  <w:tr>
                    <w:trPr>
                      <w:trHeight w:val="629" w:hRule="exact"/>
                    </w:trPr>
                    <w:tc>
                      <w:tcPr>
                        <w:tcW w:w="2304" w:type="dxa"/>
                        <w:tcBorders>
                          <w:top w:val="none"/>
                          <w:left w:val="none"/>
                          <w:bottom w:val="none"/>
                          <w:right w:val="none"/>
                        </w:tcBorders>
                        <w:textDirection w:val="lrTb"/>
                        <w:vAlign w:val="center"/>
                      </w:tcPr>
                      <w:p>
                        <w:pPr>
                          <w:spacing w:before="259" w:after="186" w:line="183" w:lineRule="exact"/>
                          <w:ind w:right="571" w:left="0" w:firstLine="0"/>
                          <w:jc w:val="right"/>
                          <w:textAlignment w:val="baseline"/>
                          <w:rPr>
                            <w:rFonts w:ascii="Arial" w:hAnsi="Arial" w:eastAsia="Arial"/>
                            <w:b w:val="true"/>
                            <w:color w:val="000000"/>
                            <w:spacing w:val="0"/>
                            <w:w w:val="95"/>
                            <w:sz w:val="16"/>
                            <w:vertAlign w:val="baseline"/>
                            <w:lang w:val="en-US"/>
                          </w:rPr>
                        </w:pPr>
                        <w:r>
                          <w:rPr>
                            <w:rFonts w:ascii="Arial" w:hAnsi="Arial" w:eastAsia="Arial"/>
                            <w:b w:val="true"/>
                            <w:color w:val="000000"/>
                            <w:spacing w:val="0"/>
                            <w:w w:val="95"/>
                            <w:sz w:val="16"/>
                            <w:vertAlign w:val="baseline"/>
                            <w:lang w:val="en-US"/>
                          </w:rPr>
                          <w:t xml:space="preserve">Key goods and services</w:t>
                        </w:r>
                      </w:p>
                    </w:tc>
                    <w:tc>
                      <w:tcPr>
                        <w:tcW w:w="1906" w:type="dxa"/>
                        <w:tcBorders>
                          <w:top w:val="none"/>
                          <w:left w:val="none"/>
                          <w:bottom w:val="none"/>
                          <w:right w:val="none"/>
                        </w:tcBorders>
                        <w:textDirection w:val="lrTb"/>
                        <w:vAlign w:val="center"/>
                      </w:tcPr>
                      <w:p>
                        <w:pPr>
                          <w:spacing w:before="101" w:after="85" w:line="221" w:lineRule="exact"/>
                          <w:ind w:right="0" w:left="576" w:firstLine="0"/>
                          <w:jc w:val="left"/>
                          <w:textAlignment w:val="baseline"/>
                          <w:rPr>
                            <w:rFonts w:ascii="Arial" w:hAnsi="Arial" w:eastAsia="Arial"/>
                            <w:b w:val="true"/>
                            <w:color w:val="000000"/>
                            <w:spacing w:val="-6"/>
                            <w:w w:val="100"/>
                            <w:sz w:val="16"/>
                            <w:vertAlign w:val="baseline"/>
                            <w:lang w:val="en-US"/>
                          </w:rPr>
                        </w:pPr>
                        <w:r>
                          <w:rPr>
                            <w:rFonts w:ascii="Arial" w:hAnsi="Arial" w:eastAsia="Arial"/>
                            <w:b w:val="true"/>
                            <w:color w:val="000000"/>
                            <w:spacing w:val="-6"/>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6" w:after="163" w:line="129" w:lineRule="exact"/>
                          <w:ind w:right="0" w:left="0" w:firstLine="0"/>
                          <w:jc w:val="center"/>
                          <w:textAlignment w:val="baseline"/>
                          <w:rPr>
                            <w:rFonts w:ascii="Arial" w:hAnsi="Arial" w:eastAsia="Arial"/>
                            <w:b w:val="true"/>
                            <w:color w:val="000000"/>
                            <w:spacing w:val="0"/>
                            <w:w w:val="100"/>
                            <w:sz w:val="10"/>
                            <w:vertAlign w:val="baseline"/>
                            <w:lang w:val="en-US"/>
                          </w:rPr>
                        </w:pPr>
                        <w:r>
                          <w:rPr>
                            <w:rFonts w:ascii="Arial" w:hAnsi="Arial" w:eastAsia="Arial"/>
                            <w:b w:val="true"/>
                            <w:color w:val="000000"/>
                            <w:spacing w:val="0"/>
                            <w:w w:val="100"/>
                            <w:sz w:val="10"/>
                            <w:vertAlign w:val="baseline"/>
                            <w:lang w:val="en-US"/>
                          </w:rPr>
                          <w:t xml:space="preserve">*</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856" w:type="dxa"/>
                        <w:tcBorders>
                          <w:top w:val="none"/>
                          <w:left w:val="none"/>
                          <w:bottom w:val="none"/>
                          <w:right w:val="none"/>
                        </w:tcBorders>
                        <w:textDirection w:val="lrTb"/>
                        <w:vAlign w:val="center"/>
                      </w:tcPr>
                      <w:p>
                        <w:pPr>
                          <w:spacing w:before="101" w:after="85" w:line="221" w:lineRule="exact"/>
                          <w:ind w:right="0" w:left="144"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txbxContent>
            </v:textbox>
          </v:shape>
        </w:pict>
      </w:r>
      <w:r>
        <w:pict>
          <v:shapetype id="_x0000_t15" coordsize="21600,21600" o:spt="202" path="m,l,21600r21600,l21600,xe">
            <v:stroke joinstyle="miter"/>
            <v:path gradientshapeok="t" o:connecttype="rect"/>
          </v:shapetype>
          <v:shape id="_x0000_s14" type="#_x0000_t15" filled="f" stroked="f" style="position:absolute;width:274pt;height:408.9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456"/>
                      <w:tab w:val="right" w:leader="none" w:pos="5472"/>
                    </w:tabs>
                    <w:spacing w:before="18" w:after="0" w:line="21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Flora fauna and vegetation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management services</w:t>
                  </w:r>
                </w:p>
                <w:p>
                  <w:pPr>
                    <w:tabs>
                      <w:tab w:val="left" w:leader="none" w:pos="3456"/>
                      <w:tab w:val="right" w:leader="none" w:pos="5472"/>
                    </w:tabs>
                    <w:spacing w:before="29" w:after="0" w:line="206"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Site security and animal exclusion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fencing</w:t>
                  </w:r>
                </w:p>
                <w:p>
                  <w:pPr>
                    <w:tabs>
                      <w:tab w:val="left" w:leader="none" w:pos="3456"/>
                      <w:tab w:val="right" w:leader="none" w:pos="5472"/>
                    </w:tabs>
                    <w:spacing w:before="39"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Primary Plant and Control Rooms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456"/>
                      <w:tab w:val="right" w:leader="none" w:pos="5472"/>
                    </w:tabs>
                    <w:spacing w:before="39"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Site facilities and non electrical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456"/>
                      <w:tab w:val="right" w:leader="none" w:pos="5472"/>
                    </w:tabs>
                    <w:spacing w:before="39"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Water infrastructure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456"/>
                      <w:tab w:val="right" w:leader="none" w:pos="5472"/>
                    </w:tabs>
                    <w:spacing w:before="34"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monitoring and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456"/>
                      <w:tab w:val="right" w:leader="none" w:pos="5472"/>
                    </w:tabs>
                    <w:spacing w:before="38"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Telecommunication and ICT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456"/>
                      <w:tab w:val="right" w:leader="none" w:pos="5472"/>
                    </w:tabs>
                    <w:spacing w:before="54" w:after="0" w:line="218"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Land Management including Offset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Area Management</w:t>
                  </w:r>
                </w:p>
                <w:p>
                  <w:pPr>
                    <w:tabs>
                      <w:tab w:val="left" w:leader="none" w:pos="3456"/>
                      <w:tab w:val="right" w:leader="none" w:pos="5472"/>
                    </w:tabs>
                    <w:spacing w:before="32" w:after="0" w:line="205"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Environmental monitoring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management</w:t>
                  </w:r>
                </w:p>
                <w:p>
                  <w:pPr>
                    <w:spacing w:before="192" w:after="0" w:line="343" w:lineRule="exact"/>
                    <w:ind w:right="0" w:left="0" w:firstLine="0"/>
                    <w:jc w:val="left"/>
                    <w:textAlignment w:val="baseline"/>
                    <w:rPr>
                      <w:rFonts w:ascii="Arial" w:hAnsi="Arial" w:eastAsia="Arial"/>
                      <w:color w:val="000000"/>
                      <w:spacing w:val="0"/>
                      <w:w w:val="100"/>
                      <w:sz w:val="10"/>
                      <w:vertAlign w:val="superscript"/>
                      <w:lang w:val="en-US"/>
                    </w:rPr>
                  </w:pPr>
                  <w:r>
                    <w:rPr>
                      <w:rFonts w:ascii="Arial" w:hAnsi="Arial" w:eastAsia="Arial"/>
                      <w:color w:val="000000"/>
                      <w:spacing w:val="0"/>
                      <w:w w:val="100"/>
                      <w:sz w:val="10"/>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106" w:after="3926" w:line="216"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54.75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15 2026 09:17:38 GMT+1000 (AEST) *****</w:t>
      </w:r>
    </w:p>
    <w:p>
      <w:pPr>
        <w:spacing w:before="3" w:after="818" w:line="183" w:lineRule="exact"/>
        <w:sectPr>
          <w:type w:val="nextPage"/>
          <w:pgSz w:w="11904" w:h="16843" w:orient="portrait"/>
          <w:pgMar w:bottom="867" w:top="1040" w:right="1423" w:left="1121"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40"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Vignesh Bandi</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Senior Vice President</w:t>
      </w:r>
    </w:p>
    <w:p>
      <w:pPr>
        <w:spacing w:before="39"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0493218895</w:t>
      </w:r>
    </w:p>
    <w:p>
      <w:pPr>
        <w:spacing w:before="34" w:after="0" w:line="182"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2">
        <w:r>
          <w:rPr>
            <w:rFonts w:ascii="Arial" w:hAnsi="Arial" w:eastAsia="Arial"/>
            <w:color w:val="0000FF"/>
            <w:spacing w:val="-1"/>
            <w:w w:val="100"/>
            <w:sz w:val="16"/>
            <w:u w:val="single"/>
            <w:vertAlign w:val="baseline"/>
            <w:lang w:val="en-US"/>
          </w:rPr>
          <w:t xml:space="preserve">vignesh.bandi@quinbrook.com</w:t>
        </w:r>
      </w:hyperlink>
      <w:r>
        <w:rPr>
          <w:rFonts w:ascii="Arial" w:hAnsi="Arial" w:eastAsia="Arial"/>
          <w:color w:val="000000"/>
          <w:spacing w:val="-1"/>
          <w:w w:val="100"/>
          <w:sz w:val="16"/>
          <w:vertAlign w:val="baseline"/>
          <w:lang w:val="en-US"/>
        </w:rPr>
        <w:t xml:space="preserve">
</w:t>
      </w:r>
    </w:p>
    <w:p>
      <w:pPr>
        <w:spacing w:before="202"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Facility operator website: https://private-energypartnerscommunity.com.au/</w:t>
      </w:r>
    </w:p>
    <w:p>
      <w:pPr>
        <w:spacing w:before="1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opportunities website:</w:t>
      </w:r>
    </w:p>
    <w:p>
      <w:pPr>
        <w:spacing w:before="139"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5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3"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4"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8"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5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suppliers to register with global supplier databases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references for high performing suppliers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Australian entities to undertake research and development and innovative activities</w:t>
      </w:r>
    </w:p>
    <w:p>
      <w:pPr>
        <w:spacing w:before="197"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5" w:after="4627" w:line="218"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5" w:after="4627" w:line="218" w:lineRule="exact"/>
        <w:sectPr>
          <w:type w:val="continuous"/>
          <w:pgSz w:w="11904" w:h="16843" w:orient="portrait"/>
          <w:pgMar w:bottom="867" w:top="1040" w:right="1507" w:left="103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vignesh.bandi@quinbrook.com"/><Relationship Id="dhId2" Type="http://schemas.openxmlformats.org/officeDocument/2006/relationships/hyperlink" TargetMode="External" Target="mailto:vignesh.bandi@quinbrook.com"/><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2026-05-20T04:57:22Z</dcterms:created>
  <dcterms:modified xsi:type="dcterms:W3CDTF">2026-05-20T04:57:22Z</dcterms:modified>
</cp:coreProperties>
</file>