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May 01 2026 12:06:57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P7M5A66L</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2"/>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2"/>
          <w:w w:val="100"/>
          <w:sz w:val="16"/>
          <w:vertAlign w:val="baseline"/>
          <w:lang w:val="en-US"/>
        </w:rPr>
        <w:t xml:space="preserve">Nominated project proponent: </w:t>
      </w:r>
      <w:r>
        <w:rPr>
          <w:rFonts w:ascii="Arial" w:hAnsi="Arial" w:eastAsia="Arial"/>
          <w:color w:val="000000"/>
          <w:spacing w:val="-2"/>
          <w:w w:val="100"/>
          <w:sz w:val="16"/>
          <w:vertAlign w:val="baseline"/>
          <w:lang w:val="en-US"/>
        </w:rPr>
        <w:t xml:space="preserve">SOM EVA PTY LTD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Hills of Gold Wind Farm</w:t>
      </w:r>
    </w:p>
    <w:p>
      <w:pPr>
        <w:spacing w:before="160" w:after="0" w:line="181"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Hanging Rock, NSW</w:t>
      </w:r>
    </w:p>
    <w:p>
      <w:pPr>
        <w:spacing w:before="135" w:after="0" w:line="181"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or more</w:t>
      </w:r>
    </w:p>
    <w:p>
      <w:pPr>
        <w:spacing w:before="125" w:after="0" w:line="219" w:lineRule="exact"/>
        <w:ind w:right="648"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The Hills of Gold Wind Farm is located 5km south of Hanging Rock and 8km south-east of Nundle in NSW. The project, which has received approval from the NSW Land &amp; Environment Court, will feature up to 62 wind turbines and will generate up to 372 MW of clean, affordable and reliable energy – enough to power 163,000 Australian homes. In August 2025, Som eva Renewables acquired the Hills of Gold Wind Farm. Someva will not be the sole procurement entity for the project. We will be engaging contracts for the Turbine Supply and Install (TSI) and Balance of Plant (BOP). Each contractor will be responsible for their own hiring and procurement activities. In March 2026, Someva welcomed the Land and Environment Court of N SW’s decision to approve Hills of Gold Wind Farm, after Tamworth Council conceded it would no longer argue for the refusal of the project. With the legal process now complete we are focused on reengaging with the N undle community and local stakeholders as we prepare the next steps for the project.</w:t>
      </w:r>
    </w:p>
    <w:p>
      <w:pPr>
        <w:spacing w:before="140" w:after="5027"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Jun 2030</w:t>
      </w:r>
    </w:p>
    <w:p>
      <w:pPr>
        <w:spacing w:before="140" w:after="5027"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6pt;height:50.7pt;z-index:-1;margin-left:137.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May 01 2026 12:06:57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34pt;height:54.3pt;z-index:-1;margin-left:52.8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69.15pt;height:16.05pt;z-index:-1;margin-left:185.75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5pt;height:13.35pt;z-index:-1;margin-left:185.75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5.05pt;height:33.05pt;z-index:-1;margin-left:276.7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35.15pt;height:27.05pt;z-index:-1;margin-left:357.1pt;margin-top:157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86.65pt;height:9.2pt;z-index:-1;margin-left:52.55pt;margin-top:169.85pt;mso-wrap-distance-left:0pt;mso-wrap-distance-right:0pt;mso-position-horizontal-relative:page;mso-position-vertical-relative:page">
            <w10:wrap type="square" side="both"/>
            <v:fill opacity="1" o:opacity2="1" recolor="f" rotate="f" type="solid"/>
            <v:textbox inset="0pt, 0pt, 0pt, 0pt">
              <w:txbxContent>
                <w:p>
                  <w:pPr>
                    <w:spacing w:before="1" w:after="0" w:line="173" w:lineRule="exact"/>
                    <w:ind w:right="0" w:left="0" w:firstLine="0"/>
                    <w:jc w:val="left"/>
                    <w:textAlignment w:val="baseline"/>
                    <w:rPr>
                      <w:rFonts w:ascii="Arial" w:hAnsi="Arial" w:eastAsia="Arial"/>
                      <w:b w:val="true"/>
                      <w:color w:val="000000"/>
                      <w:spacing w:val="-5"/>
                      <w:w w:val="95"/>
                      <w:sz w:val="16"/>
                      <w:vertAlign w:val="baseline"/>
                      <w:lang w:val="en-US"/>
                    </w:rPr>
                  </w:pPr>
                  <w:r>
                    <w:rPr>
                      <w:rFonts w:ascii="Arial" w:hAnsi="Arial" w:eastAsia="Arial"/>
                      <w:b w:val="true"/>
                      <w:color w:val="000000"/>
                      <w:spacing w:val="-5"/>
                      <w:w w:val="95"/>
                      <w:sz w:val="16"/>
                      <w:vertAlign w:val="baseline"/>
                      <w:lang w:val="en-US"/>
                    </w:rPr>
                    <w:t xml:space="preserve">Key goods and services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114pt;height:20.2pt;z-index:-1;margin-left:52.3pt;margin-top:191.95pt;mso-wrap-distance-left:0pt;mso-wrap-distance-right:0pt;mso-position-horizontal-relative:page;mso-position-vertical-relative:page">
            <w10:wrap type="square" side="both"/>
            <v:fill opacity="1" o:opacity2="1" recolor="f" rotate="f" type="solid"/>
            <v:textbox inset="0pt, 0pt, 0pt, 0pt">
              <w:txbxContent>
                <w:p>
                  <w:pPr>
                    <w:spacing w:before="0" w:after="0" w:line="19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Turbines (Nacelles, Hubs &amp; Blades)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01.5pt;height:9.15pt;z-index:-1;margin-left:213.85pt;margin-top:197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88"/>
                    </w:tabs>
                    <w:spacing w:before="1" w:after="0" w:line="17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270pt;height:155.7pt;z-index:-1;margin-left:52.3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Towers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Wind Turbine Foundation Bolts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Quarry Materials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Concrete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Reinforcing Steel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Cabling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54" w:after="0" w:line="21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Transmission Line Poles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&amp; Towers</w:t>
                  </w:r>
                </w:p>
                <w:p>
                  <w:pPr>
                    <w:tabs>
                      <w:tab w:val="left" w:leader="none" w:pos="3240"/>
                      <w:tab w:val="right" w:leader="none" w:pos="5256"/>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Electrical Substation Equipment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International Shipping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Domestic Transport &amp; Logistics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240"/>
                      <w:tab w:val="right" w:leader="none" w:pos="5256"/>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Earthmoving &amp; Excavation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240"/>
                      <w:tab w:val="right" w:leader="none" w:pos="5256"/>
                    </w:tabs>
                    <w:spacing w:before="54" w:after="0" w:line="21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Design &amp; Construction of Roads &amp;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94"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Hardstands</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116.65pt;height:130.15pt;z-index:-1;margin-left:52.3pt;margin-top:367.85pt;mso-wrap-distance-left:0pt;mso-wrap-distance-right:0pt;mso-position-horizontal-relative:page;mso-position-vertical-relative:page">
            <w10:wrap type="square" side="both"/>
            <v:fill opacity="1" o:opacity2="1" recolor="f" rotate="f" type="solid"/>
            <v:textbox inset="0pt, 0pt, 0pt, 0pt">
              <w:txbxContent>
                <w:p>
                  <w:pPr>
                    <w:spacing w:before="0" w:after="0" w:line="20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Wind Turbine Foundations</w:t>
                  </w:r>
                </w:p>
                <w:p>
                  <w:pPr>
                    <w:spacing w:before="0"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Underground Cabling</w:t>
                  </w:r>
                </w:p>
                <w:p>
                  <w:pPr>
                    <w:spacing w:before="5" w:after="0" w:line="21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Overhead Transmission Lines</w:t>
                  </w:r>
                </w:p>
                <w:p>
                  <w:pPr>
                    <w:spacing w:before="0" w:after="0" w:line="220"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Construction of Electrical Substations</w:t>
                  </w:r>
                </w:p>
                <w:p>
                  <w:pPr>
                    <w:spacing w:before="0"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Erection &amp; Installation of Wind Turbines</w:t>
                  </w:r>
                </w:p>
                <w:p>
                  <w:pPr>
                    <w:spacing w:before="5" w:after="0" w:line="211" w:lineRule="exact"/>
                    <w:ind w:right="0" w:left="0" w:firstLine="0"/>
                    <w:jc w:val="left"/>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Engineering &amp; Design Consultancy Services</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101.5pt;height:130.15pt;z-index:-1;margin-left:213.85pt;margin-top:367.85pt;mso-wrap-distance-left:0pt;mso-wrap-distance-right:0pt;mso-position-horizontal-relative:page;mso-position-vertical-relative:page">
            <w10:wrap type="square" side="both"/>
            <v:fill opacity="1" o:opacity2="1" recolor="f" rotate="f" type="solid"/>
            <v:textbox inset="0pt, 0pt, 0pt, 0pt">
              <w:txbxContent>
                <w:p>
                  <w:pPr>
                    <w:tabs>
                      <w:tab w:val="right" w:leader="none" w:pos="2016"/>
                    </w:tabs>
                    <w:spacing w:before="102"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60"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55"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right" w:leader="none" w:pos="2016"/>
                    </w:tabs>
                    <w:spacing w:before="259"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16"/>
                    </w:tabs>
                    <w:spacing w:before="260" w:after="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right" w:leader="none" w:pos="2016"/>
                    </w:tabs>
                    <w:spacing w:before="255" w:after="110" w:line="182" w:lineRule="exact"/>
                    <w:ind w:right="0"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270pt;height:267.4pt;z-index:-1;margin-left:50.95pt;margin-top:498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240"/>
                      <w:tab w:val="right" w:leader="none" w:pos="532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Management Services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19" w:after="3706"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Fri May 01 2026 12:06:57 GMT+1000 (AEST) *****</w:t>
      </w:r>
    </w:p>
    <w:p>
      <w:pPr>
        <w:spacing w:before="3" w:after="818" w:line="183" w:lineRule="exact"/>
        <w:sectPr>
          <w:type w:val="nextPage"/>
          <w:pgSz w:w="11904" w:h="16843" w:orient="portrait"/>
          <w:pgMar w:bottom="867" w:top="1040" w:right="3034" w:left="275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Tim Mead</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Development Director</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0419900277</w:t>
      </w:r>
    </w:p>
    <w:p>
      <w:pPr>
        <w:spacing w:before="38"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tim.m@someva.com.au</w:t>
        </w:r>
      </w:hyperlink>
      <w:r>
        <w:rPr>
          <w:rFonts w:ascii="Arial" w:hAnsi="Arial" w:eastAsia="Arial"/>
          <w:color w:val="000000"/>
          <w:spacing w:val="0"/>
          <w:w w:val="100"/>
          <w:sz w:val="16"/>
          <w:vertAlign w:val="baseline"/>
          <w:lang w:val="en-US"/>
        </w:rPr>
        <w:t xml:space="preserve">
</w:t>
      </w:r>
    </w:p>
    <w:p>
      <w:pPr>
        <w:spacing w:before="59" w:after="0" w:line="3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https://www.somevarenewables.com.au/project/hills-of-gold/</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Project opportunities website:</w:t>
      </w:r>
    </w:p>
    <w:p>
      <w:pPr>
        <w:spacing w:before="15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https://gateway.icn.org.au/</w:t>
      </w:r>
    </w:p>
    <w:p>
      <w:pPr>
        <w:spacing w:before="39" w:after="0" w:line="182" w:lineRule="exact"/>
        <w:ind w:right="0" w:left="576" w:firstLine="0"/>
        <w:jc w:val="left"/>
        <w:textAlignment w:val="baseline"/>
        <w:rPr>
          <w:rFonts w:ascii="Arial" w:hAnsi="Arial" w:eastAsia="Arial"/>
          <w:color w:val="000000"/>
          <w:spacing w:val="-2"/>
          <w:w w:val="100"/>
          <w:sz w:val="16"/>
          <w:vertAlign w:val="baseline"/>
          <w:lang w:val="en-US"/>
        </w:rPr>
      </w:pPr>
      <w:hyperlink r:id="dhId3">
        <w:r>
          <w:rPr>
            <w:rFonts w:ascii="Arial" w:hAnsi="Arial" w:eastAsia="Arial"/>
            <w:color w:val="0000FF"/>
            <w:spacing w:val="-2"/>
            <w:w w:val="100"/>
            <w:sz w:val="16"/>
            <w:u w:val="single"/>
            <w:vertAlign w:val="baseline"/>
            <w:lang w:val="en-US"/>
          </w:rPr>
          <w:t xml:space="preserve">https://www.somevarenewables.com.au/project/hills-of-gold/</w:t>
        </w:r>
      </w:hyperlink>
      <w:r>
        <w:rPr>
          <w:rFonts w:ascii="Arial" w:hAnsi="Arial" w:eastAsia="Arial"/>
          <w:color w:val="000000"/>
          <w:spacing w:val="-2"/>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Website Updates</w:t>
      </w:r>
    </w:p>
    <w:p>
      <w:pPr>
        <w:spacing w:before="468"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2304"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 export and global integration initiatives of industry associations or governments 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37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3706" w:line="220"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3" w:after="0"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May 01 2026 12:06:57 GMT+1000 (AEST) *****</w:t>
      </w:r>
    </w:p>
    <w:p>
      <w:pPr>
        <w:spacing w:before="902"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p>
      <w:pPr>
        <w:spacing w:before="124" w:after="0" w:line="182" w:lineRule="exact"/>
        <w:ind w:right="0" w:left="0" w:firstLine="0"/>
        <w:jc w:val="left"/>
        <w:textAlignment w:val="baseline"/>
        <w:rPr>
          <w:rFonts w:ascii="Arial" w:hAnsi="Arial" w:eastAsia="Arial"/>
          <w:b w:val="true"/>
          <w:color w:val="000000"/>
          <w:spacing w:val="-3"/>
          <w:w w:val="100"/>
          <w:sz w:val="16"/>
          <w:vertAlign w:val="baseline"/>
          <w:lang w:val="en-US"/>
        </w:rPr>
      </w:pPr>
      <w:r>
        <w:pict>
          <v:line strokeweight="1.2pt" strokecolor="#000000" from="43.9pt,148.55pt" to="538.15pt,148.55pt" style="position:absolute;mso-position-horizontal-relative:page;mso-position-vertical-relative:page;">
            <v:stroke dashstyle="solid"/>
          </v:line>
        </w:pict>
      </w:r>
      <w:r>
        <w:rPr>
          <w:rFonts w:ascii="Arial" w:hAnsi="Arial" w:eastAsia="Arial"/>
          <w:b w:val="true"/>
          <w:color w:val="000000"/>
          <w:spacing w:val="-3"/>
          <w:w w:val="100"/>
          <w:sz w:val="16"/>
          <w:vertAlign w:val="baseline"/>
          <w:lang w:val="en-US"/>
        </w:rPr>
        <w:t xml:space="preserve">Nominated facility operator: </w:t>
      </w:r>
      <w:r>
        <w:rPr>
          <w:rFonts w:ascii="Arial" w:hAnsi="Arial" w:eastAsia="Arial"/>
          <w:color w:val="000000"/>
          <w:spacing w:val="-3"/>
          <w:w w:val="100"/>
          <w:sz w:val="16"/>
          <w:vertAlign w:val="baseline"/>
          <w:lang w:val="en-US"/>
        </w:rPr>
        <w:t xml:space="preserve">SOM EVA PTY LTD</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205" w:after="0" w:line="331" w:lineRule="exact"/>
        <w:ind w:right="0" w:left="144"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Name: Hills of Gold Wind Farm</w:t>
        <w:br/>
      </w:r>
      <w:r>
        <w:rPr>
          <w:rFonts w:ascii="Arial" w:hAnsi="Arial" w:eastAsia="Arial"/>
          <w:color w:val="000000"/>
          <w:spacing w:val="0"/>
          <w:w w:val="100"/>
          <w:sz w:val="16"/>
          <w:vertAlign w:val="baseline"/>
          <w:lang w:val="en-US"/>
        </w:rPr>
        <w:t xml:space="preserve">Location: Hanging Rock, NSW</w:t>
        <w:br/>
      </w:r>
      <w:r>
        <w:rPr>
          <w:rFonts w:ascii="Arial" w:hAnsi="Arial" w:eastAsia="Arial"/>
          <w:color w:val="000000"/>
          <w:spacing w:val="0"/>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p>
      <w:pPr>
        <w:spacing w:before="430" w:after="0" w:line="288" w:lineRule="exact"/>
        <w:ind w:right="0" w:left="0" w:firstLine="0"/>
        <w:jc w:val="left"/>
        <w:textAlignment w:val="baseline"/>
        <w:rPr>
          <w:rFonts w:ascii="Times New Roman" w:hAnsi="Times New Roman" w:eastAsia="Times New Roman"/>
          <w:color w:val="000000"/>
          <w:w w:val="100"/>
          <w:sz w:val="24"/>
          <w:vertAlign w:val="baseline"/>
          <w:lang w:val="en-US"/>
        </w:rPr>
      </w:pPr>
      <w:r>
        <w:pict>
          <v:shapetype id="_x0000_t15" coordsize="21600,21600" o:spt="202" path="m,l,21600r21600,l21600,xe">
            <v:stroke joinstyle="miter"/>
            <v:path gradientshapeok="t" o:connecttype="rect"/>
          </v:shapetype>
          <v:shape id="_x0000_s14" type="#_x0000_t15" filled="f" stroked="f" style="position:absolute;width:442.35pt;height:31.45pt;z-index:-2;margin-left:8.4pt;margin-top:0pt;mso-wrap-distance-left:0pt;mso-wrap-distance-right:0pt">
            <v:fill opacity="1" o:opacity2="1" recolor="f" rotate="f" type="solid"/>
            <v:textbox inset="0pt, 0pt, 0pt, 0pt">
              <w:txbxContent>
                <w:tbl>
                  <w:tblPr>
                    <w:jc w:val="left"/>
                    <w:tblLayout w:type="fixed"/>
                    <w:tblCellMar>
                      <w:left w:w="0" w:type="dxa"/>
                      <w:right w:w="0" w:type="dxa"/>
                    </w:tblCellMar>
                  </w:tblPr>
                  <w:tblGrid>
                    <w:gridCol w:w="1519"/>
                    <w:gridCol w:w="1750"/>
                    <w:gridCol w:w="261"/>
                    <w:gridCol w:w="1673"/>
                    <w:gridCol w:w="3644"/>
                  </w:tblGrid>
                  <w:tr>
                    <w:trPr>
                      <w:trHeight w:val="629" w:hRule="exact"/>
                    </w:trPr>
                    <w:tc>
                      <w:tcPr>
                        <w:tcW w:w="1519" w:type="dxa"/>
                        <w:tcBorders>
                          <w:top w:val="none"/>
                          <w:left w:val="none"/>
                          <w:bottom w:val="none"/>
                          <w:right w:val="none"/>
                        </w:tcBorders>
                        <w:textDirection w:val="lrTb"/>
                        <w:vAlign w:val="center"/>
                      </w:tcPr>
                      <w:p>
                        <w:pPr>
                          <w:spacing w:before="100" w:after="86" w:line="221"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Key goods and services</w:t>
                        </w:r>
                      </w:p>
                    </w:tc>
                    <w:tc>
                      <w:tcPr>
                        <w:tcW w:w="1750" w:type="dxa"/>
                        <w:tcBorders>
                          <w:top w:val="none"/>
                          <w:left w:val="none"/>
                          <w:bottom w:val="none"/>
                          <w:right w:val="none"/>
                        </w:tcBorders>
                        <w:textDirection w:val="lrTb"/>
                        <w:vAlign w:val="center"/>
                      </w:tcPr>
                      <w:p>
                        <w:pPr>
                          <w:spacing w:before="100" w:after="86" w:line="221" w:lineRule="exact"/>
                          <w:ind w:right="0" w:left="432"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5" w:after="160" w:line="133" w:lineRule="exact"/>
                          <w:ind w:right="0" w:left="0" w:firstLine="0"/>
                          <w:jc w:val="center"/>
                          <w:textAlignment w:val="baseline"/>
                          <w:rPr>
                            <w:rFonts w:ascii="Arial" w:hAnsi="Arial" w:eastAsia="Arial"/>
                            <w:b w:val="true"/>
                            <w:color w:val="000000"/>
                            <w:spacing w:val="0"/>
                            <w:w w:val="100"/>
                            <w:sz w:val="11"/>
                            <w:vertAlign w:val="baseline"/>
                            <w:lang w:val="en-US"/>
                          </w:rPr>
                        </w:pPr>
                        <w:r>
                          <w:rPr>
                            <w:rFonts w:ascii="Arial" w:hAnsi="Arial" w:eastAsia="Arial"/>
                            <w:b w:val="true"/>
                            <w:color w:val="000000"/>
                            <w:spacing w:val="0"/>
                            <w:w w:val="100"/>
                            <w:sz w:val="11"/>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3644"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 opportunities for Australian entities</w:t>
                        </w:r>
                      </w:p>
                    </w:tc>
                  </w:tr>
                </w:tbl>
              </w:txbxContent>
            </v:textbox>
          </v:shape>
        </w:pict>
      </w:r>
    </w:p>
    <w:p>
      <w:pPr>
        <w:sectPr>
          <w:type w:val="nextPage"/>
          <w:pgSz w:w="11904" w:h="16843" w:orient="portrait"/>
          <w:pgMar w:bottom="867" w:top="1040" w:right="946" w:left="878" w:header="720" w:footer="720"/>
          <w:titlePg w:val="false"/>
          <w:textDirection w:val="lrTb"/>
        </w:sectPr>
      </w:pPr>
    </w:p>
    <w:p>
      <w:pPr>
        <w:tabs>
          <w:tab w:val="left" w:leader="none" w:pos="2520"/>
          <w:tab w:val="left" w:leader="none" w:pos="4248"/>
        </w:tabs>
        <w:spacing w:before="26" w:after="0" w:line="203"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Turbine Supply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Install</w:t>
      </w:r>
    </w:p>
    <w:p>
      <w:pPr>
        <w:tabs>
          <w:tab w:val="left" w:leader="none" w:pos="2520"/>
          <w:tab w:val="left" w:leader="none" w:pos="4248"/>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Balance of Plant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198" w:after="0" w:line="343" w:lineRule="exact"/>
        <w:ind w:right="0" w:left="0" w:firstLine="0"/>
        <w:jc w:val="left"/>
        <w:textAlignment w:val="baseline"/>
        <w:rPr>
          <w:rFonts w:ascii="Arial" w:hAnsi="Arial" w:eastAsia="Arial"/>
          <w:color w:val="000000"/>
          <w:spacing w:val="0"/>
          <w:w w:val="100"/>
          <w:sz w:val="11"/>
          <w:vertAlign w:val="superscript"/>
          <w:lang w:val="en-US"/>
        </w:rPr>
      </w:pPr>
      <w:r>
        <w:rPr>
          <w:rFonts w:ascii="Arial" w:hAnsi="Arial" w:eastAsia="Arial"/>
          <w:color w:val="000000"/>
          <w:spacing w:val="0"/>
          <w:w w:val="100"/>
          <w:sz w:val="11"/>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95"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9"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Tim Mead</w:t>
      </w:r>
    </w:p>
    <w:p>
      <w:pPr>
        <w:spacing w:before="34"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Development Director</w:t>
      </w:r>
    </w:p>
    <w:p>
      <w:pPr>
        <w:spacing w:before="38"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0419900277</w:t>
      </w:r>
    </w:p>
    <w:p>
      <w:pPr>
        <w:spacing w:before="39"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community@someva.com.au</w:t>
        </w:r>
      </w:hyperlink>
      <w:r>
        <w:rPr>
          <w:rFonts w:ascii="Arial" w:hAnsi="Arial" w:eastAsia="Arial"/>
          <w:color w:val="000000"/>
          <w:spacing w:val="0"/>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w:t>
      </w:r>
      <w:hyperlink r:id="dhId5">
        <w:r>
          <w:rPr>
            <w:rFonts w:ascii="Arial" w:hAnsi="Arial" w:eastAsia="Arial"/>
            <w:color w:val="0000FF"/>
            <w:spacing w:val="-2"/>
            <w:w w:val="100"/>
            <w:sz w:val="16"/>
            <w:u w:val="single"/>
            <w:vertAlign w:val="baseline"/>
            <w:lang w:val="en-US"/>
          </w:rPr>
          <w:t xml:space="preserve">https://www.somevarenewables.com.au/project/hills-of-gold/</w:t>
        </w:r>
      </w:hyperlink>
      <w:r>
        <w:rPr>
          <w:rFonts w:ascii="Arial" w:hAnsi="Arial" w:eastAsia="Arial"/>
          <w:color w:val="000000"/>
          <w:spacing w:val="-2"/>
          <w:w w:val="100"/>
          <w:sz w:val="16"/>
          <w:vertAlign w:val="baseline"/>
          <w:lang w:val="en-US"/>
        </w:rPr>
        <w:t xml:space="preserve">
</w:t>
      </w:r>
    </w:p>
    <w:p>
      <w:pPr>
        <w:spacing w:before="101" w:after="0" w:line="221" w:lineRule="exact"/>
        <w:ind w:right="504"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Facility opportunities website: During the operations phase, the Operations and Maintenance Prime Contractor and managing entity, Hills of Gold Wind Farm Pty Ltd will maintain </w:t>
      </w:r>
      <w:hyperlink r:id="dhId6">
        <w:r>
          <w:rPr>
            <w:rFonts w:ascii="Arial" w:hAnsi="Arial" w:eastAsia="Arial"/>
            <w:color w:val="0000FF"/>
            <w:spacing w:val="-4"/>
            <w:w w:val="100"/>
            <w:sz w:val="16"/>
            <w:u w:val="single"/>
            <w:vertAlign w:val="baseline"/>
            <w:lang w:val="en-US"/>
          </w:rPr>
          <w:t xml:space="preserve">www.hillsofgoldenergy.com</w:t>
        </w:r>
      </w:hyperlink>
      <w:r>
        <w:rPr>
          <w:rFonts w:ascii="Arial" w:hAnsi="Arial" w:eastAsia="Arial"/>
          <w:color w:val="000000"/>
          <w:spacing w:val="-4"/>
          <w:w w:val="100"/>
          <w:sz w:val="16"/>
          <w:vertAlign w:val="baseline"/>
          <w:lang w:val="en-US"/>
        </w:rPr>
        <w:t xml:space="preserve"> and the relevant ICN website address, under </w:t>
      </w:r>
      <w:hyperlink r:id="dhId7">
        <w:r>
          <w:rPr>
            <w:rFonts w:ascii="Arial" w:hAnsi="Arial" w:eastAsia="Arial"/>
            <w:color w:val="0000FF"/>
            <w:spacing w:val="-4"/>
            <w:w w:val="100"/>
            <w:sz w:val="16"/>
            <w:u w:val="single"/>
            <w:vertAlign w:val="baseline"/>
            <w:lang w:val="en-US"/>
          </w:rPr>
          <w:t xml:space="preserve">https://gateway.icn.org.au</w:t>
        </w:r>
      </w:hyperlink>
      <w:r>
        <w:rPr>
          <w:rFonts w:ascii="Arial" w:hAnsi="Arial" w:eastAsia="Arial"/>
          <w:color w:val="000000"/>
          <w:spacing w:val="-4"/>
          <w:w w:val="100"/>
          <w:sz w:val="16"/>
          <w:vertAlign w:val="baseline"/>
          <w:lang w:val="en-US"/>
        </w:rPr>
        <w:t xml:space="preserve">, as the facilities operator website.</w:t>
      </w:r>
    </w:p>
    <w:p>
      <w:pPr>
        <w:spacing w:before="154"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792" w:after="0" w:line="249" w:lineRule="exact"/>
        <w:ind w:right="0" w:left="0" w:firstLine="0"/>
        <w:jc w:val="righ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4 of 5</w:t>
      </w:r>
    </w:p>
    <w:p>
      <w:pPr>
        <w:sectPr>
          <w:type w:val="continuous"/>
          <w:pgSz w:w="11904" w:h="16843" w:orient="portrait"/>
          <w:pgMar w:bottom="867" w:top="1040" w:right="1038" w:left="1046"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1"/>
          <w:w w:val="100"/>
          <w:sz w:val="16"/>
          <w:vertAlign w:val="baseline"/>
          <w:lang w:val="en-US"/>
        </w:rPr>
      </w:pPr>
      <w:r>
        <w:rPr>
          <w:rFonts w:ascii="Times New Roman" w:hAnsi="Times New Roman" w:eastAsia="Times New Roman"/>
          <w:color w:val="000000"/>
          <w:spacing w:val="1"/>
          <w:w w:val="100"/>
          <w:sz w:val="16"/>
          <w:vertAlign w:val="baseline"/>
          <w:lang w:val="en-US"/>
        </w:rPr>
        <w:t xml:space="preserve">***** Approved by AIP Authority on Fri May 01 2026 12:06:57 GMT+1000 (AEST) *****</w:t>
      </w:r>
    </w:p>
    <w:p>
      <w:pPr>
        <w:spacing w:before="3" w:after="818" w:line="183" w:lineRule="exact"/>
        <w:sectPr>
          <w:type w:val="nextPage"/>
          <w:pgSz w:w="11904" w:h="16843" w:orient="portrait"/>
          <w:pgMar w:bottom="867" w:top="1040" w:right="1193" w:left="891" w:header="720" w:footer="720"/>
          <w:titlePg w:val="false"/>
          <w:textDirection w:val="lrTb"/>
        </w:sectPr>
      </w:pPr>
    </w:p>
    <w:p>
      <w:pPr>
        <w:spacing w:before="0" w:after="0" w:line="391" w:lineRule="exact"/>
        <w:ind w:right="0" w:left="144"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01" w:after="0" w:line="221"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Recommend suppliers undertake training and/or accreditation</w:t>
        <w:br/>
      </w:r>
      <w:r>
        <w:rPr>
          <w:rFonts w:ascii="Arial" w:hAnsi="Arial" w:eastAsia="Arial"/>
          <w:color w:val="000000"/>
          <w:spacing w:val="0"/>
          <w:w w:val="100"/>
          <w:sz w:val="16"/>
          <w:vertAlign w:val="baseline"/>
          <w:lang w:val="en-US"/>
        </w:rPr>
        <w:t xml:space="preserve">Provide market intelligence to suppliers</w:t>
      </w:r>
    </w:p>
    <w:p>
      <w:pPr>
        <w:spacing w:before="197"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72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144"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9706" w:line="220" w:lineRule="exact"/>
        <w:ind w:right="0" w:left="72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93" w:left="89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tim.m@someva.com.au"/><Relationship Id="dhId2" Type="http://schemas.openxmlformats.org/officeDocument/2006/relationships/hyperlink" TargetMode="External" Target="https://www.somevarenewables.com.au/project/hills-of-gold/"/><Relationship Id="dhId3" Type="http://schemas.openxmlformats.org/officeDocument/2006/relationships/hyperlink" TargetMode="External" Target="https://www.somevarenewables.com.au/project/hills-of-gold/"/><Relationship Id="dhId4" Type="http://schemas.openxmlformats.org/officeDocument/2006/relationships/hyperlink" TargetMode="External" Target="mailto:community@someva.com.au"/><Relationship Id="dhId5" Type="http://schemas.openxmlformats.org/officeDocument/2006/relationships/hyperlink" TargetMode="External" Target="https://www.somevarenewables.com.au/project/hills-of-gold/"/><Relationship Id="dhId6" Type="http://schemas.openxmlformats.org/officeDocument/2006/relationships/hyperlink" TargetMode="External" Target="http://www.hillsofgoldenergy.com"/><Relationship Id="dhId7" Type="http://schemas.openxmlformats.org/officeDocument/2006/relationships/hyperlink" TargetMode="External" Target="https://gateway.icn.org.au"/><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2026-05-22T04:49:28Z</dcterms:created>
  <dcterms:modified xsi:type="dcterms:W3CDTF">2026-05-22T04:49:28Z</dcterms:modified>
</cp:coreProperties>
</file>