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 17 2026 13:36:57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7SSG6GWA</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0"/>
          <w:w w:val="100"/>
          <w:sz w:val="16"/>
          <w:vertAlign w:val="baseline"/>
          <w:lang w:val="en-US"/>
        </w:rPr>
        <w:t xml:space="preserve">Nominated project proponent: </w:t>
      </w:r>
      <w:r>
        <w:rPr>
          <w:rFonts w:ascii="Arial" w:hAnsi="Arial" w:eastAsia="Arial"/>
          <w:color w:val="000000"/>
          <w:spacing w:val="0"/>
          <w:w w:val="100"/>
          <w:sz w:val="16"/>
          <w:vertAlign w:val="baseline"/>
          <w:lang w:val="en-US"/>
        </w:rPr>
        <w:t xml:space="preserve">BURRENDONG WIND FARM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Burrendong Wind Farm</w:t>
      </w:r>
    </w:p>
    <w:p>
      <w:pPr>
        <w:spacing w:before="160"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Burrendong Dam Road, Yarrabin, NSW 2850</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6" w:after="0" w:line="219" w:lineRule="exact"/>
        <w:ind w:right="576"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The Burrendong Wind Farm (the Project) is a proposed wind power development located on the traditional lands of the Wiradjuri Aboriginal Nation, within the Dubbo Regional Council and Mid-Western Regional Council Local Government Areas in New South Wales. The Project Site is about 35 km west of Mudgee, covering the suburbs of Yarragal, Yarrabin, Hargraves, Mumbil, and Dripstone. The Project involves the installation, operation, maintenance, and decommissioning of up to 70 wind turbine generators (and associated infrastructure), each up to 250 meters in height with a nameplate capacity of approximately 6-7 MW. This will result in an estimated installed generating capacity of approximately 400-500 MW. As of April 2026, the project is in the final stages of securing its planning and environmental approvals with the NSW Department of Planning, Housing &amp; Infrastructure. Once these approvals are in place the project is expected to commence engineering design enabling procurement processes to commence. All procurement entities that are appointed will be contractually required to comply with, and report against, the approved AIP plan.</w:t>
      </w:r>
    </w:p>
    <w:p>
      <w:pPr>
        <w:spacing w:before="141" w:after="4806"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2029</w:t>
      </w:r>
    </w:p>
    <w:p>
      <w:pPr>
        <w:spacing w:before="141" w:after="4806"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6pt;height:50.7pt;z-index:-1;margin-left:139.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 17 2026 13:36:57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446.2pt;height:54.3pt;z-index:-1;margin-left:52.3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57pt;height:55.15pt;z-index:-1;margin-left:52.3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16"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installation and commissioning of wind turbine generators</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pt;height:16.05pt;z-index:-1;margin-left:223.7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9.1pt;height:13.35pt;z-index:-1;margin-left:223.7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5.25pt;height:33.05pt;z-index:-1;margin-left:314.65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03.2pt;height:33.05pt;z-index:-1;margin-left:395.3pt;margin-top:157pt;mso-wrap-distance-left:0pt;mso-wrap-distance-right:0pt;mso-position-horizontal-relative:page;mso-position-vertical-relative:page">
            <w10:wrap type="square" side="both"/>
            <v:fill opacity="1" o:opacity2="1" recolor="f" rotate="f" type="solid"/>
            <v:textbox inset="0pt, 0pt, 0pt, 0pt">
              <w:txbxContent>
                <w:p>
                  <w:pPr>
                    <w:spacing w:before="38" w:after="0" w:line="182"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w:t>
                  </w:r>
                </w:p>
                <w:p>
                  <w:pPr>
                    <w:spacing w:before="1" w:after="0" w:line="213" w:lineRule="exact"/>
                    <w:ind w:right="0" w:left="0"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opportunities for Australian 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74.8pt;height:22.1pt;z-index:-1;margin-left:223.7pt;margin-top:19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76"/>
                    </w:tabs>
                    <w:spacing w:before="140" w:after="11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306pt;height:566.85pt;z-index:-1;margin-left:50.95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balance of plant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46"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and installation of steel towers for wind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turbine generators</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engineering design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048"/>
                    </w:tabs>
                    <w:spacing w:before="52"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preparation, earth moving, track formation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including cable trenching</w:t>
                  </w:r>
                </w:p>
                <w:p>
                  <w:pPr>
                    <w:tabs>
                      <w:tab w:val="left" w:leader="none" w:pos="4032"/>
                      <w:tab w:val="right" w:leader="none" w:pos="6048"/>
                    </w:tabs>
                    <w:spacing w:before="33" w:after="0" w:line="202" w:lineRule="exact"/>
                    <w:ind w:right="72"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excavation, preparation, formwork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steelwork and pouring turbine footings</w:t>
                  </w:r>
                </w:p>
                <w:p>
                  <w:pPr>
                    <w:tabs>
                      <w:tab w:val="left" w:leader="none" w:pos="4032"/>
                      <w:tab w:val="right" w:leader="none" w:pos="6048"/>
                    </w:tabs>
                    <w:spacing w:before="27" w:after="0" w:line="207" w:lineRule="exact"/>
                    <w:ind w:right="72"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buildings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footings for transformers, switchgear</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engineering design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LV cable design and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HV design and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04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substation/s and switchyards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04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Plant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Transport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Labour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Traffic management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Material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of fuel/oil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right" w:leader="none" w:pos="604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Accommodation, meals &amp; entertainment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19" w:after="5285"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2 of 5</w:t>
                  </w:r>
                </w:p>
              </w:txbxContent>
            </v:textbox>
          </v:shape>
        </w:pict>
      </w:r>
    </w:p>
    <w:p>
      <w:pPr>
        <w:sectPr>
          <w:type w:val="nextPage"/>
          <w:pgSz w:w="11904" w:h="16843" w:orient="portrait"/>
          <w:pgMar w:bottom="890" w:top="752" w:right="1934"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 17 2026 13:36:57 GMT+1000 (AEST) *****</w:t>
      </w:r>
    </w:p>
    <w:p>
      <w:pPr>
        <w:spacing w:before="3" w:after="818" w:line="183" w:lineRule="exact"/>
        <w:sectPr>
          <w:type w:val="nextPage"/>
          <w:pgSz w:w="11904" w:h="16843" w:orient="portrait"/>
          <w:pgMar w:bottom="867" w:top="1040" w:right="2986" w:left="279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Andrew Wilson</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General Manager- Development NSW</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0420379190</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andrew.wilson@arkenergy.com.au</w:t>
        </w:r>
      </w:hyperlink>
      <w:r>
        <w:rPr>
          <w:rFonts w:ascii="Arial" w:hAnsi="Arial" w:eastAsia="Arial"/>
          <w:color w:val="000000"/>
          <w:spacing w:val="0"/>
          <w:w w:val="100"/>
          <w:sz w:val="16"/>
          <w:vertAlign w:val="baseline"/>
          <w:lang w:val="en-US"/>
        </w:rPr>
        <w:t xml:space="preserve">
</w:t>
      </w:r>
    </w:p>
    <w:p>
      <w:pPr>
        <w:spacing w:before="59" w:after="0" w:line="3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https://arkenergy.com.au/wind/burrendong/</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hyperlink r:id="dhId3">
        <w:r>
          <w:rPr>
            <w:rFonts w:ascii="Arial" w:hAnsi="Arial" w:eastAsia="Arial"/>
            <w:color w:val="0000FF"/>
            <w:spacing w:val="-3"/>
            <w:w w:val="100"/>
            <w:sz w:val="16"/>
            <w:u w:val="single"/>
            <w:vertAlign w:val="baseline"/>
            <w:lang w:val="en-US"/>
          </w:rPr>
          <w:t xml:space="preserve">https://arkenergy.com.au/wind/burrendong/</w:t>
        </w:r>
      </w:hyperlink>
      <w:r>
        <w:rPr>
          <w:rFonts w:ascii="Arial" w:hAnsi="Arial" w:eastAsia="Arial"/>
          <w:color w:val="000000"/>
          <w:spacing w:val="-3"/>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6" w:after="0" w:line="216"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95" w:after="4805"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4805" w:line="221"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1" coordsize="21600,21600" o:spt="202" path="m,l,21600r21600,l21600,xe">
            <v:stroke joinstyle="miter"/>
            <v:path gradientshapeok="t" o:connecttype="rect"/>
          </v:shapetype>
          <v:shape id="_x0000_s10" type="#_x0000_t11"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 17 2026 13:36:57 GMT+1000 (AEST) *****</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BURREN DONG WIND FARM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Burrendong Wind Farm</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Burrendong Dam Road, Yarrabin, NSW 2850</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56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494"/>
                    <w:gridCol w:w="2095"/>
                    <w:gridCol w:w="261"/>
                    <w:gridCol w:w="1671"/>
                    <w:gridCol w:w="2599"/>
                  </w:tblGrid>
                  <w:tr>
                    <w:trPr>
                      <w:trHeight w:val="629" w:hRule="exact"/>
                    </w:trPr>
                    <w:tc>
                      <w:tcPr>
                        <w:tcW w:w="2494" w:type="dxa"/>
                        <w:tcBorders>
                          <w:top w:val="none"/>
                          <w:left w:val="none"/>
                          <w:bottom w:val="none"/>
                          <w:right w:val="none"/>
                        </w:tcBorders>
                        <w:textDirection w:val="lrTb"/>
                        <w:vAlign w:val="center"/>
                      </w:tcPr>
                      <w:p>
                        <w:pPr>
                          <w:spacing w:before="259" w:after="186" w:line="183" w:lineRule="exact"/>
                          <w:ind w:right="76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2095" w:type="dxa"/>
                        <w:tcBorders>
                          <w:top w:val="none"/>
                          <w:left w:val="none"/>
                          <w:bottom w:val="none"/>
                          <w:right w:val="none"/>
                        </w:tcBorders>
                        <w:textDirection w:val="lrTb"/>
                        <w:vAlign w:val="center"/>
                      </w:tcPr>
                      <w:p>
                        <w:pPr>
                          <w:spacing w:before="101" w:after="85" w:line="221" w:lineRule="exact"/>
                          <w:ind w:right="0" w:left="792"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1"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599" w:type="dxa"/>
                        <w:tcBorders>
                          <w:top w:val="none"/>
                          <w:left w:val="none"/>
                          <w:bottom w:val="none"/>
                          <w:right w:val="none"/>
                        </w:tcBorders>
                        <w:textDirection w:val="lrTb"/>
                        <w:vAlign w:val="center"/>
                      </w:tcPr>
                      <w:p>
                        <w:pPr>
                          <w:spacing w:before="101" w:after="85" w:line="221" w:lineRule="exact"/>
                          <w:ind w:right="0"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c>
                  </w:tr>
                </w:tbl>
              </w:txbxContent>
            </v:textbox>
          </v:shape>
        </w:pict>
      </w:r>
      <w:r>
        <w:pict>
          <v:shapetype id="_x0000_t15" coordsize="21600,21600" o:spt="202" path="m,l,21600r21600,l21600,xe">
            <v:stroke joinstyle="miter"/>
            <v:path gradientshapeok="t" o:connecttype="rect"/>
          </v:shapetype>
          <v:shape id="_x0000_s14" type="#_x0000_t15" filled="f" stroked="f" style="position:absolute;width:327pt;height:32.85pt;z-index:1;margin-left:52.3pt;margin-top:370.05pt;mso-wrap-distance-left:0pt;mso-wrap-distance-right:0pt;mso-position-horizontal-relative:page;mso-position-vertical-relative:page">
            <w10:wrap anchorx="page" anchory="page"/>
            <v:fill opacity="1" o:opacity2="1" recolor="f" rotate="f" type="solid"/>
            <v:textbox inset="0pt, 0pt, 0pt, 0pt">
              <w:txbxContent>
                <w:p>
                  <w:pPr>
                    <w:tabs>
                      <w:tab w:val="left" w:leader="none" w:pos="3816"/>
                      <w:tab w:val="left" w:leader="none" w:pos="5472"/>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farm operations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16"/>
                      <w:tab w:val="left" w:leader="none" w:pos="5472"/>
                    </w:tabs>
                    <w:spacing w:before="49" w:after="0" w:line="21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of ancillary goods and services e.g.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29"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personnel support services</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327pt;height:115pt;z-index:-1;margin-left:52.3pt;margin-top:402.9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663"/>
                    <w:gridCol w:w="2877"/>
                  </w:tblGrid>
                  <w:tr>
                    <w:trPr>
                      <w:trHeight w:val="1796" w:hRule="exact"/>
                    </w:trPr>
                    <w:tc>
                      <w:tcPr>
                        <w:tcW w:w="3663" w:type="dxa"/>
                        <w:tcBorders>
                          <w:top w:val="none"/>
                          <w:left w:val="none"/>
                          <w:bottom w:val="none"/>
                          <w:right w:val="none"/>
                        </w:tcBorders>
                        <w:textDirection w:val="lrTb"/>
                        <w:vAlign w:val="top"/>
                      </w:tcPr>
                      <w:p>
                        <w:pPr>
                          <w:spacing w:before="0" w:after="0" w:line="20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General operations and maintenance</w:t>
                          <w:br/>
                        </w:r>
                        <w:r>
                          <w:rPr>
                            <w:rFonts w:ascii="Arial" w:hAnsi="Arial" w:eastAsia="Arial"/>
                            <w:color w:val="000000"/>
                            <w:spacing w:val="0"/>
                            <w:w w:val="100"/>
                            <w:sz w:val="16"/>
                            <w:vertAlign w:val="baseline"/>
                            <w:lang w:val="en-US"/>
                          </w:rPr>
                          <w:t xml:space="preserve">services</w:t>
                        </w:r>
                      </w:p>
                      <w:p>
                        <w:pPr>
                          <w:spacing w:before="194" w:after="0" w:line="342" w:lineRule="exact"/>
                          <w:ind w:right="144" w:left="0" w:firstLine="0"/>
                          <w:jc w:val="both"/>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Facility standards:</w:t>
                        </w:r>
                      </w:p>
                      <w:p>
                        <w:pPr>
                          <w:spacing w:before="72" w:after="0" w:line="218"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c>
                    <w:tc>
                      <w:tcPr>
                        <w:tcW w:w="2877" w:type="dxa"/>
                        <w:tcBorders>
                          <w:top w:val="none"/>
                          <w:left w:val="none"/>
                          <w:bottom w:val="none"/>
                          <w:right w:val="none"/>
                        </w:tcBorders>
                        <w:textDirection w:val="lrTb"/>
                        <w:vAlign w:val="top"/>
                      </w:tcPr>
                      <w:p>
                        <w:pPr>
                          <w:tabs>
                            <w:tab w:val="left" w:leader="none" w:pos="1944"/>
                          </w:tabs>
                          <w:spacing w:before="102" w:after="1507" w:line="182" w:lineRule="exact"/>
                          <w:ind w:right="703" w:left="0" w:firstLine="0"/>
                          <w:jc w:val="right"/>
                          <w:textAlignment w:val="baseline"/>
                          <w:rPr>
                            <w:rFonts w:ascii="Arial" w:hAnsi="Arial" w:eastAsia="Arial"/>
                            <w:color w:val="000000"/>
                            <w:spacing w:val="0"/>
                            <w:w w:val="95"/>
                            <w:sz w:val="16"/>
                            <w:vertAlign w:val="baseline"/>
                            <w:lang w:val="en-US"/>
                          </w:rPr>
                        </w:pPr>
                        <w:r>
                          <w:rPr>
                            <w:rFonts w:ascii="Arial" w:hAnsi="Arial" w:eastAsia="Arial"/>
                            <w:color w:val="000000"/>
                            <w:spacing w:val="0"/>
                            <w:w w:val="95"/>
                            <w:sz w:val="16"/>
                            <w:vertAlign w:val="baseline"/>
                            <w:lang w:val="en-US"/>
                          </w:rPr>
                          <w:t xml:space="preserve">Yes	</w:t>
                        </w:r>
                        <w:r>
                          <w:rPr>
                            <w:rFonts w:ascii="Arial" w:hAnsi="Arial" w:eastAsia="Arial"/>
                            <w:color w:val="000000"/>
                            <w:spacing w:val="0"/>
                            <w:w w:val="95"/>
                            <w:sz w:val="16"/>
                            <w:vertAlign w:val="baseline"/>
                            <w:lang w:val="en-US"/>
                          </w:rPr>
                          <w:t xml:space="preserve">Yes</w:t>
                        </w:r>
                      </w:p>
                    </w:tc>
                  </w:tr>
                </w:tbl>
                <w:p>
                  <w:pPr>
                    <w:spacing w:before="0" w:after="484" w:line="20" w:lineRule="exact"/>
                  </w:pP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327pt;height:261.1pt;z-index:-1;margin-left:52.3pt;margin-top:517.9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8" w:after="0" w:line="183"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Andrew Wilson</w:t>
                  </w:r>
                </w:p>
                <w:p>
                  <w:pPr>
                    <w:spacing w:before="38" w:after="0" w:line="183"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General Manager- Development NSW</w:t>
                  </w:r>
                </w:p>
                <w:p>
                  <w:pPr>
                    <w:spacing w:before="38" w:after="0" w:line="183"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0420379190</w:t>
                  </w:r>
                </w:p>
                <w:p>
                  <w:pPr>
                    <w:spacing w:before="38" w:after="0" w:line="183"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andrew.wilson@arkenergy.com.au</w:t>
                    </w:r>
                  </w:hyperlink>
                  <w:r>
                    <w:rPr>
                      <w:rFonts w:ascii="Arial" w:hAnsi="Arial" w:eastAsia="Arial"/>
                      <w:color w:val="000000"/>
                      <w:spacing w:val="0"/>
                      <w:w w:val="100"/>
                      <w:sz w:val="16"/>
                      <w:vertAlign w:val="baseline"/>
                      <w:lang w:val="en-US"/>
                    </w:rPr>
                    <w:t xml:space="preserve">
</w:t>
                  </w:r>
                </w:p>
                <w:p>
                  <w:pPr>
                    <w:spacing w:before="49" w:after="0" w:line="32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w:t>
                  </w:r>
                  <w:hyperlink r:id="dhId5">
                    <w:r>
                      <w:rPr>
                        <w:rFonts w:ascii="Arial" w:hAnsi="Arial" w:eastAsia="Arial"/>
                        <w:color w:val="0000FF"/>
                        <w:spacing w:val="0"/>
                        <w:w w:val="100"/>
                        <w:sz w:val="16"/>
                        <w:u w:val="single"/>
                        <w:vertAlign w:val="baseline"/>
                        <w:lang w:val="en-US"/>
                      </w:rPr>
                      <w:t xml:space="preserve">https://arkenergy.com.au/wind/burrendong/</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Facility opportunities website: </w:t>
                  </w:r>
                  <w:hyperlink r:id="dhId6">
                    <w:r>
                      <w:rPr>
                        <w:rFonts w:ascii="Arial" w:hAnsi="Arial" w:eastAsia="Arial"/>
                        <w:color w:val="0000FF"/>
                        <w:spacing w:val="0"/>
                        <w:w w:val="100"/>
                        <w:sz w:val="16"/>
                        <w:u w:val="single"/>
                        <w:vertAlign w:val="baseline"/>
                        <w:lang w:val="en-US"/>
                      </w:rPr>
                      <w:t xml:space="preserve">https://arkenergy.com.au/wind/burrendong/</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Issue media releases or ASX announcements on project developments and opportunities</w:t>
                  </w:r>
                </w:p>
                <w:p>
                  <w:pPr>
                    <w:spacing w:before="39" w:after="1262"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Apr 17 2026 13:36:57 GMT+1000 (AEST)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505" w:left="1039"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andrew.wilson@arkenergy.com.au"/><Relationship Id="dhId2" Type="http://schemas.openxmlformats.org/officeDocument/2006/relationships/hyperlink" TargetMode="External" Target="https://arkenergy.com.au/wind/burrendong/"/><Relationship Id="dhId3" Type="http://schemas.openxmlformats.org/officeDocument/2006/relationships/hyperlink" TargetMode="External" Target="https://arkenergy.com.au/wind/burrendong/"/><Relationship Id="dhId4" Type="http://schemas.openxmlformats.org/officeDocument/2006/relationships/hyperlink" TargetMode="External" Target="mailto:andrew.wilson@arkenergy.com.au"/><Relationship Id="dhId5" Type="http://schemas.openxmlformats.org/officeDocument/2006/relationships/hyperlink" TargetMode="External" Target="https://arkenergy.com.au/wind/burrendong/"/><Relationship Id="dhId6" Type="http://schemas.openxmlformats.org/officeDocument/2006/relationships/hyperlink" TargetMode="External" Target="https://arkenergy.com.au/wind/burrendong/"/><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2026-05-06T05:02:54Z</dcterms:created>
  <dcterms:modified xsi:type="dcterms:W3CDTF">2026-05-06T05:02:54Z</dcterms:modified>
</cp:coreProperties>
</file>