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May 21 2026 1 1:52:38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6SQ8G6FD</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Seqirus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Banksia</w:t>
      </w:r>
    </w:p>
    <w:p>
      <w:pPr>
        <w:spacing w:before="160"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2-14 Sky Road, Melbourne Airport Business Park 3045</w:t>
      </w:r>
    </w:p>
    <w:p>
      <w:pPr>
        <w:spacing w:before="135"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Type: Factory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32" w:after="0" w:line="219" w:lineRule="exact"/>
        <w:ind w:right="648"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Project Banksia involves the design, construction, validation and registration of a new multi-product site, including an Influenza Virus Vaccine Cell Culture (FCC) facility, an Antivenom facility, a Q Fever facility, and a formulation/ fill/ finish facility located in Australia. The facility will be a new multi-product facility in a greenfield location. The facilities and production capacity are intended to meet the requirements of the Biosecurity Deed that is being negotiated with the Australian Government. The facility will also meet Seqirus commercial requirements for Australia and other international markets. The project target licensure date is for Northern Hemisphere production in the 2026 season. The facility cost is still being estimated, and is currently expected to be $806M AUD, however this budget shall be further updated and communicated as the project develops. Project Banksia's Procurement works will be have three individual general contractors for the following three sections: - Engineering design services; (From Q3 2020 to Q4 2021) - Construction management; (From Q4 2020 to Q3 2022)- Automation services;(From Q3 2020 to Q3 2021) In addition, adhoc sourcing will be handled by Seqirus team. Seqirus will ensure all general contractors and Seqirus sourcing team to maintain good understanding of Australian Industry Capacity and encourage local businesses to participate on a transparent and fair basis.The general contractors will be contractually required to comply with the actions in this AIP plan.</w:t>
      </w:r>
    </w:p>
    <w:p>
      <w:pPr>
        <w:spacing w:before="136" w:after="4148"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01 Feb 2026</w:t>
      </w:r>
    </w:p>
    <w:p>
      <w:pPr>
        <w:spacing w:before="136" w:after="4148"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May 21 2026 1 1:52:38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559"/>
        <w:gridCol w:w="2400"/>
        <w:gridCol w:w="1671"/>
        <w:gridCol w:w="3210"/>
      </w:tblGrid>
      <w:tr>
        <w:trPr>
          <w:trHeight w:val="628" w:hRule="exact"/>
        </w:trPr>
        <w:tc>
          <w:tcPr>
            <w:tcW w:w="2559" w:type="dxa"/>
            <w:tcBorders>
              <w:top w:val="none"/>
              <w:left w:val="none"/>
              <w:bottom w:val="none"/>
              <w:right w:val="none"/>
            </w:tcBorders>
            <w:textDirection w:val="lrTb"/>
            <w:vAlign w:val="center"/>
          </w:tcPr>
          <w:p>
            <w:pPr>
              <w:spacing w:before="258" w:after="178" w:line="182" w:lineRule="exact"/>
              <w:ind w:right="799"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400" w:type="dxa"/>
            <w:tcBorders>
              <w:top w:val="none"/>
              <w:left w:val="none"/>
              <w:bottom w:val="none"/>
              <w:right w:val="none"/>
            </w:tcBorders>
            <w:textDirection w:val="lrTb"/>
            <w:vAlign w:val="center"/>
          </w:tcPr>
          <w:p>
            <w:pPr>
              <w:spacing w:before="98" w:after="80" w:line="220" w:lineRule="exact"/>
              <w:ind w:right="0" w:left="82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1"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210" w:type="dxa"/>
            <w:tcBorders>
              <w:top w:val="none"/>
              <w:left w:val="none"/>
              <w:bottom w:val="none"/>
              <w:right w:val="none"/>
            </w:tcBorders>
            <w:textDirection w:val="lrTb"/>
            <w:vAlign w:val="center"/>
          </w:tcPr>
          <w:p>
            <w:pPr>
              <w:spacing w:before="101" w:after="77" w:line="220" w:lineRule="exact"/>
              <w:ind w:right="612"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c>
      </w:tr>
    </w:tbl>
    <w:p>
      <w:pPr>
        <w:spacing w:before="0" w:after="15" w:line="20" w:lineRule="exact"/>
      </w:pPr>
    </w:p>
    <w:p>
      <w:pPr>
        <w:tabs>
          <w:tab w:val="left" w:leader="none" w:pos="3888"/>
          <w:tab w:val="left" w:leader="none" w:pos="5688"/>
        </w:tabs>
        <w:spacing w:before="37"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Syringe &amp; Vial Packing Line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Syringe Filling Line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Vial Lyophillizer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Seed &amp; Perfusion Bioreactors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(Clean in Place ) CIP Skids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Vessels, tanks and Heat Exchangers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Filter Integrity Testing Units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(Water for injection) WFI Stills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Purified Water Generator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Bench Mounted Centrifuges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Electrical cabinets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Autoclaves and Parts washer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(Microfiltration) MF unit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64"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Instruments ( sensors for temperature,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pressure, level, weighing, O3, etc)</w:t>
      </w:r>
    </w:p>
    <w:p>
      <w:pPr>
        <w:tabs>
          <w:tab w:val="left" w:leader="none" w:pos="3888"/>
          <w:tab w:val="left" w:leader="none" w:pos="5688"/>
        </w:tabs>
        <w:spacing w:before="24" w:after="0" w:line="20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Construction management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subcontractors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Piping installation work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Logistic service provider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64"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Process and utility engineering consulting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service</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Chromatography Column &amp; Skid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Syringe &amp; Vial Inspection Line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IT services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Automation engineering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Harvest Centrifuge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Temp Control Unit (TCU) Skids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Platform Lifts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Lab Isolators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Case packing &amp; palletising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Various lab equipment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Engineering detail design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2" w:after="3043"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May 21 2026 1 1:52:38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36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Mike Gong</w:t>
      </w:r>
    </w:p>
    <w:p>
      <w:pPr>
        <w:spacing w:before="39"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CSL Global Category Sourcing Lead</w:t>
      </w:r>
    </w:p>
    <w:p>
      <w:pPr>
        <w:spacing w:before="34" w:after="0" w:line="182"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0476829428</w:t>
      </w:r>
    </w:p>
    <w:p>
      <w:pPr>
        <w:spacing w:before="38" w:after="0" w:line="182" w:lineRule="exact"/>
        <w:ind w:right="0" w:left="151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mike.gong@cslbehring.com.au</w:t>
        </w:r>
      </w:hyperlink>
      <w:r>
        <w:rPr>
          <w:rFonts w:ascii="Arial" w:hAnsi="Arial" w:eastAsia="Arial"/>
          <w:color w:val="000000"/>
          <w:spacing w:val="0"/>
          <w:w w:val="100"/>
          <w:sz w:val="16"/>
          <w:vertAlign w:val="baseline"/>
          <w:lang w:val="en-US"/>
        </w:rPr>
        <w:t xml:space="preserve">
</w:t>
      </w:r>
    </w:p>
    <w:p>
      <w:pPr>
        <w:spacing w:before="198"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Project proponent website: </w:t>
      </w:r>
      <w:hyperlink r:id="dhId2">
        <w:r>
          <w:rPr>
            <w:rFonts w:ascii="Arial" w:hAnsi="Arial" w:eastAsia="Arial"/>
            <w:color w:val="0000FF"/>
            <w:spacing w:val="-1"/>
            <w:w w:val="100"/>
            <w:sz w:val="16"/>
            <w:u w:val="single"/>
            <w:vertAlign w:val="baseline"/>
            <w:lang w:val="en-US"/>
          </w:rPr>
          <w:t xml:space="preserve">https://www.seqirus.com/news/seqirus-will-build-world-class-vaccine-manufacturing-facility</w:t>
        </w:r>
      </w:hyperlink>
      <w:r>
        <w:rPr>
          <w:rFonts w:ascii="Arial" w:hAnsi="Arial" w:eastAsia="Arial"/>
          <w:color w:val="000000"/>
          <w:spacing w:val="-1"/>
          <w:w w:val="100"/>
          <w:sz w:val="16"/>
          <w:vertAlign w:val="baseline"/>
          <w:lang w:val="en-US"/>
        </w:rPr>
        <w:t xml:space="preserve">
</w:t>
      </w:r>
    </w:p>
    <w:p>
      <w:pPr>
        <w:spacing w:before="139"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792" w:firstLine="0"/>
        <w:jc w:val="left"/>
        <w:textAlignment w:val="baseline"/>
        <w:rPr>
          <w:rFonts w:ascii="Arial" w:hAnsi="Arial" w:eastAsia="Arial"/>
          <w:color w:val="000000"/>
          <w:spacing w:val="-2"/>
          <w:w w:val="100"/>
          <w:sz w:val="16"/>
          <w:vertAlign w:val="baseline"/>
          <w:lang w:val="en-US"/>
        </w:rPr>
      </w:pPr>
      <w:hyperlink r:id="dhId3">
        <w:r>
          <w:rPr>
            <w:rFonts w:ascii="Arial" w:hAnsi="Arial" w:eastAsia="Arial"/>
            <w:color w:val="0000FF"/>
            <w:spacing w:val="-2"/>
            <w:w w:val="100"/>
            <w:sz w:val="16"/>
            <w:u w:val="single"/>
            <w:vertAlign w:val="baseline"/>
            <w:lang w:val="en-US"/>
          </w:rPr>
          <w:t xml:space="preserve">newsroom.csl.com.au</w:t>
        </w:r>
      </w:hyperlink>
      <w:r>
        <w:rPr>
          <w:rFonts w:ascii="Arial" w:hAnsi="Arial" w:eastAsia="Arial"/>
          <w:color w:val="000000"/>
          <w:spacing w:val="-2"/>
          <w:w w:val="100"/>
          <w:sz w:val="16"/>
          <w:vertAlign w:val="baseline"/>
          <w:lang w:val="en-US"/>
        </w:rPr>
        <w:t xml:space="preserve">
</w:t>
      </w:r>
    </w:p>
    <w:p>
      <w:pPr>
        <w:spacing w:before="197"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5" w:after="0" w:line="218"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Develop and distribute a supplier information guide for the project</w:t>
      </w:r>
    </w:p>
    <w:p>
      <w:pPr>
        <w:spacing w:before="0" w:after="0" w:line="220"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Directly contact suppliers with information on project opportunities and bid processes</w:t>
        <w:br/>
      </w:r>
      <w:r>
        <w:rPr>
          <w:rFonts w:ascii="Arial" w:hAnsi="Arial" w:eastAsia="Arial"/>
          <w:color w:val="000000"/>
          <w:spacing w:val="0"/>
          <w:w w:val="100"/>
          <w:sz w:val="16"/>
          <w:vertAlign w:val="baseline"/>
          <w:lang w:val="en-US"/>
        </w:rPr>
        <w:t xml:space="preserve">Notification to existing Australian suppliers</w:t>
      </w:r>
    </w:p>
    <w:p>
      <w:pPr>
        <w:spacing w:before="473" w:after="0" w:line="393"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98" w:after="0" w:line="220"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Transfer new product and process technology to suppliers</w:t>
        <w:br/>
      </w:r>
      <w:r>
        <w:rPr>
          <w:rFonts w:ascii="Arial" w:hAnsi="Arial" w:eastAsia="Arial"/>
          <w:color w:val="000000"/>
          <w:spacing w:val="0"/>
          <w:w w:val="100"/>
          <w:sz w:val="16"/>
          <w:vertAlign w:val="baseline"/>
          <w:lang w:val="en-US"/>
        </w:rPr>
        <w:t xml:space="preserve">Encourage joint ventures and alliances between suppliers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147" w:line="218"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147" w:line="218" w:lineRule="exact"/>
        <w:sectPr>
          <w:type w:val="continuous"/>
          <w:pgSz w:w="11904" w:h="16843" w:orient="portrait"/>
          <w:pgMar w:bottom="867" w:top="1040" w:right="1498"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76.25pt;height:52.85pt;z-index:-1;margin-left:51.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May 21 2026 1 1:52:38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Seqirus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Banksia</w:t>
                  </w:r>
                </w:p>
                <w:p>
                  <w:pPr>
                    <w:spacing w:before="140"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2-14 Sky Road, Melbourne Airport Business Park 3045</w:t>
                  </w:r>
                </w:p>
                <w:p>
                  <w:pPr>
                    <w:spacing w:before="159"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Factory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463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434"/>
                    <w:gridCol w:w="2035"/>
                    <w:gridCol w:w="261"/>
                    <w:gridCol w:w="1673"/>
                    <w:gridCol w:w="2857"/>
                  </w:tblGrid>
                  <w:tr>
                    <w:trPr>
                      <w:trHeight w:val="629" w:hRule="exact"/>
                    </w:trPr>
                    <w:tc>
                      <w:tcPr>
                        <w:tcW w:w="2434" w:type="dxa"/>
                        <w:tcBorders>
                          <w:top w:val="none"/>
                          <w:left w:val="none"/>
                          <w:bottom w:val="none"/>
                          <w:right w:val="none"/>
                        </w:tcBorders>
                        <w:textDirection w:val="lrTb"/>
                        <w:vAlign w:val="center"/>
                      </w:tcPr>
                      <w:p>
                        <w:pPr>
                          <w:spacing w:before="259" w:after="186" w:line="183" w:lineRule="exact"/>
                          <w:ind w:right="70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2035" w:type="dxa"/>
                        <w:tcBorders>
                          <w:top w:val="none"/>
                          <w:left w:val="none"/>
                          <w:bottom w:val="none"/>
                          <w:right w:val="none"/>
                        </w:tcBorders>
                        <w:textDirection w:val="lrTb"/>
                        <w:vAlign w:val="center"/>
                      </w:tcPr>
                      <w:p>
                        <w:pPr>
                          <w:spacing w:before="101" w:after="85" w:line="221" w:lineRule="exact"/>
                          <w:ind w:right="0" w:left="720"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7"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5" coordsize="21600,21600" o:spt="202" path="m,l,21600r21600,l21600,xe">
            <v:stroke joinstyle="miter"/>
            <v:path gradientshapeok="t" o:connecttype="rect"/>
          </v:shapetype>
          <v:shape id="_x0000_s4" type="#_x0000_t5" filled="f" stroked="f" style="position:absolute;width:288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672"/>
                      <w:tab w:val="right" w:leader="none" w:pos="5760"/>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Cafeteria service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right" w:leader="none" w:pos="576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right" w:leader="none" w:pos="576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Disposal of biochemicals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Cleaners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right" w:leader="none" w:pos="5760"/>
                    </w:tabs>
                    <w:spacing w:before="53" w:after="0" w:line="21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IT (Hardware, Software and Digital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Technology)</w:t>
                  </w:r>
                </w:p>
                <w:p>
                  <w:pPr>
                    <w:tabs>
                      <w:tab w:val="left" w:leader="none" w:pos="3672"/>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Raw Materials and Packaging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right" w:leader="none" w:pos="576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Warehousing and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right" w:leader="none" w:pos="5760"/>
                    </w:tabs>
                    <w:spacing w:before="51"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Professional Services (Labour Hire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Business Consultancy)</w:t>
                  </w:r>
                </w:p>
                <w:p>
                  <w:pPr>
                    <w:tabs>
                      <w:tab w:val="left" w:leader="none" w:pos="3672"/>
                      <w:tab w:val="right" w:leader="none" w:pos="5760"/>
                    </w:tabs>
                    <w:spacing w:before="32" w:after="0" w:line="205"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 Maintenance, Repair &amp; Operations)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MRO Services and Supply</w:t>
                  </w:r>
                </w:p>
                <w:p>
                  <w:pPr>
                    <w:tabs>
                      <w:tab w:val="left" w:leader="none" w:pos="3672"/>
                      <w:tab w:val="right" w:leader="none" w:pos="5760"/>
                    </w:tabs>
                    <w:spacing w:before="3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Gardener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right" w:leader="none" w:pos="5760"/>
                    </w:tabs>
                    <w:spacing w:before="34"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Office supplies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right" w:leader="none" w:pos="5760"/>
                    </w:tabs>
                    <w:spacing w:before="38"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Logistic service provider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right" w:leader="none" w:pos="5760"/>
                    </w:tabs>
                    <w:spacing w:before="54" w:after="0" w:line="218"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Buffers, Media and Solutions materials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and chemicals</w:t>
                  </w:r>
                </w:p>
                <w:p>
                  <w:pPr>
                    <w:spacing w:before="194" w:after="0" w:line="342"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1" w:after="3043"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May 21 2026 1 1:52:38 GMT+1000 (AEST) *****</w:t>
      </w:r>
    </w:p>
    <w:p>
      <w:pPr>
        <w:spacing w:before="3" w:after="818" w:line="183" w:lineRule="exact"/>
        <w:sectPr>
          <w:type w:val="nextPage"/>
          <w:pgSz w:w="11904" w:h="16843" w:orient="portrait"/>
          <w:pgMar w:bottom="867" w:top="1040" w:right="1341" w:left="1038"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Mike Gong</w:t>
      </w:r>
    </w:p>
    <w:p>
      <w:pPr>
        <w:spacing w:before="39" w:after="0" w:line="182" w:lineRule="exact"/>
        <w:ind w:right="0" w:left="7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CSL Global Category Sourcing Lead</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0476829428</w:t>
      </w:r>
    </w:p>
    <w:p>
      <w:pPr>
        <w:spacing w:before="34" w:after="0" w:line="182" w:lineRule="exact"/>
        <w:ind w:right="0" w:left="144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mike.gong@cslbehring.com.au</w:t>
        </w:r>
      </w:hyperlink>
      <w:r>
        <w:rPr>
          <w:rFonts w:ascii="Arial" w:hAnsi="Arial" w:eastAsia="Arial"/>
          <w:color w:val="000000"/>
          <w:spacing w:val="0"/>
          <w:w w:val="100"/>
          <w:sz w:val="16"/>
          <w:vertAlign w:val="baseline"/>
          <w:lang w:val="en-US"/>
        </w:rPr>
        <w:t xml:space="preserve">
</w:t>
      </w:r>
    </w:p>
    <w:p>
      <w:pPr>
        <w:spacing w:before="57" w:after="0" w:line="328" w:lineRule="exact"/>
        <w:ind w:right="144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w:t>
      </w:r>
      <w:hyperlink r:id="dhId5">
        <w:r>
          <w:rPr>
            <w:rFonts w:ascii="Arial" w:hAnsi="Arial" w:eastAsia="Arial"/>
            <w:color w:val="0000FF"/>
            <w:spacing w:val="0"/>
            <w:w w:val="100"/>
            <w:sz w:val="16"/>
            <w:u w:val="single"/>
            <w:vertAlign w:val="baseline"/>
            <w:lang w:val="en-US"/>
          </w:rPr>
          <w:t xml:space="preserve">https://www.seqirus.com/news/seqirus-will-build-world-class-vaccine-manufacturing-facility</w:t>
        </w:r>
      </w:hyperlink>
      <w:r>
        <w:rPr>
          <w:rFonts w:ascii="Arial" w:hAnsi="Arial" w:eastAsia="Arial"/>
          <w:color w:val="000000"/>
          <w:spacing w:val="0"/>
          <w:w w:val="100"/>
          <w:sz w:val="16"/>
          <w:vertAlign w:val="baseline"/>
          <w:lang w:val="en-US"/>
        </w:rPr>
        <w:t xml:space="preserve"> Facility opportunities website: A new website: </w:t>
      </w:r>
      <w:hyperlink r:id="dhId6">
        <w:r>
          <w:rPr>
            <w:rFonts w:ascii="Arial" w:hAnsi="Arial" w:eastAsia="Arial"/>
            <w:color w:val="0000FF"/>
            <w:spacing w:val="0"/>
            <w:w w:val="100"/>
            <w:sz w:val="16"/>
            <w:u w:val="single"/>
            <w:vertAlign w:val="baseline"/>
            <w:lang w:val="en-US"/>
          </w:rPr>
          <w:t xml:space="preserve">https://www.seqirus.com.au/manufacturing/new-facility-suppliers</w:t>
        </w:r>
      </w:hyperlink>
      <w:r>
        <w:rPr>
          <w:rFonts w:ascii="Arial" w:hAnsi="Arial" w:eastAsia="Arial"/>
          <w:color w:val="000000"/>
          <w:spacing w:val="0"/>
          <w:w w:val="100"/>
          <w:sz w:val="16"/>
          <w:vertAlign w:val="baseline"/>
          <w:lang w:val="en-US"/>
        </w:rPr>
        <w:t xml:space="preserve"> Supplier engagement and communication actions :</w:t>
      </w:r>
    </w:p>
    <w:p>
      <w:pPr>
        <w:spacing w:before="15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4"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38"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Notification to existing suppliers</w:t>
      </w:r>
    </w:p>
    <w:p>
      <w:pPr>
        <w:spacing w:before="473" w:after="0" w:line="393"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6" w:after="0" w:line="216"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Transfer new product and process technology to suppliers</w:t>
        <w:br/>
      </w:r>
      <w:r>
        <w:rPr>
          <w:rFonts w:ascii="Arial" w:hAnsi="Arial" w:eastAsia="Arial"/>
          <w:color w:val="000000"/>
          <w:spacing w:val="0"/>
          <w:w w:val="100"/>
          <w:sz w:val="16"/>
          <w:vertAlign w:val="baseline"/>
          <w:lang w:val="en-US"/>
        </w:rPr>
        <w:t xml:space="preserve">Encourage joint ventures and alliances between suppliers</w:t>
      </w:r>
    </w:p>
    <w:p>
      <w:pPr>
        <w:spacing w:before="202"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16" w:after="0" w:line="220"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8" w:after="0" w:line="182" w:lineRule="exact"/>
        <w:ind w:right="0" w:left="72"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0" w:after="5064" w:line="221" w:lineRule="exact"/>
        <w:ind w:right="72"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5064" w:line="221" w:lineRule="exact"/>
        <w:sectPr>
          <w:type w:val="continuous"/>
          <w:pgSz w:w="11904" w:h="16843" w:orient="portrait"/>
          <w:pgMar w:bottom="867" w:top="1040" w:right="1425" w:left="954"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mike.gong@cslbehring.com.au"/><Relationship Id="dhId2" Type="http://schemas.openxmlformats.org/officeDocument/2006/relationships/hyperlink" TargetMode="External" Target="https://www.seqirus.com/news/seqirus-will-build-world-class-vaccine-manufacturing-facility"/><Relationship Id="dhId3" Type="http://schemas.openxmlformats.org/officeDocument/2006/relationships/hyperlink" TargetMode="External" Target="http://newsroom.csl.com.au"/><Relationship Id="dhId4" Type="http://schemas.openxmlformats.org/officeDocument/2006/relationships/hyperlink" TargetMode="External" Target="mailto:mike.gong@cslbehring.com.au"/><Relationship Id="dhId5" Type="http://schemas.openxmlformats.org/officeDocument/2006/relationships/hyperlink" TargetMode="External" Target="https://www.seqirus.com/news/seqirus-will-build-world-class-vaccine-manufacturing-facility"/><Relationship Id="dhId6" Type="http://schemas.openxmlformats.org/officeDocument/2006/relationships/hyperlink" TargetMode="External" Target="https://www.seqirus.com.au/manufacturing/new-facility-supplier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2026-05-21T02:53:52Z</dcterms:created>
  <dcterms:modified xsi:type="dcterms:W3CDTF">2026-05-21T02:53:52Z</dcterms:modified>
</cp:coreProperties>
</file>