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Mar 20 2026 1 5:1 1:57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ARROW ENERGY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Surat Gas Project - Jammat</w:t>
      </w:r>
    </w:p>
    <w:p>
      <w:pPr>
        <w:spacing w:before="160" w:after="0"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Location: Kogan, Queensland (Surat Basin)</w:t>
      </w:r>
    </w:p>
    <w:p>
      <w:pPr>
        <w:spacing w:before="13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Other productive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5"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Arrow is an incorporated joint venture owned 50/50 by Shell and PetroChina . The Surat Gas Project (SGP) in southern Queensland, is Arrow Energy’s world-scale project to commercialise the majority of its Surat Basin gas reserves (about five trillion cubic feet (TCF)). Over the full 27-year life of the SGP, Arrow expects to develop around 5 TCF of natural gas from approximately 2,500 wells. Arrow has sanctioned the first two phases of the SGP, with most of the construction work well progressed and on track for completion. This Australian Industry Participation notification relates to the third phase of activity in the SGP. Phase three of the project, with construction scheduled to commence from late 2026, will bring up to an additional 115TJ/day of gas to market over 27 years, and will include but is not limited to: - Approximately 143 new gas wells around the Kogan region including gathering network. - Construction of a new Inlet Processing Facility (IPF). Peak construction is anticipated 2026 - 2027.</w:t>
      </w:r>
    </w:p>
    <w:p>
      <w:pPr>
        <w:spacing w:before="140" w:after="5027"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May 2028</w:t>
      </w:r>
    </w:p>
    <w:p>
      <w:pPr>
        <w:spacing w:before="140" w:after="5027"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08pt;height:50.7pt;z-index:-1;margin-left:136.1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Fri Mar 20 2026 1 5:1 1:57 GMT+1 100 (AEDT)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234pt;height:54.3pt;z-index:-1;margin-left:52.8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69.1pt;height:16.05pt;z-index:-1;margin-left:163.7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1pt;height:13.35pt;z-index:-1;margin-left:163.7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5.25pt;height:33.05pt;z-index:-1;margin-left:254.65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74.2pt;height:27.05pt;z-index:-1;margin-left:335.3pt;margin-top:157pt;mso-wrap-distance-left:0pt;mso-wrap-distance-right:0pt;mso-position-horizontal-relative:page;mso-position-vertical-relative:page">
            <w10:wrap type="square" side="both"/>
            <v:fill opacity="1" o:opacity2="1" recolor="f" rotate="f" type="solid"/>
            <v:textbox inset="0pt, 0pt, 0pt, 0pt">
              <w:txbxContent>
                <w:p>
                  <w:pPr>
                    <w:spacing w:before="101" w:after="0" w:line="215" w:lineRule="exact"/>
                    <w:ind w:right="0" w:left="0" w:firstLine="0"/>
                    <w:jc w:val="both"/>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 opportunities for Australian 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86.65pt;height:9.2pt;z-index:-1;margin-left:52.55pt;margin-top:169.85pt;mso-wrap-distance-left:0pt;mso-wrap-distance-right:0pt;mso-position-horizontal-relative:page;mso-position-vertical-relative:page">
            <w10:wrap type="square" side="both"/>
            <v:fill opacity="1" o:opacity2="1" recolor="f" rotate="f" type="solid"/>
            <v:textbox inset="0pt, 0pt, 0pt, 0pt">
              <w:txbxContent>
                <w:p>
                  <w:pPr>
                    <w:spacing w:before="1" w:after="0" w:line="173" w:lineRule="exact"/>
                    <w:ind w:right="0" w:left="0" w:firstLine="0"/>
                    <w:jc w:val="left"/>
                    <w:textAlignment w:val="baseline"/>
                    <w:rPr>
                      <w:rFonts w:ascii="Arial" w:hAnsi="Arial" w:eastAsia="Arial"/>
                      <w:b w:val="true"/>
                      <w:color w:val="000000"/>
                      <w:spacing w:val="-5"/>
                      <w:w w:val="95"/>
                      <w:sz w:val="16"/>
                      <w:vertAlign w:val="baseline"/>
                      <w:lang w:val="en-US"/>
                    </w:rPr>
                  </w:pPr>
                  <w:r>
                    <w:rPr>
                      <w:rFonts w:ascii="Arial" w:hAnsi="Arial" w:eastAsia="Arial"/>
                      <w:b w:val="true"/>
                      <w:color w:val="000000"/>
                      <w:spacing w:val="-5"/>
                      <w:w w:val="95"/>
                      <w:sz w:val="16"/>
                      <w:vertAlign w:val="baseline"/>
                      <w:lang w:val="en-US"/>
                    </w:rPr>
                    <w:t xml:space="preserve">Key goods and services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83.8pt;height:20.2pt;z-index:-1;margin-left:52.3pt;margin-top:191.95pt;mso-wrap-distance-left:0pt;mso-wrap-distance-right:0pt;mso-position-horizontal-relative:page;mso-position-vertical-relative:page">
            <w10:wrap type="square" side="both"/>
            <v:fill opacity="1" o:opacity2="1" recolor="f" rotate="f" type="solid"/>
            <v:textbox inset="0pt, 0pt, 0pt, 0pt">
              <w:txbxContent>
                <w:p>
                  <w:pPr>
                    <w:spacing w:before="0" w:after="0" w:line="197"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Jammat Inlet Processing Facility</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01.55pt;height:9.15pt;z-index:-1;margin-left:191.75pt;margin-top:197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363pt;height:553.25pt;z-index:-1;margin-left:50.95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HDPE Pipeline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2808"/>
                      <w:tab w:val="left" w:leader="none" w:pos="4608"/>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Telecom Towers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316"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3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16" w:after="0"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76"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Robert Blue</w:t>
                  </w:r>
                </w:p>
                <w:p>
                  <w:pPr>
                    <w:spacing w:before="38"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Procurement Manager</w:t>
                  </w:r>
                </w:p>
                <w:p>
                  <w:pPr>
                    <w:spacing w:before="39" w:after="0" w:line="182"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0730124596</w:t>
                  </w:r>
                </w:p>
                <w:p>
                  <w:pPr>
                    <w:spacing w:before="39"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robert.blue@arrowenergy.com.au</w:t>
                    </w:r>
                  </w:hyperlink>
                  <w:r>
                    <w:rPr>
                      <w:rFonts w:ascii="Arial" w:hAnsi="Arial" w:eastAsia="Arial"/>
                      <w:color w:val="000000"/>
                      <w:spacing w:val="0"/>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Project proponent website: </w:t>
                  </w:r>
                  <w:hyperlink r:id="dhId2">
                    <w:r>
                      <w:rPr>
                        <w:rFonts w:ascii="Arial" w:hAnsi="Arial" w:eastAsia="Arial"/>
                        <w:color w:val="0000FF"/>
                        <w:spacing w:val="-4"/>
                        <w:w w:val="100"/>
                        <w:sz w:val="16"/>
                        <w:u w:val="single"/>
                        <w:vertAlign w:val="baseline"/>
                        <w:lang w:val="en-US"/>
                      </w:rPr>
                      <w:t xml:space="preserve">https://www.arrowenergy.com.au/suppliers-contractors/contracting-opportunities</w:t>
                    </w:r>
                  </w:hyperlink>
                  <w:r>
                    <w:rPr>
                      <w:rFonts w:ascii="Arial" w:hAnsi="Arial" w:eastAsia="Arial"/>
                      <w:color w:val="000000"/>
                      <w:spacing w:val="-4"/>
                      <w:w w:val="100"/>
                      <w:sz w:val="16"/>
                      <w:vertAlign w:val="baseline"/>
                      <w:lang w:val="en-US"/>
                    </w:rPr>
                    <w:t xml:space="preserve">
</w:t>
                  </w:r>
                </w:p>
                <w:p>
                  <w:pPr>
                    <w:spacing w:before="140"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648" w:firstLine="0"/>
                    <w:jc w:val="left"/>
                    <w:textAlignment w:val="baseline"/>
                    <w:rPr>
                      <w:rFonts w:ascii="Arial" w:hAnsi="Arial" w:eastAsia="Arial"/>
                      <w:color w:val="000000"/>
                      <w:spacing w:val="-4"/>
                      <w:w w:val="100"/>
                      <w:sz w:val="16"/>
                      <w:vertAlign w:val="baseline"/>
                      <w:lang w:val="en-US"/>
                    </w:rPr>
                  </w:pPr>
                  <w:hyperlink r:id="dhId3">
                    <w:r>
                      <w:rPr>
                        <w:rFonts w:ascii="Arial" w:hAnsi="Arial" w:eastAsia="Arial"/>
                        <w:color w:val="0000FF"/>
                        <w:spacing w:val="-4"/>
                        <w:w w:val="100"/>
                        <w:sz w:val="16"/>
                        <w:u w:val="single"/>
                        <w:vertAlign w:val="baseline"/>
                        <w:lang w:val="en-US"/>
                      </w:rPr>
                      <w:t xml:space="preserve">https://gateway.icn.org.au</w:t>
                    </w:r>
                  </w:hyperlink>
                  <w:r>
                    <w:rPr>
                      <w:rFonts w:ascii="Arial" w:hAnsi="Arial" w:eastAsia="Arial"/>
                      <w:color w:val="000000"/>
                      <w:spacing w:val="-4"/>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5"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8"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4085"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55.5pt;height:13.6pt;z-index:-1;margin-left:487.8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Fri Mar 20 2026 1 5:1 1:57 GMT+1 100 (AEDT) *****</w:t>
      </w:r>
    </w:p>
    <w:p>
      <w:pPr>
        <w:spacing w:before="3" w:after="818" w:line="183" w:lineRule="exact"/>
        <w:sectPr>
          <w:type w:val="nextPage"/>
          <w:pgSz w:w="11904" w:h="16843" w:orient="portrait"/>
          <w:pgMar w:bottom="867" w:top="1040" w:right="3022" w:left="2722"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2" coordsize="21600,21600" o:spt="202" path="m,l,21600r21600,l21600,xe">
            <v:stroke joinstyle="miter"/>
            <v:path gradientshapeok="t" o:connecttype="rect"/>
          </v:shapetype>
          <v:shape id="_x0000_s11" type="#_x0000_t12" filled="f" stroked="f" style="position:absolute;width:504pt;height:95.9pt;z-index:-1;margin-left:43.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Mar 20 2026 1 5:1 1:57 GMT+1 100 (AEDT) *****</w:t>
                  </w:r>
                </w:p>
                <w:p>
                  <w:pPr>
                    <w:spacing w:before="902"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ARROW ENERGY PTY LTD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Surat Gas Project - Jammat</w:t>
                  </w:r>
                </w:p>
                <w:p>
                  <w:pPr>
                    <w:spacing w:before="0" w:after="0" w:line="33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Location: Kogan, Queensland (Surat Basin)</w:t>
                    <w:br/>
                  </w:r>
                  <w:r>
                    <w:rPr>
                      <w:rFonts w:ascii="Arial" w:hAnsi="Arial" w:eastAsia="Arial"/>
                      <w:color w:val="000000"/>
                      <w:spacing w:val="0"/>
                      <w:w w:val="100"/>
                      <w:sz w:val="16"/>
                      <w:vertAlign w:val="baseline"/>
                      <w:lang w:val="en-US"/>
                    </w:rPr>
                    <w:t xml:space="preserve">Type: Other productive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442.35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519"/>
                    <w:gridCol w:w="1750"/>
                    <w:gridCol w:w="261"/>
                    <w:gridCol w:w="1673"/>
                    <w:gridCol w:w="3644"/>
                  </w:tblGrid>
                  <w:tr>
                    <w:trPr>
                      <w:trHeight w:val="629" w:hRule="exact"/>
                    </w:trPr>
                    <w:tc>
                      <w:tcPr>
                        <w:tcW w:w="1519" w:type="dxa"/>
                        <w:tcBorders>
                          <w:top w:val="none"/>
                          <w:left w:val="none"/>
                          <w:bottom w:val="none"/>
                          <w:right w:val="none"/>
                        </w:tcBorders>
                        <w:textDirection w:val="lrTb"/>
                        <w:vAlign w:val="center"/>
                      </w:tcPr>
                      <w:p>
                        <w:pPr>
                          <w:spacing w:before="100" w:after="86" w:line="221"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Key goods and services</w:t>
                        </w:r>
                      </w:p>
                    </w:tc>
                    <w:tc>
                      <w:tcPr>
                        <w:tcW w:w="1750" w:type="dxa"/>
                        <w:tcBorders>
                          <w:top w:val="none"/>
                          <w:left w:val="none"/>
                          <w:bottom w:val="none"/>
                          <w:right w:val="none"/>
                        </w:tcBorders>
                        <w:textDirection w:val="lrTb"/>
                        <w:vAlign w:val="center"/>
                      </w:tcPr>
                      <w:p>
                        <w:pPr>
                          <w:spacing w:before="100" w:after="86" w:line="221" w:lineRule="exact"/>
                          <w:ind w:right="0" w:left="432"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644" w:type="dxa"/>
                        <w:tcBorders>
                          <w:top w:val="none"/>
                          <w:left w:val="none"/>
                          <w:bottom w:val="none"/>
                          <w:right w:val="none"/>
                        </w:tcBorders>
                        <w:textDirection w:val="lrTb"/>
                        <w:vAlign w:val="center"/>
                      </w:tcPr>
                      <w:p>
                        <w:pPr>
                          <w:spacing w:before="100" w:after="86" w:line="221" w:lineRule="exact"/>
                          <w:ind w:right="0" w:left="144" w:firstLine="0"/>
                          <w:jc w:val="both"/>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 opportunities for Australian entities</w:t>
                        </w:r>
                      </w:p>
                    </w:tc>
                  </w:tr>
                </w:tbl>
              </w:txbxContent>
            </v:textbox>
          </v:shape>
        </w:pict>
      </w:r>
      <w:r>
        <w:pict>
          <v:shapetype id="_x0000_t15" coordsize="21600,21600" o:spt="202" path="m,l,21600r21600,l21600,xe">
            <v:stroke joinstyle="miter"/>
            <v:path gradientshapeok="t" o:connecttype="rect"/>
          </v:shapetype>
          <v:shape id="_x0000_s14" type="#_x0000_t15" filled="f" stroked="f" style="position:absolute;width:360pt;height:395.3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520"/>
                      <w:tab w:val="left" w:leader="none" w:pos="4320"/>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Telecom Tower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520"/>
                      <w:tab w:val="left" w:leader="none" w:pos="432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Earthworks for IPF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520"/>
                      <w:tab w:val="left" w:leader="none" w:pos="432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IPF Construction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8" w:after="0" w:line="343"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95"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Robert Blue</w:t>
                  </w:r>
                </w:p>
                <w:p>
                  <w:pPr>
                    <w:spacing w:before="34"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Procurement Manager</w:t>
                  </w:r>
                </w:p>
                <w:p>
                  <w:pPr>
                    <w:spacing w:before="38"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0730124596</w:t>
                  </w:r>
                </w:p>
                <w:p>
                  <w:pPr>
                    <w:spacing w:before="39"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robert.blue@arrowenergy.com.au</w:t>
                    </w:r>
                  </w:hyperlink>
                  <w:r>
                    <w:rPr>
                      <w:rFonts w:ascii="Arial" w:hAnsi="Arial" w:eastAsia="Arial"/>
                      <w:color w:val="000000"/>
                      <w:spacing w:val="0"/>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Facility operator website: </w:t>
                  </w:r>
                  <w:hyperlink r:id="dhId5">
                    <w:r>
                      <w:rPr>
                        <w:rFonts w:ascii="Arial" w:hAnsi="Arial" w:eastAsia="Arial"/>
                        <w:color w:val="0000FF"/>
                        <w:spacing w:val="-4"/>
                        <w:w w:val="100"/>
                        <w:sz w:val="16"/>
                        <w:u w:val="single"/>
                        <w:vertAlign w:val="baseline"/>
                        <w:lang w:val="en-US"/>
                      </w:rPr>
                      <w:t xml:space="preserve">https://www.arrowenergy.com.au/suppliers-contractors/contracting-opportunities</w:t>
                    </w:r>
                  </w:hyperlink>
                  <w:r>
                    <w:rPr>
                      <w:rFonts w:ascii="Arial" w:hAnsi="Arial" w:eastAsia="Arial"/>
                      <w:color w:val="000000"/>
                      <w:spacing w:val="-4"/>
                      <w:w w:val="100"/>
                      <w:sz w:val="16"/>
                      <w:vertAlign w:val="baseline"/>
                      <w:lang w:val="en-US"/>
                    </w:rPr>
                    <w:t xml:space="preserve">
</w:t>
                  </w:r>
                </w:p>
                <w:p>
                  <w:pPr>
                    <w:spacing w:before="140"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5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5"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1445"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Mar 20 2026 1 5:1 1:57 GMT+1 100 (AEDT)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505" w:left="1039"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robert.blue@arrowenergy.com.au"/><Relationship Id="dhId2" Type="http://schemas.openxmlformats.org/officeDocument/2006/relationships/hyperlink" TargetMode="External" Target="https://www.arrowenergy.com.au/suppliers-contractors/contracting-opportunities"/><Relationship Id="dhId3" Type="http://schemas.openxmlformats.org/officeDocument/2006/relationships/hyperlink" TargetMode="External" Target="https://gateway.icn.org.au"/><Relationship Id="dhId4" Type="http://schemas.openxmlformats.org/officeDocument/2006/relationships/hyperlink" TargetMode="External" Target="mailto:robert.blue@arrowenergy.com.au"/><Relationship Id="dhId5" Type="http://schemas.openxmlformats.org/officeDocument/2006/relationships/hyperlink" TargetMode="External" Target="https://www.arrowenergy.com.au/suppliers-contractors/contracting-opportunities"/><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2026-04-15T05:02:26Z</dcterms:created>
  <dcterms:modified xsi:type="dcterms:W3CDTF">2026-04-15T05:02:26Z</dcterms:modified>
</cp:coreProperties>
</file>