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14:26:58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A65BDWXL</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POTTINGER RENEWABLES PTY LTD</w:t>
      </w:r>
    </w:p>
    <w:p>
      <w:pPr>
        <w:spacing w:before="158"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Other project proponent(s):</w:t>
      </w:r>
    </w:p>
    <w:p>
      <w:pPr>
        <w:spacing w:before="139" w:after="0" w:line="181" w:lineRule="exact"/>
        <w:ind w:right="0" w:left="936"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SOM EVA PTY LTD</w:t>
      </w:r>
    </w:p>
    <w:p>
      <w:pPr>
        <w:spacing w:before="198" w:after="0" w:line="181" w:lineRule="exact"/>
        <w:ind w:right="0" w:left="93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AGL ENERGY HUBS PTY LTD</w:t>
      </w:r>
    </w:p>
    <w:p>
      <w:pPr>
        <w:spacing w:before="39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Pottinger Energy Park</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W Burrabogie Road, Booroorban, NSW, 2710</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$2 billion - $5 billion</w:t>
      </w:r>
    </w:p>
    <w:p>
      <w:pPr>
        <w:spacing w:before="121" w:after="0" w:line="220"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proposed Pottinger Energy Park project, which is being developed by Someva Renewables and AGL Energy, is located approximately 60km south of Hay and 75km north of Deniliquinin NSW’s historic Western Riverina region. The project is also located within NSW’sSouth West Renewable Energy Zone. Once completed, the Pottinger Energy Park will generate up to 1,300MW of clean, affordable and reliable energy – enough to power up to 830,000 Australian homes. This wind generation Project will provide a reliable and affordable source of electricity and help mitigate greenhouse gas emissions associated with energy generation. It will also provide significant economic benefits to the Riverina Murray region with an Estimated Development Cost of $2.152 billion. The Project Area extends across 26,000 hectares across land owned by two associated host landholders. The Project includes a wind farm, a battery energy storage system, electrical reticulation and associated ancillary features. The Disturbance Footprint of the Project will be up to 1,066 hectares during construction. Pottinger Renewables Pty Ltd will not be the sole procurement entity for the project. We are running split contracts for the Turbine Supply and Install (TSI) Balance of Plant (BOP) and the Battery Energy Storage System Supply and Install (BESS S+I). Each contractor will be responsible for their own hiring and procurement activities. Regarding the Access Rights announcement, EnergyCo is managing this process. As we are located within the South-West Renewable Energy Zone (SW REZ), we are confident that we will be awarded access rights, which will allow us to proceed with construction upon confirmation.</w:t>
      </w:r>
    </w:p>
    <w:p>
      <w:pPr>
        <w:spacing w:before="135" w:after="2848"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17 Oct 2029</w:t>
      </w:r>
    </w:p>
    <w:p>
      <w:pPr>
        <w:spacing w:before="135" w:after="2848"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14:26:58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610"/>
        <w:gridCol w:w="2445"/>
        <w:gridCol w:w="1678"/>
        <w:gridCol w:w="3107"/>
      </w:tblGrid>
      <w:tr>
        <w:trPr>
          <w:trHeight w:val="628" w:hRule="exact"/>
        </w:trPr>
        <w:tc>
          <w:tcPr>
            <w:tcW w:w="2610" w:type="dxa"/>
            <w:tcBorders>
              <w:top w:val="none"/>
              <w:left w:val="none"/>
              <w:bottom w:val="none"/>
              <w:right w:val="none"/>
            </w:tcBorders>
            <w:textDirection w:val="lrTb"/>
            <w:vAlign w:val="center"/>
          </w:tcPr>
          <w:p>
            <w:pPr>
              <w:spacing w:before="258" w:after="178" w:line="182" w:lineRule="exact"/>
              <w:ind w:right="85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445" w:type="dxa"/>
            <w:tcBorders>
              <w:top w:val="none"/>
              <w:left w:val="none"/>
              <w:bottom w:val="none"/>
              <w:right w:val="none"/>
            </w:tcBorders>
            <w:textDirection w:val="lrTb"/>
            <w:vAlign w:val="center"/>
          </w:tcPr>
          <w:p>
            <w:pPr>
              <w:spacing w:before="98" w:after="80" w:line="220" w:lineRule="exact"/>
              <w:ind w:right="0" w:left="86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8"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107" w:type="dxa"/>
            <w:tcBorders>
              <w:top w:val="none"/>
              <w:left w:val="none"/>
              <w:bottom w:val="none"/>
              <w:right w:val="none"/>
            </w:tcBorders>
            <w:textDirection w:val="lrTb"/>
            <w:vAlign w:val="top"/>
          </w:tcPr>
          <w:p>
            <w:pPr>
              <w:spacing w:before="38"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w:t>
            </w:r>
          </w:p>
          <w:p>
            <w:pPr>
              <w:spacing w:before="0" w:after="0" w:line="199"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w:t>
              <w:br/>
            </w:r>
            <w:r>
              <w:rPr>
                <w:rFonts w:ascii="Arial" w:hAnsi="Arial" w:eastAsia="Arial"/>
                <w:b w:val="true"/>
                <w:color w:val="000000"/>
                <w:spacing w:val="0"/>
                <w:w w:val="100"/>
                <w:sz w:val="16"/>
                <w:vertAlign w:val="baseline"/>
                <w:lang w:val="en-US"/>
              </w:rPr>
              <w:t xml:space="preserve">entities</w:t>
            </w:r>
          </w:p>
        </w:tc>
      </w:tr>
    </w:tbl>
    <w:p>
      <w:pPr>
        <w:spacing w:before="0" w:after="15" w:line="20" w:lineRule="exact"/>
      </w:pPr>
    </w:p>
    <w:p>
      <w:pPr>
        <w:tabs>
          <w:tab w:val="left" w:leader="none" w:pos="4032"/>
          <w:tab w:val="left" w:leader="none" w:pos="5832"/>
        </w:tabs>
        <w:spacing w:before="37"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Wind Turbine Supply and Install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Balance of Plant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032"/>
          <w:tab w:val="left" w:leader="none" w:pos="5832"/>
        </w:tabs>
        <w:spacing w:before="59"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Battery Energy Storage System Supply and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Install</w:t>
      </w:r>
    </w:p>
    <w:p>
      <w:pPr>
        <w:tabs>
          <w:tab w:val="left" w:leader="none" w:pos="4032"/>
          <w:tab w:val="left" w:leader="none" w:pos="5832"/>
        </w:tabs>
        <w:spacing w:before="21" w:after="0" w:line="21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and installation of steel towers for Wind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Turbine Generators</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Balance of Plant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Generators Foundation Design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and Construction</w:t>
      </w:r>
    </w:p>
    <w:p>
      <w:pPr>
        <w:tabs>
          <w:tab w:val="left" w:leader="none" w:pos="4032"/>
          <w:tab w:val="left" w:leader="none" w:pos="583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Engineering and 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Cable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Cable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Engineering and 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 / Switchyards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Transport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Labour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Traffic Management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59"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Materials Supply (e.g. quarry, concrete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reinforcing)</w:t>
      </w:r>
    </w:p>
    <w:p>
      <w:pPr>
        <w:tabs>
          <w:tab w:val="left" w:leader="none" w:pos="4032"/>
          <w:tab w:val="left" w:leader="none" w:pos="583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of Fuel/Oil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High Voltage Transformer supply, onshore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transportation, and site installation</w:t>
      </w:r>
    </w:p>
    <w:p>
      <w:pPr>
        <w:tabs>
          <w:tab w:val="left" w:leader="none" w:pos="4032"/>
          <w:tab w:val="left" w:leader="none" w:pos="5832"/>
        </w:tabs>
        <w:spacing w:before="26"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Design and Construction,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including HV and LV work installation</w:t>
      </w:r>
    </w:p>
    <w:p>
      <w:pPr>
        <w:tabs>
          <w:tab w:val="left" w:leader="none" w:pos="4032"/>
          <w:tab w:val="left" w:leader="none" w:pos="5832"/>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Balance of Plant Construction Materials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4032"/>
          <w:tab w:val="left" w:leader="none" w:pos="583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for electrical and civil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and Install of Site Temporary Facilities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832"/>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Transgrid HV substation design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construction</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3043"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14:26:58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Tim Mead</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Director</w:t>
      </w:r>
    </w:p>
    <w:p>
      <w:pPr>
        <w:spacing w:before="34" w:after="0" w:line="182"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0419900277</w:t>
      </w:r>
    </w:p>
    <w:p>
      <w:pPr>
        <w:spacing w:before="38" w:after="0" w:line="182" w:lineRule="exact"/>
        <w:ind w:right="0" w:left="151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tim.m@someva.com.au</w:t>
        </w:r>
      </w:hyperlink>
      <w:r>
        <w:rPr>
          <w:rFonts w:ascii="Arial" w:hAnsi="Arial" w:eastAsia="Arial"/>
          <w:color w:val="000000"/>
          <w:spacing w:val="0"/>
          <w:w w:val="100"/>
          <w:sz w:val="16"/>
          <w:vertAlign w:val="baseline"/>
          <w:lang w:val="en-US"/>
        </w:rPr>
        <w:t xml:space="preserve">
</w:t>
      </w:r>
    </w:p>
    <w:p>
      <w:pPr>
        <w:spacing w:before="198"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https://www.somevarenewables.com.au/project/pottinger/</w:t>
        </w:r>
      </w:hyperlink>
      <w:r>
        <w:rPr>
          <w:rFonts w:ascii="Arial" w:hAnsi="Arial" w:eastAsia="Arial"/>
          <w:color w:val="000000"/>
          <w:spacing w:val="-3"/>
          <w:w w:val="100"/>
          <w:sz w:val="16"/>
          <w:vertAlign w:val="baseline"/>
          <w:lang w:val="en-US"/>
        </w:rPr>
        <w:t xml:space="preserve">
</w:t>
      </w:r>
    </w:p>
    <w:p>
      <w:pPr>
        <w:spacing w:before="139"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792" w:firstLine="0"/>
        <w:jc w:val="left"/>
        <w:textAlignment w:val="baseline"/>
        <w:rPr>
          <w:rFonts w:ascii="Arial" w:hAnsi="Arial" w:eastAsia="Arial"/>
          <w:color w:val="000000"/>
          <w:spacing w:val="-4"/>
          <w:w w:val="100"/>
          <w:sz w:val="16"/>
          <w:vertAlign w:val="baseline"/>
          <w:lang w:val="en-US"/>
        </w:rPr>
      </w:pPr>
      <w:hyperlink r:id="dhId3">
        <w:r>
          <w:rPr>
            <w:rFonts w:ascii="Arial" w:hAnsi="Arial" w:eastAsia="Arial"/>
            <w:color w:val="0000FF"/>
            <w:spacing w:val="-4"/>
            <w:w w:val="100"/>
            <w:sz w:val="16"/>
            <w:u w:val="single"/>
            <w:vertAlign w:val="baseline"/>
            <w:lang w:val="en-US"/>
          </w:rPr>
          <w:t xml:space="preserve">https://gateway.icn.org.au/projects/9376</w:t>
        </w:r>
      </w:hyperlink>
      <w:r>
        <w:rPr>
          <w:rFonts w:ascii="Arial" w:hAnsi="Arial" w:eastAsia="Arial"/>
          <w:color w:val="000000"/>
          <w:spacing w:val="-4"/>
          <w:w w:val="100"/>
          <w:sz w:val="16"/>
          <w:vertAlign w:val="baseline"/>
          <w:lang w:val="en-US"/>
        </w:rPr>
        <w:t xml:space="preserve">
</w:t>
      </w:r>
    </w:p>
    <w:p>
      <w:pPr>
        <w:spacing w:before="197"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 w:after="0" w:line="218"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Directly contact suppliers with information on project opportunities and bid processes</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4"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202"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16" w:after="0" w:line="220"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8"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0" w:after="4584" w:line="221"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4584" w:line="221"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76.25pt;height:52.85pt;z-index:-1;margin-left:51.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14:26:58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POTTINGER RENEWABLES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Pottinger Energy Park</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W Burrabogie Road, Booroorban, NSW, 2710</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33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134"/>
                    <w:gridCol w:w="1735"/>
                    <w:gridCol w:w="261"/>
                    <w:gridCol w:w="1673"/>
                    <w:gridCol w:w="2857"/>
                  </w:tblGrid>
                  <w:tr>
                    <w:trPr>
                      <w:trHeight w:val="629" w:hRule="exact"/>
                    </w:trPr>
                    <w:tc>
                      <w:tcPr>
                        <w:tcW w:w="2134" w:type="dxa"/>
                        <w:tcBorders>
                          <w:top w:val="none"/>
                          <w:left w:val="none"/>
                          <w:bottom w:val="none"/>
                          <w:right w:val="none"/>
                        </w:tcBorders>
                        <w:textDirection w:val="lrTb"/>
                        <w:vAlign w:val="center"/>
                      </w:tcPr>
                      <w:p>
                        <w:pPr>
                          <w:spacing w:before="259" w:after="187" w:line="182" w:lineRule="exact"/>
                          <w:ind w:right="40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735" w:type="dxa"/>
                        <w:tcBorders>
                          <w:top w:val="none"/>
                          <w:left w:val="none"/>
                          <w:bottom w:val="none"/>
                          <w:right w:val="none"/>
                        </w:tcBorders>
                        <w:textDirection w:val="lrTb"/>
                        <w:vAlign w:val="center"/>
                      </w:tcPr>
                      <w:p>
                        <w:pPr>
                          <w:spacing w:before="100" w:after="86" w:line="221" w:lineRule="exact"/>
                          <w:ind w:right="0" w:left="43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7"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5" coordsize="21600,21600" o:spt="202" path="m,l,21600r21600,l21600,xe">
            <v:stroke joinstyle="miter"/>
            <v:path gradientshapeok="t" o:connecttype="rect"/>
          </v:shapetype>
          <v:shape id="_x0000_s4" type="#_x0000_t5" filled="f" stroked="f" style="position:absolute;width:316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096"/>
                      <w:tab w:val="left" w:leader="none" w:pos="4896"/>
                    </w:tabs>
                    <w:spacing w:before="1"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Balance of Plant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096"/>
                      <w:tab w:val="left" w:leader="none" w:pos="4896"/>
                    </w:tabs>
                    <w:spacing w:before="53"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Maintenance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Operation</w:t>
                  </w:r>
                </w:p>
                <w:p>
                  <w:pPr>
                    <w:tabs>
                      <w:tab w:val="left" w:leader="none" w:pos="3096"/>
                      <w:tab w:val="left" w:leader="none" w:pos="489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BESS Maintenance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203" w:after="0" w:line="338"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4"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Tim Mead</w:t>
                  </w:r>
                </w:p>
                <w:p>
                  <w:pPr>
                    <w:spacing w:before="38"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Director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0419900277</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tim.m@someva.com.au</w:t>
                    </w:r>
                  </w:hyperlink>
                  <w:r>
                    <w:rPr>
                      <w:rFonts w:ascii="Arial" w:hAnsi="Arial" w:eastAsia="Arial"/>
                      <w:color w:val="000000"/>
                      <w:spacing w:val="0"/>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w:t>
                  </w:r>
                  <w:hyperlink r:id="dhId5">
                    <w:r>
                      <w:rPr>
                        <w:rFonts w:ascii="Arial" w:hAnsi="Arial" w:eastAsia="Arial"/>
                        <w:color w:val="0000FF"/>
                        <w:spacing w:val="-2"/>
                        <w:w w:val="100"/>
                        <w:sz w:val="16"/>
                        <w:u w:val="single"/>
                        <w:vertAlign w:val="baseline"/>
                        <w:lang w:val="en-US"/>
                      </w:rPr>
                      <w:t xml:space="preserve">https://www.somevarenewables.com.au/project/pottinger/</w:t>
                    </w:r>
                  </w:hyperlink>
                  <w:r>
                    <w:rPr>
                      <w:rFonts w:ascii="Arial" w:hAnsi="Arial" w:eastAsia="Arial"/>
                      <w:color w:val="000000"/>
                      <w:spacing w:val="-2"/>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 </w:t>
                  </w:r>
                  <w:hyperlink r:id="dhId6">
                    <w:r>
                      <w:rPr>
                        <w:rFonts w:ascii="Arial" w:hAnsi="Arial" w:eastAsia="Arial"/>
                        <w:color w:val="0000FF"/>
                        <w:spacing w:val="-3"/>
                        <w:w w:val="100"/>
                        <w:sz w:val="16"/>
                        <w:u w:val="single"/>
                        <w:vertAlign w:val="baseline"/>
                        <w:lang w:val="en-US"/>
                      </w:rPr>
                      <w:t xml:space="preserve">https://gateway.icn.org.au/projects/9376</w:t>
                    </w:r>
                  </w:hyperlink>
                  <w:r>
                    <w:rPr>
                      <w:rFonts w:ascii="Arial" w:hAnsi="Arial" w:eastAsia="Arial"/>
                      <w:color w:val="000000"/>
                      <w:spacing w:val="-3"/>
                      <w:w w:val="100"/>
                      <w:sz w:val="16"/>
                      <w:vertAlign w:val="baseline"/>
                      <w:lang w:val="en-US"/>
                    </w:rPr>
                    <w:t xml:space="preserve">
</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0" w:after="1224" w:line="221"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14:26:58 GMT+1000 (AEST) *****</w:t>
      </w:r>
    </w:p>
    <w:p>
      <w:pPr>
        <w:spacing w:before="3" w:after="818" w:line="183" w:lineRule="exact"/>
        <w:sectPr>
          <w:type w:val="nextPage"/>
          <w:pgSz w:w="11904" w:h="16843" w:orient="portrait"/>
          <w:pgMar w:bottom="867" w:top="1040" w:right="1341" w:left="1038"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72"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22" w:left="9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tim.m@someva.com.au"/><Relationship Id="dhId2" Type="http://schemas.openxmlformats.org/officeDocument/2006/relationships/hyperlink" TargetMode="External" Target="https://www.somevarenewables.com.au/project/pottinger/"/><Relationship Id="dhId3" Type="http://schemas.openxmlformats.org/officeDocument/2006/relationships/hyperlink" TargetMode="External" Target="https://gateway.icn.org.au/projects/9376"/><Relationship Id="dhId4" Type="http://schemas.openxmlformats.org/officeDocument/2006/relationships/hyperlink" TargetMode="External" Target="mailto:tim.m@someva.com.au"/><Relationship Id="dhId5" Type="http://schemas.openxmlformats.org/officeDocument/2006/relationships/hyperlink" TargetMode="External" Target="https://www.somevarenewables.com.au/project/pottinger/"/><Relationship Id="dhId6" Type="http://schemas.openxmlformats.org/officeDocument/2006/relationships/hyperlink" TargetMode="External" Target="https://gateway.icn.org.au/projects/9376"/><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2026-04-13T05:29:28Z</dcterms:created>
  <dcterms:modified xsi:type="dcterms:W3CDTF">2026-04-13T05:29:28Z</dcterms:modified>
</cp:coreProperties>
</file>