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14:1 1:57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Western Energy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Kwinana Swift Power Station Expansion Project</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Kwinana, WA</w:t>
      </w:r>
    </w:p>
    <w:p>
      <w:pPr>
        <w:spacing w:before="13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32" w:after="0" w:line="219" w:lineRule="exact"/>
        <w:ind w:right="648"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The Kwinana Swift Power Station Expansion Project proposes to increase the generation capacity of the existing Kwinana Swift Power Station through the construction and operation of additional dualfuel power facility with a capacity of up to 250 megawatts (MW). The project will be located adjacent to the existing station at 1 Burton Place, Kwinana Beach, Western Australia. Western Energy Pty Ltd is a wholly owned subsidiary of AGL Energy Limited (AGL). The primary objective of the expansion is to enhance the site’s nominal generation capability and strengthen electricity supply to the South West Interconnected System (SWIS). The project involves the development of four opencycle gas turbines (OCGTs), designed to operate predominantly as a gasfired peaking power station. These units will provide faststart, flexible generation needed to support system reliability during peak demand periods and complement the increasing penetration of renewable energy across Western Australia’s network. The proposed facility will be engineered for dualfuel capability, ensuring operational flexibility and improved security of supply. Once operational, it will play a critical role in supporting system stability and meeting regional demand as the energy transition continues. The anticipated Commercial Operation Date (COD) for the facility is targeted for December 2027. AGL conducted a comprehensive market tendering process for the Project in Q2-3 2025, receiving responses from various potential Balance of Plant (BoP) suppliers to support the early phase ECI. AGL is currently negotiating the commercial terms with shortlisted supplier for the Design and Construction of the Balance of Plant(BOP) Package. The procurement commercial decision will be published once contract finalised and executed. The process is anticipated to be completed in Q1 2026. The Project has received planning and environmental approvals.</w:t>
      </w:r>
    </w:p>
    <w:p>
      <w:pPr>
        <w:spacing w:before="140" w:after="3485"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2027</w:t>
      </w:r>
    </w:p>
    <w:p>
      <w:pPr>
        <w:spacing w:before="140" w:after="3485"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3</w:t>
      </w:r>
    </w:p>
    <w:p>
      <w:pPr>
        <w:sectPr>
          <w:type w:val="continuous"/>
          <w:pgSz w:w="11904" w:h="16843" w:orient="portrait"/>
          <w:pgMar w:bottom="867" w:top="1040" w:right="1018" w:left="980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18pt;height:88.9pt;z-index:-1;margin-left:190.8pt;margin-top:157pt;mso-wrap-distance-left:0pt;mso-wrap-distance-right:0pt;mso-position-horizontal-relative:page;mso-position-vertical-relative:page">
            <w10:wrap type="square"/>
            <v:fill opacity="1" o:opacity2="1" recolor="f" rotate="f" type="solid"/>
            <v:textbox inset="0pt, 0pt, 0pt, 0pt">
              <w:txbxContent>
                <w:tbl>
                  <w:tblPr>
                    <w:jc w:val="left"/>
                    <w:tblLayout w:type="fixed"/>
                    <w:tblCellMar>
                      <w:left w:w="0" w:type="dxa"/>
                      <w:right w:w="0" w:type="dxa"/>
                    </w:tblCellMar>
                  </w:tblPr>
                  <w:tblGrid>
                    <w:gridCol w:w="1600"/>
                    <w:gridCol w:w="1673"/>
                    <w:gridCol w:w="3087"/>
                  </w:tblGrid>
                  <w:tr>
                    <w:trPr>
                      <w:trHeight w:val="628" w:hRule="exact"/>
                    </w:trPr>
                    <w:tc>
                      <w:tcPr>
                        <w:tcW w:w="1600" w:type="dxa"/>
                        <w:tcBorders>
                          <w:top w:val="none"/>
                          <w:left w:val="none"/>
                          <w:bottom w:val="none"/>
                          <w:right w:val="none"/>
                        </w:tcBorders>
                        <w:textDirection w:val="lrTb"/>
                        <w:vAlign w:val="center"/>
                      </w:tcPr>
                      <w:p>
                        <w:pPr>
                          <w:spacing w:before="98" w:after="80" w:line="220" w:lineRule="exact"/>
                          <w:ind w:right="0" w:left="3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087" w:type="dxa"/>
                        <w:tcBorders>
                          <w:top w:val="none"/>
                          <w:left w:val="none"/>
                          <w:bottom w:val="none"/>
                          <w:right w:val="none"/>
                        </w:tcBorders>
                        <w:textDirection w:val="lrTb"/>
                        <w:vAlign w:val="center"/>
                      </w:tcPr>
                      <w:p>
                        <w:pPr>
                          <w:spacing w:before="101" w:after="77" w:line="220" w:lineRule="exact"/>
                          <w:ind w:right="252"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51" w:line="20" w:lineRule="exact"/>
                  </w:pPr>
                </w:p>
                <w:p>
                  <w:pPr>
                    <w:spacing w:before="1" w:after="0" w:line="182" w:lineRule="exact"/>
                    <w:ind w:right="0" w:left="338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Sole Source to Siemens Energy AB (OEM</w:t>
                  </w:r>
                </w:p>
                <w:p>
                  <w:pPr>
                    <w:tabs>
                      <w:tab w:val="left" w:leader="none" w:pos="2304"/>
                      <w:tab w:val="right" w:leader="none" w:pos="6408"/>
                    </w:tabs>
                    <w:spacing w:before="36" w:after="0" w:line="182"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No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Supply). No local heavy duty manufacturers</w:t>
                  </w:r>
                </w:p>
                <w:p>
                  <w:pPr>
                    <w:spacing w:before="42" w:after="0" w:line="182" w:lineRule="exact"/>
                    <w:ind w:right="0" w:left="338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for this class.</w:t>
                  </w:r>
                </w:p>
                <w:p>
                  <w:pPr>
                    <w:tabs>
                      <w:tab w:val="left" w:leader="none" w:pos="2304"/>
                    </w:tabs>
                    <w:spacing w:before="254" w:after="0" w:line="178"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313pt;height:50.7pt;z-index:-1;margin-left:133.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14:1 1:57 GMT+1 100 (AEDT)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234pt;height:54.3pt;z-index:1;margin-left:52.8pt;margin-top:102.7pt;mso-wrap-distance-left:0pt;mso-wrap-distance-right:0pt;mso-position-horizontal-relative:page;mso-position-vertical-relative:page">
            <w10:wrap anchorx="page" anchory="page"/>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Indicative list of key goods and services to be acquired for the project:</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26pt;height:155.9pt;z-index:-1;margin-left:52.3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21" w:lineRule="exact"/>
                    <w:ind w:right="360" w:left="0" w:firstLine="0"/>
                    <w:jc w:val="left"/>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Supply of 4 new SGT800 gas turbines and associated auxiliary equipment</w:t>
                  </w:r>
                </w:p>
                <w:p>
                  <w:pPr>
                    <w:spacing w:before="0" w:after="0" w:line="219" w:lineRule="exact"/>
                    <w:ind w:right="432"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OEM Technical Support and Operations and Maintenance of Power Island Package</w:t>
                  </w:r>
                </w:p>
                <w:p>
                  <w:pPr>
                    <w:spacing w:before="0" w:after="0" w:line="221"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Design, Construction, Installation and Commissioning of Power Island Package</w:t>
                  </w:r>
                </w:p>
                <w:p>
                  <w:pPr>
                    <w:spacing w:before="0" w:after="29" w:line="218" w:lineRule="exact"/>
                    <w:ind w:right="72"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Supply and Install 132kV Switchyard (switchgear, transformers)</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101.75pt;height:36pt;z-index:-1;margin-left:218.65pt;margin-top:26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88"/>
                    </w:tabs>
                    <w:spacing w:before="355" w:after="0" w:line="17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378pt;height:466.1pt;z-index:-1;margin-left:50.95pt;margin-top:312.9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384"/>
                      <w:tab w:val="left" w:leader="none" w:pos="5184"/>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FRP and Earthworks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84"/>
                      <w:tab w:val="left" w:leader="none" w:pos="5184"/>
                    </w:tabs>
                    <w:spacing w:before="59" w:after="0" w:line="213"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Heavy haulage, SPMTs &amp; Heavy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Lifting Operations</w:t>
                  </w:r>
                </w:p>
                <w:p>
                  <w:pPr>
                    <w:tabs>
                      <w:tab w:val="left" w:leader="none" w:pos="3384"/>
                      <w:tab w:val="left" w:leader="none" w:pos="5184"/>
                    </w:tabs>
                    <w:spacing w:before="35" w:after="0" w:line="20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Design and Construction of New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Warehouse package.</w:t>
                  </w:r>
                </w:p>
                <w:p>
                  <w:pPr>
                    <w:tabs>
                      <w:tab w:val="left" w:leader="none" w:pos="3384"/>
                      <w:tab w:val="left" w:leader="none" w:pos="5184"/>
                    </w:tabs>
                    <w:spacing w:before="0"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Electricity Transfer Access Contract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Supply and Installation of new gas</w:t>
                  </w:r>
                </w:p>
                <w:p>
                  <w:pPr>
                    <w:tabs>
                      <w:tab w:val="left" w:leader="none" w:pos="3384"/>
                      <w:tab w:val="left" w:leader="none" w:pos="5184"/>
                    </w:tabs>
                    <w:spacing w:before="0"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receiving infrastructure inside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adjacent yard</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68"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Rory Van Weerdenburg</w:t>
                  </w:r>
                </w:p>
                <w:p>
                  <w:pPr>
                    <w:spacing w:before="0" w:after="0" w:line="218" w:lineRule="exact"/>
                    <w:ind w:right="0" w:left="648" w:hanging="648"/>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Portfolio Director Construction</w:t>
                    <w:br/>
                  </w: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0473799093</w:t>
                  </w:r>
                </w:p>
                <w:p>
                  <w:pPr>
                    <w:spacing w:before="38"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rvanweedenburg@agl.com.au</w:t>
                    </w:r>
                  </w:hyperlink>
                  <w:r>
                    <w:rPr>
                      <w:rFonts w:ascii="Arial" w:hAnsi="Arial" w:eastAsia="Arial"/>
                      <w:color w:val="000000"/>
                      <w:spacing w:val="-1"/>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https://www.agl.com.au/about-agl/operations/kwinana-swift-power-station</w:t>
                    </w:r>
                  </w:hyperlink>
                  <w:r>
                    <w:rPr>
                      <w:rFonts w:ascii="Arial" w:hAnsi="Arial" w:eastAsia="Arial"/>
                      <w:color w:val="000000"/>
                      <w:spacing w:val="-3"/>
                      <w:w w:val="100"/>
                      <w:sz w:val="16"/>
                      <w:vertAlign w:val="baseline"/>
                      <w:lang w:val="en-US"/>
                    </w:rPr>
                    <w:t xml:space="preserve">
</w:t>
                  </w:r>
                </w:p>
                <w:p>
                  <w:pPr>
                    <w:spacing w:before="1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0" w:after="0" w:line="360" w:lineRule="exact"/>
                    <w:ind w:right="72" w:left="0"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https://www.agl.com.au/about-agl/operations/kwinana-swift-power-station/expression-of-interest-form</w:t>
                    </w:r>
                  </w:hyperlink>
                  <w:r>
                    <w:rPr>
                      <w:rFonts w:ascii="Arial" w:hAnsi="Arial" w:eastAsia="Arial"/>
                      <w:color w:val="000000"/>
                      <w:spacing w:val="0"/>
                      <w:w w:val="100"/>
                      <w:sz w:val="16"/>
                      <w:vertAlign w:val="baseline"/>
                      <w:lang w:val="en-US"/>
                    </w:rPr>
                    <w:t xml:space="preserve"> Supplier engagement and communication actions :</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4"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8" w:after="826"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55pt;height:12.65pt;z-index:-1;margin-left:489.1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2 of 3</w:t>
                  </w:r>
                </w:p>
              </w:txbxContent>
            </v:textbox>
          </v:shape>
        </w:pict>
      </w:r>
    </w:p>
    <w:p>
      <w:pPr>
        <w:sectPr>
          <w:type w:val="nextPage"/>
          <w:pgSz w:w="11904" w:h="16843" w:orient="portrait"/>
          <w:pgMar w:bottom="890" w:top="752" w:right="2966"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14:1 1:57 GMT+1 100 (AEDT) *****</w:t>
      </w:r>
    </w:p>
    <w:p>
      <w:pPr>
        <w:spacing w:before="3" w:after="818" w:line="183" w:lineRule="exact"/>
        <w:sectPr>
          <w:type w:val="nextPage"/>
          <w:pgSz w:w="11904" w:h="16843" w:orient="portrait"/>
          <w:pgMar w:bottom="867" w:top="1040" w:right="2966" w:left="267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97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3</w:t>
      </w:r>
    </w:p>
    <w:sectPr>
      <w:type w:val="continuous"/>
      <w:pgSz w:w="11904" w:h="16843" w:orient="portrait"/>
      <w:pgMar w:bottom="867" w:top="1040" w:right="1020" w:left="980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rvanweedenburg@agl.com.au"/><Relationship Id="dhId2" Type="http://schemas.openxmlformats.org/officeDocument/2006/relationships/hyperlink" TargetMode="External" Target="https://www.agl.com.au/about-agl/operations/kwinana-swift-power-station"/><Relationship Id="dhId3" Type="http://schemas.openxmlformats.org/officeDocument/2006/relationships/hyperlink" TargetMode="External" Target="https://www.agl.com.au/about-agl/operations/kwinana-swift-power-station/expression-of-interest-for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2026-04-15T05:00:13Z</dcterms:created>
  <dcterms:modified xsi:type="dcterms:W3CDTF">2026-04-15T05:00:13Z</dcterms:modified>
</cp:coreProperties>
</file>