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2FFD8" w14:textId="77777777" w:rsidR="00ED575C" w:rsidRDefault="0045057F">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 09 2026 1 5:46:57 GMT+1000 (AEST) *****</w:t>
      </w:r>
    </w:p>
    <w:p w14:paraId="3B12FFD9" w14:textId="77777777" w:rsidR="00ED575C" w:rsidRDefault="00ED575C">
      <w:pPr>
        <w:spacing w:before="3" w:after="1250" w:line="183" w:lineRule="exact"/>
        <w:sectPr w:rsidR="00ED575C">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B12FFDA" w14:textId="77777777" w:rsidR="00ED575C" w:rsidRDefault="0045057F">
      <w:pPr>
        <w:spacing w:after="162"/>
        <w:ind w:left="3629" w:right="4025"/>
        <w:textAlignment w:val="baseline"/>
      </w:pPr>
      <w:r>
        <w:rPr>
          <w:noProof/>
        </w:rPr>
        <w:drawing>
          <wp:inline distT="0" distB="0" distL="0" distR="0" wp14:anchorId="3B130021" wp14:editId="3B13002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B12FFDB" w14:textId="77777777" w:rsidR="00ED575C" w:rsidRDefault="0045057F">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B12FFDC" w14:textId="77777777" w:rsidR="00ED575C" w:rsidRDefault="0045057F">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3B12FFDD" w14:textId="77777777" w:rsidR="00ED575C" w:rsidRDefault="0045057F">
      <w:pPr>
        <w:spacing w:before="474" w:after="84" w:line="393" w:lineRule="exact"/>
        <w:jc w:val="center"/>
        <w:textAlignment w:val="baseline"/>
        <w:rPr>
          <w:rFonts w:ascii="Arial" w:eastAsia="Arial" w:hAnsi="Arial"/>
          <w:color w:val="000000"/>
          <w:spacing w:val="7"/>
          <w:w w:val="95"/>
          <w:sz w:val="34"/>
        </w:rPr>
      </w:pPr>
      <w:r>
        <w:pict w14:anchorId="3B130023">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B12FFDE" w14:textId="77777777" w:rsidR="00ED575C" w:rsidRDefault="0045057F">
      <w:pPr>
        <w:spacing w:before="123" w:line="183" w:lineRule="exact"/>
        <w:ind w:left="288"/>
        <w:textAlignment w:val="baseline"/>
        <w:rPr>
          <w:rFonts w:ascii="Arial" w:eastAsia="Arial" w:hAnsi="Arial"/>
          <w:b/>
          <w:color w:val="000000"/>
          <w:spacing w:val="-1"/>
          <w:sz w:val="16"/>
        </w:rPr>
      </w:pPr>
      <w:r>
        <w:pict w14:anchorId="3B130024">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BHP IRON ORE PTY LTD</w:t>
      </w:r>
    </w:p>
    <w:p w14:paraId="3B12FFDF" w14:textId="77777777" w:rsidR="00ED575C" w:rsidRDefault="0045057F">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3B12FFE0" w14:textId="77777777" w:rsidR="00ED575C" w:rsidRDefault="0045057F">
      <w:pPr>
        <w:spacing w:before="139" w:line="182" w:lineRule="exact"/>
        <w:ind w:left="936"/>
        <w:textAlignment w:val="baseline"/>
        <w:rPr>
          <w:rFonts w:ascii="Arial" w:eastAsia="Arial" w:hAnsi="Arial"/>
          <w:color w:val="000000"/>
          <w:spacing w:val="-3"/>
          <w:sz w:val="16"/>
        </w:rPr>
      </w:pPr>
      <w:r>
        <w:rPr>
          <w:rFonts w:ascii="Arial" w:eastAsia="Arial" w:hAnsi="Arial"/>
          <w:color w:val="000000"/>
          <w:spacing w:val="-3"/>
          <w:sz w:val="16"/>
        </w:rPr>
        <w:t>BHP MINERALS PTY LTD</w:t>
      </w:r>
    </w:p>
    <w:p w14:paraId="3B12FFE1" w14:textId="77777777" w:rsidR="00ED575C" w:rsidRDefault="0045057F">
      <w:pPr>
        <w:spacing w:before="197" w:line="182" w:lineRule="exact"/>
        <w:ind w:left="936"/>
        <w:textAlignment w:val="baseline"/>
        <w:rPr>
          <w:rFonts w:ascii="Arial" w:eastAsia="Arial" w:hAnsi="Arial"/>
          <w:color w:val="000000"/>
          <w:spacing w:val="-2"/>
          <w:sz w:val="16"/>
        </w:rPr>
      </w:pPr>
      <w:r>
        <w:rPr>
          <w:rFonts w:ascii="Arial" w:eastAsia="Arial" w:hAnsi="Arial"/>
          <w:color w:val="000000"/>
          <w:spacing w:val="-2"/>
          <w:sz w:val="16"/>
        </w:rPr>
        <w:t>ITOCHU MINERALS &amp; ENERGY OF AUSTRALIA PTY LTD</w:t>
      </w:r>
    </w:p>
    <w:p w14:paraId="3B12FFE2" w14:textId="77777777" w:rsidR="00ED575C" w:rsidRDefault="0045057F">
      <w:pPr>
        <w:spacing w:before="197" w:line="182" w:lineRule="exact"/>
        <w:ind w:left="936"/>
        <w:textAlignment w:val="baseline"/>
        <w:rPr>
          <w:rFonts w:ascii="Arial" w:eastAsia="Arial" w:hAnsi="Arial"/>
          <w:color w:val="000000"/>
          <w:spacing w:val="-1"/>
          <w:sz w:val="16"/>
        </w:rPr>
      </w:pPr>
      <w:r>
        <w:rPr>
          <w:rFonts w:ascii="Arial" w:eastAsia="Arial" w:hAnsi="Arial"/>
          <w:color w:val="000000"/>
          <w:spacing w:val="-1"/>
          <w:sz w:val="16"/>
        </w:rPr>
        <w:t>MITSUI IRON ORE CORPORATION PTY. LTD.</w:t>
      </w:r>
    </w:p>
    <w:p w14:paraId="3B12FFE3" w14:textId="77777777" w:rsidR="00ED575C" w:rsidRDefault="0045057F">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B12FFE4" w14:textId="77777777" w:rsidR="00ED575C" w:rsidRDefault="0045057F">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Central Pilbara Hub Surplus Water Stage 1 Project (CPHSW1)</w:t>
      </w:r>
    </w:p>
    <w:p w14:paraId="3B12FFE5" w14:textId="77777777" w:rsidR="00ED575C" w:rsidRDefault="0045057F">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Central Pi l bara, Western Australia</w:t>
      </w:r>
    </w:p>
    <w:p w14:paraId="3B12FFE6" w14:textId="77777777" w:rsidR="00ED575C" w:rsidRDefault="0045057F">
      <w:pPr>
        <w:spacing w:before="135"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Water supply facility</w:t>
      </w:r>
    </w:p>
    <w:p w14:paraId="3B12FFE7" w14:textId="77777777" w:rsidR="00ED575C" w:rsidRDefault="0045057F">
      <w:pPr>
        <w:spacing w:before="158"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B12FFE8" w14:textId="77777777" w:rsidR="00ED575C" w:rsidRDefault="0045057F">
      <w:pPr>
        <w:spacing w:before="14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$ 545,000,000</w:t>
      </w:r>
    </w:p>
    <w:p w14:paraId="3B12FFE9" w14:textId="77777777" w:rsidR="00ED575C" w:rsidRDefault="0045057F">
      <w:pPr>
        <w:spacing w:before="130" w:line="219" w:lineRule="exact"/>
        <w:ind w:left="504" w:right="720"/>
        <w:textAlignment w:val="baseline"/>
        <w:rPr>
          <w:rFonts w:ascii="Arial" w:eastAsia="Arial" w:hAnsi="Arial"/>
          <w:color w:val="000000"/>
          <w:spacing w:val="-3"/>
          <w:sz w:val="16"/>
        </w:rPr>
      </w:pPr>
      <w:r>
        <w:rPr>
          <w:rFonts w:ascii="Arial" w:eastAsia="Arial" w:hAnsi="Arial"/>
          <w:color w:val="000000"/>
          <w:spacing w:val="-3"/>
          <w:sz w:val="16"/>
        </w:rPr>
        <w:t>Description: Central Pilbara Hub Surplus Water (‘CPHSW’) Stage 1 Project is a surplus water infrastructure investment project in the Central Pilbara forming part of BHP’s Western Australia Iron Ore (WAIO) plans to expand BHP’s South Flank and Mining Area C water transfer infrastructure to deliver additional surplus water discharge capacity to access additional below water table ore. The procurement strategy for this Project includes two (2) large packages of work (South Flank Scope and Northeast &amp; Northwest</w:t>
      </w:r>
      <w:r>
        <w:rPr>
          <w:rFonts w:ascii="Arial" w:eastAsia="Arial" w:hAnsi="Arial"/>
          <w:color w:val="000000"/>
          <w:spacing w:val="-3"/>
          <w:sz w:val="16"/>
        </w:rPr>
        <w:t xml:space="preserve"> Scope) intended to be undertaken by two (2) Main contractor(s). The responsibilities of these Main contractor(s) will be supply and construction of water infrastructure services including tanks, pump stations, pipework, electrical and communication infrastructure. The Project will also include smaller packages excluded from the two large packages’ scope for design and engineering services, surveying services, geotechnical investigation works and other miscellaneous minor works and services. The constructio</w:t>
      </w:r>
      <w:r>
        <w:rPr>
          <w:rFonts w:ascii="Arial" w:eastAsia="Arial" w:hAnsi="Arial"/>
          <w:color w:val="000000"/>
          <w:spacing w:val="-3"/>
          <w:sz w:val="16"/>
        </w:rPr>
        <w:t>n works for the two large packages are expected to commence in first quarter of CY2027 and are expected to be completed by second quarter of CY2029 with commissioning works to commence in CY2029. Other minor and miscellaneous packages such as IFC engineering are expected to commence in second quarter of CY2026.</w:t>
      </w:r>
    </w:p>
    <w:p w14:paraId="3B12FFEA" w14:textId="77777777" w:rsidR="00ED575C" w:rsidRDefault="0045057F">
      <w:pPr>
        <w:spacing w:before="140" w:after="2904"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May 2029</w:t>
      </w:r>
    </w:p>
    <w:p w14:paraId="3B12FFEB" w14:textId="77777777" w:rsidR="00ED575C" w:rsidRDefault="00ED575C">
      <w:pPr>
        <w:spacing w:before="140" w:after="2904" w:line="182" w:lineRule="exact"/>
        <w:sectPr w:rsidR="00ED575C">
          <w:type w:val="continuous"/>
          <w:pgSz w:w="11904" w:h="16843"/>
          <w:pgMar w:top="1040" w:right="847" w:bottom="867" w:left="557" w:header="720" w:footer="720" w:gutter="0"/>
          <w:cols w:space="720"/>
        </w:sectPr>
      </w:pPr>
    </w:p>
    <w:p w14:paraId="3B12FFEC" w14:textId="77777777" w:rsidR="00ED575C" w:rsidRDefault="0045057F">
      <w:pPr>
        <w:spacing w:before="4" w:line="249" w:lineRule="exact"/>
        <w:textAlignment w:val="baseline"/>
        <w:rPr>
          <w:rFonts w:eastAsia="Times New Roman"/>
          <w:color w:val="000000"/>
          <w:spacing w:val="-2"/>
        </w:rPr>
      </w:pPr>
      <w:r>
        <w:rPr>
          <w:rFonts w:eastAsia="Times New Roman"/>
          <w:color w:val="000000"/>
          <w:spacing w:val="-2"/>
        </w:rPr>
        <w:t>Page 1 of 3</w:t>
      </w:r>
    </w:p>
    <w:p w14:paraId="3B12FFED" w14:textId="77777777" w:rsidR="00ED575C" w:rsidRDefault="00ED575C">
      <w:pPr>
        <w:sectPr w:rsidR="00ED575C">
          <w:type w:val="continuous"/>
          <w:pgSz w:w="11904" w:h="16843"/>
          <w:pgMar w:top="1040" w:right="1018" w:bottom="867" w:left="9806" w:header="720" w:footer="720" w:gutter="0"/>
          <w:cols w:space="720"/>
        </w:sectPr>
      </w:pPr>
    </w:p>
    <w:p w14:paraId="3B12FFEE" w14:textId="77777777" w:rsidR="00ED575C" w:rsidRDefault="0045057F">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09 2026 1 5:46:57 GMT+1000 (AEST) *****</w:t>
      </w:r>
    </w:p>
    <w:p w14:paraId="3B12FFEF" w14:textId="77777777" w:rsidR="00ED575C" w:rsidRDefault="0045057F">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B12FFF0" w14:textId="77777777" w:rsidR="00ED575C" w:rsidRDefault="0045057F">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619"/>
        <w:gridCol w:w="2460"/>
        <w:gridCol w:w="1673"/>
        <w:gridCol w:w="3328"/>
      </w:tblGrid>
      <w:tr w:rsidR="00ED575C" w14:paraId="3B12FFF7" w14:textId="77777777">
        <w:tblPrEx>
          <w:tblCellMar>
            <w:top w:w="0" w:type="dxa"/>
            <w:bottom w:w="0" w:type="dxa"/>
          </w:tblCellMar>
        </w:tblPrEx>
        <w:trPr>
          <w:trHeight w:hRule="exact" w:val="628"/>
        </w:trPr>
        <w:tc>
          <w:tcPr>
            <w:tcW w:w="2619" w:type="dxa"/>
            <w:vAlign w:val="center"/>
          </w:tcPr>
          <w:p w14:paraId="3B12FFF1" w14:textId="77777777" w:rsidR="00ED575C" w:rsidRDefault="0045057F">
            <w:pPr>
              <w:spacing w:before="258" w:after="178" w:line="182" w:lineRule="exact"/>
              <w:ind w:right="85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60" w:type="dxa"/>
            <w:vAlign w:val="center"/>
          </w:tcPr>
          <w:p w14:paraId="3B12FFF2" w14:textId="77777777" w:rsidR="00ED575C" w:rsidRDefault="0045057F">
            <w:pPr>
              <w:spacing w:before="98" w:after="80" w:line="220"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3" w:type="dxa"/>
          </w:tcPr>
          <w:p w14:paraId="3B12FFF3" w14:textId="77777777" w:rsidR="00ED575C" w:rsidRDefault="0045057F">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28" w:type="dxa"/>
          </w:tcPr>
          <w:p w14:paraId="3B12FFF4" w14:textId="77777777" w:rsidR="00ED575C" w:rsidRDefault="0045057F">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3B12FFF5" w14:textId="77777777" w:rsidR="00ED575C" w:rsidRDefault="0045057F">
            <w:pPr>
              <w:spacing w:before="38" w:line="182" w:lineRule="exact"/>
              <w:ind w:left="144"/>
              <w:textAlignment w:val="baseline"/>
              <w:rPr>
                <w:rFonts w:ascii="Arial" w:eastAsia="Arial" w:hAnsi="Arial"/>
                <w:b/>
                <w:color w:val="000000"/>
                <w:sz w:val="16"/>
              </w:rPr>
            </w:pPr>
            <w:r>
              <w:rPr>
                <w:rFonts w:ascii="Arial" w:eastAsia="Arial" w:hAnsi="Arial"/>
                <w:b/>
                <w:color w:val="000000"/>
                <w:sz w:val="16"/>
              </w:rPr>
              <w:t>opportunities for Australian</w:t>
            </w:r>
          </w:p>
          <w:p w14:paraId="3B12FFF6" w14:textId="77777777" w:rsidR="00ED575C" w:rsidRDefault="0045057F">
            <w:pPr>
              <w:spacing w:before="39"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3B12FFF8" w14:textId="77777777" w:rsidR="00ED575C" w:rsidRDefault="00ED575C">
      <w:pPr>
        <w:spacing w:after="51" w:line="20" w:lineRule="exact"/>
      </w:pPr>
    </w:p>
    <w:p w14:paraId="3B12FFF9" w14:textId="77777777" w:rsidR="00ED575C" w:rsidRDefault="0045057F">
      <w:pPr>
        <w:tabs>
          <w:tab w:val="left" w:pos="4032"/>
          <w:tab w:val="left" w:pos="583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Procurement of LLE HDPE Piping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B12FFFA" w14:textId="77777777" w:rsidR="00ED575C" w:rsidRDefault="0045057F">
      <w:pPr>
        <w:tabs>
          <w:tab w:val="left" w:pos="4032"/>
          <w:tab w:val="left" w:pos="5832"/>
        </w:tabs>
        <w:spacing w:before="53" w:line="219" w:lineRule="exact"/>
        <w:textAlignment w:val="baseline"/>
        <w:rPr>
          <w:rFonts w:ascii="Arial" w:eastAsia="Arial" w:hAnsi="Arial"/>
          <w:color w:val="000000"/>
          <w:sz w:val="16"/>
        </w:rPr>
      </w:pPr>
      <w:r>
        <w:rPr>
          <w:rFonts w:ascii="Arial" w:eastAsia="Arial" w:hAnsi="Arial"/>
          <w:color w:val="000000"/>
          <w:sz w:val="16"/>
        </w:rPr>
        <w:t>Construction of Water Infrastructure (SF</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12FFFB" w14:textId="77777777" w:rsidR="00ED575C" w:rsidRDefault="0045057F">
      <w:pPr>
        <w:spacing w:line="170" w:lineRule="exact"/>
        <w:textAlignment w:val="baseline"/>
        <w:rPr>
          <w:rFonts w:ascii="Arial" w:eastAsia="Arial" w:hAnsi="Arial"/>
          <w:color w:val="000000"/>
          <w:spacing w:val="-7"/>
          <w:sz w:val="16"/>
        </w:rPr>
      </w:pPr>
      <w:r>
        <w:rPr>
          <w:rFonts w:ascii="Arial" w:eastAsia="Arial" w:hAnsi="Arial"/>
          <w:color w:val="000000"/>
          <w:spacing w:val="-7"/>
          <w:sz w:val="16"/>
        </w:rPr>
        <w:t>Scope)</w:t>
      </w:r>
    </w:p>
    <w:p w14:paraId="3B12FFFC" w14:textId="77777777" w:rsidR="00ED575C" w:rsidRDefault="0045057F">
      <w:pPr>
        <w:tabs>
          <w:tab w:val="left" w:pos="4032"/>
          <w:tab w:val="left" w:pos="5832"/>
        </w:tabs>
        <w:spacing w:before="22" w:line="207" w:lineRule="exact"/>
        <w:textAlignment w:val="baseline"/>
        <w:rPr>
          <w:rFonts w:ascii="Arial" w:eastAsia="Arial" w:hAnsi="Arial"/>
          <w:color w:val="000000"/>
          <w:sz w:val="16"/>
        </w:rPr>
      </w:pPr>
      <w:r>
        <w:rPr>
          <w:rFonts w:ascii="Arial" w:eastAsia="Arial" w:hAnsi="Arial"/>
          <w:color w:val="000000"/>
          <w:sz w:val="16"/>
        </w:rPr>
        <w:t>Construction of Water Infrastructure (NE / NW</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 xml:space="preserve">Scope) incl. Micro Tunnelling, </w:t>
      </w:r>
      <w:proofErr w:type="spellStart"/>
      <w:r>
        <w:rPr>
          <w:rFonts w:ascii="Arial" w:eastAsia="Arial" w:hAnsi="Arial"/>
          <w:color w:val="000000"/>
          <w:sz w:val="16"/>
        </w:rPr>
        <w:t>etc</w:t>
      </w:r>
      <w:proofErr w:type="spellEnd"/>
    </w:p>
    <w:p w14:paraId="3B12FFFD" w14:textId="77777777" w:rsidR="00ED575C" w:rsidRDefault="0045057F">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Construction of Water Treatment Plant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12FFFE" w14:textId="77777777" w:rsidR="00ED575C" w:rsidRDefault="0045057F">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Surveying Services</w:t>
      </w:r>
      <w:r>
        <w:rPr>
          <w:rFonts w:ascii="Arial" w:eastAsia="Arial" w:hAnsi="Arial"/>
          <w:color w:val="000000"/>
          <w:sz w:val="16"/>
        </w:rPr>
        <w:tab/>
        <w:t>Yes</w:t>
      </w:r>
      <w:r>
        <w:rPr>
          <w:rFonts w:ascii="Arial" w:eastAsia="Arial" w:hAnsi="Arial"/>
          <w:color w:val="000000"/>
          <w:sz w:val="16"/>
        </w:rPr>
        <w:tab/>
        <w:t>No</w:t>
      </w:r>
    </w:p>
    <w:p w14:paraId="3B12FFFF" w14:textId="77777777" w:rsidR="00ED575C" w:rsidRDefault="0045057F">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Control System &amp; PLC Programming Services</w:t>
      </w:r>
      <w:r>
        <w:rPr>
          <w:rFonts w:ascii="Arial" w:eastAsia="Arial" w:hAnsi="Arial"/>
          <w:color w:val="000000"/>
          <w:sz w:val="16"/>
        </w:rPr>
        <w:tab/>
        <w:t>Yes</w:t>
      </w:r>
      <w:r>
        <w:rPr>
          <w:rFonts w:ascii="Arial" w:eastAsia="Arial" w:hAnsi="Arial"/>
          <w:color w:val="000000"/>
          <w:sz w:val="16"/>
        </w:rPr>
        <w:tab/>
        <w:t>No</w:t>
      </w:r>
    </w:p>
    <w:p w14:paraId="3B130000" w14:textId="77777777" w:rsidR="00ED575C" w:rsidRDefault="0045057F">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Engineering Services - IFT to IFC</w:t>
      </w:r>
      <w:r>
        <w:rPr>
          <w:rFonts w:ascii="Arial" w:eastAsia="Arial" w:hAnsi="Arial"/>
          <w:color w:val="000000"/>
          <w:sz w:val="16"/>
        </w:rPr>
        <w:tab/>
        <w:t>Yes</w:t>
      </w:r>
      <w:r>
        <w:rPr>
          <w:rFonts w:ascii="Arial" w:eastAsia="Arial" w:hAnsi="Arial"/>
          <w:color w:val="000000"/>
          <w:sz w:val="16"/>
        </w:rPr>
        <w:tab/>
        <w:t>No</w:t>
      </w:r>
    </w:p>
    <w:p w14:paraId="3B130001" w14:textId="77777777" w:rsidR="00ED575C" w:rsidRDefault="0045057F">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Geotechnical Site Investigation Works</w:t>
      </w:r>
      <w:r>
        <w:rPr>
          <w:rFonts w:ascii="Arial" w:eastAsia="Arial" w:hAnsi="Arial"/>
          <w:color w:val="000000"/>
          <w:sz w:val="16"/>
        </w:rPr>
        <w:tab/>
        <w:t>Yes</w:t>
      </w:r>
      <w:r>
        <w:rPr>
          <w:rFonts w:ascii="Arial" w:eastAsia="Arial" w:hAnsi="Arial"/>
          <w:color w:val="000000"/>
          <w:sz w:val="16"/>
        </w:rPr>
        <w:tab/>
        <w:t>No</w:t>
      </w:r>
    </w:p>
    <w:p w14:paraId="3B130002" w14:textId="77777777" w:rsidR="00ED575C" w:rsidRDefault="0045057F">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3B130003" w14:textId="77777777" w:rsidR="00ED575C" w:rsidRDefault="0045057F">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B130004" w14:textId="77777777" w:rsidR="00ED575C" w:rsidRDefault="0045057F">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B130005" w14:textId="77777777" w:rsidR="00ED575C" w:rsidRDefault="0045057F">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3B130006" w14:textId="77777777" w:rsidR="00ED575C" w:rsidRDefault="0045057F">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B130007" w14:textId="77777777" w:rsidR="00ED575C" w:rsidRDefault="0045057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B130008" w14:textId="77777777" w:rsidR="00ED575C" w:rsidRDefault="0045057F">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Wayne Lay-Myint</w:t>
      </w:r>
    </w:p>
    <w:p w14:paraId="3B130009" w14:textId="77777777" w:rsidR="00ED575C" w:rsidRDefault="0045057F">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Specialist Projects Commercial</w:t>
      </w:r>
    </w:p>
    <w:p w14:paraId="3B13000A" w14:textId="77777777" w:rsidR="00ED575C" w:rsidRDefault="0045057F">
      <w:pPr>
        <w:spacing w:before="38" w:line="182" w:lineRule="exact"/>
        <w:ind w:left="648"/>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0863211611</w:t>
      </w:r>
    </w:p>
    <w:p w14:paraId="3B13000B" w14:textId="77777777" w:rsidR="00ED575C" w:rsidRDefault="0045057F">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wayne.laymyint1@bhp.com</w:t>
        </w:r>
      </w:hyperlink>
      <w:r>
        <w:rPr>
          <w:rFonts w:ascii="Arial" w:eastAsia="Arial" w:hAnsi="Arial"/>
          <w:color w:val="000000"/>
          <w:sz w:val="16"/>
        </w:rPr>
        <w:t xml:space="preserve"> </w:t>
      </w:r>
    </w:p>
    <w:p w14:paraId="3B13000C" w14:textId="77777777" w:rsidR="00ED575C" w:rsidRDefault="0045057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https://www.bhp.com/sustainability/environment/regulatory-information</w:t>
        </w:r>
      </w:hyperlink>
      <w:r>
        <w:rPr>
          <w:rFonts w:ascii="Arial" w:eastAsia="Arial" w:hAnsi="Arial"/>
          <w:color w:val="000000"/>
          <w:spacing w:val="-3"/>
          <w:sz w:val="16"/>
        </w:rPr>
        <w:t xml:space="preserve"> </w:t>
      </w:r>
    </w:p>
    <w:p w14:paraId="3B13000D" w14:textId="77777777" w:rsidR="00ED575C" w:rsidRDefault="0045057F">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B13000E" w14:textId="77777777" w:rsidR="00ED575C" w:rsidRDefault="0045057F">
      <w:pPr>
        <w:spacing w:line="360" w:lineRule="exact"/>
        <w:ind w:firstLine="648"/>
        <w:textAlignment w:val="baseline"/>
        <w:rPr>
          <w:rFonts w:ascii="Arial" w:eastAsia="Arial" w:hAnsi="Arial"/>
          <w:color w:val="000000"/>
          <w:sz w:val="16"/>
        </w:rPr>
      </w:pPr>
      <w:hyperlink r:id="rId13">
        <w:r>
          <w:rPr>
            <w:rFonts w:ascii="Arial" w:eastAsia="Arial" w:hAnsi="Arial"/>
            <w:color w:val="0000FF"/>
            <w:sz w:val="16"/>
            <w:u w:val="single"/>
          </w:rPr>
          <w:t>https://gateway.icn.org.au/projects/18253?view_type=test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3B13000F" w14:textId="77777777" w:rsidR="00ED575C" w:rsidRDefault="0045057F">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B130010" w14:textId="77777777" w:rsidR="00ED575C" w:rsidRDefault="0045057F">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B130011" w14:textId="77777777" w:rsidR="00ED575C" w:rsidRDefault="0045057F">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B130012" w14:textId="77777777" w:rsidR="00ED575C" w:rsidRDefault="0045057F">
      <w:pPr>
        <w:spacing w:before="39" w:after="2986"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B130013" w14:textId="77777777" w:rsidR="00ED575C" w:rsidRDefault="0045057F">
      <w:pPr>
        <w:spacing w:before="4" w:line="249" w:lineRule="exact"/>
        <w:ind w:right="144"/>
        <w:jc w:val="right"/>
        <w:textAlignment w:val="baseline"/>
        <w:rPr>
          <w:rFonts w:eastAsia="Times New Roman"/>
          <w:color w:val="000000"/>
        </w:rPr>
      </w:pPr>
      <w:r>
        <w:rPr>
          <w:rFonts w:eastAsia="Times New Roman"/>
          <w:color w:val="000000"/>
        </w:rPr>
        <w:t>Page 2 of 3</w:t>
      </w:r>
    </w:p>
    <w:p w14:paraId="3B130014" w14:textId="77777777" w:rsidR="00ED575C" w:rsidRDefault="00ED575C">
      <w:pPr>
        <w:sectPr w:rsidR="00ED575C">
          <w:pgSz w:w="11904" w:h="16843"/>
          <w:pgMar w:top="1040" w:right="805" w:bottom="867" w:left="1019" w:header="720" w:footer="720" w:gutter="0"/>
          <w:cols w:space="720"/>
        </w:sectPr>
      </w:pPr>
    </w:p>
    <w:p w14:paraId="3B130015" w14:textId="77777777" w:rsidR="00ED575C" w:rsidRDefault="0045057F">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Thu Apr 09 2026 1 5:46:57 GMT+1000 (AEST) *****</w:t>
      </w:r>
    </w:p>
    <w:p w14:paraId="3B130016" w14:textId="77777777" w:rsidR="00ED575C" w:rsidRDefault="00ED575C">
      <w:pPr>
        <w:spacing w:before="3" w:after="818" w:line="183" w:lineRule="exact"/>
        <w:sectPr w:rsidR="00ED575C">
          <w:pgSz w:w="11904" w:h="16843"/>
          <w:pgMar w:top="1040" w:right="2986" w:bottom="867" w:left="2798" w:header="720" w:footer="720" w:gutter="0"/>
          <w:cols w:space="720"/>
        </w:sectPr>
      </w:pPr>
    </w:p>
    <w:p w14:paraId="3B130017" w14:textId="77777777" w:rsidR="00ED575C" w:rsidRDefault="0045057F">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B130018" w14:textId="77777777" w:rsidR="00ED575C" w:rsidRDefault="0045057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B130019" w14:textId="77777777" w:rsidR="00ED575C" w:rsidRDefault="0045057F">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B13001A" w14:textId="77777777" w:rsidR="00ED575C" w:rsidRDefault="0045057F">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3B13001B" w14:textId="77777777" w:rsidR="00ED575C" w:rsidRDefault="0045057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B13001C" w14:textId="77777777" w:rsidR="00ED575C" w:rsidRDefault="0045057F">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r>
      <w:r>
        <w:rPr>
          <w:rFonts w:ascii="Arial" w:eastAsia="Arial" w:hAnsi="Arial"/>
          <w:color w:val="000000"/>
          <w:sz w:val="16"/>
        </w:rPr>
        <w:t>Provide references for high performing suppliers</w:t>
      </w:r>
    </w:p>
    <w:p w14:paraId="3B13001D" w14:textId="77777777" w:rsidR="00ED575C" w:rsidRDefault="0045057F">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B13001E" w14:textId="77777777" w:rsidR="00ED575C" w:rsidRDefault="0045057F">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B13001F" w14:textId="77777777" w:rsidR="00ED575C" w:rsidRDefault="00ED575C">
      <w:pPr>
        <w:spacing w:before="98" w:after="9706" w:line="220" w:lineRule="exact"/>
        <w:sectPr w:rsidR="00ED575C">
          <w:type w:val="continuous"/>
          <w:pgSz w:w="11904" w:h="16843"/>
          <w:pgMar w:top="1040" w:right="1493" w:bottom="867" w:left="1051" w:header="720" w:footer="720" w:gutter="0"/>
          <w:cols w:space="720"/>
        </w:sectPr>
      </w:pPr>
    </w:p>
    <w:p w14:paraId="3B130020" w14:textId="77777777" w:rsidR="00ED575C" w:rsidRDefault="0045057F">
      <w:pPr>
        <w:spacing w:before="4" w:line="249" w:lineRule="exact"/>
        <w:textAlignment w:val="baseline"/>
        <w:rPr>
          <w:rFonts w:eastAsia="Times New Roman"/>
          <w:color w:val="000000"/>
          <w:spacing w:val="-2"/>
        </w:rPr>
      </w:pPr>
      <w:r>
        <w:rPr>
          <w:rFonts w:eastAsia="Times New Roman"/>
          <w:color w:val="000000"/>
          <w:spacing w:val="-2"/>
        </w:rPr>
        <w:t>Page 3 of 3</w:t>
      </w:r>
    </w:p>
    <w:sectPr w:rsidR="00ED575C">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0029" w14:textId="77777777" w:rsidR="0045057F" w:rsidRDefault="0045057F">
      <w:r>
        <w:separator/>
      </w:r>
    </w:p>
  </w:endnote>
  <w:endnote w:type="continuationSeparator" w:id="0">
    <w:p w14:paraId="3B13002B" w14:textId="77777777" w:rsidR="0045057F" w:rsidRDefault="0045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23BF" w14:textId="15398225" w:rsidR="0045057F" w:rsidRDefault="0045057F">
    <w:pPr>
      <w:pStyle w:val="Footer"/>
    </w:pPr>
    <w:r>
      <w:rPr>
        <w:noProof/>
      </w:rPr>
      <mc:AlternateContent>
        <mc:Choice Requires="wps">
          <w:drawing>
            <wp:anchor distT="0" distB="0" distL="0" distR="0" simplePos="0" relativeHeight="251662336" behindDoc="0" locked="0" layoutInCell="1" allowOverlap="1" wp14:anchorId="5A427911" wp14:editId="07C9066B">
              <wp:simplePos x="635" y="635"/>
              <wp:positionH relativeFrom="page">
                <wp:align>center</wp:align>
              </wp:positionH>
              <wp:positionV relativeFrom="page">
                <wp:align>bottom</wp:align>
              </wp:positionV>
              <wp:extent cx="695325" cy="345440"/>
              <wp:effectExtent l="0" t="0" r="9525" b="0"/>
              <wp:wrapNone/>
              <wp:docPr id="147020136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C3AD099" w14:textId="37614271" w:rsidR="0045057F" w:rsidRPr="0045057F" w:rsidRDefault="0045057F" w:rsidP="0045057F">
                          <w:pPr>
                            <w:rPr>
                              <w:rFonts w:ascii="Aptos" w:eastAsia="Aptos" w:hAnsi="Aptos" w:cs="Aptos"/>
                              <w:noProof/>
                              <w:color w:val="C00000"/>
                              <w:sz w:val="20"/>
                              <w:szCs w:val="20"/>
                            </w:rPr>
                          </w:pPr>
                          <w:r w:rsidRPr="0045057F">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27911"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C3AD099" w14:textId="37614271" w:rsidR="0045057F" w:rsidRPr="0045057F" w:rsidRDefault="0045057F" w:rsidP="0045057F">
                    <w:pPr>
                      <w:rPr>
                        <w:rFonts w:ascii="Aptos" w:eastAsia="Aptos" w:hAnsi="Aptos" w:cs="Aptos"/>
                        <w:noProof/>
                        <w:color w:val="C00000"/>
                        <w:sz w:val="20"/>
                        <w:szCs w:val="20"/>
                      </w:rPr>
                    </w:pPr>
                    <w:r w:rsidRPr="0045057F">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EAB1" w14:textId="609D33C6" w:rsidR="0045057F" w:rsidRDefault="0045057F">
    <w:pPr>
      <w:pStyle w:val="Footer"/>
    </w:pPr>
    <w:r>
      <w:rPr>
        <w:noProof/>
      </w:rPr>
      <mc:AlternateContent>
        <mc:Choice Requires="wps">
          <w:drawing>
            <wp:anchor distT="0" distB="0" distL="0" distR="0" simplePos="0" relativeHeight="251661312" behindDoc="0" locked="0" layoutInCell="1" allowOverlap="1" wp14:anchorId="09D81384" wp14:editId="2A64D131">
              <wp:simplePos x="635" y="635"/>
              <wp:positionH relativeFrom="page">
                <wp:align>center</wp:align>
              </wp:positionH>
              <wp:positionV relativeFrom="page">
                <wp:align>bottom</wp:align>
              </wp:positionV>
              <wp:extent cx="695325" cy="345440"/>
              <wp:effectExtent l="0" t="0" r="9525" b="0"/>
              <wp:wrapNone/>
              <wp:docPr id="199155062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C9295B3" w14:textId="5E85B5BD" w:rsidR="0045057F" w:rsidRPr="0045057F" w:rsidRDefault="0045057F" w:rsidP="0045057F">
                          <w:pPr>
                            <w:rPr>
                              <w:rFonts w:ascii="Aptos" w:eastAsia="Aptos" w:hAnsi="Aptos" w:cs="Aptos"/>
                              <w:noProof/>
                              <w:color w:val="C00000"/>
                              <w:sz w:val="20"/>
                              <w:szCs w:val="20"/>
                            </w:rPr>
                          </w:pPr>
                          <w:r w:rsidRPr="0045057F">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D81384"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C9295B3" w14:textId="5E85B5BD" w:rsidR="0045057F" w:rsidRPr="0045057F" w:rsidRDefault="0045057F" w:rsidP="0045057F">
                    <w:pPr>
                      <w:rPr>
                        <w:rFonts w:ascii="Aptos" w:eastAsia="Aptos" w:hAnsi="Aptos" w:cs="Aptos"/>
                        <w:noProof/>
                        <w:color w:val="C00000"/>
                        <w:sz w:val="20"/>
                        <w:szCs w:val="20"/>
                      </w:rPr>
                    </w:pPr>
                    <w:r w:rsidRPr="0045057F">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0025" w14:textId="77777777" w:rsidR="00ED575C" w:rsidRDefault="00ED575C"/>
  </w:footnote>
  <w:footnote w:type="continuationSeparator" w:id="0">
    <w:p w14:paraId="3B130026" w14:textId="77777777" w:rsidR="00ED575C" w:rsidRDefault="0045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8BBE" w14:textId="386711FB" w:rsidR="0045057F" w:rsidRDefault="0045057F">
    <w:pPr>
      <w:pStyle w:val="Header"/>
    </w:pPr>
    <w:r>
      <w:rPr>
        <w:noProof/>
      </w:rPr>
      <mc:AlternateContent>
        <mc:Choice Requires="wps">
          <w:drawing>
            <wp:anchor distT="0" distB="0" distL="0" distR="0" simplePos="0" relativeHeight="251659264" behindDoc="0" locked="0" layoutInCell="1" allowOverlap="1" wp14:anchorId="652997A8" wp14:editId="37885F88">
              <wp:simplePos x="635" y="635"/>
              <wp:positionH relativeFrom="page">
                <wp:align>center</wp:align>
              </wp:positionH>
              <wp:positionV relativeFrom="page">
                <wp:align>top</wp:align>
              </wp:positionV>
              <wp:extent cx="764540" cy="361315"/>
              <wp:effectExtent l="0" t="0" r="16510" b="635"/>
              <wp:wrapNone/>
              <wp:docPr id="118783822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0E46E43" w14:textId="4666D1C9" w:rsidR="0045057F" w:rsidRPr="0045057F" w:rsidRDefault="0045057F" w:rsidP="0045057F">
                          <w:pPr>
                            <w:rPr>
                              <w:rFonts w:ascii="Aptos" w:eastAsia="Aptos" w:hAnsi="Aptos" w:cs="Aptos"/>
                              <w:noProof/>
                              <w:color w:val="C00000"/>
                            </w:rPr>
                          </w:pPr>
                          <w:r w:rsidRPr="0045057F">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997A8"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30E46E43" w14:textId="4666D1C9" w:rsidR="0045057F" w:rsidRPr="0045057F" w:rsidRDefault="0045057F" w:rsidP="0045057F">
                    <w:pPr>
                      <w:rPr>
                        <w:rFonts w:ascii="Aptos" w:eastAsia="Aptos" w:hAnsi="Aptos" w:cs="Aptos"/>
                        <w:noProof/>
                        <w:color w:val="C00000"/>
                      </w:rPr>
                    </w:pPr>
                    <w:r w:rsidRPr="0045057F">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6B8D" w14:textId="641DCB1D" w:rsidR="0045057F" w:rsidRDefault="0045057F">
    <w:pPr>
      <w:pStyle w:val="Header"/>
    </w:pPr>
    <w:r>
      <w:rPr>
        <w:noProof/>
      </w:rPr>
      <mc:AlternateContent>
        <mc:Choice Requires="wps">
          <w:drawing>
            <wp:anchor distT="0" distB="0" distL="0" distR="0" simplePos="0" relativeHeight="251658240" behindDoc="0" locked="0" layoutInCell="1" allowOverlap="1" wp14:anchorId="6605FD70" wp14:editId="717C6546">
              <wp:simplePos x="635" y="635"/>
              <wp:positionH relativeFrom="page">
                <wp:align>center</wp:align>
              </wp:positionH>
              <wp:positionV relativeFrom="page">
                <wp:align>top</wp:align>
              </wp:positionV>
              <wp:extent cx="764540" cy="361315"/>
              <wp:effectExtent l="0" t="0" r="16510" b="635"/>
              <wp:wrapNone/>
              <wp:docPr id="19489244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DFC631E" w14:textId="5673707B" w:rsidR="0045057F" w:rsidRPr="0045057F" w:rsidRDefault="0045057F" w:rsidP="0045057F">
                          <w:pPr>
                            <w:rPr>
                              <w:rFonts w:ascii="Aptos" w:eastAsia="Aptos" w:hAnsi="Aptos" w:cs="Aptos"/>
                              <w:noProof/>
                              <w:color w:val="C00000"/>
                            </w:rPr>
                          </w:pPr>
                          <w:r w:rsidRPr="0045057F">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5FD70"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7DFC631E" w14:textId="5673707B" w:rsidR="0045057F" w:rsidRPr="0045057F" w:rsidRDefault="0045057F" w:rsidP="0045057F">
                    <w:pPr>
                      <w:rPr>
                        <w:rFonts w:ascii="Aptos" w:eastAsia="Aptos" w:hAnsi="Aptos" w:cs="Aptos"/>
                        <w:noProof/>
                        <w:color w:val="C00000"/>
                      </w:rPr>
                    </w:pPr>
                    <w:r w:rsidRPr="0045057F">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5C"/>
    <w:rsid w:val="0045057F"/>
    <w:rsid w:val="00D05800"/>
    <w:rsid w:val="00ED57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2FFD8"/>
  <w15:docId w15:val="{CE97497D-2967-434B-B1B8-73B35312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57F"/>
    <w:pPr>
      <w:tabs>
        <w:tab w:val="center" w:pos="4513"/>
        <w:tab w:val="right" w:pos="9026"/>
      </w:tabs>
    </w:pPr>
  </w:style>
  <w:style w:type="character" w:customStyle="1" w:styleId="HeaderChar">
    <w:name w:val="Header Char"/>
    <w:basedOn w:val="DefaultParagraphFont"/>
    <w:link w:val="Header"/>
    <w:uiPriority w:val="99"/>
    <w:rsid w:val="0045057F"/>
  </w:style>
  <w:style w:type="paragraph" w:styleId="Footer">
    <w:name w:val="footer"/>
    <w:basedOn w:val="Normal"/>
    <w:link w:val="FooterChar"/>
    <w:uiPriority w:val="99"/>
    <w:unhideWhenUsed/>
    <w:rsid w:val="0045057F"/>
    <w:pPr>
      <w:tabs>
        <w:tab w:val="center" w:pos="4513"/>
        <w:tab w:val="right" w:pos="9026"/>
      </w:tabs>
    </w:pPr>
  </w:style>
  <w:style w:type="character" w:customStyle="1" w:styleId="FooterChar">
    <w:name w:val="Footer Char"/>
    <w:basedOn w:val="DefaultParagraphFont"/>
    <w:link w:val="Footer"/>
    <w:uiPriority w:val="99"/>
    <w:rsid w:val="0045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18253?view_type=test"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bhp.com/sustainability/environment/regulatory-information"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wayne.laymyint1@bhp.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3794</Characters>
  <Application>Microsoft Office Word</Application>
  <DocSecurity>0</DocSecurity>
  <Lines>90</Lines>
  <Paragraphs>64</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2026-04-09T23:23:00Z</dcterms:created>
  <dcterms:modified xsi:type="dcterms:W3CDTF">2026-04-09T23:23:00Z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b9dd2a0,46ccf90d,677eb2f</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76b4a69e,57a17e18,3f1ee8e2</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