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 23 2026 17:06:57 GMT+1 100 (AEDT)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0" w:firstLine="0"/>
        <w:jc w:val="center"/>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39" w:after="348" w:line="251" w:lineRule="exact"/>
        <w:ind w:right="0" w:left="0" w:firstLine="0"/>
        <w:jc w:val="center"/>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AIP Plan reference code:</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The Trustee for Solar River I Project Trust</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Name: Solar River Project</w:t>
      </w:r>
    </w:p>
    <w:p>
      <w:pPr>
        <w:spacing w:before="159" w:after="0" w:line="182" w:lineRule="exact"/>
        <w:ind w:right="0"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Located between Burra and Morgan in South Australia</w:t>
      </w:r>
    </w:p>
    <w:p>
      <w:pPr>
        <w:spacing w:before="134" w:after="0" w:line="182" w:lineRule="exact"/>
        <w:ind w:right="0" w:left="504"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Type: Electricity facility</w:t>
      </w:r>
    </w:p>
    <w:p>
      <w:pPr>
        <w:spacing w:before="159"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0" w:after="0" w:line="182"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$500 million - $1 billion</w:t>
      </w:r>
    </w:p>
    <w:p>
      <w:pPr>
        <w:spacing w:before="131" w:after="0" w:line="219" w:lineRule="exact"/>
        <w:ind w:right="576"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Description: Located between Burra and Morgan in South Australia, the Solar River Project is a large-scale hybrid solar &amp; battery project that will be capable of exporting approximately 256MW into the South Australian network and 210MW of solar energy. Solar River’s DC-coupled battery configuration allows for expansion of battery capacity with no impacts on the performance of facility. The Project site and transmission easement traverses land north of the Goyder Highway at Maude and the Traditional Lands of the First Peoples of the River Murray and Mallee Region to the south of The Project. The Project will connect to ElectraNet's transmission network through the Bundey substation, requiring an approximate 25km, 275kV transmission line. The Project has been issued a Development Approval (inclusive of the main project site, 275kV transmission line easement and connection infrastructure) and has completed a grid connection agreement with ElectraNet. Now The Project is working through a minor variation to reflect the planned connection to Bundey substation. The Project construction is expected to commence in 2026 and is due to start supplying electricity to South Australian electricity users in 2028. The project is independently funded, without reliance on any government grants. However, this project has executed revenue underwriting agreement with the Commonwealth. The proposed financial close pathway includes an onshore EPC contractor as the principal contractor for the electrical and civil design and construction of energy storage facility and transmission line. And another onshore EPC contractor for solar facility design and construction. The Project currently is at the stage to finalise procurement contracts with the shortlisted OEM and construction parties. The project is anticipating finance close by the first half of 2026.</w:t>
      </w:r>
    </w:p>
    <w:p>
      <w:pPr>
        <w:spacing w:before="139" w:after="3706"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Jun 2028</w:t>
      </w:r>
    </w:p>
    <w:p>
      <w:pPr>
        <w:spacing w:before="139" w:after="3706" w:line="182"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12pt;height:50.7pt;z-index:-1;margin-left:134.4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 23 2026 17:06:57 GMT+1 100 (AEDT)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48.1pt;height:54.3pt;z-index:-1;margin-left:52.55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37.55pt;height:55.15pt;z-index:-1;margin-left:52.55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both"/>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Battery Energy Storage System including battery, PCS and control system supply </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6.05pt;z-index:-1;margin-left:225.85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3.35pt;z-index:-1;margin-left:225.85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05pt;height:33.05pt;z-index:-1;margin-left:316.8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03.45pt;height:33.05pt;z-index:-1;margin-left:397.2pt;margin-top:157pt;mso-wrap-distance-left:0pt;mso-wrap-distance-right:0pt;mso-position-horizontal-relative:page;mso-position-vertical-relative:page">
            <w10:wrap type="square" side="both"/>
            <v:fill opacity="1" o:opacity2="1" recolor="f" rotate="f" type="solid"/>
            <v:textbox inset="0pt, 0pt, 0pt, 0pt">
              <w:txbxContent>
                <w:p>
                  <w:pPr>
                    <w:spacing w:before="38" w:after="0" w:line="182"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Explanation for no</w:t>
                  </w:r>
                </w:p>
                <w:p>
                  <w:pPr>
                    <w:spacing w:before="1" w:after="0" w:line="213" w:lineRule="exact"/>
                    <w:ind w:right="0" w:left="0" w:firstLine="0"/>
                    <w:jc w:val="left"/>
                    <w:textAlignment w:val="baseline"/>
                    <w:rPr>
                      <w:rFonts w:ascii="Arial" w:hAnsi="Arial" w:eastAsia="Arial"/>
                      <w:b w:val="true"/>
                      <w:color w:val="000000"/>
                      <w:spacing w:val="-3"/>
                      <w:w w:val="100"/>
                      <w:sz w:val="16"/>
                      <w:vertAlign w:val="baseline"/>
                      <w:lang w:val="en-US"/>
                    </w:rPr>
                  </w:pPr>
                  <w:r>
                    <w:rPr>
                      <w:rFonts w:ascii="Arial" w:hAnsi="Arial" w:eastAsia="Arial"/>
                      <w:b w:val="true"/>
                      <w:color w:val="000000"/>
                      <w:spacing w:val="-3"/>
                      <w:w w:val="100"/>
                      <w:sz w:val="16"/>
                      <w:vertAlign w:val="baseline"/>
                      <w:lang w:val="en-US"/>
                    </w:rPr>
                    <w:t xml:space="preserve">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274.8pt;height:22.1pt;z-index:-1;margin-left:225.85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04"/>
                    </w:tabs>
                    <w:spacing w:before="140" w:after="110" w:line="182"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Yes	</w:t>
                  </w:r>
                  <w:r>
                    <w:rPr>
                      <w:rFonts w:ascii="Arial" w:hAnsi="Arial" w:eastAsia="Arial"/>
                      <w:color w:val="000000"/>
                      <w:spacing w:val="-5"/>
                      <w:w w:val="100"/>
                      <w:sz w:val="16"/>
                      <w:vertAlign w:val="baseline"/>
                      <w:lang w:val="en-US"/>
                    </w:rPr>
                    <w:t xml:space="preserve">Yes</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328pt;height:553.2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Photovoltaic System (PV)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lef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PV Trackers and Connections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left" w:leader="none" w:pos="576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PV Installation and Connection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BESS Installation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Civil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Balance of Plant Electrical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Transmission Line Design and Construction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Connection Point Substation Electrical Works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4032"/>
                      <w:tab w:val="left" w:leader="none" w:pos="5760"/>
                    </w:tabs>
                    <w:spacing w:before="38"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HV Transformers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4032"/>
                      <w:tab w:val="left" w:leader="none" w:pos="5760"/>
                    </w:tabs>
                    <w:spacing w:before="39"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Domestic Transportation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317"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20" w:after="0" w:line="221" w:lineRule="exact"/>
                    <w:ind w:right="0" w:left="648"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75"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Eric Sun</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Manager</w:t>
                  </w:r>
                </w:p>
                <w:p>
                  <w:pPr>
                    <w:spacing w:before="39" w:after="0" w:line="182" w:lineRule="exact"/>
                    <w:ind w:right="0" w:left="64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0413283521</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1">
                    <w:r>
                      <w:rPr>
                        <w:rFonts w:ascii="Arial" w:hAnsi="Arial" w:eastAsia="Arial"/>
                        <w:color w:val="0000FF"/>
                        <w:spacing w:val="0"/>
                        <w:w w:val="100"/>
                        <w:sz w:val="16"/>
                        <w:u w:val="single"/>
                        <w:vertAlign w:val="baseline"/>
                        <w:lang w:val="en-US"/>
                      </w:rPr>
                      <w:t xml:space="preserve">eric.sun@zenenergy.com.au</w:t>
                    </w:r>
                  </w:hyperlink>
                  <w:r>
                    <w:rPr>
                      <w:rFonts w:ascii="Arial" w:hAnsi="Arial" w:eastAsia="Arial"/>
                      <w:color w:val="000000"/>
                      <w:spacing w:val="0"/>
                      <w:w w:val="100"/>
                      <w:sz w:val="16"/>
                      <w:vertAlign w:val="baseline"/>
                      <w:lang w:val="en-US"/>
                    </w:rPr>
                    <w:t xml:space="preserve">
</w:t>
                  </w:r>
                </w:p>
                <w:p>
                  <w:pPr>
                    <w:spacing w:before="62" w:after="0" w:line="317" w:lineRule="exact"/>
                    <w:ind w:right="1512"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Project proponent website: </w:t>
                  </w:r>
                  <w:hyperlink r:id="dhId2">
                    <w:r>
                      <w:rPr>
                        <w:rFonts w:ascii="Arial" w:hAnsi="Arial" w:eastAsia="Arial"/>
                        <w:color w:val="0000FF"/>
                        <w:spacing w:val="0"/>
                        <w:w w:val="100"/>
                        <w:sz w:val="16"/>
                        <w:u w:val="single"/>
                        <w:vertAlign w:val="baseline"/>
                        <w:lang w:val="en-US"/>
                      </w:rPr>
                      <w:t xml:space="preserve">https://zebre.com.au/projects/solar-river-hybrid/</w:t>
                    </w:r>
                  </w:hyperlink>
                  <w:r>
                    <w:rPr>
                      <w:rFonts w:ascii="Arial" w:hAnsi="Arial" w:eastAsia="Arial"/>
                      <w:color w:val="000000"/>
                      <w:spacing w:val="0"/>
                      <w:w w:val="100"/>
                      <w:sz w:val="16"/>
                      <w:vertAlign w:val="baseline"/>
                      <w:lang w:val="en-US"/>
                    </w:rPr>
                    <w:t xml:space="preserve"> Project opportunities website:</w:t>
                  </w:r>
                </w:p>
                <w:p>
                  <w:pPr>
                    <w:spacing w:before="0" w:after="0" w:line="360" w:lineRule="exact"/>
                    <w:ind w:right="0" w:left="0" w:firstLine="648"/>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https://zebre.com.au/projects/solar-river-hybrid/</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648"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Issue media releases or ASX announcements on project developments and opportunities</w:t>
                  </w:r>
                </w:p>
                <w:p>
                  <w:pPr>
                    <w:spacing w:before="3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2323"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5.5pt;height:13.6pt;z-index:-1;margin-left:487.8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0"/>
                      <w:w w:val="100"/>
                      <w:sz w:val="22"/>
                      <w:vertAlign w:val="baseline"/>
                      <w:lang w:val="en-US"/>
                    </w:rPr>
                  </w:pPr>
                  <w:r>
                    <w:rPr>
                      <w:rFonts w:ascii="Times New Roman" w:hAnsi="Times New Roman" w:eastAsia="Times New Roman"/>
                      <w:color w:val="000000"/>
                      <w:spacing w:val="0"/>
                      <w:w w:val="100"/>
                      <w:sz w:val="22"/>
                      <w:vertAlign w:val="baseline"/>
                      <w:lang w:val="en-US"/>
                    </w:rPr>
                    <w:t xml:space="preserve">Page 2 of 5</w:t>
                  </w:r>
                </w:p>
              </w:txbxContent>
            </v:textbox>
          </v:shape>
        </w:pict>
      </w:r>
    </w:p>
    <w:p>
      <w:pPr>
        <w:sectPr>
          <w:type w:val="nextPage"/>
          <w:pgSz w:w="11904" w:h="16843" w:orient="portrait"/>
          <w:pgMar w:bottom="890" w:top="752" w:right="10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 23 2026 17:06:57 GMT+1 100 (AEDT) *****</w:t>
      </w:r>
    </w:p>
    <w:p>
      <w:pPr>
        <w:spacing w:before="3" w:after="818" w:line="183" w:lineRule="exact"/>
        <w:sectPr>
          <w:type w:val="nextPage"/>
          <w:pgSz w:w="11904" w:h="16843" w:orient="portrait"/>
          <w:pgMar w:bottom="867" w:top="1040" w:right="2976" w:left="2688"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Australian entities to undertake research and development and innovative activities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8" w:after="9706" w:line="220"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8" w:after="9706" w:line="220" w:lineRule="exact"/>
        <w:sectPr>
          <w:type w:val="continuous"/>
          <w:pgSz w:w="11904" w:h="16843" w:orient="portrait"/>
          <w:pgMar w:bottom="867" w:top="1040" w:right="1493" w:left="1051"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1" coordsize="21600,21600" o:spt="202" path="m,l,21600r21600,l21600,xe">
            <v:stroke joinstyle="miter"/>
            <v:path gradientshapeok="t" o:connecttype="rect"/>
          </v:shapetype>
          <v:shape id="_x0000_s10" type="#_x0000_t11"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 23 2026 17:06:57 GMT+1 100 (AEDT) *****</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2" w:lineRule="exact"/>
                    <w:ind w:right="0" w:left="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Nominated facility operator: </w:t>
                  </w:r>
                  <w:r>
                    <w:rPr>
                      <w:rFonts w:ascii="Arial" w:hAnsi="Arial" w:eastAsia="Arial"/>
                      <w:color w:val="000000"/>
                      <w:spacing w:val="-1"/>
                      <w:w w:val="100"/>
                      <w:sz w:val="16"/>
                      <w:vertAlign w:val="baseline"/>
                      <w:lang w:val="en-US"/>
                    </w:rPr>
                    <w:t xml:space="preserve">The Trustee for Solar River I Project Trust</w:t>
                  </w:r>
                </w:p>
                <w:p>
                  <w:pPr>
                    <w:spacing w:before="348"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Name: Solar River Project</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Located between Burra and Morgan in South Australia</w:t>
                  </w:r>
                </w:p>
                <w:p>
                  <w:pPr>
                    <w:spacing w:before="159" w:after="0" w:line="182" w:lineRule="exact"/>
                    <w:ind w:right="0" w:left="144"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Type: Electricity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438pt;height:31.45pt;z-index:-1;margin-left:52.3pt;margin-top:335.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184"/>
                    <w:gridCol w:w="1786"/>
                    <w:gridCol w:w="261"/>
                    <w:gridCol w:w="1673"/>
                    <w:gridCol w:w="2856"/>
                  </w:tblGrid>
                  <w:tr>
                    <w:trPr>
                      <w:trHeight w:val="629" w:hRule="exact"/>
                    </w:trPr>
                    <w:tc>
                      <w:tcPr>
                        <w:tcW w:w="2184" w:type="dxa"/>
                        <w:tcBorders>
                          <w:top w:val="none"/>
                          <w:left w:val="none"/>
                          <w:bottom w:val="none"/>
                          <w:right w:val="none"/>
                        </w:tcBorders>
                        <w:textDirection w:val="lrTb"/>
                        <w:vAlign w:val="center"/>
                      </w:tcPr>
                      <w:p>
                        <w:pPr>
                          <w:spacing w:before="259" w:after="187" w:line="182" w:lineRule="exact"/>
                          <w:ind w:right="451" w:left="0" w:firstLine="0"/>
                          <w:jc w:val="right"/>
                          <w:textAlignment w:val="baseline"/>
                          <w:rPr>
                            <w:rFonts w:ascii="Arial" w:hAnsi="Arial" w:eastAsia="Arial"/>
                            <w:b w:val="true"/>
                            <w:color w:val="000000"/>
                            <w:spacing w:val="0"/>
                            <w:w w:val="95"/>
                            <w:sz w:val="16"/>
                            <w:vertAlign w:val="baseline"/>
                            <w:lang w:val="en-US"/>
                          </w:rPr>
                        </w:pPr>
                        <w:r>
                          <w:rPr>
                            <w:rFonts w:ascii="Arial" w:hAnsi="Arial" w:eastAsia="Arial"/>
                            <w:b w:val="true"/>
                            <w:color w:val="000000"/>
                            <w:spacing w:val="0"/>
                            <w:w w:val="95"/>
                            <w:sz w:val="16"/>
                            <w:vertAlign w:val="baseline"/>
                            <w:lang w:val="en-US"/>
                          </w:rPr>
                          <w:t xml:space="preserve">Key goods and services</w:t>
                        </w:r>
                      </w:p>
                    </w:tc>
                    <w:tc>
                      <w:tcPr>
                        <w:tcW w:w="1786" w:type="dxa"/>
                        <w:tcBorders>
                          <w:top w:val="none"/>
                          <w:left w:val="none"/>
                          <w:bottom w:val="none"/>
                          <w:right w:val="none"/>
                        </w:tcBorders>
                        <w:textDirection w:val="lrTb"/>
                        <w:vAlign w:val="center"/>
                      </w:tcPr>
                      <w:p>
                        <w:pPr>
                          <w:spacing w:before="100" w:after="86" w:line="221" w:lineRule="exact"/>
                          <w:ind w:right="0" w:left="468" w:firstLine="0"/>
                          <w:jc w:val="left"/>
                          <w:textAlignment w:val="baseline"/>
                          <w:rPr>
                            <w:rFonts w:ascii="Arial" w:hAnsi="Arial" w:eastAsia="Arial"/>
                            <w:b w:val="true"/>
                            <w:color w:val="000000"/>
                            <w:spacing w:val="-7"/>
                            <w:w w:val="100"/>
                            <w:sz w:val="16"/>
                            <w:vertAlign w:val="baseline"/>
                            <w:lang w:val="en-US"/>
                          </w:rPr>
                        </w:pPr>
                        <w:r>
                          <w:rPr>
                            <w:rFonts w:ascii="Arial" w:hAnsi="Arial" w:eastAsia="Arial"/>
                            <w:b w:val="true"/>
                            <w:color w:val="000000"/>
                            <w:spacing w:val="-7"/>
                            <w:w w:val="100"/>
                            <w:sz w:val="16"/>
                            <w:vertAlign w:val="baseline"/>
                            <w:lang w:val="en-US"/>
                          </w:rPr>
                          <w:t xml:space="preserve">Opportunities for Australian entities</w:t>
                        </w:r>
                      </w:p>
                    </w:tc>
                    <w:tc>
                      <w:tcPr>
                        <w:tcW w:w="261" w:type="dxa"/>
                        <w:tcBorders>
                          <w:top w:val="none"/>
                          <w:left w:val="none"/>
                          <w:bottom w:val="none"/>
                          <w:right w:val="none"/>
                        </w:tcBorders>
                        <w:textDirection w:val="lrTb"/>
                        <w:vAlign w:val="top"/>
                      </w:tcPr>
                      <w:p>
                        <w:pPr>
                          <w:spacing w:before="336" w:after="163" w:line="129" w:lineRule="exact"/>
                          <w:ind w:right="0" w:left="0" w:firstLine="0"/>
                          <w:jc w:val="center"/>
                          <w:textAlignment w:val="baseline"/>
                          <w:rPr>
                            <w:rFonts w:ascii="Arial" w:hAnsi="Arial" w:eastAsia="Arial"/>
                            <w:b w:val="true"/>
                            <w:color w:val="000000"/>
                            <w:spacing w:val="0"/>
                            <w:w w:val="100"/>
                            <w:sz w:val="10"/>
                            <w:vertAlign w:val="baseline"/>
                            <w:lang w:val="en-US"/>
                          </w:rPr>
                        </w:pPr>
                        <w:r>
                          <w:rPr>
                            <w:rFonts w:ascii="Arial" w:hAnsi="Arial" w:eastAsia="Arial"/>
                            <w:b w:val="true"/>
                            <w:color w:val="000000"/>
                            <w:spacing w:val="0"/>
                            <w:w w:val="100"/>
                            <w:sz w:val="10"/>
                            <w:vertAlign w:val="baseline"/>
                            <w:lang w:val="en-US"/>
                          </w:rPr>
                          <w:t xml:space="preserve">*</w:t>
                        </w:r>
                      </w:p>
                    </w:tc>
                    <w:tc>
                      <w:tcPr>
                        <w:tcW w:w="1673" w:type="dxa"/>
                        <w:tcBorders>
                          <w:top w:val="none"/>
                          <w:left w:val="none"/>
                          <w:bottom w:val="none"/>
                          <w:right w:val="none"/>
                        </w:tcBorders>
                        <w:textDirection w:val="lrTb"/>
                        <w:vAlign w:val="top"/>
                      </w:tcPr>
                      <w:p>
                        <w:pPr>
                          <w:spacing w:before="0" w:after="0" w:line="209" w:lineRule="exact"/>
                          <w:ind w:right="0" w:left="0" w:firstLine="0"/>
                          <w:jc w:val="center"/>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Opportunities for</w:t>
                          <w:br/>
                        </w:r>
                        <w:r>
                          <w:rPr>
                            <w:rFonts w:ascii="Arial" w:hAnsi="Arial" w:eastAsia="Arial"/>
                            <w:b w:val="true"/>
                            <w:color w:val="000000"/>
                            <w:spacing w:val="0"/>
                            <w:w w:val="100"/>
                            <w:sz w:val="16"/>
                            <w:vertAlign w:val="baseline"/>
                            <w:lang w:val="en-US"/>
                          </w:rPr>
                          <w:t xml:space="preserve">non-Australian</w:t>
                          <w:br/>
                        </w:r>
                        <w:r>
                          <w:rPr>
                            <w:rFonts w:ascii="Arial" w:hAnsi="Arial" w:eastAsia="Arial"/>
                            <w:b w:val="true"/>
                            <w:color w:val="000000"/>
                            <w:spacing w:val="0"/>
                            <w:w w:val="100"/>
                            <w:sz w:val="16"/>
                            <w:vertAlign w:val="baseline"/>
                            <w:lang w:val="en-US"/>
                          </w:rPr>
                          <w:t xml:space="preserve">entities</w:t>
                        </w:r>
                      </w:p>
                    </w:tc>
                    <w:tc>
                      <w:tcPr>
                        <w:tcW w:w="2856" w:type="dxa"/>
                        <w:tcBorders>
                          <w:top w:val="none"/>
                          <w:left w:val="none"/>
                          <w:bottom w:val="none"/>
                          <w:right w:val="none"/>
                        </w:tcBorders>
                        <w:textDirection w:val="lrTb"/>
                        <w:vAlign w:val="center"/>
                      </w:tcPr>
                      <w:p>
                        <w:pPr>
                          <w:spacing w:before="100" w:after="86" w:line="221" w:lineRule="exact"/>
                          <w:ind w:right="0" w:left="144"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c>
                  </w:tr>
                </w:tbl>
              </w:txbxContent>
            </v:textbox>
          </v:shape>
        </w:pict>
      </w:r>
      <w:r>
        <w:pict>
          <v:shapetype id="_x0000_t15" coordsize="21600,21600" o:spt="202" path="m,l,21600r21600,l21600,xe">
            <v:stroke joinstyle="miter"/>
            <v:path gradientshapeok="t" o:connecttype="rect"/>
          </v:shapetype>
          <v:shape id="_x0000_s14" type="#_x0000_t15" filled="f" stroked="f" style="position:absolute;width:327pt;height:395.35pt;z-index:-1;margin-left:52.3pt;margin-top:37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168"/>
                      <w:tab w:val="left" w:leader="none" w:pos="4968"/>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BESS Maintenance and Service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168"/>
                      <w:tab w:val="left" w:leader="none" w:pos="4968"/>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PV Maintenance and Service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168"/>
                      <w:tab w:val="left" w:leader="none" w:pos="4968"/>
                    </w:tabs>
                    <w:spacing w:before="54" w:after="0" w:line="217"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Transmission Line Maintenance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and Service</w:t>
                  </w:r>
                </w:p>
                <w:p>
                  <w:pPr>
                    <w:spacing w:before="203" w:after="0" w:line="338" w:lineRule="exact"/>
                    <w:ind w:right="3024" w:left="0" w:firstLine="0"/>
                    <w:jc w:val="both"/>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Facility standards:</w:t>
                  </w:r>
                </w:p>
                <w:p>
                  <w:pPr>
                    <w:spacing w:before="10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Australian</w:t>
                    <w:br/>
                  </w:r>
                  <w:r>
                    <w:rPr>
                      <w:rFonts w:ascii="Arial" w:hAnsi="Arial" w:eastAsia="Arial"/>
                      <w:color w:val="000000"/>
                      <w:spacing w:val="0"/>
                      <w:w w:val="100"/>
                      <w:sz w:val="16"/>
                      <w:vertAlign w:val="baseline"/>
                      <w:lang w:val="en-US"/>
                    </w:rPr>
                    <w:t xml:space="preserve">International</w:t>
                  </w:r>
                </w:p>
                <w:p>
                  <w:pPr>
                    <w:spacing w:before="473" w:after="0" w:line="393"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54"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Eric Sun</w:t>
                  </w:r>
                </w:p>
                <w:p>
                  <w:pPr>
                    <w:spacing w:before="38"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Development Manager</w:t>
                  </w:r>
                </w:p>
                <w:p>
                  <w:pPr>
                    <w:spacing w:before="39" w:after="0" w:line="182" w:lineRule="exact"/>
                    <w:ind w:right="0" w:left="720"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Phone number </w:t>
                  </w:r>
                  <w:r>
                    <w:rPr>
                      <w:rFonts w:ascii="Arial" w:hAnsi="Arial" w:eastAsia="Arial"/>
                      <w:color w:val="000000"/>
                      <w:spacing w:val="-1"/>
                      <w:w w:val="100"/>
                      <w:sz w:val="16"/>
                      <w:vertAlign w:val="baseline"/>
                      <w:lang w:val="en-US"/>
                    </w:rPr>
                    <w:t xml:space="preserve">0413283521</w:t>
                  </w:r>
                </w:p>
                <w:p>
                  <w:pPr>
                    <w:spacing w:before="39" w:after="0" w:line="182" w:lineRule="exact"/>
                    <w:ind w:right="0" w:left="1368"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E-mail </w:t>
                  </w:r>
                  <w:hyperlink r:id="dhId4">
                    <w:r>
                      <w:rPr>
                        <w:rFonts w:ascii="Arial" w:hAnsi="Arial" w:eastAsia="Arial"/>
                        <w:color w:val="0000FF"/>
                        <w:spacing w:val="0"/>
                        <w:w w:val="100"/>
                        <w:sz w:val="16"/>
                        <w:u w:val="single"/>
                        <w:vertAlign w:val="baseline"/>
                        <w:lang w:val="en-US"/>
                      </w:rPr>
                      <w:t xml:space="preserve">eric.sun@zenenergy.com.au</w:t>
                    </w:r>
                  </w:hyperlink>
                  <w:r>
                    <w:rPr>
                      <w:rFonts w:ascii="Arial" w:hAnsi="Arial" w:eastAsia="Arial"/>
                      <w:color w:val="000000"/>
                      <w:spacing w:val="0"/>
                      <w:w w:val="100"/>
                      <w:sz w:val="16"/>
                      <w:vertAlign w:val="baseline"/>
                      <w:lang w:val="en-US"/>
                    </w:rPr>
                    <w:t xml:space="preserve">
</w:t>
                  </w:r>
                </w:p>
                <w:p>
                  <w:pPr>
                    <w:spacing w:before="197"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Facility operator website: </w:t>
                  </w:r>
                  <w:hyperlink r:id="dhId5">
                    <w:r>
                      <w:rPr>
                        <w:rFonts w:ascii="Arial" w:hAnsi="Arial" w:eastAsia="Arial"/>
                        <w:color w:val="0000FF"/>
                        <w:spacing w:val="-2"/>
                        <w:w w:val="100"/>
                        <w:sz w:val="16"/>
                        <w:u w:val="single"/>
                        <w:vertAlign w:val="baseline"/>
                        <w:lang w:val="en-US"/>
                      </w:rPr>
                      <w:t xml:space="preserve">https://zebre.com.au/projects/solar-river-hybrid/</w:t>
                    </w:r>
                  </w:hyperlink>
                  <w:r>
                    <w:rPr>
                      <w:rFonts w:ascii="Arial" w:hAnsi="Arial" w:eastAsia="Arial"/>
                      <w:color w:val="000000"/>
                      <w:spacing w:val="-2"/>
                      <w:w w:val="100"/>
                      <w:sz w:val="16"/>
                      <w:vertAlign w:val="baseline"/>
                      <w:lang w:val="en-US"/>
                    </w:rPr>
                    <w:t xml:space="preserve">
</w:t>
                  </w:r>
                </w:p>
                <w:p>
                  <w:pPr>
                    <w:spacing w:before="140"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opportunities website:</w:t>
                  </w:r>
                </w:p>
                <w:p>
                  <w:pPr>
                    <w:spacing w:before="159" w:after="0" w:line="182"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Supplier engagement and communication actions :</w:t>
                  </w:r>
                </w:p>
                <w:p>
                  <w:pPr>
                    <w:spacing w:before="1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9" w:after="0" w:line="182" w:lineRule="exact"/>
                    <w:ind w:right="0" w:left="576"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Issue media releases or ASX announcements on project developments and opportunities</w:t>
                  </w:r>
                </w:p>
                <w:p>
                  <w:pPr>
                    <w:spacing w:before="39" w:after="1224"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55pt;height:13.6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5"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by AIP Authority on Mon Mar 23 2026 17:06:57 GMT+1 100 (AEDT)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market intelligence to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Transfer new product and process technology to suppliers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25" w:after="0" w:line="216"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Support suppliers to register with global supplier databases</w:t>
        <w:br/>
      </w:r>
      <w:r>
        <w:rPr>
          <w:rFonts w:ascii="Arial" w:hAnsi="Arial" w:eastAsia="Arial"/>
          <w:color w:val="000000"/>
          <w:spacing w:val="0"/>
          <w:w w:val="100"/>
          <w:sz w:val="16"/>
          <w:vertAlign w:val="baseline"/>
          <w:lang w:val="en-US"/>
        </w:rPr>
        <w:t xml:space="preserve">Provide references for high performing suppliers</w:t>
      </w:r>
    </w:p>
    <w:p>
      <w:pPr>
        <w:spacing w:before="202"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948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9485" w:line="221" w:lineRule="exact"/>
        <w:sectPr>
          <w:type w:val="continuous"/>
          <w:pgSz w:w="11904" w:h="16843" w:orient="portrait"/>
          <w:pgMar w:bottom="867" w:top="1040" w:right="1505" w:left="1039"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eric.sun@zenenergy.com.au"/><Relationship Id="dhId2" Type="http://schemas.openxmlformats.org/officeDocument/2006/relationships/hyperlink" TargetMode="External" Target="https://zebre.com.au/projects/solar-river-hybrid/"/><Relationship Id="dhId3" Type="http://schemas.openxmlformats.org/officeDocument/2006/relationships/hyperlink" TargetMode="External" Target="https://zebre.com.au/projects/solar-river-hybrid/"/><Relationship Id="dhId4" Type="http://schemas.openxmlformats.org/officeDocument/2006/relationships/hyperlink" TargetMode="External" Target="mailto:eric.sun@zenenergy.com.au"/><Relationship Id="dhId5" Type="http://schemas.openxmlformats.org/officeDocument/2006/relationships/hyperlink" TargetMode="External" Target="https://zebre.com.au/projects/solar-river-hybrid/"/><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2026-03-24T00:12:57Z</dcterms:created>
  <dcterms:modified xsi:type="dcterms:W3CDTF">2026-03-24T00:12:57Z</dcterms:modified>
</cp:coreProperties>
</file>