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Mon Mar09 2026 13:21:57 GMT+1 100 (AEDT)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3312" w:firstLine="0"/>
        <w:jc w:val="left"/>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33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 </w:t>
      </w:r>
      <w:r>
        <w:rPr>
          <w:rFonts w:ascii="Arial" w:hAnsi="Arial" w:eastAsia="Arial"/>
          <w:color w:val="000000"/>
          <w:spacing w:val="-1"/>
          <w:w w:val="100"/>
          <w:sz w:val="26"/>
          <w:vertAlign w:val="baseline"/>
          <w:lang w:val="en-US"/>
        </w:rPr>
        <w:t xml:space="preserve">97C92SGH</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0"/>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0"/>
          <w:w w:val="100"/>
          <w:sz w:val="16"/>
          <w:vertAlign w:val="baseline"/>
          <w:lang w:val="en-US"/>
        </w:rPr>
        <w:t xml:space="preserve">Nominated project proponent: </w:t>
      </w:r>
      <w:r>
        <w:rPr>
          <w:rFonts w:ascii="Arial" w:hAnsi="Arial" w:eastAsia="Arial"/>
          <w:color w:val="000000"/>
          <w:spacing w:val="0"/>
          <w:w w:val="100"/>
          <w:sz w:val="16"/>
          <w:vertAlign w:val="baseline"/>
          <w:lang w:val="en-US"/>
        </w:rPr>
        <w:t xml:space="preserve">MAXWELL VENTURES (MANAGEMENT)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Name: Maxwell Underground Coal Mine</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Location: Muswellbrook</w:t>
      </w:r>
    </w:p>
    <w:p>
      <w:pPr>
        <w:spacing w:before="135"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Mine or quarry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Upgrade existing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32" w:after="0" w:line="219" w:lineRule="exact"/>
        <w:ind w:right="576"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The Project involves an underground mining operation producing high-quality coals over a period of approximately 26 years, extracting coal from four seams within the Wittingham Coal Measures. The mining methods will consist of first workings by continuous miner development units, and secondary extraction by Longwall operations predominately and some bord and pillar mining (Whynot seam only). The substantial existing Maxwell Infrastructure will be used for handling, processing and transportation of coal for the life of the Project. The Maxwell Infrastructure includes an existing coal handling and preparation plant (CHPP), train load-out facilities and other infrastructure and services (including water management infrastructure, administration buildings, workshops and services). Construction required The level of construction activity for the Project is reduced through the use of the substantial, existing Maxwell Infrastructure. Additional infrastructure, including upgrades to existing infrastructure required to support the Project will be progressively developed during the life of the Project. Key construction activities include: - extension and sealing of the existing site access road to provide access to the mine entry area, - development of the mine entry area for the Maxwell Underground &amp; its surface to seam access drifts; - establishment of infrastructure associated with mine ventilation and gas management, with surface facilities located at the M EA; - development of a transport &amp; services corridor from the M EA to Maxwell Infrastructure, including overhead power lines, water management infrastructure and an overland conveyor system; - construction of power transmission infrastructure including powerlines, a surface switchyard and distribution - upgrades to ROM and product coal stockpiling and handling facilities at the Maxwell Infrastructure - reclaim tunnel for the controlled transfer of coal from M EA to CHPP - rejects Co-disposal system for CHPP</w:t>
      </w:r>
    </w:p>
    <w:p>
      <w:pPr>
        <w:spacing w:before="141" w:after="3486"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Completion date: 31 Mar 2027</w:t>
      </w:r>
    </w:p>
    <w:p>
      <w:pPr>
        <w:spacing w:before="141" w:after="3486"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3</w:t>
      </w:r>
    </w:p>
    <w:p>
      <w:pPr>
        <w:sectPr>
          <w:type w:val="continuous"/>
          <w:pgSz w:w="11904" w:h="16843" w:orient="portrait"/>
          <w:pgMar w:bottom="867" w:top="1040" w:right="1018" w:left="9806"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Mon Mar09 2026 13:21:57 GMT+1 100 (AEDT)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650"/>
        <w:gridCol w:w="2487"/>
        <w:gridCol w:w="1672"/>
        <w:gridCol w:w="3271"/>
      </w:tblGrid>
      <w:tr>
        <w:trPr>
          <w:trHeight w:val="628" w:hRule="exact"/>
        </w:trPr>
        <w:tc>
          <w:tcPr>
            <w:tcW w:w="2650" w:type="dxa"/>
            <w:tcBorders>
              <w:top w:val="none"/>
              <w:left w:val="none"/>
              <w:bottom w:val="none"/>
              <w:right w:val="none"/>
            </w:tcBorders>
            <w:textDirection w:val="lrTb"/>
            <w:vAlign w:val="center"/>
          </w:tcPr>
          <w:p>
            <w:pPr>
              <w:spacing w:before="258" w:after="178" w:line="182" w:lineRule="exact"/>
              <w:ind w:right="890"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2487" w:type="dxa"/>
            <w:tcBorders>
              <w:top w:val="none"/>
              <w:left w:val="none"/>
              <w:bottom w:val="none"/>
              <w:right w:val="none"/>
            </w:tcBorders>
            <w:textDirection w:val="lrTb"/>
            <w:vAlign w:val="center"/>
          </w:tcPr>
          <w:p>
            <w:pPr>
              <w:spacing w:before="98" w:after="80" w:line="220" w:lineRule="exact"/>
              <w:ind w:right="0" w:left="90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2"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271" w:type="dxa"/>
            <w:tcBorders>
              <w:top w:val="none"/>
              <w:left w:val="none"/>
              <w:bottom w:val="none"/>
              <w:right w:val="none"/>
            </w:tcBorders>
            <w:textDirection w:val="lrTb"/>
            <w:vAlign w:val="top"/>
          </w:tcPr>
          <w:p>
            <w:pPr>
              <w:spacing w:before="38" w:after="0" w:line="182"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w:t>
            </w:r>
          </w:p>
          <w:p>
            <w:pPr>
              <w:spacing w:before="0" w:after="0" w:line="199"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Australian</w:t>
              <w:br/>
            </w:r>
            <w:r>
              <w:rPr>
                <w:rFonts w:ascii="Arial" w:hAnsi="Arial" w:eastAsia="Arial"/>
                <w:b w:val="true"/>
                <w:color w:val="000000"/>
                <w:spacing w:val="0"/>
                <w:w w:val="100"/>
                <w:sz w:val="16"/>
                <w:vertAlign w:val="baseline"/>
                <w:lang w:val="en-US"/>
              </w:rPr>
              <w:t xml:space="preserve">entities</w:t>
            </w:r>
          </w:p>
        </w:tc>
      </w:tr>
    </w:tbl>
    <w:p>
      <w:pPr>
        <w:spacing w:before="0" w:after="51" w:line="20" w:lineRule="exact"/>
      </w:pPr>
    </w:p>
    <w:p>
      <w:pPr>
        <w:tabs>
          <w:tab w:val="left" w:leader="none" w:pos="4104"/>
          <w:tab w:val="left" w:leader="none" w:pos="5904"/>
        </w:tabs>
        <w:spacing w:before="1"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Engineering &amp; Design Services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4104"/>
          <w:tab w:val="left" w:leader="none" w:pos="5904"/>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Coal Handing Process Plant Equipment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4104"/>
          <w:tab w:val="left" w:leader="none" w:pos="5904"/>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Mining Equipment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4104"/>
          <w:tab w:val="left" w:leader="none" w:pos="5904"/>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Civil &amp; Earthwork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4104"/>
          <w:tab w:val="left" w:leader="none" w:pos="5904"/>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Civil Engineering &amp; Design Services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4104"/>
          <w:tab w:val="left" w:leader="none" w:pos="5904"/>
        </w:tabs>
        <w:spacing w:before="53" w:after="0" w:line="219"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Mechanical &amp; Electrical Engineering &amp; Design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Services</w:t>
      </w:r>
    </w:p>
    <w:p>
      <w:pPr>
        <w:tabs>
          <w:tab w:val="left" w:leader="none" w:pos="4104"/>
          <w:tab w:val="left" w:leader="none" w:pos="590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Access roads, MEA earthworks, MEA dams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104"/>
          <w:tab w:val="left" w:leader="none" w:pos="5904"/>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Water and air services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4104"/>
          <w:tab w:val="left" w:leader="none" w:pos="5904"/>
        </w:tabs>
        <w:spacing w:before="48" w:after="0" w:line="218"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Portal entry excavation and related ground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services</w:t>
      </w:r>
    </w:p>
    <w:p>
      <w:pPr>
        <w:tabs>
          <w:tab w:val="left" w:leader="none" w:pos="4104"/>
          <w:tab w:val="left" w:leader="none" w:pos="5904"/>
        </w:tabs>
        <w:spacing w:before="28" w:after="0" w:line="20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Drift development (transport and conveyor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</w:t>
        <w:br/>
      </w:r>
      <w:r>
        <w:rPr>
          <w:rFonts w:ascii="Arial" w:hAnsi="Arial" w:eastAsia="Arial"/>
          <w:color w:val="000000"/>
          <w:spacing w:val="0"/>
          <w:w w:val="100"/>
          <w:sz w:val="16"/>
          <w:vertAlign w:val="baseline"/>
          <w:lang w:val="en-US"/>
        </w:rPr>
        <w:t xml:space="preserve">equipment)</w:t>
      </w:r>
    </w:p>
    <w:p>
      <w:pPr>
        <w:tabs>
          <w:tab w:val="left" w:leader="none" w:pos="4104"/>
          <w:tab w:val="left" w:leader="none" w:pos="5904"/>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Underground pumping &amp; pipe services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4104"/>
          <w:tab w:val="left" w:leader="none" w:pos="5904"/>
        </w:tabs>
        <w:spacing w:before="52" w:after="0" w:line="215"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Underground High Voltage, Communications &amp;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Lighting</w:t>
      </w:r>
    </w:p>
    <w:p>
      <w:pPr>
        <w:tabs>
          <w:tab w:val="left" w:leader="none" w:pos="4104"/>
          <w:tab w:val="left" w:leader="none" w:pos="5904"/>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Gas Management (equipment supply)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4104"/>
          <w:tab w:val="left" w:leader="none" w:pos="5904"/>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Safety Equipment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4104"/>
          <w:tab w:val="left" w:leader="none" w:pos="5904"/>
        </w:tabs>
        <w:spacing w:before="52" w:after="0" w:line="22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Ventilation Services (Ventilation shaft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underground equipment)</w:t>
      </w:r>
    </w:p>
    <w:p>
      <w:pPr>
        <w:tabs>
          <w:tab w:val="left" w:leader="none" w:pos="4104"/>
          <w:tab w:val="left" w:leader="none" w:pos="5904"/>
        </w:tabs>
        <w:spacing w:before="35" w:after="0" w:line="20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Underground Mine Equipment-Fans, CM 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</w:t>
        <w:br/>
      </w:r>
      <w:r>
        <w:rPr>
          <w:rFonts w:ascii="Arial" w:hAnsi="Arial" w:eastAsia="Arial"/>
          <w:color w:val="000000"/>
          <w:spacing w:val="0"/>
          <w:w w:val="100"/>
          <w:sz w:val="16"/>
          <w:vertAlign w:val="baseline"/>
          <w:lang w:val="en-US"/>
        </w:rPr>
        <w:t xml:space="preserve">Shuttle cars, Breaker Feeders, Electrical</w:t>
      </w:r>
    </w:p>
    <w:p>
      <w:pPr>
        <w:tabs>
          <w:tab w:val="left" w:leader="none" w:pos="4104"/>
          <w:tab w:val="left" w:leader="none" w:pos="5904"/>
        </w:tabs>
        <w:spacing w:before="38"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Longwall Equipment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4104"/>
          <w:tab w:val="left" w:leader="none" w:pos="5904"/>
        </w:tabs>
        <w:spacing w:before="54" w:after="0" w:line="218"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Coal Clearance Equipment - Drift, Trunk &amp;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Panel Conveyors</w:t>
      </w:r>
    </w:p>
    <w:p>
      <w:pPr>
        <w:tabs>
          <w:tab w:val="left" w:leader="none" w:pos="4104"/>
          <w:tab w:val="left" w:leader="none" w:pos="5904"/>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Longwall Conveyors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4104"/>
          <w:tab w:val="left" w:leader="none" w:pos="5904"/>
        </w:tabs>
        <w:spacing w:before="53" w:after="0" w:line="214"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UG mobile fleet- PTs, graders, LHD's, QDS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attachments)</w:t>
      </w:r>
    </w:p>
    <w:p>
      <w:pPr>
        <w:tabs>
          <w:tab w:val="left" w:leader="none" w:pos="4104"/>
          <w:tab w:val="left" w:leader="none" w:pos="5904"/>
        </w:tabs>
        <w:spacing w:before="25"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Coal handling equipment - reclaim &amp; overland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</w:t>
        <w:br/>
      </w:r>
      <w:r>
        <w:rPr>
          <w:rFonts w:ascii="Arial" w:hAnsi="Arial" w:eastAsia="Arial"/>
          <w:color w:val="000000"/>
          <w:spacing w:val="0"/>
          <w:w w:val="100"/>
          <w:sz w:val="16"/>
          <w:vertAlign w:val="baseline"/>
          <w:lang w:val="en-US"/>
        </w:rPr>
        <w:t xml:space="preserve">conveyors, sizing station</w:t>
      </w:r>
    </w:p>
    <w:p>
      <w:pPr>
        <w:tabs>
          <w:tab w:val="left" w:leader="none" w:pos="4104"/>
          <w:tab w:val="left" w:leader="none" w:pos="5904"/>
        </w:tabs>
        <w:spacing w:before="28" w:after="0" w:line="20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Power supply - 33kV Supply &amp; MEA Switchyard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</w:t>
        <w:br/>
      </w:r>
      <w:r>
        <w:rPr>
          <w:rFonts w:ascii="Arial" w:hAnsi="Arial" w:eastAsia="Arial"/>
          <w:color w:val="000000"/>
          <w:spacing w:val="0"/>
          <w:w w:val="100"/>
          <w:sz w:val="16"/>
          <w:vertAlign w:val="baseline"/>
          <w:lang w:val="en-US"/>
        </w:rPr>
        <w:t xml:space="preserve">&amp; 11kV Reticulation</w:t>
      </w:r>
    </w:p>
    <w:p>
      <w:pPr>
        <w:tabs>
          <w:tab w:val="left" w:leader="none" w:pos="4104"/>
          <w:tab w:val="left" w:leader="none" w:pos="5904"/>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Mine Surface Ventilation - Main Fans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4104"/>
          <w:tab w:val="left" w:leader="none" w:pos="5904"/>
        </w:tabs>
        <w:spacing w:before="51" w:after="0" w:line="215"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Rail upgrades &amp; repairs - TLO upgrade,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trackwork etc</w:t>
      </w:r>
    </w:p>
    <w:p>
      <w:pPr>
        <w:tabs>
          <w:tab w:val="left" w:leader="none" w:pos="4104"/>
          <w:tab w:val="left" w:leader="none" w:pos="5904"/>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Reclaim tunnel works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4104"/>
          <w:tab w:val="left" w:leader="none" w:pos="5904"/>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MIA Raw Coal Handling Conveyor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317" w:after="0" w:line="86"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0" w:after="0"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1949" w:after="0" w:line="249" w:lineRule="exact"/>
        <w:ind w:right="144"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3</w:t>
      </w:r>
    </w:p>
    <w:p>
      <w:pPr>
        <w:sectPr>
          <w:type w:val="nextPage"/>
          <w:pgSz w:w="11904" w:h="16843" w:orient="portrait"/>
          <w:pgMar w:bottom="867" w:top="1040" w:right="80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Mar09 2026 13:21:57 GMT+1 100 (AEDT) *****</w:t>
      </w:r>
    </w:p>
    <w:p>
      <w:pPr>
        <w:spacing w:before="3" w:after="818" w:line="183" w:lineRule="exact"/>
        <w:sectPr>
          <w:type w:val="nextPage"/>
          <w:pgSz w:w="11904" w:h="16843" w:orient="portrait"/>
          <w:pgMar w:bottom="867" w:top="1040" w:right="2966" w:left="2678"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Mark Fitzgerald</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Supply Superintendent</w:t>
      </w:r>
    </w:p>
    <w:p>
      <w:pPr>
        <w:spacing w:before="34"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0265420200</w:t>
      </w:r>
    </w:p>
    <w:p>
      <w:pPr>
        <w:spacing w:before="38"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mfitzgerald@malabarresources.com.au</w:t>
        </w:r>
      </w:hyperlink>
      <w:r>
        <w:rPr>
          <w:rFonts w:ascii="Arial" w:hAnsi="Arial" w:eastAsia="Arial"/>
          <w:color w:val="000000"/>
          <w:spacing w:val="0"/>
          <w:w w:val="100"/>
          <w:sz w:val="16"/>
          <w:vertAlign w:val="baseline"/>
          <w:lang w:val="en-US"/>
        </w:rPr>
        <w:t xml:space="preserve">
</w:t>
      </w:r>
    </w:p>
    <w:p>
      <w:pPr>
        <w:spacing w:before="19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 website: </w:t>
      </w:r>
      <w:hyperlink r:id="dhId2">
        <w:r>
          <w:rPr>
            <w:rFonts w:ascii="Arial" w:hAnsi="Arial" w:eastAsia="Arial"/>
            <w:color w:val="0000FF"/>
            <w:spacing w:val="-3"/>
            <w:w w:val="100"/>
            <w:sz w:val="16"/>
            <w:u w:val="single"/>
            <w:vertAlign w:val="baseline"/>
            <w:lang w:val="en-US"/>
          </w:rPr>
          <w:t xml:space="preserve">https://malabarresources.com.au/maxwell-underground-mine/</w:t>
        </w:r>
      </w:hyperlink>
      <w:r>
        <w:rPr>
          <w:rFonts w:ascii="Arial" w:hAnsi="Arial" w:eastAsia="Arial"/>
          <w:color w:val="000000"/>
          <w:spacing w:val="-3"/>
          <w:w w:val="100"/>
          <w:sz w:val="16"/>
          <w:vertAlign w:val="baseline"/>
          <w:lang w:val="en-US"/>
        </w:rPr>
        <w:t xml:space="preserve">
</w:t>
      </w:r>
    </w:p>
    <w:p>
      <w:pPr>
        <w:spacing w:before="1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opportunities website:</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hyperlink r:id="dhId3">
        <w:r>
          <w:rPr>
            <w:rFonts w:ascii="Arial" w:hAnsi="Arial" w:eastAsia="Arial"/>
            <w:color w:val="0000FF"/>
            <w:spacing w:val="-3"/>
            <w:w w:val="100"/>
            <w:sz w:val="16"/>
            <w:u w:val="single"/>
            <w:vertAlign w:val="baseline"/>
            <w:lang w:val="en-US"/>
          </w:rPr>
          <w:t xml:space="preserve">https://portal.tenderlink.com/malabar/</w:t>
        </w:r>
      </w:hyperlink>
      <w:r>
        <w:rPr>
          <w:rFonts w:ascii="Arial" w:hAnsi="Arial" w:eastAsia="Arial"/>
          <w:color w:val="000000"/>
          <w:spacing w:val="-3"/>
          <w:w w:val="100"/>
          <w:sz w:val="16"/>
          <w:vertAlign w:val="baseline"/>
          <w:lang w:val="en-US"/>
        </w:rPr>
        <w:t xml:space="preserve">
</w:t>
      </w:r>
    </w:p>
    <w:p>
      <w:pPr>
        <w:spacing w:before="197"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4"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market intelligence to suppliers</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38" w:after="0" w:line="182" w:lineRule="exact"/>
        <w:ind w:right="0" w:left="576"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Support suppliers with Maxwell / Supplier alliances</w:t>
      </w:r>
    </w:p>
    <w:p>
      <w:pPr>
        <w:spacing w:before="19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100" w:after="4584" w:line="221"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0" w:after="4584" w:line="221" w:lineRule="exact"/>
        <w:sectPr>
          <w:type w:val="continuous"/>
          <w:pgSz w:w="11904" w:h="16843" w:orient="portrait"/>
          <w:pgMar w:bottom="867" w:top="1040" w:right="1498" w:left="1046"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3</w:t>
      </w:r>
    </w:p>
    <w:sectPr>
      <w:type w:val="continuous"/>
      <w:pgSz w:w="11904" w:h="16843" w:orient="portrait"/>
      <w:pgMar w:bottom="867" w:top="1040" w:right="1018" w:left="9806"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mfitzgerald@malabarresources.com.au"/><Relationship Id="dhId2" Type="http://schemas.openxmlformats.org/officeDocument/2006/relationships/hyperlink" TargetMode="External" Target="https://malabarresources.com.au/maxwell-underground-mine/"/><Relationship Id="dhId3" Type="http://schemas.openxmlformats.org/officeDocument/2006/relationships/hyperlink" TargetMode="External" Target="https://portal.tenderlink.com/malabar/"/><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2026-03-10T03:23:26Z</dcterms:created>
  <dcterms:modified xsi:type="dcterms:W3CDTF">2026-03-10T03:23:26Z</dcterms:modified>
</cp:coreProperties>
</file>