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B587" w14:textId="77777777" w:rsidR="00606080" w:rsidRDefault="00000000">
      <w:pPr>
        <w:textAlignment w:val="baseline"/>
        <w:rPr>
          <w:rFonts w:eastAsia="Times New Roman"/>
          <w:color w:val="000000"/>
          <w:sz w:val="24"/>
        </w:rPr>
      </w:pPr>
      <w:r>
        <w:pict w14:anchorId="3BA0B5A6">
          <v:shapetype id="_x0000_t202" coordsize="21600,21600" o:spt="202" path="m,l,21600r21600,l21600,xe">
            <v:stroke joinstyle="miter"/>
            <v:path gradientshapeok="t" o:connecttype="rect"/>
          </v:shapetype>
          <v:shape id="_x0000_s0" o:spid="_x0000_s1044" type="#_x0000_t202" style="position:absolute;margin-left:52.3pt;margin-top:658.1pt;width:451pt;height:34pt;z-index:-251665408;mso-wrap-distance-left:0;mso-wrap-distance-right:0;mso-position-horizontal-relative:page;mso-position-vertical-relative:page" filled="f" stroked="f">
            <v:textbox inset="0,0,0,0">
              <w:txbxContent>
                <w:p w14:paraId="3BA0B5F9" w14:textId="77777777" w:rsidR="00910B6A" w:rsidRDefault="00910B6A"/>
              </w:txbxContent>
            </v:textbox>
            <w10:wrap type="square" anchorx="page" anchory="page"/>
          </v:shape>
        </w:pict>
      </w:r>
      <w:r>
        <w:pict w14:anchorId="3BA0B5A7">
          <v:shape id="_x0000_s1" type="#_x0000_t202" style="position:absolute;margin-left:27.85pt;margin-top:52pt;width:525pt;height:72.1pt;z-index:251648000;mso-wrap-distance-left:0;mso-wrap-distance-right:0;mso-position-horizontal-relative:page;mso-position-vertical-relative:page" filled="f" stroked="f">
            <v:textbox inset="0,0,0,0">
              <w:txbxContent>
                <w:p w14:paraId="3BA0B5BC" w14:textId="77777777" w:rsidR="00606080" w:rsidRDefault="00910B6A">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Feb 06 2026 13:26:57 GMT+1 100 (AEDT) *****</w:t>
                  </w:r>
                </w:p>
              </w:txbxContent>
            </v:textbox>
            <w10:wrap anchorx="page" anchory="page"/>
          </v:shape>
        </w:pict>
      </w:r>
      <w:r>
        <w:pict w14:anchorId="3BA0B5A8">
          <v:shape id="_x0000_s1043" type="#_x0000_t202" style="position:absolute;margin-left:27.85pt;margin-top:124.1pt;width:525pt;height:24.65pt;z-index:-251664384;mso-wrap-distance-left:0;mso-wrap-distance-right:0;mso-position-horizontal-relative:page;mso-position-vertical-relative:page" filled="f" stroked="f">
            <v:textbox inset="0,0,0,0">
              <w:txbxContent>
                <w:p w14:paraId="3BA0B5BD" w14:textId="77777777" w:rsidR="00606080" w:rsidRDefault="00910B6A">
                  <w:pPr>
                    <w:spacing w:after="162"/>
                    <w:ind w:left="3629" w:right="4025"/>
                    <w:textAlignment w:val="baseline"/>
                  </w:pPr>
                  <w:r>
                    <w:rPr>
                      <w:noProof/>
                    </w:rPr>
                    <w:drawing>
                      <wp:inline distT="0" distB="0" distL="0" distR="0" wp14:anchorId="3BA0B5F9" wp14:editId="3BA0B5F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3BA0B5A9">
          <v:shape id="_x0000_s1042" type="#_x0000_t202" style="position:absolute;margin-left:27.85pt;margin-top:148.75pt;width:525pt;height:62.15pt;z-index:-251663360;mso-wrap-distance-left:0;mso-wrap-distance-right:0;mso-position-horizontal-relative:page;mso-position-vertical-relative:page" filled="f" stroked="f">
            <v:textbox inset="0,0,0,0">
              <w:txbxContent>
                <w:p w14:paraId="3BA0B5BE" w14:textId="77777777" w:rsidR="00606080" w:rsidRDefault="00910B6A">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BA0B5BF" w14:textId="77777777" w:rsidR="00606080" w:rsidRDefault="00910B6A">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3BA0B5AA">
          <v:shape id="_x0000_s1041" type="#_x0000_t202" style="position:absolute;margin-left:27.85pt;margin-top:210.9pt;width:525pt;height:47.9pt;z-index:-251662336;mso-wrap-distance-left:0;mso-wrap-distance-right:0;mso-position-horizontal-relative:page;mso-position-vertical-relative:page" filled="f" stroked="f">
            <v:textbox inset="0,0,0,0">
              <w:txbxContent>
                <w:p w14:paraId="3BA0B5C0" w14:textId="77777777" w:rsidR="00606080" w:rsidRDefault="00910B6A">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BA0B5AB">
          <v:shape id="_x0000_s1040" type="#_x0000_t202" style="position:absolute;margin-left:27.85pt;margin-top:258.8pt;width:525pt;height:399.3pt;z-index:251649024;mso-wrap-distance-left:0;mso-wrap-distance-right:0;mso-position-horizontal-relative:page;mso-position-vertical-relative:page" filled="f" stroked="f">
            <v:textbox inset="0,0,0,0">
              <w:txbxContent>
                <w:p w14:paraId="3BA0B5C1" w14:textId="77777777" w:rsidR="00606080" w:rsidRDefault="00910B6A">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SHELL AUSTRALIA PTY LTD</w:t>
                  </w:r>
                </w:p>
                <w:p w14:paraId="3BA0B5C2" w14:textId="77777777" w:rsidR="00606080" w:rsidRDefault="00910B6A">
                  <w:pPr>
                    <w:spacing w:before="159" w:line="182"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3BA0B5C3" w14:textId="77777777" w:rsidR="00606080" w:rsidRDefault="00910B6A">
                  <w:pPr>
                    <w:spacing w:before="140" w:line="181" w:lineRule="exact"/>
                    <w:ind w:left="936"/>
                    <w:textAlignment w:val="baseline"/>
                    <w:rPr>
                      <w:rFonts w:ascii="Arial" w:eastAsia="Arial" w:hAnsi="Arial"/>
                      <w:color w:val="000000"/>
                      <w:spacing w:val="-3"/>
                      <w:sz w:val="16"/>
                    </w:rPr>
                  </w:pPr>
                  <w:r>
                    <w:rPr>
                      <w:rFonts w:ascii="Arial" w:eastAsia="Arial" w:hAnsi="Arial"/>
                      <w:color w:val="000000"/>
                      <w:spacing w:val="-3"/>
                      <w:sz w:val="16"/>
                    </w:rPr>
                    <w:t>SGH ENERGY PTY LIMITED</w:t>
                  </w:r>
                </w:p>
                <w:p w14:paraId="3BA0B5C4" w14:textId="77777777" w:rsidR="00606080" w:rsidRDefault="00910B6A">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BA0B5C5" w14:textId="77777777" w:rsidR="00606080" w:rsidRDefault="00910B6A">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Crux</w:t>
                  </w:r>
                </w:p>
                <w:p w14:paraId="3BA0B5C6" w14:textId="77777777" w:rsidR="00606080" w:rsidRDefault="00910B6A">
                  <w:pPr>
                    <w:spacing w:before="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Offshore Western Australia</w:t>
                  </w:r>
                </w:p>
                <w:p w14:paraId="3BA0B5C7" w14:textId="77777777" w:rsidR="00606080" w:rsidRDefault="00910B6A">
                  <w:pPr>
                    <w:spacing w:before="14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3BA0B5C8" w14:textId="77777777" w:rsidR="00606080" w:rsidRDefault="00910B6A">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BA0B5C9" w14:textId="77777777" w:rsidR="00606080" w:rsidRDefault="00910B6A">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BA0B5CA" w14:textId="77777777" w:rsidR="00606080" w:rsidRDefault="00910B6A">
                  <w:pPr>
                    <w:spacing w:before="119"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Shell Australia Pty Ltd (Shell), together with the Joint Venture Participant Seven Group Holdings (SGH) Energy (15.5%), is progressing planning for the development of the Crux gas field, located approximately 160 km north-east of the Prelude field in the northern Browse Basin, offshore the Kimberley coast, Western Australia. The Crux project forms an important part of Shell Australia’s gas portfolio, identified as the primary source of backfill gas supply to the Prelude FLNG facility. The concept comprises: • a Not Normally Manned (NNM) platform, which includes processing facilities with associated utility systems • 5 production wells • a 26-inch multi-phase export pipeline, approximately 165 km long, which ties the platform back to the Prelude FLNG facility• A 16” flexible riser which connects the export pipeline to the Prelude FLNG facility• Remote operations, the Crux platform will be connected to and remotely operated from the Prelude FLNG facility via a fibre optic cable. Crux is an offshore project requiring government approval. Its Offshore Project Proposal (OPP) was accepted by NOPSEMA in August 2020, and the development received FID approval in May 2022. The project has a planned 20year life. It will be executed under an Engineering, Procurement, Construction and Installation (EPCI) contract, with Shell Australia as the main procurement entity. The EPCI contractor will develop and procure the individual work packages needed to deliver the full scope.</w:t>
                  </w:r>
                </w:p>
                <w:p w14:paraId="3BA0B5CB" w14:textId="77777777" w:rsidR="00606080" w:rsidRDefault="00910B6A">
                  <w:pPr>
                    <w:spacing w:before="136"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Mar 2027</w:t>
                  </w:r>
                </w:p>
                <w:p w14:paraId="3BA0B5CC" w14:textId="77777777" w:rsidR="00606080" w:rsidRDefault="00910B6A">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3BA0B5CD" w14:textId="77777777" w:rsidR="00606080" w:rsidRDefault="00910B6A">
                  <w:pPr>
                    <w:spacing w:before="354" w:after="159"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3BA0B5AC">
          <v:shape id="_x0000_s1039" type="#_x0000_t202" style="position:absolute;margin-left:52.3pt;margin-top:658.1pt;width:55.45pt;height:33.1pt;z-index:-251661312;mso-wrap-distance-left:0;mso-wrap-distance-right:0;mso-position-horizontal-relative:page;mso-position-vertical-relative:page" filled="f" stroked="f">
            <v:textbox inset="0,0,0,0">
              <w:txbxContent>
                <w:p w14:paraId="3BA0B5CE" w14:textId="77777777" w:rsidR="00606080" w:rsidRDefault="00910B6A">
                  <w:pPr>
                    <w:spacing w:before="100" w:after="120" w:line="221" w:lineRule="exact"/>
                    <w:textAlignment w:val="baseline"/>
                    <w:rPr>
                      <w:rFonts w:ascii="Arial" w:eastAsia="Arial" w:hAnsi="Arial"/>
                      <w:b/>
                      <w:color w:val="000000"/>
                      <w:spacing w:val="-7"/>
                      <w:sz w:val="16"/>
                    </w:rPr>
                  </w:pPr>
                  <w:r>
                    <w:rPr>
                      <w:rFonts w:ascii="Arial" w:eastAsia="Arial" w:hAnsi="Arial"/>
                      <w:b/>
                      <w:color w:val="000000"/>
                      <w:spacing w:val="-7"/>
                      <w:sz w:val="16"/>
                    </w:rPr>
                    <w:t>Key goods and services</w:t>
                  </w:r>
                </w:p>
              </w:txbxContent>
            </v:textbox>
            <w10:wrap type="square" anchorx="page" anchory="page"/>
          </v:shape>
        </w:pict>
      </w:r>
      <w:r>
        <w:pict w14:anchorId="3BA0B5AD">
          <v:shape id="_x0000_s1038" type="#_x0000_t202" style="position:absolute;margin-left:127.2pt;margin-top:658.1pt;width:70.85pt;height:16.05pt;z-index:-251660288;mso-wrap-distance-left:0;mso-wrap-distance-right:0;mso-position-horizontal-relative:page;mso-position-vertical-relative:page" filled="f" stroked="f">
            <v:textbox inset="0,0,0,0">
              <w:txbxContent>
                <w:p w14:paraId="3BA0B5CF" w14:textId="77777777" w:rsidR="00606080" w:rsidRDefault="00910B6A">
                  <w:pPr>
                    <w:spacing w:before="139" w:line="177"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3BA0B5AE">
          <v:shape id="_x0000_s1037" type="#_x0000_t202" style="position:absolute;margin-left:127.2pt;margin-top:674.15pt;width:70.85pt;height:17.05pt;z-index:-251659264;mso-wrap-distance-left:0;mso-wrap-distance-right:0;mso-position-horizontal-relative:page;mso-position-vertical-relative:page" filled="f" stroked="f">
            <v:textbox inset="0,0,0,0">
              <w:txbxContent>
                <w:p w14:paraId="3BA0B5D0" w14:textId="77777777" w:rsidR="00606080" w:rsidRDefault="00910B6A">
                  <w:pPr>
                    <w:spacing w:before="34" w:after="124"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3BA0B5AF">
          <v:shape id="_x0000_s1036" type="#_x0000_t202" style="position:absolute;margin-left:218.65pt;margin-top:658.1pt;width:65.25pt;height:33.1pt;z-index:-251658240;mso-wrap-distance-left:0;mso-wrap-distance-right:0;mso-position-horizontal-relative:page;mso-position-vertical-relative:page" filled="f" stroked="f">
            <v:textbox inset="0,0,0,0">
              <w:txbxContent>
                <w:p w14:paraId="3BA0B5D1" w14:textId="77777777" w:rsidR="00606080" w:rsidRDefault="00910B6A">
                  <w:pPr>
                    <w:spacing w:line="220"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3BA0B5B0">
          <v:shape id="_x0000_s1035" type="#_x0000_t202" style="position:absolute;margin-left:299.75pt;margin-top:658.1pt;width:203.55pt;height:33.1pt;z-index:-251657216;mso-wrap-distance-left:0;mso-wrap-distance-right:0;mso-position-horizontal-relative:page;mso-position-vertical-relative:page" filled="f" stroked="f">
            <v:textbox inset="0,0,0,0">
              <w:txbxContent>
                <w:p w14:paraId="3BA0B5D2" w14:textId="77777777" w:rsidR="00606080" w:rsidRDefault="00910B6A">
                  <w:pPr>
                    <w:spacing w:before="259" w:after="221" w:line="182" w:lineRule="exact"/>
                    <w:textAlignment w:val="baseline"/>
                    <w:rPr>
                      <w:rFonts w:ascii="Arial" w:eastAsia="Arial" w:hAnsi="Arial"/>
                      <w:b/>
                      <w:color w:val="000000"/>
                      <w:spacing w:val="-4"/>
                      <w:sz w:val="16"/>
                    </w:rPr>
                  </w:pPr>
                  <w:r>
                    <w:rPr>
                      <w:rFonts w:ascii="Arial" w:eastAsia="Arial" w:hAnsi="Arial"/>
                      <w:b/>
                      <w:color w:val="000000"/>
                      <w:spacing w:val="-4"/>
                      <w:sz w:val="16"/>
                    </w:rPr>
                    <w:t>Explanation for no opportunities for Australian entities</w:t>
                  </w:r>
                </w:p>
              </w:txbxContent>
            </v:textbox>
            <w10:wrap type="square" anchorx="page" anchory="page"/>
          </v:shape>
        </w:pict>
      </w:r>
      <w:r>
        <w:pict w14:anchorId="3BA0B5B1">
          <v:shape id="_x0000_s1034" type="#_x0000_t202" style="position:absolute;margin-left:52.3pt;margin-top:692.85pt;width:492pt;height:72.55pt;z-index:2516500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47"/>
                    <w:gridCol w:w="2870"/>
                    <w:gridCol w:w="5323"/>
                  </w:tblGrid>
                  <w:tr w:rsidR="00606080" w14:paraId="3BA0B5D6" w14:textId="77777777">
                    <w:trPr>
                      <w:trHeight w:hRule="exact" w:val="1091"/>
                    </w:trPr>
                    <w:tc>
                      <w:tcPr>
                        <w:tcW w:w="1647" w:type="dxa"/>
                      </w:tcPr>
                      <w:p w14:paraId="3BA0B5D3" w14:textId="77777777" w:rsidR="00606080" w:rsidRDefault="00910B6A">
                        <w:pPr>
                          <w:spacing w:before="61" w:after="145" w:line="221" w:lineRule="exact"/>
                          <w:textAlignment w:val="baseline"/>
                          <w:rPr>
                            <w:rFonts w:ascii="Arial" w:eastAsia="Arial" w:hAnsi="Arial"/>
                            <w:color w:val="000000"/>
                            <w:sz w:val="16"/>
                          </w:rPr>
                        </w:pPr>
                        <w:r>
                          <w:rPr>
                            <w:rFonts w:ascii="Arial" w:eastAsia="Arial" w:hAnsi="Arial"/>
                            <w:color w:val="000000"/>
                            <w:sz w:val="16"/>
                          </w:rPr>
                          <w:t xml:space="preserve">Not Normally </w:t>
                        </w:r>
                        <w:r>
                          <w:rPr>
                            <w:rFonts w:ascii="Arial" w:eastAsia="Arial" w:hAnsi="Arial"/>
                            <w:color w:val="000000"/>
                            <w:sz w:val="16"/>
                          </w:rPr>
                          <w:br/>
                          <w:t xml:space="preserve">Manned Platform, </w:t>
                        </w:r>
                        <w:r>
                          <w:rPr>
                            <w:rFonts w:ascii="Arial" w:eastAsia="Arial" w:hAnsi="Arial"/>
                            <w:color w:val="000000"/>
                            <w:sz w:val="16"/>
                          </w:rPr>
                          <w:br/>
                          <w:t xml:space="preserve">Topsides - </w:t>
                        </w:r>
                        <w:r>
                          <w:rPr>
                            <w:rFonts w:ascii="Arial" w:eastAsia="Arial" w:hAnsi="Arial"/>
                            <w:color w:val="000000"/>
                            <w:sz w:val="16"/>
                          </w:rPr>
                          <w:br/>
                          <w:t>fabrication</w:t>
                        </w:r>
                      </w:p>
                    </w:tc>
                    <w:tc>
                      <w:tcPr>
                        <w:tcW w:w="2870" w:type="dxa"/>
                        <w:vAlign w:val="center"/>
                      </w:tcPr>
                      <w:p w14:paraId="3BA0B5D4" w14:textId="77777777" w:rsidR="00606080" w:rsidRDefault="00910B6A">
                        <w:pPr>
                          <w:tabs>
                            <w:tab w:val="left" w:pos="2232"/>
                          </w:tabs>
                          <w:spacing w:before="442" w:after="467" w:line="181" w:lineRule="exact"/>
                          <w:jc w:val="center"/>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c>
                    <w:tc>
                      <w:tcPr>
                        <w:tcW w:w="5323" w:type="dxa"/>
                      </w:tcPr>
                      <w:p w14:paraId="3BA0B5D5" w14:textId="77777777" w:rsidR="00606080" w:rsidRDefault="00910B6A">
                        <w:pPr>
                          <w:spacing w:after="25" w:line="213" w:lineRule="exact"/>
                          <w:ind w:left="396" w:right="576"/>
                          <w:textAlignment w:val="baseline"/>
                          <w:rPr>
                            <w:rFonts w:ascii="Arial" w:eastAsia="Arial" w:hAnsi="Arial"/>
                            <w:color w:val="000000"/>
                            <w:spacing w:val="-4"/>
                            <w:sz w:val="16"/>
                          </w:rPr>
                        </w:pPr>
                        <w:r>
                          <w:rPr>
                            <w:rFonts w:ascii="Arial" w:eastAsia="Arial" w:hAnsi="Arial"/>
                            <w:color w:val="000000"/>
                            <w:spacing w:val="-4"/>
                            <w:sz w:val="16"/>
                          </w:rPr>
                          <w:t>Australian companies are not capable of tendering for this type of work. This can be attributed to the limited work of this nature in Australia and the scale of the NNM Platform, Topside and Jacket which require suitable wharf infrastructure and a workforce familiar with this type of construction.</w:t>
                        </w:r>
                      </w:p>
                    </w:tc>
                  </w:tr>
                </w:tbl>
                <w:p w14:paraId="3BA0B5D7" w14:textId="77777777" w:rsidR="00606080" w:rsidRDefault="00606080">
                  <w:pPr>
                    <w:spacing w:after="340" w:line="20" w:lineRule="exact"/>
                  </w:pPr>
                </w:p>
              </w:txbxContent>
            </v:textbox>
            <w10:wrap anchorx="page" anchory="page"/>
          </v:shape>
        </w:pict>
      </w:r>
      <w:r>
        <w:pict w14:anchorId="3BA0B5B2">
          <v:shape id="_x0000_s1033" type="#_x0000_t202" style="position:absolute;margin-left:52.3pt;margin-top:765.4pt;width:492pt;height:13.6pt;z-index:-251656192;mso-wrap-distance-left:0;mso-wrap-distance-right:0;mso-position-horizontal-relative:page;mso-position-vertical-relative:page" filled="f" stroked="f">
            <v:textbox inset="0,0,0,0">
              <w:txbxContent>
                <w:p w14:paraId="3BA0B5D8" w14:textId="77777777" w:rsidR="00606080" w:rsidRDefault="00910B6A">
                  <w:pPr>
                    <w:spacing w:before="4" w:after="5" w:line="249" w:lineRule="exact"/>
                    <w:jc w:val="right"/>
                    <w:textAlignment w:val="baseline"/>
                    <w:rPr>
                      <w:rFonts w:eastAsia="Times New Roman"/>
                      <w:color w:val="000000"/>
                    </w:rPr>
                  </w:pPr>
                  <w:r>
                    <w:rPr>
                      <w:rFonts w:eastAsia="Times New Roman"/>
                      <w:color w:val="000000"/>
                    </w:rPr>
                    <w:t>Page 1 of 3</w:t>
                  </w:r>
                </w:p>
              </w:txbxContent>
            </v:textbox>
            <w10:wrap type="square" anchorx="page" anchory="page"/>
          </v:shape>
        </w:pict>
      </w:r>
    </w:p>
    <w:p w14:paraId="3BA0B588" w14:textId="77777777" w:rsidR="00606080" w:rsidRDefault="00606080">
      <w:pPr>
        <w:sectPr w:rsidR="00606080">
          <w:headerReference w:type="even" r:id="rId7"/>
          <w:headerReference w:type="default" r:id="rId8"/>
          <w:footerReference w:type="even" r:id="rId9"/>
          <w:footerReference w:type="default" r:id="rId10"/>
          <w:headerReference w:type="first" r:id="rId11"/>
          <w:footerReference w:type="first" r:id="rId12"/>
          <w:pgSz w:w="11904" w:h="16843"/>
          <w:pgMar w:top="752" w:right="847" w:bottom="890" w:left="557" w:header="720" w:footer="720" w:gutter="0"/>
          <w:cols w:space="720"/>
        </w:sectPr>
      </w:pPr>
    </w:p>
    <w:p w14:paraId="3BA0B589" w14:textId="77777777" w:rsidR="00606080" w:rsidRDefault="00000000">
      <w:pPr>
        <w:textAlignment w:val="baseline"/>
        <w:rPr>
          <w:rFonts w:eastAsia="Times New Roman"/>
          <w:color w:val="000000"/>
          <w:sz w:val="24"/>
        </w:rPr>
      </w:pPr>
      <w:r>
        <w:lastRenderedPageBreak/>
        <w:pict w14:anchorId="3BA0B5B3">
          <v:shape id="_x0000_s1032" type="#_x0000_t202" style="position:absolute;margin-left:52.1pt;margin-top:244.05pt;width:205.2pt;height:372.05pt;z-index:-251655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29"/>
                    <w:gridCol w:w="2475"/>
                  </w:tblGrid>
                  <w:tr w:rsidR="00606080" w14:paraId="3BA0B5DD" w14:textId="77777777">
                    <w:trPr>
                      <w:trHeight w:hRule="exact" w:val="1272"/>
                    </w:trPr>
                    <w:tc>
                      <w:tcPr>
                        <w:tcW w:w="1629" w:type="dxa"/>
                      </w:tcPr>
                      <w:p w14:paraId="3BA0B5D9" w14:textId="77777777" w:rsidR="00606080" w:rsidRDefault="00910B6A">
                        <w:pPr>
                          <w:spacing w:line="206" w:lineRule="exact"/>
                          <w:textAlignment w:val="baseline"/>
                          <w:rPr>
                            <w:rFonts w:ascii="Arial" w:eastAsia="Arial" w:hAnsi="Arial"/>
                            <w:color w:val="000000"/>
                            <w:sz w:val="16"/>
                          </w:rPr>
                        </w:pPr>
                        <w:r>
                          <w:rPr>
                            <w:rFonts w:ascii="Arial" w:eastAsia="Arial" w:hAnsi="Arial"/>
                            <w:color w:val="000000"/>
                            <w:sz w:val="16"/>
                          </w:rPr>
                          <w:t xml:space="preserve">NNMP Pipelines </w:t>
                        </w:r>
                        <w:r>
                          <w:rPr>
                            <w:rFonts w:ascii="Arial" w:eastAsia="Arial" w:hAnsi="Arial"/>
                            <w:color w:val="000000"/>
                            <w:sz w:val="16"/>
                          </w:rPr>
                          <w:br/>
                          <w:t xml:space="preserve">(export and other) </w:t>
                        </w:r>
                        <w:r>
                          <w:rPr>
                            <w:rFonts w:ascii="Arial" w:eastAsia="Arial" w:hAnsi="Arial"/>
                            <w:color w:val="000000"/>
                            <w:sz w:val="16"/>
                          </w:rPr>
                          <w:br/>
                          <w:t>- fabrication</w:t>
                        </w:r>
                      </w:p>
                      <w:p w14:paraId="3BA0B5DA" w14:textId="77777777" w:rsidR="00606080" w:rsidRDefault="00910B6A">
                        <w:pPr>
                          <w:spacing w:before="211" w:line="218" w:lineRule="exact"/>
                          <w:textAlignment w:val="baseline"/>
                          <w:rPr>
                            <w:rFonts w:ascii="Arial" w:eastAsia="Arial" w:hAnsi="Arial"/>
                            <w:color w:val="000000"/>
                            <w:sz w:val="16"/>
                          </w:rPr>
                        </w:pPr>
                        <w:r>
                          <w:rPr>
                            <w:rFonts w:ascii="Arial" w:eastAsia="Arial" w:hAnsi="Arial"/>
                            <w:color w:val="000000"/>
                            <w:sz w:val="16"/>
                          </w:rPr>
                          <w:t xml:space="preserve">Pipeline manifold </w:t>
                        </w:r>
                        <w:r>
                          <w:rPr>
                            <w:rFonts w:ascii="Arial" w:eastAsia="Arial" w:hAnsi="Arial"/>
                            <w:color w:val="000000"/>
                            <w:sz w:val="16"/>
                          </w:rPr>
                          <w:br/>
                          <w:t>– fabrication</w:t>
                        </w:r>
                      </w:p>
                    </w:tc>
                    <w:tc>
                      <w:tcPr>
                        <w:tcW w:w="2475" w:type="dxa"/>
                      </w:tcPr>
                      <w:p w14:paraId="3BA0B5DB" w14:textId="0152968E" w:rsidR="00606080" w:rsidRDefault="00AE0A17">
                        <w:pPr>
                          <w:tabs>
                            <w:tab w:val="right" w:pos="2520"/>
                          </w:tabs>
                          <w:spacing w:before="217"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910B6A">
                          <w:rPr>
                            <w:rFonts w:ascii="Arial" w:eastAsia="Arial" w:hAnsi="Arial"/>
                            <w:color w:val="000000"/>
                            <w:sz w:val="16"/>
                          </w:rPr>
                          <w:t>No</w:t>
                        </w:r>
                        <w:r w:rsidR="00910B6A">
                          <w:rPr>
                            <w:rFonts w:ascii="Arial" w:eastAsia="Arial" w:hAnsi="Arial"/>
                            <w:color w:val="000000"/>
                            <w:sz w:val="16"/>
                          </w:rPr>
                          <w:tab/>
                          <w:t>Yes</w:t>
                        </w:r>
                      </w:p>
                      <w:p w14:paraId="3BA0B5DC" w14:textId="7C63BC10" w:rsidR="00606080" w:rsidRDefault="00AE0A17">
                        <w:pPr>
                          <w:tabs>
                            <w:tab w:val="right" w:pos="2520"/>
                          </w:tabs>
                          <w:spacing w:before="581" w:after="105"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910B6A">
                          <w:rPr>
                            <w:rFonts w:ascii="Arial" w:eastAsia="Arial" w:hAnsi="Arial"/>
                            <w:color w:val="000000"/>
                            <w:sz w:val="16"/>
                          </w:rPr>
                          <w:t>Yes</w:t>
                        </w:r>
                        <w:r w:rsidR="00910B6A">
                          <w:rPr>
                            <w:rFonts w:ascii="Arial" w:eastAsia="Arial" w:hAnsi="Arial"/>
                            <w:color w:val="000000"/>
                            <w:sz w:val="16"/>
                          </w:rPr>
                          <w:tab/>
                        </w:r>
                        <w:proofErr w:type="spellStart"/>
                        <w:r w:rsidR="00910B6A">
                          <w:rPr>
                            <w:rFonts w:ascii="Arial" w:eastAsia="Arial" w:hAnsi="Arial"/>
                            <w:color w:val="000000"/>
                            <w:sz w:val="16"/>
                          </w:rPr>
                          <w:t>Yes</w:t>
                        </w:r>
                        <w:proofErr w:type="spellEnd"/>
                      </w:p>
                    </w:tc>
                  </w:tr>
                </w:tbl>
                <w:p w14:paraId="3BA0B5DE" w14:textId="77777777" w:rsidR="00606080" w:rsidRDefault="00606080">
                  <w:pPr>
                    <w:spacing w:after="124" w:line="20" w:lineRule="exact"/>
                  </w:pPr>
                </w:p>
                <w:p w14:paraId="3BA0B5DF" w14:textId="77777777" w:rsidR="00606080" w:rsidRDefault="00910B6A">
                  <w:pPr>
                    <w:spacing w:before="1" w:line="165" w:lineRule="exact"/>
                    <w:textAlignment w:val="baseline"/>
                    <w:rPr>
                      <w:rFonts w:ascii="Arial" w:eastAsia="Arial" w:hAnsi="Arial"/>
                      <w:color w:val="000000"/>
                      <w:sz w:val="16"/>
                    </w:rPr>
                  </w:pPr>
                  <w:r>
                    <w:rPr>
                      <w:rFonts w:ascii="Arial" w:eastAsia="Arial" w:hAnsi="Arial"/>
                      <w:color w:val="000000"/>
                      <w:sz w:val="16"/>
                    </w:rPr>
                    <w:t>Flexible Riser-</w:t>
                  </w:r>
                  <w:r>
                    <w:rPr>
                      <w:rFonts w:eastAsia="Times New Roman"/>
                      <w:color w:val="000000"/>
                      <w:sz w:val="24"/>
                    </w:rPr>
                    <w:t xml:space="preserve"> </w:t>
                  </w:r>
                </w:p>
                <w:p w14:paraId="3BA0B5E0" w14:textId="77777777" w:rsidR="00606080" w:rsidRDefault="00910B6A">
                  <w:pPr>
                    <w:tabs>
                      <w:tab w:val="left" w:pos="2088"/>
                      <w:tab w:val="right" w:pos="4104"/>
                    </w:tabs>
                    <w:spacing w:line="204" w:lineRule="exact"/>
                    <w:textAlignment w:val="baseline"/>
                    <w:rPr>
                      <w:rFonts w:ascii="Arial" w:eastAsia="Arial" w:hAnsi="Arial"/>
                      <w:color w:val="000000"/>
                      <w:sz w:val="16"/>
                    </w:rPr>
                  </w:pPr>
                  <w:r>
                    <w:rPr>
                      <w:rFonts w:ascii="Arial" w:eastAsia="Arial" w:hAnsi="Arial"/>
                      <w:color w:val="000000"/>
                      <w:sz w:val="16"/>
                    </w:rPr>
                    <w:t>fabrication</w:t>
                  </w:r>
                  <w:r>
                    <w:rPr>
                      <w:rFonts w:ascii="Arial" w:eastAsia="Arial" w:hAnsi="Arial"/>
                      <w:color w:val="000000"/>
                      <w:sz w:val="16"/>
                    </w:rPr>
                    <w:tab/>
                    <w:t>No</w:t>
                  </w:r>
                  <w:r>
                    <w:rPr>
                      <w:rFonts w:ascii="Arial" w:eastAsia="Arial" w:hAnsi="Arial"/>
                      <w:color w:val="000000"/>
                      <w:sz w:val="16"/>
                    </w:rPr>
                    <w:tab/>
                    <w:t>Yes</w:t>
                  </w:r>
                </w:p>
                <w:p w14:paraId="3BA0B5E1" w14:textId="77777777" w:rsidR="00606080" w:rsidRDefault="00910B6A">
                  <w:pPr>
                    <w:spacing w:before="293" w:line="165" w:lineRule="exact"/>
                    <w:textAlignment w:val="baseline"/>
                    <w:rPr>
                      <w:rFonts w:ascii="Arial" w:eastAsia="Arial" w:hAnsi="Arial"/>
                      <w:color w:val="000000"/>
                      <w:sz w:val="16"/>
                    </w:rPr>
                  </w:pPr>
                  <w:r>
                    <w:rPr>
                      <w:rFonts w:ascii="Arial" w:eastAsia="Arial" w:hAnsi="Arial"/>
                      <w:color w:val="000000"/>
                      <w:sz w:val="16"/>
                    </w:rPr>
                    <w:t>Umbilical –</w:t>
                  </w:r>
                </w:p>
                <w:p w14:paraId="3BA0B5E2" w14:textId="77777777" w:rsidR="00606080" w:rsidRDefault="00910B6A">
                  <w:pPr>
                    <w:tabs>
                      <w:tab w:val="left" w:pos="2088"/>
                      <w:tab w:val="right" w:pos="4104"/>
                    </w:tabs>
                    <w:spacing w:after="186" w:line="205" w:lineRule="exact"/>
                    <w:textAlignment w:val="baseline"/>
                    <w:rPr>
                      <w:rFonts w:ascii="Arial" w:eastAsia="Arial" w:hAnsi="Arial"/>
                      <w:color w:val="000000"/>
                      <w:sz w:val="16"/>
                    </w:rPr>
                  </w:pPr>
                  <w:r>
                    <w:rPr>
                      <w:rFonts w:ascii="Arial" w:eastAsia="Arial" w:hAnsi="Arial"/>
                      <w:color w:val="000000"/>
                      <w:sz w:val="16"/>
                    </w:rPr>
                    <w:t>fabrication</w:t>
                  </w:r>
                  <w:r>
                    <w:rPr>
                      <w:rFonts w:ascii="Arial" w:eastAsia="Arial" w:hAnsi="Arial"/>
                      <w:color w:val="000000"/>
                      <w:sz w:val="16"/>
                    </w:rPr>
                    <w:tab/>
                    <w:t>No</w:t>
                  </w:r>
                  <w:r>
                    <w:rPr>
                      <w:rFonts w:ascii="Arial" w:eastAsia="Arial" w:hAnsi="Arial"/>
                      <w:color w:val="000000"/>
                      <w:sz w:val="16"/>
                    </w:rPr>
                    <w:tab/>
                    <w:t>Yes</w:t>
                  </w:r>
                </w:p>
                <w:tbl>
                  <w:tblPr>
                    <w:tblW w:w="0" w:type="auto"/>
                    <w:tblLayout w:type="fixed"/>
                    <w:tblCellMar>
                      <w:left w:w="0" w:type="dxa"/>
                      <w:right w:w="0" w:type="dxa"/>
                    </w:tblCellMar>
                    <w:tblLook w:val="04A0" w:firstRow="1" w:lastRow="0" w:firstColumn="1" w:lastColumn="0" w:noHBand="0" w:noVBand="1"/>
                  </w:tblPr>
                  <w:tblGrid>
                    <w:gridCol w:w="1655"/>
                    <w:gridCol w:w="2449"/>
                  </w:tblGrid>
                  <w:tr w:rsidR="00606080" w14:paraId="3BA0B5EA" w14:textId="77777777">
                    <w:trPr>
                      <w:trHeight w:hRule="exact" w:val="4801"/>
                    </w:trPr>
                    <w:tc>
                      <w:tcPr>
                        <w:tcW w:w="1655" w:type="dxa"/>
                      </w:tcPr>
                      <w:p w14:paraId="3BA0B5E3" w14:textId="77777777" w:rsidR="00606080" w:rsidRDefault="00910B6A">
                        <w:pPr>
                          <w:spacing w:line="213" w:lineRule="exact"/>
                          <w:textAlignment w:val="baseline"/>
                          <w:rPr>
                            <w:rFonts w:ascii="Arial" w:eastAsia="Arial" w:hAnsi="Arial"/>
                            <w:color w:val="000000"/>
                            <w:sz w:val="16"/>
                          </w:rPr>
                        </w:pPr>
                        <w:r>
                          <w:rPr>
                            <w:rFonts w:ascii="Arial" w:eastAsia="Arial" w:hAnsi="Arial"/>
                            <w:color w:val="000000"/>
                            <w:sz w:val="16"/>
                          </w:rPr>
                          <w:t xml:space="preserve">Wells (e.g. </w:t>
                        </w:r>
                        <w:r>
                          <w:rPr>
                            <w:rFonts w:ascii="Arial" w:eastAsia="Arial" w:hAnsi="Arial"/>
                            <w:color w:val="000000"/>
                            <w:sz w:val="16"/>
                          </w:rPr>
                          <w:br/>
                          <w:t xml:space="preserve">Modular Platform </w:t>
                        </w:r>
                        <w:r>
                          <w:rPr>
                            <w:rFonts w:ascii="Arial" w:eastAsia="Arial" w:hAnsi="Arial"/>
                            <w:color w:val="000000"/>
                            <w:sz w:val="16"/>
                          </w:rPr>
                          <w:br/>
                          <w:t xml:space="preserve">Rig, drilling </w:t>
                        </w:r>
                        <w:r>
                          <w:rPr>
                            <w:rFonts w:ascii="Arial" w:eastAsia="Arial" w:hAnsi="Arial"/>
                            <w:color w:val="000000"/>
                            <w:sz w:val="16"/>
                          </w:rPr>
                          <w:br/>
                          <w:t xml:space="preserve">template, subsea </w:t>
                        </w:r>
                        <w:r>
                          <w:rPr>
                            <w:rFonts w:ascii="Arial" w:eastAsia="Arial" w:hAnsi="Arial"/>
                            <w:color w:val="000000"/>
                            <w:sz w:val="16"/>
                          </w:rPr>
                          <w:br/>
                          <w:t xml:space="preserve">wellhead, surface </w:t>
                        </w:r>
                        <w:r>
                          <w:rPr>
                            <w:rFonts w:ascii="Arial" w:eastAsia="Arial" w:hAnsi="Arial"/>
                            <w:color w:val="000000"/>
                            <w:sz w:val="16"/>
                          </w:rPr>
                          <w:br/>
                          <w:t>we</w:t>
                        </w:r>
                      </w:p>
                      <w:p w14:paraId="3BA0B5E4" w14:textId="77777777" w:rsidR="00606080" w:rsidRDefault="00910B6A">
                        <w:pPr>
                          <w:spacing w:before="11" w:line="219" w:lineRule="exact"/>
                          <w:textAlignment w:val="baseline"/>
                          <w:rPr>
                            <w:rFonts w:ascii="Arial" w:eastAsia="Arial" w:hAnsi="Arial"/>
                            <w:color w:val="000000"/>
                            <w:sz w:val="16"/>
                          </w:rPr>
                        </w:pPr>
                        <w:r>
                          <w:rPr>
                            <w:rFonts w:ascii="Arial" w:eastAsia="Arial" w:hAnsi="Arial"/>
                            <w:color w:val="000000"/>
                            <w:sz w:val="16"/>
                          </w:rPr>
                          <w:t xml:space="preserve">Front End </w:t>
                        </w:r>
                        <w:r>
                          <w:rPr>
                            <w:rFonts w:ascii="Arial" w:eastAsia="Arial" w:hAnsi="Arial"/>
                            <w:color w:val="000000"/>
                            <w:sz w:val="16"/>
                          </w:rPr>
                          <w:br/>
                          <w:t xml:space="preserve">Engineering &amp; </w:t>
                        </w:r>
                        <w:r>
                          <w:rPr>
                            <w:rFonts w:ascii="Arial" w:eastAsia="Arial" w:hAnsi="Arial"/>
                            <w:color w:val="000000"/>
                            <w:sz w:val="16"/>
                          </w:rPr>
                          <w:br/>
                          <w:t xml:space="preserve">Design Services </w:t>
                        </w:r>
                        <w:r>
                          <w:rPr>
                            <w:rFonts w:ascii="Arial" w:eastAsia="Arial" w:hAnsi="Arial"/>
                            <w:color w:val="000000"/>
                            <w:sz w:val="16"/>
                          </w:rPr>
                          <w:br/>
                          <w:t xml:space="preserve">for all scopes </w:t>
                        </w:r>
                        <w:r>
                          <w:rPr>
                            <w:rFonts w:ascii="Arial" w:eastAsia="Arial" w:hAnsi="Arial"/>
                            <w:color w:val="000000"/>
                            <w:sz w:val="16"/>
                          </w:rPr>
                          <w:br/>
                          <w:t xml:space="preserve">Hook-Up and </w:t>
                        </w:r>
                        <w:r>
                          <w:rPr>
                            <w:rFonts w:ascii="Arial" w:eastAsia="Arial" w:hAnsi="Arial"/>
                            <w:color w:val="000000"/>
                            <w:sz w:val="16"/>
                          </w:rPr>
                          <w:br/>
                          <w:t xml:space="preserve">commissioning </w:t>
                        </w:r>
                        <w:r>
                          <w:rPr>
                            <w:rFonts w:ascii="Arial" w:eastAsia="Arial" w:hAnsi="Arial"/>
                            <w:color w:val="000000"/>
                            <w:sz w:val="16"/>
                          </w:rPr>
                          <w:br/>
                          <w:t xml:space="preserve">e.g. call-off </w:t>
                        </w:r>
                        <w:r>
                          <w:rPr>
                            <w:rFonts w:ascii="Arial" w:eastAsia="Arial" w:hAnsi="Arial"/>
                            <w:color w:val="000000"/>
                            <w:sz w:val="16"/>
                          </w:rPr>
                          <w:br/>
                          <w:t xml:space="preserve">contracts and </w:t>
                        </w:r>
                        <w:r>
                          <w:rPr>
                            <w:rFonts w:ascii="Arial" w:eastAsia="Arial" w:hAnsi="Arial"/>
                            <w:color w:val="000000"/>
                            <w:sz w:val="16"/>
                          </w:rPr>
                          <w:br/>
                          <w:t xml:space="preserve">logistics for </w:t>
                        </w:r>
                        <w:r>
                          <w:rPr>
                            <w:rFonts w:ascii="Arial" w:eastAsia="Arial" w:hAnsi="Arial"/>
                            <w:color w:val="000000"/>
                            <w:sz w:val="16"/>
                          </w:rPr>
                          <w:br/>
                          <w:t xml:space="preserve">helicopters </w:t>
                        </w:r>
                        <w:r>
                          <w:rPr>
                            <w:rFonts w:ascii="Arial" w:eastAsia="Arial" w:hAnsi="Arial"/>
                            <w:color w:val="000000"/>
                            <w:sz w:val="16"/>
                          </w:rPr>
                          <w:br/>
                          <w:t xml:space="preserve">Wells drilling and </w:t>
                        </w:r>
                        <w:r>
                          <w:rPr>
                            <w:rFonts w:ascii="Arial" w:eastAsia="Arial" w:hAnsi="Arial"/>
                            <w:color w:val="000000"/>
                            <w:sz w:val="16"/>
                          </w:rPr>
                          <w:br/>
                          <w:t xml:space="preserve">completion (Rig, </w:t>
                        </w:r>
                        <w:r>
                          <w:rPr>
                            <w:rFonts w:ascii="Arial" w:eastAsia="Arial" w:hAnsi="Arial"/>
                            <w:color w:val="000000"/>
                            <w:sz w:val="16"/>
                          </w:rPr>
                          <w:br/>
                          <w:t xml:space="preserve">Mud Logging, </w:t>
                        </w:r>
                        <w:r>
                          <w:rPr>
                            <w:rFonts w:ascii="Arial" w:eastAsia="Arial" w:hAnsi="Arial"/>
                            <w:color w:val="000000"/>
                            <w:sz w:val="16"/>
                          </w:rPr>
                          <w:br/>
                          <w:t>Drilling</w:t>
                        </w:r>
                      </w:p>
                      <w:p w14:paraId="3BA0B5E5" w14:textId="77777777" w:rsidR="00606080" w:rsidRDefault="00910B6A">
                        <w:pPr>
                          <w:spacing w:line="216" w:lineRule="exact"/>
                          <w:textAlignment w:val="baseline"/>
                          <w:rPr>
                            <w:rFonts w:ascii="Arial" w:eastAsia="Arial" w:hAnsi="Arial"/>
                            <w:color w:val="000000"/>
                            <w:sz w:val="16"/>
                          </w:rPr>
                        </w:pPr>
                        <w:r>
                          <w:rPr>
                            <w:rFonts w:ascii="Arial" w:eastAsia="Arial" w:hAnsi="Arial"/>
                            <w:color w:val="000000"/>
                            <w:sz w:val="16"/>
                          </w:rPr>
                          <w:t xml:space="preserve">Fl uids,Cementing, </w:t>
                        </w:r>
                        <w:r>
                          <w:rPr>
                            <w:rFonts w:ascii="Arial" w:eastAsia="Arial" w:hAnsi="Arial"/>
                            <w:color w:val="000000"/>
                            <w:sz w:val="16"/>
                          </w:rPr>
                          <w:br/>
                          <w:t>etc)</w:t>
                        </w:r>
                      </w:p>
                    </w:tc>
                    <w:tc>
                      <w:tcPr>
                        <w:tcW w:w="2449" w:type="dxa"/>
                        <w:vAlign w:val="center"/>
                      </w:tcPr>
                      <w:p w14:paraId="3BA0B5E6" w14:textId="2C8E3AF9" w:rsidR="00606080" w:rsidRDefault="00AE0A17">
                        <w:pPr>
                          <w:tabs>
                            <w:tab w:val="right" w:pos="2448"/>
                          </w:tabs>
                          <w:spacing w:before="538"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910B6A">
                          <w:rPr>
                            <w:rFonts w:ascii="Arial" w:eastAsia="Arial" w:hAnsi="Arial"/>
                            <w:color w:val="000000"/>
                            <w:sz w:val="16"/>
                          </w:rPr>
                          <w:t>No</w:t>
                        </w:r>
                        <w:r w:rsidR="00910B6A">
                          <w:rPr>
                            <w:rFonts w:ascii="Arial" w:eastAsia="Arial" w:hAnsi="Arial"/>
                            <w:color w:val="000000"/>
                            <w:sz w:val="16"/>
                          </w:rPr>
                          <w:tab/>
                          <w:t>Yes</w:t>
                        </w:r>
                      </w:p>
                      <w:p w14:paraId="3BA0B5E7" w14:textId="4B886460" w:rsidR="00606080" w:rsidRDefault="00AE0A17">
                        <w:pPr>
                          <w:tabs>
                            <w:tab w:val="right" w:pos="2448"/>
                          </w:tabs>
                          <w:spacing w:before="917"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910B6A">
                          <w:rPr>
                            <w:rFonts w:ascii="Arial" w:eastAsia="Arial" w:hAnsi="Arial"/>
                            <w:color w:val="000000"/>
                            <w:sz w:val="16"/>
                          </w:rPr>
                          <w:t>Yes</w:t>
                        </w:r>
                        <w:r w:rsidR="00910B6A">
                          <w:rPr>
                            <w:rFonts w:ascii="Arial" w:eastAsia="Arial" w:hAnsi="Arial"/>
                            <w:color w:val="000000"/>
                            <w:sz w:val="16"/>
                          </w:rPr>
                          <w:tab/>
                        </w:r>
                        <w:proofErr w:type="spellStart"/>
                        <w:r w:rsidR="00910B6A">
                          <w:rPr>
                            <w:rFonts w:ascii="Arial" w:eastAsia="Arial" w:hAnsi="Arial"/>
                            <w:color w:val="000000"/>
                            <w:sz w:val="16"/>
                          </w:rPr>
                          <w:t>Yes</w:t>
                        </w:r>
                        <w:proofErr w:type="spellEnd"/>
                      </w:p>
                      <w:p w14:paraId="3BA0B5E8" w14:textId="71920A62" w:rsidR="00606080" w:rsidRDefault="00AE0A17">
                        <w:pPr>
                          <w:tabs>
                            <w:tab w:val="right" w:pos="2448"/>
                          </w:tabs>
                          <w:spacing w:before="918"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910B6A">
                          <w:rPr>
                            <w:rFonts w:ascii="Arial" w:eastAsia="Arial" w:hAnsi="Arial"/>
                            <w:color w:val="000000"/>
                            <w:sz w:val="16"/>
                          </w:rPr>
                          <w:t>Yes</w:t>
                        </w:r>
                        <w:r w:rsidR="00910B6A">
                          <w:rPr>
                            <w:rFonts w:ascii="Arial" w:eastAsia="Arial" w:hAnsi="Arial"/>
                            <w:color w:val="000000"/>
                            <w:sz w:val="16"/>
                          </w:rPr>
                          <w:tab/>
                        </w:r>
                        <w:proofErr w:type="spellStart"/>
                        <w:r w:rsidR="00910B6A">
                          <w:rPr>
                            <w:rFonts w:ascii="Arial" w:eastAsia="Arial" w:hAnsi="Arial"/>
                            <w:color w:val="000000"/>
                            <w:sz w:val="16"/>
                          </w:rPr>
                          <w:t>Yes</w:t>
                        </w:r>
                        <w:proofErr w:type="spellEnd"/>
                      </w:p>
                      <w:p w14:paraId="3BA0B5E9" w14:textId="2420962C" w:rsidR="00606080" w:rsidRDefault="00AE0A17">
                        <w:pPr>
                          <w:tabs>
                            <w:tab w:val="right" w:pos="2448"/>
                          </w:tabs>
                          <w:spacing w:before="1138" w:after="552" w:line="182" w:lineRule="exact"/>
                          <w:ind w:right="5"/>
                          <w:jc w:val="right"/>
                          <w:textAlignment w:val="baseline"/>
                          <w:rPr>
                            <w:rFonts w:ascii="Arial" w:eastAsia="Arial" w:hAnsi="Arial"/>
                            <w:color w:val="000000"/>
                            <w:sz w:val="16"/>
                          </w:rPr>
                        </w:pPr>
                        <w:r>
                          <w:rPr>
                            <w:rFonts w:ascii="Arial" w:eastAsia="Arial" w:hAnsi="Arial"/>
                            <w:color w:val="000000"/>
                            <w:sz w:val="16"/>
                          </w:rPr>
                          <w:t xml:space="preserve">        </w:t>
                        </w:r>
                        <w:r w:rsidR="00910B6A">
                          <w:rPr>
                            <w:rFonts w:ascii="Arial" w:eastAsia="Arial" w:hAnsi="Arial"/>
                            <w:color w:val="000000"/>
                            <w:sz w:val="16"/>
                          </w:rPr>
                          <w:t>Yes</w:t>
                        </w:r>
                        <w:r w:rsidR="00910B6A">
                          <w:rPr>
                            <w:rFonts w:ascii="Arial" w:eastAsia="Arial" w:hAnsi="Arial"/>
                            <w:color w:val="000000"/>
                            <w:sz w:val="16"/>
                          </w:rPr>
                          <w:tab/>
                          <w:t>Yes</w:t>
                        </w:r>
                      </w:p>
                    </w:tc>
                  </w:tr>
                  <w:tr w:rsidR="00AE0A17" w14:paraId="0C715C75" w14:textId="77777777">
                    <w:trPr>
                      <w:trHeight w:hRule="exact" w:val="4801"/>
                    </w:trPr>
                    <w:tc>
                      <w:tcPr>
                        <w:tcW w:w="1655" w:type="dxa"/>
                      </w:tcPr>
                      <w:p w14:paraId="6D1E60C7" w14:textId="77777777" w:rsidR="00AE0A17" w:rsidRDefault="00AE0A17">
                        <w:pPr>
                          <w:spacing w:line="213" w:lineRule="exact"/>
                          <w:textAlignment w:val="baseline"/>
                          <w:rPr>
                            <w:rFonts w:ascii="Arial" w:eastAsia="Arial" w:hAnsi="Arial"/>
                            <w:color w:val="000000"/>
                            <w:sz w:val="16"/>
                          </w:rPr>
                        </w:pPr>
                      </w:p>
                    </w:tc>
                    <w:tc>
                      <w:tcPr>
                        <w:tcW w:w="2449" w:type="dxa"/>
                        <w:vAlign w:val="center"/>
                      </w:tcPr>
                      <w:p w14:paraId="4173A442" w14:textId="77777777" w:rsidR="00AE0A17" w:rsidRDefault="00AE0A17">
                        <w:pPr>
                          <w:tabs>
                            <w:tab w:val="right" w:pos="2448"/>
                          </w:tabs>
                          <w:spacing w:before="538" w:line="182" w:lineRule="exact"/>
                          <w:ind w:right="5"/>
                          <w:jc w:val="right"/>
                          <w:textAlignment w:val="baseline"/>
                          <w:rPr>
                            <w:rFonts w:ascii="Arial" w:eastAsia="Arial" w:hAnsi="Arial"/>
                            <w:color w:val="000000"/>
                            <w:sz w:val="16"/>
                          </w:rPr>
                        </w:pPr>
                      </w:p>
                    </w:tc>
                  </w:tr>
                </w:tbl>
                <w:p w14:paraId="3BA0B607" w14:textId="77777777" w:rsidR="00910B6A" w:rsidRDefault="00910B6A"/>
              </w:txbxContent>
            </v:textbox>
            <w10:wrap type="square" anchorx="page" anchory="page"/>
          </v:shape>
        </w:pict>
      </w:r>
      <w:r>
        <w:pict w14:anchorId="3BA0B5B4">
          <v:shape id="_x0000_s1031" type="#_x0000_t202" style="position:absolute;margin-left:138.5pt;margin-top:52pt;width:306pt;height:81.85pt;z-index:-251654144;mso-wrap-distance-left:0;mso-wrap-distance-right:0;mso-position-horizontal-relative:page;mso-position-vertical-relative:page" filled="f" stroked="f">
            <v:textbox inset="0,0,0,0">
              <w:txbxContent>
                <w:p w14:paraId="3BA0B5EB" w14:textId="77777777" w:rsidR="00606080" w:rsidRDefault="00910B6A">
                  <w:pPr>
                    <w:spacing w:before="3" w:after="1438" w:line="183" w:lineRule="exact"/>
                    <w:jc w:val="center"/>
                    <w:textAlignment w:val="baseline"/>
                    <w:rPr>
                      <w:rFonts w:eastAsia="Times New Roman"/>
                      <w:color w:val="000000"/>
                      <w:sz w:val="16"/>
                    </w:rPr>
                  </w:pPr>
                  <w:r>
                    <w:rPr>
                      <w:rFonts w:eastAsia="Times New Roman"/>
                      <w:color w:val="000000"/>
                      <w:sz w:val="16"/>
                    </w:rPr>
                    <w:t>***** Approved by AIP Authority on Fri Feb 06 2026 13:26:57 GMT+1 100 (AEDT) *****</w:t>
                  </w:r>
                </w:p>
              </w:txbxContent>
            </v:textbox>
            <w10:wrap type="square" anchorx="page" anchory="page"/>
          </v:shape>
        </w:pict>
      </w:r>
      <w:r>
        <w:pict w14:anchorId="3BA0B5B5">
          <v:shape id="_x0000_s1030" type="#_x0000_t202" style="position:absolute;margin-left:299.05pt;margin-top:133.85pt;width:218pt;height:498.75pt;z-index:-251653120;mso-wrap-distance-left:0;mso-wrap-distance-right:0;mso-position-horizontal-relative:page;mso-position-vertical-relative:page" filled="f" stroked="f">
            <v:textbox inset="0,0,0,0">
              <w:txbxContent>
                <w:p w14:paraId="3BA0B5EC" w14:textId="77777777" w:rsidR="00606080" w:rsidRDefault="00910B6A">
                  <w:pPr>
                    <w:spacing w:line="213" w:lineRule="exact"/>
                    <w:textAlignment w:val="baseline"/>
                    <w:rPr>
                      <w:rFonts w:ascii="Arial" w:eastAsia="Arial" w:hAnsi="Arial"/>
                      <w:color w:val="000000"/>
                      <w:spacing w:val="-4"/>
                      <w:sz w:val="16"/>
                    </w:rPr>
                  </w:pPr>
                  <w:r>
                    <w:rPr>
                      <w:rFonts w:ascii="Arial" w:eastAsia="Arial" w:hAnsi="Arial"/>
                      <w:color w:val="000000"/>
                      <w:spacing w:val="-4"/>
                      <w:sz w:val="16"/>
                    </w:rPr>
                    <w:t>Australian companies are not capable of tendering for this type of work. This can be attributed to the limited work of this nature in Australia and the scale of the NNM Platform, Topside and Jacket which require suitable wharf infrastructure and a workforce familiar with this type of construction.</w:t>
                  </w:r>
                </w:p>
                <w:p w14:paraId="3BA0B5ED" w14:textId="77777777" w:rsidR="00606080" w:rsidRDefault="00910B6A">
                  <w:pPr>
                    <w:spacing w:line="219" w:lineRule="exact"/>
                    <w:textAlignment w:val="baseline"/>
                    <w:rPr>
                      <w:rFonts w:ascii="Arial" w:eastAsia="Arial" w:hAnsi="Arial"/>
                      <w:color w:val="000000"/>
                      <w:spacing w:val="-3"/>
                      <w:sz w:val="16"/>
                    </w:rPr>
                  </w:pPr>
                  <w:r>
                    <w:rPr>
                      <w:rFonts w:ascii="Arial" w:eastAsia="Arial" w:hAnsi="Arial"/>
                      <w:color w:val="000000"/>
                      <w:spacing w:val="-3"/>
                      <w:sz w:val="16"/>
                    </w:rPr>
                    <w:t>Australian companies are not capable of tendering for this type of work. This can be attributed to the limited work of this nature in Australia and the size of foundation structures which require availability of suitable wharf infrastructure.</w:t>
                  </w:r>
                </w:p>
                <w:p w14:paraId="3BA0B5EE" w14:textId="77777777" w:rsidR="00606080" w:rsidRDefault="00910B6A">
                  <w:pPr>
                    <w:spacing w:before="4" w:line="219" w:lineRule="exact"/>
                    <w:textAlignment w:val="baseline"/>
                    <w:rPr>
                      <w:rFonts w:ascii="Arial" w:eastAsia="Arial" w:hAnsi="Arial"/>
                      <w:color w:val="000000"/>
                      <w:spacing w:val="-4"/>
                      <w:sz w:val="16"/>
                    </w:rPr>
                  </w:pPr>
                  <w:r>
                    <w:rPr>
                      <w:rFonts w:ascii="Arial" w:eastAsia="Arial" w:hAnsi="Arial"/>
                      <w:color w:val="000000"/>
                      <w:spacing w:val="-4"/>
                      <w:sz w:val="16"/>
                    </w:rPr>
                    <w:t>Australian companies are not capable of tendering for this type of work. This can be attributed to the limited work of this nature in Australia and the scale of the NNM Platform, Topside and Jacket which require suitable wharf infrastructure and a workforce familiar with this type of construction.</w:t>
                  </w:r>
                </w:p>
                <w:p w14:paraId="3BA0B5EF" w14:textId="77777777" w:rsidR="00606080" w:rsidRDefault="00910B6A">
                  <w:pPr>
                    <w:spacing w:before="448" w:line="219" w:lineRule="exact"/>
                    <w:ind w:right="216"/>
                    <w:textAlignment w:val="baseline"/>
                    <w:rPr>
                      <w:rFonts w:ascii="Arial" w:eastAsia="Arial" w:hAnsi="Arial"/>
                      <w:color w:val="000000"/>
                      <w:spacing w:val="-3"/>
                      <w:sz w:val="16"/>
                    </w:rPr>
                  </w:pPr>
                  <w:r>
                    <w:rPr>
                      <w:rFonts w:ascii="Arial" w:eastAsia="Arial" w:hAnsi="Arial"/>
                      <w:color w:val="000000"/>
                      <w:spacing w:val="-3"/>
                      <w:sz w:val="16"/>
                    </w:rPr>
                    <w:t>There are limited construction facilities globally for the fabrication of Pipeline, Flexible Risers, Umbilicals and Wells infrastructure and no facilities currently exist in Australia There are limited construction facilities globally for the fabrication of Pipeline, Flexible Risers, Umbilicals and Wells infrastructure and no facilities currently exist in Australia</w:t>
                  </w:r>
                </w:p>
                <w:p w14:paraId="3BA0B5F0" w14:textId="77777777" w:rsidR="00606080" w:rsidRDefault="00910B6A">
                  <w:pPr>
                    <w:spacing w:before="316" w:after="4181" w:line="221" w:lineRule="exact"/>
                    <w:ind w:right="216"/>
                    <w:textAlignment w:val="baseline"/>
                    <w:rPr>
                      <w:rFonts w:ascii="Arial" w:eastAsia="Arial" w:hAnsi="Arial"/>
                      <w:color w:val="000000"/>
                      <w:spacing w:val="-3"/>
                      <w:sz w:val="16"/>
                    </w:rPr>
                  </w:pPr>
                  <w:r>
                    <w:rPr>
                      <w:rFonts w:ascii="Arial" w:eastAsia="Arial" w:hAnsi="Arial"/>
                      <w:color w:val="000000"/>
                      <w:spacing w:val="-3"/>
                      <w:sz w:val="16"/>
                    </w:rPr>
                    <w:t>There are limited construction facilities globally for the fabrication of Pipeline, Flexible Risers, Umbilicals and Wells infrastructure and no facilities currently exist in Australia</w:t>
                  </w:r>
                </w:p>
              </w:txbxContent>
            </v:textbox>
            <w10:wrap type="square" anchorx="page" anchory="page"/>
          </v:shape>
        </w:pict>
      </w:r>
      <w:r>
        <w:pict w14:anchorId="3BA0B5B6">
          <v:shape id="_x0000_s1029" type="#_x0000_t202" style="position:absolute;margin-left:52.3pt;margin-top:149.95pt;width:205pt;height:20.2pt;z-index:-251652096;mso-wrap-distance-left:0;mso-wrap-distance-right:0;mso-position-horizontal-relative:page;mso-position-vertical-relative:page" filled="f" stroked="f">
            <v:textbox inset="0,0,0,0">
              <w:txbxContent>
                <w:p w14:paraId="3BA0B5F1" w14:textId="77777777" w:rsidR="00606080" w:rsidRDefault="00910B6A">
                  <w:pPr>
                    <w:spacing w:before="1" w:line="151" w:lineRule="exact"/>
                    <w:textAlignment w:val="baseline"/>
                    <w:rPr>
                      <w:rFonts w:ascii="Arial" w:eastAsia="Arial" w:hAnsi="Arial"/>
                      <w:color w:val="000000"/>
                      <w:sz w:val="16"/>
                    </w:rPr>
                  </w:pPr>
                  <w:r>
                    <w:rPr>
                      <w:rFonts w:ascii="Arial" w:eastAsia="Arial" w:hAnsi="Arial"/>
                      <w:color w:val="000000"/>
                      <w:sz w:val="16"/>
                    </w:rPr>
                    <w:t>NNMP Jacket-</w:t>
                  </w:r>
                  <w:r>
                    <w:rPr>
                      <w:rFonts w:eastAsia="Times New Roman"/>
                      <w:color w:val="000000"/>
                      <w:sz w:val="24"/>
                    </w:rPr>
                    <w:t xml:space="preserve"> </w:t>
                  </w:r>
                </w:p>
                <w:p w14:paraId="3BA0B5F2" w14:textId="77777777" w:rsidR="00606080" w:rsidRDefault="00910B6A">
                  <w:pPr>
                    <w:tabs>
                      <w:tab w:val="right" w:pos="4104"/>
                    </w:tabs>
                    <w:spacing w:line="110" w:lineRule="exact"/>
                    <w:ind w:left="2088"/>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3BA0B5F3" w14:textId="77777777" w:rsidR="00606080" w:rsidRDefault="00910B6A">
                  <w:pPr>
                    <w:spacing w:line="137" w:lineRule="exact"/>
                    <w:textAlignment w:val="baseline"/>
                    <w:rPr>
                      <w:rFonts w:ascii="Arial" w:eastAsia="Arial" w:hAnsi="Arial"/>
                      <w:color w:val="000000"/>
                      <w:spacing w:val="-3"/>
                      <w:sz w:val="16"/>
                    </w:rPr>
                  </w:pPr>
                  <w:r>
                    <w:rPr>
                      <w:rFonts w:ascii="Arial" w:eastAsia="Arial" w:hAnsi="Arial"/>
                      <w:color w:val="000000"/>
                      <w:spacing w:val="-3"/>
                      <w:sz w:val="16"/>
                    </w:rPr>
                    <w:t>fabrication</w:t>
                  </w:r>
                </w:p>
              </w:txbxContent>
            </v:textbox>
            <w10:wrap type="square" anchorx="page" anchory="page"/>
          </v:shape>
        </w:pict>
      </w:r>
      <w:r>
        <w:pict w14:anchorId="3BA0B5B7">
          <v:shape id="_x0000_s1028" type="#_x0000_t202" style="position:absolute;margin-left:52.3pt;margin-top:199.85pt;width:205pt;height:20.2pt;z-index:-251651072;mso-wrap-distance-left:0;mso-wrap-distance-right:0;mso-position-horizontal-relative:page;mso-position-vertical-relative:page" filled="f" stroked="f">
            <v:textbox inset="0,0,0,0">
              <w:txbxContent>
                <w:p w14:paraId="3BA0B5F4" w14:textId="77777777" w:rsidR="00606080" w:rsidRDefault="00910B6A">
                  <w:pPr>
                    <w:tabs>
                      <w:tab w:val="left" w:pos="2088"/>
                      <w:tab w:val="right" w:pos="4104"/>
                    </w:tabs>
                    <w:spacing w:before="24" w:line="210" w:lineRule="exact"/>
                    <w:textAlignment w:val="baseline"/>
                    <w:rPr>
                      <w:rFonts w:ascii="Arial" w:eastAsia="Arial" w:hAnsi="Arial"/>
                      <w:color w:val="000000"/>
                      <w:sz w:val="16"/>
                    </w:rPr>
                  </w:pPr>
                  <w:r>
                    <w:rPr>
                      <w:rFonts w:ascii="Arial" w:eastAsia="Arial" w:hAnsi="Arial"/>
                      <w:color w:val="000000"/>
                      <w:sz w:val="16"/>
                    </w:rPr>
                    <w:t>Foundation piling -</w:t>
                  </w:r>
                  <w:r>
                    <w:rPr>
                      <w:rFonts w:ascii="Arial" w:eastAsia="Arial" w:hAnsi="Arial"/>
                      <w:color w:val="000000"/>
                      <w:sz w:val="16"/>
                    </w:rPr>
                    <w:tab/>
                    <w:t>No</w:t>
                  </w:r>
                  <w:r>
                    <w:rPr>
                      <w:rFonts w:ascii="Arial" w:eastAsia="Arial" w:hAnsi="Arial"/>
                      <w:color w:val="000000"/>
                      <w:sz w:val="16"/>
                    </w:rPr>
                    <w:tab/>
                    <w:t>Yes</w:t>
                  </w:r>
                </w:p>
                <w:p w14:paraId="3BA0B5F5" w14:textId="77777777" w:rsidR="00606080" w:rsidRDefault="00910B6A">
                  <w:pPr>
                    <w:spacing w:line="161" w:lineRule="exact"/>
                    <w:textAlignment w:val="baseline"/>
                    <w:rPr>
                      <w:rFonts w:ascii="Arial" w:eastAsia="Arial" w:hAnsi="Arial"/>
                      <w:color w:val="000000"/>
                      <w:spacing w:val="-3"/>
                      <w:sz w:val="16"/>
                    </w:rPr>
                  </w:pPr>
                  <w:r>
                    <w:rPr>
                      <w:rFonts w:ascii="Arial" w:eastAsia="Arial" w:hAnsi="Arial"/>
                      <w:color w:val="000000"/>
                      <w:spacing w:val="-3"/>
                      <w:sz w:val="16"/>
                    </w:rPr>
                    <w:t>fabrication</w:t>
                  </w:r>
                </w:p>
              </w:txbxContent>
            </v:textbox>
            <w10:wrap type="square" anchorx="page" anchory="page"/>
          </v:shape>
        </w:pict>
      </w:r>
      <w:r>
        <w:pict w14:anchorId="3BA0B5B8">
          <v:shape id="_x0000_s1027" type="#_x0000_t202" style="position:absolute;margin-left:52.3pt;margin-top:632.6pt;width:176pt;height:132.8pt;z-index:-251650048;mso-wrap-distance-left:0;mso-wrap-distance-right:0;mso-position-horizontal-relative:page;mso-position-vertical-relative:page" filled="f" stroked="f">
            <v:textbox inset="0,0,0,0">
              <w:txbxContent>
                <w:p w14:paraId="3BA0B5F6" w14:textId="77777777" w:rsidR="00606080" w:rsidRDefault="00910B6A">
                  <w:pPr>
                    <w:spacing w:line="264" w:lineRule="exact"/>
                    <w:jc w:val="both"/>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Project standards:</w:t>
                  </w:r>
                </w:p>
                <w:p w14:paraId="3BA0B5F7" w14:textId="77777777" w:rsidR="00606080" w:rsidRDefault="00910B6A">
                  <w:pPr>
                    <w:spacing w:before="120" w:after="156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3BA0B5B9">
          <v:shape id="_x0000_s1026" type="#_x0000_t202" style="position:absolute;margin-left:489.1pt;margin-top:765.4pt;width:55pt;height:13.6pt;z-index:-251649024;mso-wrap-distance-left:0;mso-wrap-distance-right:0;mso-position-horizontal-relative:page;mso-position-vertical-relative:page" filled="f" stroked="f">
            <v:textbox inset="0,0,0,0">
              <w:txbxContent>
                <w:p w14:paraId="3BA0B5F8" w14:textId="77777777" w:rsidR="00606080" w:rsidRDefault="00910B6A">
                  <w:pPr>
                    <w:spacing w:before="4" w:after="5" w:line="249"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3BA0B58A" w14:textId="77777777" w:rsidR="00606080" w:rsidRDefault="00606080">
      <w:pPr>
        <w:sectPr w:rsidR="00606080">
          <w:pgSz w:w="11904" w:h="16843"/>
          <w:pgMar w:top="752" w:right="1022" w:bottom="890" w:left="1046" w:header="720" w:footer="720" w:gutter="0"/>
          <w:cols w:space="720"/>
        </w:sectPr>
      </w:pPr>
    </w:p>
    <w:p w14:paraId="3BA0B58B" w14:textId="77777777" w:rsidR="00606080" w:rsidRDefault="00910B6A">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Feb 06 2026 13:26:57 GMT+1 100 (AEDT) *****</w:t>
      </w:r>
    </w:p>
    <w:p w14:paraId="3BA0B58C" w14:textId="77777777" w:rsidR="00606080" w:rsidRDefault="00606080">
      <w:pPr>
        <w:spacing w:before="3" w:after="818" w:line="183" w:lineRule="exact"/>
        <w:sectPr w:rsidR="00606080">
          <w:pgSz w:w="11904" w:h="16843"/>
          <w:pgMar w:top="1040" w:right="3014" w:bottom="867" w:left="2770" w:header="720" w:footer="720" w:gutter="0"/>
          <w:cols w:space="720"/>
        </w:sectPr>
      </w:pPr>
    </w:p>
    <w:p w14:paraId="3BA0B58D" w14:textId="77777777" w:rsidR="00606080" w:rsidRDefault="00910B6A">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BA0B58E" w14:textId="77777777" w:rsidR="00606080" w:rsidRDefault="00910B6A">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BA0B58F" w14:textId="77777777" w:rsidR="00606080" w:rsidRDefault="00910B6A">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Andy Marris</w:t>
      </w:r>
    </w:p>
    <w:p w14:paraId="3BA0B590" w14:textId="77777777" w:rsidR="00606080" w:rsidRDefault="00910B6A">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SC Manager Crux</w:t>
      </w:r>
    </w:p>
    <w:p w14:paraId="3BA0B591" w14:textId="77777777" w:rsidR="00606080" w:rsidRDefault="00910B6A">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0475470725</w:t>
      </w:r>
    </w:p>
    <w:p w14:paraId="3BA0B592" w14:textId="77777777" w:rsidR="00606080" w:rsidRDefault="00910B6A">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andrew.marris@shell.com</w:t>
        </w:r>
      </w:hyperlink>
      <w:r>
        <w:rPr>
          <w:rFonts w:ascii="Arial" w:eastAsia="Arial" w:hAnsi="Arial"/>
          <w:color w:val="000000"/>
          <w:sz w:val="16"/>
        </w:rPr>
        <w:t xml:space="preserve"> </w:t>
      </w:r>
    </w:p>
    <w:p w14:paraId="3BA0B593" w14:textId="77777777" w:rsidR="00606080" w:rsidRDefault="00910B6A">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4">
        <w:r>
          <w:rPr>
            <w:rFonts w:ascii="Arial" w:eastAsia="Arial" w:hAnsi="Arial"/>
            <w:color w:val="0000FF"/>
            <w:spacing w:val="-3"/>
            <w:sz w:val="16"/>
            <w:u w:val="single"/>
          </w:rPr>
          <w:t>https://www.shell.com.au/about-us/projects-and-locations/the-crux-project.html</w:t>
        </w:r>
      </w:hyperlink>
      <w:r>
        <w:rPr>
          <w:rFonts w:ascii="Arial" w:eastAsia="Arial" w:hAnsi="Arial"/>
          <w:color w:val="000000"/>
          <w:spacing w:val="-3"/>
          <w:sz w:val="16"/>
        </w:rPr>
        <w:t xml:space="preserve"> </w:t>
      </w:r>
    </w:p>
    <w:p w14:paraId="3BA0B594" w14:textId="77777777" w:rsidR="00606080" w:rsidRDefault="00910B6A">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3BA0B595" w14:textId="77777777" w:rsidR="00606080" w:rsidRDefault="00910B6A">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https://www.shellsuppliers.com.au/</w:t>
      </w:r>
    </w:p>
    <w:p w14:paraId="3BA0B596" w14:textId="77777777" w:rsidR="00606080" w:rsidRDefault="00910B6A">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BA0B597" w14:textId="77777777" w:rsidR="00606080" w:rsidRDefault="00910B6A">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BA0B598" w14:textId="77777777" w:rsidR="00606080" w:rsidRDefault="00910B6A">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BA0B599" w14:textId="77777777" w:rsidR="00606080" w:rsidRDefault="00910B6A">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3BA0B59A" w14:textId="77777777" w:rsidR="00606080" w:rsidRDefault="00910B6A">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3BA0B59B" w14:textId="77777777" w:rsidR="00606080" w:rsidRDefault="00910B6A">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BA0B59C" w14:textId="77777777" w:rsidR="00606080" w:rsidRDefault="00910B6A">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BA0B59D" w14:textId="77777777" w:rsidR="00606080" w:rsidRDefault="00910B6A">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BA0B59E" w14:textId="77777777" w:rsidR="00606080" w:rsidRDefault="00910B6A">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BA0B59F" w14:textId="77777777" w:rsidR="00606080" w:rsidRDefault="00910B6A">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BA0B5A0" w14:textId="77777777" w:rsidR="00606080" w:rsidRDefault="00910B6A">
      <w:pPr>
        <w:spacing w:before="116" w:line="220" w:lineRule="exact"/>
        <w:ind w:left="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Assist participation by Australian entities in local, regional or national trade fairs and missions</w:t>
      </w:r>
    </w:p>
    <w:p w14:paraId="3BA0B5A1" w14:textId="77777777" w:rsidR="00606080" w:rsidRDefault="00910B6A">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BA0B5A2" w14:textId="77777777" w:rsidR="00606080" w:rsidRDefault="00910B6A">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BA0B5A3" w14:textId="77777777" w:rsidR="00606080" w:rsidRDefault="00606080">
      <w:pPr>
        <w:spacing w:before="100" w:after="4584" w:line="221" w:lineRule="exact"/>
        <w:sectPr w:rsidR="00606080">
          <w:type w:val="continuous"/>
          <w:pgSz w:w="11904" w:h="16843"/>
          <w:pgMar w:top="1040" w:right="1498" w:bottom="867" w:left="1046" w:header="720" w:footer="720" w:gutter="0"/>
          <w:cols w:space="720"/>
        </w:sectPr>
      </w:pPr>
    </w:p>
    <w:p w14:paraId="3BA0B5A4" w14:textId="77777777" w:rsidR="00606080" w:rsidRDefault="00910B6A">
      <w:pPr>
        <w:spacing w:before="4" w:line="249" w:lineRule="exact"/>
        <w:textAlignment w:val="baseline"/>
        <w:rPr>
          <w:rFonts w:eastAsia="Times New Roman"/>
          <w:color w:val="000000"/>
          <w:spacing w:val="-2"/>
        </w:rPr>
      </w:pPr>
      <w:r>
        <w:rPr>
          <w:rFonts w:eastAsia="Times New Roman"/>
          <w:color w:val="000000"/>
          <w:spacing w:val="-2"/>
        </w:rPr>
        <w:t>Page 3 of 3</w:t>
      </w:r>
    </w:p>
    <w:sectPr w:rsidR="00606080">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9D70" w14:textId="77777777" w:rsidR="008D4768" w:rsidRDefault="008D4768">
      <w:r>
        <w:separator/>
      </w:r>
    </w:p>
  </w:endnote>
  <w:endnote w:type="continuationSeparator" w:id="0">
    <w:p w14:paraId="7364596C" w14:textId="77777777" w:rsidR="008D4768" w:rsidRDefault="008D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63DC" w14:textId="77777777" w:rsidR="00502E7C" w:rsidRDefault="00502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CD5B" w14:textId="77777777" w:rsidR="00502E7C" w:rsidRDefault="00502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359D" w14:textId="77777777" w:rsidR="00502E7C" w:rsidRDefault="00502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7D88" w14:textId="77777777" w:rsidR="008D4768" w:rsidRDefault="008D4768"/>
  </w:footnote>
  <w:footnote w:type="continuationSeparator" w:id="0">
    <w:p w14:paraId="04FEB23D" w14:textId="77777777" w:rsidR="008D4768" w:rsidRDefault="008D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7620" w14:textId="77777777" w:rsidR="00502E7C" w:rsidRDefault="00502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525" w14:textId="77777777" w:rsidR="00502E7C" w:rsidRDefault="00502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FE83" w14:textId="77777777" w:rsidR="00502E7C" w:rsidRDefault="00502E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080"/>
    <w:rsid w:val="004739B8"/>
    <w:rsid w:val="00502E7C"/>
    <w:rsid w:val="00606080"/>
    <w:rsid w:val="008D4768"/>
    <w:rsid w:val="00910B6A"/>
    <w:rsid w:val="00AE0A17"/>
    <w:rsid w:val="00BB6BB3"/>
    <w:rsid w:val="00C056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3BA0B587"/>
  <w15:docId w15:val="{13AC31D3-1F0A-4A5D-B17F-ED8AC445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E7C"/>
    <w:pPr>
      <w:tabs>
        <w:tab w:val="center" w:pos="4513"/>
        <w:tab w:val="right" w:pos="9026"/>
      </w:tabs>
    </w:pPr>
  </w:style>
  <w:style w:type="character" w:customStyle="1" w:styleId="HeaderChar">
    <w:name w:val="Header Char"/>
    <w:basedOn w:val="DefaultParagraphFont"/>
    <w:link w:val="Header"/>
    <w:uiPriority w:val="99"/>
    <w:rsid w:val="00502E7C"/>
  </w:style>
  <w:style w:type="paragraph" w:styleId="Footer">
    <w:name w:val="footer"/>
    <w:basedOn w:val="Normal"/>
    <w:link w:val="FooterChar"/>
    <w:uiPriority w:val="99"/>
    <w:unhideWhenUsed/>
    <w:rsid w:val="00502E7C"/>
    <w:pPr>
      <w:tabs>
        <w:tab w:val="center" w:pos="4513"/>
        <w:tab w:val="right" w:pos="9026"/>
      </w:tabs>
    </w:pPr>
  </w:style>
  <w:style w:type="character" w:customStyle="1" w:styleId="FooterChar">
    <w:name w:val="Footer Char"/>
    <w:basedOn w:val="DefaultParagraphFont"/>
    <w:link w:val="Footer"/>
    <w:uiPriority w:val="99"/>
    <w:rsid w:val="0050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ndrew.marris@shell.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shell.com.au/about-us/projects-and-locations/the-crux-projec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199</Words>
  <Characters>1433</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þÿ</vt:lpstr>
    </vt:vector>
  </TitlesOfParts>
  <Company>Department of Industry, Innovation and Science</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Olde, Melanie</cp:lastModifiedBy>
  <cp:revision>4</cp:revision>
  <dcterms:created xsi:type="dcterms:W3CDTF">2026-02-08T23:29:00Z</dcterms:created>
  <dcterms:modified xsi:type="dcterms:W3CDTF">2026-02-08T23:31:00Z</dcterms:modified>
</cp:coreProperties>
</file>