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Dec 19 2025 09:26:57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BEACH ENERGY (OPERATIONS) LIMITED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209" w:after="0" w:line="328" w:lineRule="exact"/>
        <w:ind w:right="0" w:left="50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Otway Offshore Phase 6 Project</w:t>
        <w:br/>
      </w:r>
      <w:r>
        <w:rPr>
          <w:rFonts w:ascii="Arial" w:hAnsi="Arial" w:eastAsia="Arial"/>
          <w:color w:val="000000"/>
          <w:spacing w:val="0"/>
          <w:w w:val="100"/>
          <w:sz w:val="16"/>
          <w:vertAlign w:val="baseline"/>
          <w:lang w:val="en-US"/>
        </w:rPr>
        <w:t xml:space="preserve">Location: Otway Basin, Offshore Victoria</w:t>
        <w:br/>
      </w:r>
      <w:r>
        <w:rPr>
          <w:rFonts w:ascii="Arial" w:hAnsi="Arial" w:eastAsia="Arial"/>
          <w:color w:val="000000"/>
          <w:spacing w:val="0"/>
          <w:w w:val="100"/>
          <w:sz w:val="16"/>
          <w:vertAlign w:val="baseline"/>
          <w:lang w:val="en-US"/>
        </w:rPr>
        <w:t xml:space="preserve">Type: Petroleum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Upgrade existing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6" w:after="0" w:line="219" w:lineRule="exact"/>
        <w:ind w:right="576"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Beach Energy is a key supplier to Australia’s East Coast domestic gas market producing domestic gas through existing infrastructure located in the Otway Basin, offshore Victoria. Within the Otway Basin, Beach extracts natural gas and hydrocarbon liquids from the Thylacine field via the Thylacine A offshore platform, transporting it to shore to the Otway Gas Plant (OGP) near Port Campbell in Victoria. The Thylacine Platform is connected to the OGP via the Otway Gas Production Pipeline (OGPP) which comprises a 70 km offshore and a 11 km onshore section. The Otway Offshore Phase 6 Project includes the facilities installation activities to tie-back the successful Equinox Drilling Campaign wells, including Artisan and LaBella, to the existing OFPP subsea pipelines. The Project includes: detailed design and engineering; installation and connection to the existing infrastructure; and brownfields activities, to facilitate production through the OGP. The Project is subject to approval by Beach’s Board and associated Joint Venture Partners with Final Investment Decision (FID) planned for 2H 2026.</w:t>
      </w:r>
    </w:p>
    <w:p>
      <w:pPr>
        <w:spacing w:before="140" w:after="4805"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Jun 2029</w:t>
      </w:r>
    </w:p>
    <w:p>
      <w:pPr>
        <w:spacing w:before="140" w:after="4805"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3</w:t>
      </w:r>
    </w:p>
    <w:p>
      <w:pPr>
        <w:sectPr>
          <w:type w:val="continuous"/>
          <w:pgSz w:w="11904" w:h="16843" w:orient="portrait"/>
          <w:pgMar w:bottom="867" w:top="1040" w:right="1018" w:left="9806"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Dec 19 2025 09:26:57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bl>
      <w:tblPr>
        <w:jc w:val="left"/>
        <w:tblLayout w:type="fixed"/>
        <w:tblCellMar>
          <w:left w:w="0" w:type="dxa"/>
          <w:right w:w="0" w:type="dxa"/>
        </w:tblCellMar>
      </w:tblPr>
      <w:tblGrid>
        <w:gridCol w:w="2091"/>
        <w:gridCol w:w="1927"/>
        <w:gridCol w:w="1673"/>
        <w:gridCol w:w="2949"/>
      </w:tblGrid>
      <w:tr>
        <w:trPr>
          <w:trHeight w:val="628" w:hRule="exact"/>
        </w:trPr>
        <w:tc>
          <w:tcPr>
            <w:tcW w:w="2091" w:type="dxa"/>
            <w:tcBorders>
              <w:top w:val="none"/>
              <w:left w:val="none"/>
              <w:bottom w:val="none"/>
              <w:right w:val="none"/>
            </w:tcBorders>
            <w:textDirection w:val="lrTb"/>
            <w:vAlign w:val="center"/>
          </w:tcPr>
          <w:p>
            <w:pPr>
              <w:spacing w:before="258" w:after="178" w:line="182" w:lineRule="exact"/>
              <w:ind w:right="331" w:left="0" w:firstLine="0"/>
              <w:jc w:val="righ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Key goods and services</w:t>
            </w:r>
          </w:p>
        </w:tc>
        <w:tc>
          <w:tcPr>
            <w:tcW w:w="1927" w:type="dxa"/>
            <w:tcBorders>
              <w:top w:val="none"/>
              <w:left w:val="none"/>
              <w:bottom w:val="none"/>
              <w:right w:val="none"/>
            </w:tcBorders>
            <w:textDirection w:val="lrTb"/>
            <w:vAlign w:val="center"/>
          </w:tcPr>
          <w:p>
            <w:pPr>
              <w:spacing w:before="98" w:after="80" w:line="220"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3" w:type="dxa"/>
            <w:tcBorders>
              <w:top w:val="none"/>
              <w:left w:val="none"/>
              <w:bottom w:val="none"/>
              <w:right w:val="none"/>
            </w:tcBorders>
            <w:textDirection w:val="lrTb"/>
            <w:vAlign w:val="top"/>
          </w:tcPr>
          <w:p>
            <w:pPr>
              <w:spacing w:before="0" w:after="0" w:line="206"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949" w:type="dxa"/>
            <w:tcBorders>
              <w:top w:val="none"/>
              <w:left w:val="none"/>
              <w:bottom w:val="none"/>
              <w:right w:val="none"/>
            </w:tcBorders>
            <w:textDirection w:val="lrTb"/>
            <w:vAlign w:val="center"/>
          </w:tcPr>
          <w:p>
            <w:pPr>
              <w:spacing w:before="101" w:after="77" w:line="220" w:lineRule="exact"/>
              <w:ind w:right="108"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p>
      <w:pPr>
        <w:spacing w:before="0" w:after="51" w:line="20" w:lineRule="exact"/>
      </w:pPr>
    </w:p>
    <w:p>
      <w:pPr>
        <w:tabs>
          <w:tab w:val="left" w:leader="none" w:pos="2952"/>
          <w:tab w:val="left" w:leader="none" w:pos="4752"/>
        </w:tabs>
        <w:spacing w:before="1"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Subsea Production Controls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952"/>
          <w:tab w:val="left" w:leader="none" w:pos="475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Subsea Structures Fabrication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952"/>
          <w:tab w:val="left" w:leader="none" w:pos="475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Diving Intervention and Tie-In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952"/>
          <w:tab w:val="left" w:leader="none" w:pos="4752"/>
        </w:tabs>
        <w:spacing w:before="54" w:after="0" w:line="21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Diving Interface Structure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Fabrication</w:t>
      </w:r>
    </w:p>
    <w:p>
      <w:pPr>
        <w:tabs>
          <w:tab w:val="left" w:leader="none" w:pos="2952"/>
          <w:tab w:val="left" w:leader="none" w:pos="4752"/>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Subsea Umbilicals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tabs>
          <w:tab w:val="left" w:leader="none" w:pos="2952"/>
          <w:tab w:val="left" w:leader="none" w:pos="4752"/>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Subsea Installation and Tie-In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Yes</w:t>
      </w:r>
    </w:p>
    <w:p>
      <w:pPr>
        <w:tabs>
          <w:tab w:val="left" w:leader="none" w:pos="2952"/>
          <w:tab w:val="left" w:leader="none" w:pos="4752"/>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Subsea Flowlines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spacing w:before="317" w:after="0" w:line="85"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68"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Kate Shuttleworth</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Contracts and Procurement Specialist- Offshore</w:t>
      </w:r>
    </w:p>
    <w:p>
      <w:pPr>
        <w:spacing w:before="34" w:after="0" w:line="182" w:lineRule="exact"/>
        <w:ind w:right="0" w:left="64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0863742476</w:t>
      </w:r>
    </w:p>
    <w:p>
      <w:pPr>
        <w:spacing w:before="38"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OOP6.Project@beachenergy.com.au</w:t>
        </w:r>
      </w:hyperlink>
      <w:r>
        <w:rPr>
          <w:rFonts w:ascii="Arial" w:hAnsi="Arial" w:eastAsia="Arial"/>
          <w:color w:val="000000"/>
          <w:spacing w:val="-1"/>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https://beachenergy.com.au/vic-otway-basin/</w:t>
        </w:r>
      </w:hyperlink>
      <w:r>
        <w:rPr>
          <w:rFonts w:ascii="Arial" w:hAnsi="Arial" w:eastAsia="Arial"/>
          <w:color w:val="000000"/>
          <w:spacing w:val="-3"/>
          <w:w w:val="100"/>
          <w:sz w:val="16"/>
          <w:vertAlign w:val="baseline"/>
          <w:lang w:val="en-US"/>
        </w:rPr>
        <w:t xml:space="preserve">
</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159" w:after="0" w:line="182" w:lineRule="exact"/>
        <w:ind w:right="0" w:left="648"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https://icn.org.au/</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 w:after="0" w:line="218" w:lineRule="exact"/>
        <w:ind w:right="0" w:left="648" w:firstLine="0"/>
        <w:jc w:val="left"/>
        <w:textAlignment w:val="baseline"/>
        <w:rPr>
          <w:rFonts w:ascii="Arial" w:hAnsi="Arial" w:eastAsia="Arial"/>
          <w:color w:val="000000"/>
          <w:spacing w:val="0"/>
          <w:w w:val="100"/>
          <w:sz w:val="16"/>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55pt;height:12.65pt;z-index:-1;margin-left:489.1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3</w:t>
                  </w:r>
                </w:p>
              </w:txbxContent>
            </v:textbox>
          </v:shape>
        </w:pict>
      </w: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Develop and distribute a supplier information guide for the project</w:t>
      </w:r>
    </w:p>
    <w:p>
      <w:pPr>
        <w:sectPr>
          <w:type w:val="nextPage"/>
          <w:pgSz w:w="11904" w:h="16843" w:orient="portrait"/>
          <w:pgMar w:bottom="867" w:top="1040" w:right="2245"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Dec 19 2025 09:26:57 GMT+1 100 (AEDT) *****</w:t>
      </w:r>
    </w:p>
    <w:p>
      <w:pPr>
        <w:spacing w:before="3" w:after="818" w:line="183" w:lineRule="exact"/>
        <w:sectPr>
          <w:type w:val="nextPage"/>
          <w:pgSz w:w="11904" w:h="16843" w:orient="portrait"/>
          <w:pgMar w:bottom="867" w:top="1040" w:right="1783" w:left="148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Provide references for high performing suppliers</w:t>
        <w:br/>
      </w:r>
      <w:r>
        <w:rPr>
          <w:rFonts w:ascii="Arial" w:hAnsi="Arial" w:eastAsia="Arial"/>
          <w:color w:val="000000"/>
          <w:spacing w:val="0"/>
          <w:w w:val="100"/>
          <w:sz w:val="16"/>
          <w:vertAlign w:val="baseline"/>
          <w:lang w:val="en-US"/>
        </w:rPr>
        <w:t xml:space="preserve">Feedback:</w:t>
      </w:r>
    </w:p>
    <w:p>
      <w:pPr>
        <w:spacing w:before="104" w:after="99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9927" w:line="218"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3</w:t>
      </w:r>
    </w:p>
    <w:sectPr>
      <w:type w:val="continuous"/>
      <w:pgSz w:w="11904" w:h="16843" w:orient="portrait"/>
      <w:pgMar w:bottom="867" w:top="1040" w:right="1018" w:left="9806"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OOP6.Project@beachenergy.com.au"/><Relationship Id="dhId2" Type="http://schemas.openxmlformats.org/officeDocument/2006/relationships/hyperlink" TargetMode="External" Target="https://beachenergy.com.au/vic-otway-basin/"/><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2025-12-23T21:40:19Z</dcterms:created>
  <dcterms:modified xsi:type="dcterms:W3CDTF">2025-12-23T21:40:19Z</dcterms:modified>
</cp:coreProperties>
</file>