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02 2021 15:42:26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153"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0" w:after="349"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473" w:after="80"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187.7pt" to="552.9pt,187.7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0"/>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0"/>
          <w:w w:val="100"/>
          <w:sz w:val="16"/>
          <w:vertAlign w:val="baseline"/>
          <w:lang w:val="en-US"/>
        </w:rPr>
        <w:t xml:space="preserve">Nominated project proponent: </w:t>
      </w:r>
      <w:r>
        <w:rPr>
          <w:rFonts w:ascii="Arial" w:hAnsi="Arial" w:eastAsia="Arial"/>
          <w:color w:val="000000"/>
          <w:spacing w:val="0"/>
          <w:w w:val="100"/>
          <w:sz w:val="16"/>
          <w:vertAlign w:val="baseline"/>
          <w:lang w:val="en-US"/>
        </w:rPr>
        <w:t xml:space="preserve">SNOWY HYDRO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Hunter Power Project</w:t>
      </w:r>
    </w:p>
    <w:p>
      <w:pPr>
        <w:spacing w:before="156" w:after="0" w:line="180"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Loxford, New South Wales, 2326</w:t>
      </w:r>
    </w:p>
    <w:p>
      <w:pPr>
        <w:spacing w:before="141" w:after="0" w:line="180"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Electricity facility</w:t>
      </w:r>
    </w:p>
    <w:p>
      <w:pPr>
        <w:spacing w:before="161"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2" w:after="0" w:line="180"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Capital expenditure: $ 600,000,000</w:t>
      </w:r>
    </w:p>
    <w:p>
      <w:pPr>
        <w:spacing w:before="117" w:after="0" w:line="220" w:lineRule="exact"/>
        <w:ind w:right="792"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Description: The Hunter Power Project is a greenfields open cycle gas-fired power station and electrical switchyard that will have the capacity to generate 660 megawatts of electricity to ensure energy security as part of the National Energy Market. The Project is located at Loxford, near Kurri Kurri in NSW.</w:t>
      </w:r>
    </w:p>
    <w:p>
      <w:pPr>
        <w:spacing w:before="142" w:after="6626" w:line="180"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01 Dec 2023</w:t>
      </w:r>
    </w:p>
    <w:p>
      <w:pPr>
        <w:spacing w:before="142" w:after="6626" w:line="180"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93.75pt;height:159.9pt;z-index:-1;margin-left:218.65pt;margin-top:157.05pt;mso-wrap-distance-left:0pt;mso-wrap-distance-right:0pt;mso-position-horizontal-relative:page;mso-position-vertical-relative:page">
            <w10:wrap type="square"/>
            <v:fill opacity="1" o:opacity2="1" recolor="f" rotate="f" type="solid"/>
            <v:textbox inset="0pt, 0pt, 0pt, 0pt">
              <w:txbxContent>
                <w:tbl>
                  <w:tblPr>
                    <w:jc w:val="left"/>
                    <w:tblLayout w:type="fixed"/>
                    <w:tblCellMar>
                      <w:left w:w="0" w:type="dxa"/>
                      <w:right w:w="0" w:type="dxa"/>
                    </w:tblCellMar>
                  </w:tblPr>
                  <w:tblGrid>
                    <w:gridCol w:w="1605"/>
                    <w:gridCol w:w="1671"/>
                    <w:gridCol w:w="2599"/>
                  </w:tblGrid>
                  <w:tr>
                    <w:trPr>
                      <w:trHeight w:val="627" w:hRule="exact"/>
                    </w:trPr>
                    <w:tc>
                      <w:tcPr>
                        <w:tcW w:w="1605" w:type="dxa"/>
                        <w:tcBorders>
                          <w:top w:val="none"/>
                          <w:left w:val="none"/>
                          <w:bottom w:val="none"/>
                          <w:right w:val="none"/>
                        </w:tcBorders>
                        <w:textDirection w:val="lrTb"/>
                        <w:vAlign w:val="center"/>
                      </w:tcPr>
                      <w:p>
                        <w:pPr>
                          <w:spacing w:before="98" w:after="79" w:line="220" w:lineRule="exact"/>
                          <w:ind w:right="0" w:left="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1" w:type="dxa"/>
                        <w:tcBorders>
                          <w:top w:val="none"/>
                          <w:left w:val="none"/>
                          <w:bottom w:val="none"/>
                          <w:right w:val="none"/>
                        </w:tcBorders>
                        <w:textDirection w:val="lrTb"/>
                        <w:vAlign w:val="top"/>
                      </w:tcPr>
                      <w:p>
                        <w:pPr>
                          <w:spacing w:before="0" w:after="0" w:line="205"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599" w:type="dxa"/>
                        <w:tcBorders>
                          <w:top w:val="none"/>
                          <w:left w:val="none"/>
                          <w:bottom w:val="none"/>
                          <w:right w:val="none"/>
                        </w:tcBorders>
                        <w:textDirection w:val="lrTb"/>
                        <w:vAlign w:val="center"/>
                      </w:tcPr>
                      <w:p>
                        <w:pPr>
                          <w:spacing w:before="101" w:after="76" w:line="220" w:lineRule="exact"/>
                          <w:ind w:right="0" w:left="144" w:firstLine="0"/>
                          <w:jc w:val="left"/>
                          <w:textAlignment w:val="baseline"/>
                          <w:rPr>
                            <w:rFonts w:ascii="Arial" w:hAnsi="Arial" w:eastAsia="Arial"/>
                            <w:b w:val="true"/>
                            <w:color w:val="000000"/>
                            <w:spacing w:val="-3"/>
                            <w:w w:val="100"/>
                            <w:sz w:val="16"/>
                            <w:vertAlign w:val="baseline"/>
                            <w:lang w:val="en-US"/>
                          </w:rPr>
                        </w:pPr>
                        <w:r>
                          <w:rPr>
                            <w:rFonts w:ascii="Arial" w:hAnsi="Arial" w:eastAsia="Arial"/>
                            <w:b w:val="true"/>
                            <w:color w:val="000000"/>
                            <w:spacing w:val="-3"/>
                            <w:w w:val="100"/>
                            <w:sz w:val="16"/>
                            <w:vertAlign w:val="baseline"/>
                            <w:lang w:val="en-US"/>
                          </w:rPr>
                          <w:t xml:space="preserve">Explanation for no opportunities for Australian entities</w:t>
                        </w:r>
                      </w:p>
                    </w:tc>
                  </w:tr>
                </w:tbl>
                <w:p>
                  <w:pPr>
                    <w:spacing w:before="0" w:after="152" w:line="20" w:lineRule="exact"/>
                  </w:pPr>
                </w:p>
                <w:p>
                  <w:pPr>
                    <w:tabs>
                      <w:tab w:val="left" w:leader="none" w:pos="2376"/>
                    </w:tabs>
                    <w:spacing w:before="1" w:after="0" w:line="182" w:lineRule="exact"/>
                    <w:ind w:right="0" w:left="504" w:firstLine="0"/>
                    <w:jc w:val="both"/>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Yes</w:t>
                  </w:r>
                </w:p>
                <w:p>
                  <w:pPr>
                    <w:tabs>
                      <w:tab w:val="left" w:leader="none" w:pos="2376"/>
                    </w:tabs>
                    <w:spacing w:before="255" w:after="0" w:line="182" w:lineRule="exact"/>
                    <w:ind w:right="0" w:left="504" w:firstLine="0"/>
                    <w:jc w:val="both"/>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Yes</w:t>
                  </w:r>
                </w:p>
                <w:p>
                  <w:pPr>
                    <w:tabs>
                      <w:tab w:val="left" w:leader="none" w:pos="2376"/>
                    </w:tabs>
                    <w:spacing w:before="259" w:after="0" w:line="182" w:lineRule="exact"/>
                    <w:ind w:right="0" w:left="504" w:firstLine="0"/>
                    <w:jc w:val="both"/>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Yes	</w:t>
                  </w:r>
                  <w:r>
                    <w:rPr>
                      <w:rFonts w:ascii="Arial" w:hAnsi="Arial" w:eastAsia="Arial"/>
                      <w:color w:val="000000"/>
                      <w:spacing w:val="-4"/>
                      <w:w w:val="100"/>
                      <w:sz w:val="16"/>
                      <w:vertAlign w:val="baseline"/>
                      <w:lang w:val="en-US"/>
                    </w:rPr>
                    <w:t xml:space="preserve">No</w:t>
                  </w:r>
                </w:p>
                <w:p>
                  <w:pPr>
                    <w:tabs>
                      <w:tab w:val="left" w:leader="none" w:pos="2376"/>
                    </w:tabs>
                    <w:spacing w:before="260" w:after="0" w:line="182" w:lineRule="exact"/>
                    <w:ind w:right="0" w:left="504" w:firstLine="0"/>
                    <w:jc w:val="both"/>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Yes</w:t>
                  </w:r>
                </w:p>
                <w:p>
                  <w:pPr>
                    <w:tabs>
                      <w:tab w:val="left" w:leader="none" w:pos="2376"/>
                    </w:tabs>
                    <w:spacing w:before="255" w:after="0" w:line="182" w:lineRule="exact"/>
                    <w:ind w:right="0" w:left="504" w:firstLine="0"/>
                    <w:jc w:val="both"/>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Yes	</w:t>
                  </w:r>
                  <w:r>
                    <w:rPr>
                      <w:rFonts w:ascii="Arial" w:hAnsi="Arial" w:eastAsia="Arial"/>
                      <w:color w:val="000000"/>
                      <w:spacing w:val="-4"/>
                      <w:w w:val="100"/>
                      <w:sz w:val="16"/>
                      <w:vertAlign w:val="baseline"/>
                      <w:lang w:val="en-US"/>
                    </w:rPr>
                    <w:t xml:space="preserve">No</w:t>
                  </w:r>
                </w:p>
                <w:p>
                  <w:pPr>
                    <w:tabs>
                      <w:tab w:val="left" w:leader="none" w:pos="2376"/>
                    </w:tabs>
                    <w:spacing w:before="259" w:after="0" w:line="168" w:lineRule="exact"/>
                    <w:ind w:right="0" w:left="504" w:firstLine="0"/>
                    <w:jc w:val="both"/>
                    <w:textAlignment w:val="baseline"/>
                    <w:rPr>
                      <w:rFonts w:ascii="Arial" w:hAnsi="Arial" w:eastAsia="Arial"/>
                      <w:color w:val="000000"/>
                      <w:spacing w:val="-8"/>
                      <w:w w:val="95"/>
                      <w:sz w:val="16"/>
                      <w:vertAlign w:val="baseline"/>
                      <w:lang w:val="en-US"/>
                    </w:rPr>
                  </w:pPr>
                  <w:r>
                    <w:rPr>
                      <w:rFonts w:ascii="Arial" w:hAnsi="Arial" w:eastAsia="Arial"/>
                      <w:color w:val="000000"/>
                      <w:spacing w:val="-8"/>
                      <w:w w:val="95"/>
                      <w:sz w:val="16"/>
                      <w:vertAlign w:val="baseline"/>
                      <w:lang w:val="en-US"/>
                    </w:rPr>
                    <w:t xml:space="preserve">Yes	</w:t>
                  </w:r>
                  <w:r>
                    <w:rPr>
                      <w:rFonts w:ascii="Arial" w:hAnsi="Arial" w:eastAsia="Arial"/>
                      <w:color w:val="000000"/>
                      <w:spacing w:val="-8"/>
                      <w:w w:val="95"/>
                      <w:sz w:val="16"/>
                      <w:vertAlign w:val="baseline"/>
                      <w:lang w:val="en-US"/>
                    </w:rPr>
                    <w:t xml:space="preserve">Yes</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06pt;height:50.7pt;z-index:-1;margin-left:138.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02 2021 15:42:26 GMT+1000 (AEST)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34pt;height:54.35pt;z-index:1;margin-left:52.8pt;margin-top:102.7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91"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Indicative list of key goods and services to be acquired for the project: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50pt;height:166.9pt;z-index:-1;margin-left:52.3pt;margin-top:157.05pt;mso-wrap-distance-left:0pt;mso-wrap-distance-right:0pt;mso-position-horizontal-relative:page;mso-position-vertical-relative:page">
            <w10:wrap type="square" side="both"/>
            <v:fill opacity="1" o:opacity2="1" recolor="f" rotate="f" type="solid"/>
            <v:textbox inset="0pt, 0pt, 0pt, 0pt">
              <w:txbxContent>
                <w:p>
                  <w:pPr>
                    <w:spacing w:before="257" w:after="0" w:line="183"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Key goods and services</w:t>
                  </w:r>
                </w:p>
                <w:p>
                  <w:pPr>
                    <w:spacing w:before="220" w:after="0" w:line="221" w:lineRule="exact"/>
                    <w:ind w:right="7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Detailed engineering design and associated services for the whole of Plant</w:t>
                  </w:r>
                </w:p>
                <w:p>
                  <w:pPr>
                    <w:spacing w:before="5"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 all Plant structures; assemble and install Plant equipment</w:t>
                  </w:r>
                </w:p>
                <w:p>
                  <w:pPr>
                    <w:spacing w:before="0" w:after="0"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works to prepare the Project site for the main construction activities</w:t>
                  </w:r>
                </w:p>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Design and supply of gas supply infrastructure</w:t>
                  </w:r>
                </w:p>
                <w:p>
                  <w:pPr>
                    <w:spacing w:before="5" w:after="0" w:line="216" w:lineRule="exact"/>
                    <w:ind w:right="216"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Development of gas lateral and receiving station</w:t>
                  </w:r>
                </w:p>
                <w:p>
                  <w:pPr>
                    <w:spacing w:before="0" w:after="24" w:line="220" w:lineRule="exact"/>
                    <w:ind w:right="576"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132kV electrical switchyard supply / construction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92pt;height:455.05pt;z-index:-1;margin-left:50.95pt;margin-top:323.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888"/>
                      <w:tab w:val="left" w:leader="none" w:pos="568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of station auxiliary power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888"/>
                      <w:tab w:val="left" w:leader="none" w:pos="5688"/>
                    </w:tabs>
                    <w:spacing w:before="52" w:after="0" w:line="220"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Design of specialist sub-packages, e.g. fire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systems, security</w:t>
                  </w:r>
                </w:p>
                <w:p>
                  <w:pPr>
                    <w:tabs>
                      <w:tab w:val="left" w:leader="none" w:pos="3888"/>
                      <w:tab w:val="left" w:leader="none" w:pos="5688"/>
                    </w:tabs>
                    <w:spacing w:before="26" w:after="0" w:line="20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Design and supply of generator step-up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transformers and circuit breakers</w:t>
                  </w:r>
                </w:p>
                <w:p>
                  <w:pPr>
                    <w:tabs>
                      <w:tab w:val="left" w:leader="none" w:pos="3888"/>
                      <w:tab w:val="left" w:leader="none" w:pos="568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Power Island Equipment Design and Supply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317"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2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20" w:after="0" w:line="221"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73"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75" w:after="0" w:line="183"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Lisa Kirkup</w:t>
                  </w:r>
                </w:p>
                <w:p>
                  <w:pPr>
                    <w:spacing w:before="38" w:after="0" w:line="183"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Category Manager Projects - Procurement</w:t>
                  </w:r>
                </w:p>
                <w:p>
                  <w:pPr>
                    <w:spacing w:before="38" w:after="0" w:line="183" w:lineRule="exact"/>
                    <w:ind w:right="0" w:left="64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0421106665</w:t>
                  </w:r>
                </w:p>
                <w:p>
                  <w:pPr>
                    <w:spacing w:before="38" w:after="0" w:line="183"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lisa.kirkup@snowyhydro.com.au</w:t>
                    </w:r>
                  </w:hyperlink>
                  <w:r>
                    <w:rPr>
                      <w:rFonts w:ascii="Arial" w:hAnsi="Arial" w:eastAsia="Arial"/>
                      <w:color w:val="000000"/>
                      <w:spacing w:val="0"/>
                      <w:w w:val="100"/>
                      <w:sz w:val="16"/>
                      <w:vertAlign w:val="baseline"/>
                      <w:lang w:val="en-US"/>
                    </w:rPr>
                    <w:t xml:space="preserve">
</w:t>
                  </w:r>
                </w:p>
                <w:p>
                  <w:pPr>
                    <w:spacing w:before="196"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https://www.snowyhydro.com.au/hunter-power-project/</w:t>
                    </w:r>
                  </w:hyperlink>
                  <w:r>
                    <w:rPr>
                      <w:rFonts w:ascii="Arial" w:hAnsi="Arial" w:eastAsia="Arial"/>
                      <w:color w:val="000000"/>
                      <w:spacing w:val="-3"/>
                      <w:w w:val="100"/>
                      <w:sz w:val="16"/>
                      <w:vertAlign w:val="baseline"/>
                      <w:lang w:val="en-US"/>
                    </w:rPr>
                    <w:t xml:space="preserve">
</w:t>
                  </w:r>
                </w:p>
                <w:p>
                  <w:pPr>
                    <w:spacing w:before="135"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Project opportunities website: </w:t>
                  </w:r>
                  <w:hyperlink r:id="dhId3">
                    <w:r>
                      <w:rPr>
                        <w:rFonts w:ascii="Arial" w:hAnsi="Arial" w:eastAsia="Arial"/>
                        <w:color w:val="0000FF"/>
                        <w:spacing w:val="-2"/>
                        <w:w w:val="100"/>
                        <w:sz w:val="16"/>
                        <w:u w:val="single"/>
                        <w:vertAlign w:val="baseline"/>
                        <w:lang w:val="en-US"/>
                      </w:rPr>
                      <w:t xml:space="preserve">https://www.snowyhydro.com.au/hunter-power-project/,</w:t>
                    </w:r>
                  </w:hyperlink>
                  <w:r>
                    <w:rPr>
                      <w:rFonts w:ascii="Arial" w:hAnsi="Arial" w:eastAsia="Arial"/>
                      <w:color w:val="000000"/>
                      <w:spacing w:val="-2"/>
                      <w:w w:val="100"/>
                      <w:sz w:val="16"/>
                      <w:vertAlign w:val="baseline"/>
                      <w:lang w:val="en-US"/>
                    </w:rPr>
                    <w:t xml:space="preserve"> ICN Gateway</w:t>
                  </w:r>
                </w:p>
                <w:p>
                  <w:pPr>
                    <w:spacing w:before="158"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0"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4"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38"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and invite Australian suppliers to participate in bid processes</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Snowy Hydro will favour suppliers with a strong Australian based presence, thus contacting and exposing more Australian</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suppliers to the project opportunities.</w:t>
                  </w:r>
                </w:p>
                <w:p>
                  <w:pPr>
                    <w:spacing w:before="730" w:after="5"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1045"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02 2021 15:42:26 GMT+1000 (AEST) *****</w:t>
      </w:r>
    </w:p>
    <w:p>
      <w:pPr>
        <w:spacing w:before="3" w:after="818" w:line="183" w:lineRule="exact"/>
        <w:sectPr>
          <w:type w:val="nextPage"/>
          <w:pgSz w:w="11904" w:h="16843" w:orient="portrait"/>
          <w:pgMar w:bottom="867" w:top="1040" w:right="3014" w:left="2770"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0" w:firstLine="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Feedback process for unsuccessful bidders:</w:t>
      </w:r>
    </w:p>
    <w:p>
      <w:pPr>
        <w:spacing w:before="104" w:after="9927" w:line="218" w:lineRule="exact"/>
        <w:ind w:right="7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Snowy Hydro will offer a debrief to each unsuccessful Australian entity to provide feedback and recommendation. Snowy Hydro provides constructive feedback to unsuccessful Australian bidders to recommend areas for improvement, which will assist the unsuccessful entities' responses to any future project opportunities.</w:t>
      </w:r>
    </w:p>
    <w:p>
      <w:pPr>
        <w:spacing w:before="104" w:after="9927" w:line="218" w:lineRule="exact"/>
        <w:sectPr>
          <w:type w:val="continuous"/>
          <w:pgSz w:w="11904" w:h="16843" w:orient="portrait"/>
          <w:pgMar w:bottom="867" w:top="1040" w:right="149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4" w:left="9780"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02 2021 15:42:26 GMT+1000 (AEST) *****</w:t>
      </w:r>
    </w:p>
    <w:p>
      <w:pPr>
        <w:spacing w:before="902"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4" w:after="0" w:line="183" w:lineRule="exact"/>
        <w:ind w:right="0" w:left="0"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facility operator: </w:t>
      </w:r>
      <w:r>
        <w:rPr>
          <w:rFonts w:ascii="Arial" w:hAnsi="Arial" w:eastAsia="Arial"/>
          <w:color w:val="000000"/>
          <w:spacing w:val="-1"/>
          <w:w w:val="100"/>
          <w:sz w:val="16"/>
          <w:vertAlign w:val="baseline"/>
          <w:lang w:val="en-US"/>
        </w:rPr>
        <w:t xml:space="preserve">SNOWY HYDRO LIMITED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Name: Hunter Power Project</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Loxford, New South Wales, 2326</w:t>
      </w:r>
    </w:p>
    <w:p>
      <w:pPr>
        <w:spacing w:before="159" w:after="0" w:line="182" w:lineRule="exact"/>
        <w:ind w:right="0"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Type: Electricity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p>
      <w:pPr>
        <w:spacing w:before="722"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442.35pt;height:31.45pt;z-index:-2;margin-left:8.4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1519"/>
                    <w:gridCol w:w="1750"/>
                    <w:gridCol w:w="261"/>
                    <w:gridCol w:w="1673"/>
                    <w:gridCol w:w="3644"/>
                  </w:tblGrid>
                  <w:tr>
                    <w:trPr>
                      <w:trHeight w:val="629" w:hRule="exact"/>
                    </w:trPr>
                    <w:tc>
                      <w:tcPr>
                        <w:tcW w:w="1519" w:type="dxa"/>
                        <w:tcBorders>
                          <w:top w:val="none"/>
                          <w:left w:val="none"/>
                          <w:bottom w:val="none"/>
                          <w:right w:val="none"/>
                        </w:tcBorders>
                        <w:textDirection w:val="lrTb"/>
                        <w:vAlign w:val="center"/>
                      </w:tcPr>
                      <w:p>
                        <w:pPr>
                          <w:spacing w:before="101" w:after="85" w:line="221"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0" w:type="dxa"/>
                        <w:tcBorders>
                          <w:top w:val="none"/>
                          <w:left w:val="none"/>
                          <w:bottom w:val="none"/>
                          <w:right w:val="none"/>
                        </w:tcBorders>
                        <w:textDirection w:val="lrTb"/>
                        <w:vAlign w:val="center"/>
                      </w:tcPr>
                      <w:p>
                        <w:pPr>
                          <w:spacing w:before="101" w:after="85" w:line="221" w:lineRule="exact"/>
                          <w:ind w:right="0" w:left="432"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5" w:after="160" w:line="133" w:lineRule="exact"/>
                          <w:ind w:right="0" w:left="0" w:firstLine="0"/>
                          <w:jc w:val="center"/>
                          <w:textAlignment w:val="baseline"/>
                          <w:rPr>
                            <w:rFonts w:ascii="Arial" w:hAnsi="Arial" w:eastAsia="Arial"/>
                            <w:b w:val="true"/>
                            <w:color w:val="000000"/>
                            <w:spacing w:val="0"/>
                            <w:w w:val="100"/>
                            <w:sz w:val="11"/>
                            <w:vertAlign w:val="baseline"/>
                            <w:lang w:val="en-US"/>
                          </w:rPr>
                        </w:pPr>
                        <w:r>
                          <w:rPr>
                            <w:rFonts w:ascii="Arial" w:hAnsi="Arial" w:eastAsia="Arial"/>
                            <w:b w:val="true"/>
                            <w:color w:val="000000"/>
                            <w:spacing w:val="0"/>
                            <w:w w:val="100"/>
                            <w:sz w:val="11"/>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44"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p>
    <w:p>
      <w:pPr>
        <w:sectPr>
          <w:type w:val="nextPage"/>
          <w:pgSz w:w="11904" w:h="16843" w:orient="portrait"/>
          <w:pgMar w:bottom="867" w:top="1040" w:right="946" w:left="878" w:header="720" w:footer="720"/>
          <w:titlePg w:val="false"/>
          <w:textDirection w:val="lrTb"/>
        </w:sectPr>
      </w:pPr>
    </w:p>
    <w:p>
      <w:pPr>
        <w:spacing w:before="23" w:after="0" w:line="182" w:lineRule="exact"/>
        <w:ind w:right="0" w:left="0" w:firstLine="0"/>
        <w:jc w:val="left"/>
        <w:textAlignment w:val="baseline"/>
        <w:rPr>
          <w:rFonts w:ascii="Arial" w:hAnsi="Arial" w:eastAsia="Arial"/>
          <w:color w:val="000000"/>
          <w:spacing w:val="-3"/>
          <w:w w:val="100"/>
          <w:sz w:val="11"/>
          <w:vertAlign w:val="superscript"/>
          <w:lang w:val="en-US"/>
        </w:rPr>
      </w:pPr>
      <w:r>
        <w:rPr>
          <w:rFonts w:ascii="Arial" w:hAnsi="Arial" w:eastAsia="Arial"/>
          <w:color w:val="000000"/>
          <w:spacing w:val="-3"/>
          <w:w w:val="100"/>
          <w:sz w:val="11"/>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61"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standards: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73"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8" w:after="0" w:line="183"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Lisa Kirkup</w:t>
      </w:r>
    </w:p>
    <w:p>
      <w:pPr>
        <w:spacing w:before="38" w:after="0" w:line="183"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Category Manager Projects - Procurement</w:t>
      </w:r>
    </w:p>
    <w:p>
      <w:pPr>
        <w:spacing w:before="38" w:after="0" w:line="183"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0421106665</w:t>
      </w:r>
    </w:p>
    <w:p>
      <w:pPr>
        <w:spacing w:before="38" w:after="0" w:line="183"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4">
        <w:r>
          <w:rPr>
            <w:rFonts w:ascii="Arial" w:hAnsi="Arial" w:eastAsia="Arial"/>
            <w:color w:val="0000FF"/>
            <w:spacing w:val="0"/>
            <w:w w:val="100"/>
            <w:sz w:val="16"/>
            <w:u w:val="single"/>
            <w:vertAlign w:val="baseline"/>
            <w:lang w:val="en-US"/>
          </w:rPr>
          <w:t xml:space="preserve">lisa.kirkup@snowyhydro.com.au</w:t>
        </w:r>
      </w:hyperlink>
      <w:r>
        <w:rPr>
          <w:rFonts w:ascii="Arial" w:hAnsi="Arial" w:eastAsia="Arial"/>
          <w:color w:val="000000"/>
          <w:spacing w:val="0"/>
          <w:w w:val="100"/>
          <w:sz w:val="16"/>
          <w:vertAlign w:val="baseline"/>
          <w:lang w:val="en-US"/>
        </w:rPr>
        <w:t xml:space="preserve">
</w:t>
      </w:r>
    </w:p>
    <w:p>
      <w:pPr>
        <w:spacing w:before="196"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 website: </w:t>
      </w:r>
      <w:hyperlink r:id="dhId5">
        <w:r>
          <w:rPr>
            <w:rFonts w:ascii="Arial" w:hAnsi="Arial" w:eastAsia="Arial"/>
            <w:color w:val="0000FF"/>
            <w:spacing w:val="-2"/>
            <w:w w:val="100"/>
            <w:sz w:val="16"/>
            <w:u w:val="single"/>
            <w:vertAlign w:val="baseline"/>
            <w:lang w:val="en-US"/>
          </w:rPr>
          <w:t xml:space="preserve">www.snowyhydro.com.au</w:t>
        </w:r>
      </w:hyperlink>
      <w:r>
        <w:rPr>
          <w:rFonts w:ascii="Arial" w:hAnsi="Arial" w:eastAsia="Arial"/>
          <w:color w:val="000000"/>
          <w:spacing w:val="-2"/>
          <w:w w:val="100"/>
          <w:sz w:val="16"/>
          <w:vertAlign w:val="baseline"/>
          <w:lang w:val="en-US"/>
        </w:rPr>
        <w:t xml:space="preserve">
</w:t>
      </w:r>
    </w:p>
    <w:p>
      <w:pPr>
        <w:spacing w:before="106" w:after="0" w:line="216" w:lineRule="exact"/>
        <w:ind w:right="43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opportunities website: Snowy Hydro actively conducts its market research, evaluates suppliers' capability and capacity, and contacts potential suppliers for their interests or further information.</w:t>
      </w:r>
    </w:p>
    <w:p>
      <w:pPr>
        <w:spacing w:before="158"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0"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and invite Australian suppliers to participate in bid processes</w:t>
      </w:r>
    </w:p>
    <w:p>
      <w:pPr>
        <w:spacing w:before="38" w:after="0" w:line="182" w:lineRule="exact"/>
        <w:ind w:right="0" w:left="0" w:firstLine="0"/>
        <w:jc w:val="center"/>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Snowy Hydro will favour suppliers with a strong Australian based presence, thus contacting and exposing more Australian</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suppliers to the project opportunities.</w:t>
      </w:r>
    </w:p>
    <w:p>
      <w:pPr>
        <w:spacing w:before="1671"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5</w:t>
      </w:r>
    </w:p>
    <w:p>
      <w:pPr>
        <w:sectPr>
          <w:type w:val="continuous"/>
          <w:pgSz w:w="11904" w:h="16843" w:orient="portrait"/>
          <w:pgMar w:bottom="867" w:top="1040" w:right="1038" w:left="1046"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02 2021 15:42:26 GMT+1000 (AEST) *****</w:t>
      </w:r>
    </w:p>
    <w:p>
      <w:pPr>
        <w:spacing w:before="3" w:after="818" w:line="183" w:lineRule="exact"/>
        <w:sectPr>
          <w:type w:val="nextPage"/>
          <w:pgSz w:w="11904" w:h="16843" w:orient="portrait"/>
          <w:pgMar w:bottom="867" w:top="1040" w:right="1193" w:left="891" w:header="720" w:footer="720"/>
          <w:titlePg w:val="false"/>
          <w:textDirection w:val="lrTb"/>
        </w:sectPr>
      </w:pPr>
    </w:p>
    <w:p>
      <w:pPr>
        <w:spacing w:before="0" w:after="0" w:line="391"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72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197"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144" w:firstLine="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Feedback process for unsuccessful bidders:</w:t>
      </w:r>
    </w:p>
    <w:p>
      <w:pPr>
        <w:spacing w:before="104" w:after="9927" w:line="218" w:lineRule="exact"/>
        <w:ind w:right="72"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Snowy Hydro will offer a debrief to each unsuccessful Australian entity to provide feedback and recommendation. Snowy Hydro provides constructive feedback to unsuccessful Australian bidders to recommend areas for improvement, which will assist the unsuccessful entities' responses to any future project opportunities.</w:t>
      </w:r>
    </w:p>
    <w:p>
      <w:pPr>
        <w:spacing w:before="104" w:after="9927" w:line="218" w:lineRule="exact"/>
        <w:sectPr>
          <w:type w:val="continuous"/>
          <w:pgSz w:w="11904" w:h="16843" w:orient="portrait"/>
          <w:pgMar w:bottom="867" w:top="1040" w:right="1498" w:left="89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lisa.kirkup@snowyhydro.com.au"/><Relationship Id="dhId2" Type="http://schemas.openxmlformats.org/officeDocument/2006/relationships/hyperlink" TargetMode="External" Target="https://www.snowyhydro.com.au/hunter-power-project/"/><Relationship Id="dhId3" Type="http://schemas.openxmlformats.org/officeDocument/2006/relationships/hyperlink" TargetMode="External" Target="https://www.snowyhydro.com.au/hunter-power-project/,"/><Relationship Id="dhId4" Type="http://schemas.openxmlformats.org/officeDocument/2006/relationships/hyperlink" TargetMode="External" Target="mailto:lisa.kirkup@snowyhydro.com.au"/><Relationship Id="dhId5" Type="http://schemas.openxmlformats.org/officeDocument/2006/relationships/hyperlink" TargetMode="External" Target="http://www.snowyhydro.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2025-06-11T03:16:41Z</dcterms:created>
  <dcterms:modified xsi:type="dcterms:W3CDTF">2025-06-11T03:16:41Z</dcterms:modified>
</cp:coreProperties>
</file>