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FF12F" w14:textId="77777777" w:rsidR="00AE5D03" w:rsidRDefault="00277326">
      <w:pPr>
        <w:textAlignment w:val="baseline"/>
        <w:rPr>
          <w:rFonts w:eastAsia="Times New Roman"/>
          <w:color w:val="000000"/>
          <w:sz w:val="24"/>
        </w:rPr>
      </w:pPr>
      <w:r>
        <w:pict w14:anchorId="51401BA6">
          <v:shapetype id="_x0000_t202" coordsize="21600,21600" o:spt="202" path="m,l,21600r21600,l21600,xe">
            <v:stroke joinstyle="miter"/>
            <v:path gradientshapeok="t" o:connecttype="rect"/>
          </v:shapetype>
          <v:shape id="_x0000_s0" o:spid="_x0000_s1054" type="#_x0000_t202" style="position:absolute;margin-left:52.3pt;margin-top:623.05pt;width:451.2pt;height:34.05pt;z-index:-251668992;mso-wrap-distance-left:0;mso-wrap-distance-right:0;mso-position-horizontal-relative:page;mso-position-vertical-relative:page" filled="f" stroked="f">
            <v:textbox inset="0,0,0,0">
              <w:txbxContent>
                <w:p w14:paraId="32C9CC78" w14:textId="77777777" w:rsidR="00277326" w:rsidRDefault="00277326"/>
              </w:txbxContent>
            </v:textbox>
            <w10:wrap type="square" anchorx="page" anchory="page"/>
          </v:shape>
        </w:pict>
      </w:r>
      <w:r>
        <w:pict w14:anchorId="2371883F">
          <v:shape id="_x0000_s1053" type="#_x0000_t202" style="position:absolute;margin-left:27.85pt;margin-top:52pt;width:525pt;height:72.1pt;z-index:251643392;mso-wrap-distance-left:0;mso-wrap-distance-right:0;mso-position-horizontal-relative:page;mso-position-vertical-relative:page" filled="f" stroked="f">
            <v:textbox inset="0,0,0,0">
              <w:txbxContent>
                <w:p w14:paraId="152AACF8" w14:textId="77777777" w:rsidR="00AE5D03" w:rsidRDefault="00277326">
                  <w:pPr>
                    <w:spacing w:before="3" w:after="1250" w:line="183" w:lineRule="exact"/>
                    <w:jc w:val="center"/>
                    <w:textAlignment w:val="baseline"/>
                    <w:rPr>
                      <w:rFonts w:eastAsia="Times New Roman"/>
                      <w:color w:val="000000"/>
                      <w:sz w:val="16"/>
                    </w:rPr>
                  </w:pPr>
                  <w:r>
                    <w:rPr>
                      <w:rFonts w:eastAsia="Times New Roman"/>
                      <w:color w:val="000000"/>
                      <w:sz w:val="16"/>
                    </w:rPr>
                    <w:t>***** Approved by AIP Authority on Mon May 19</w:t>
                  </w:r>
                  <w:proofErr w:type="gramStart"/>
                  <w:r>
                    <w:rPr>
                      <w:rFonts w:eastAsia="Times New Roman"/>
                      <w:color w:val="000000"/>
                      <w:sz w:val="16"/>
                    </w:rPr>
                    <w:t xml:space="preserve"> 2025</w:t>
                  </w:r>
                  <w:proofErr w:type="gramEnd"/>
                  <w:r>
                    <w:rPr>
                      <w:rFonts w:eastAsia="Times New Roman"/>
                      <w:color w:val="000000"/>
                      <w:sz w:val="16"/>
                    </w:rPr>
                    <w:t xml:space="preserve"> 16:01:57 GMT+1000 (AEST) *****</w:t>
                  </w:r>
                </w:p>
              </w:txbxContent>
            </v:textbox>
            <w10:wrap anchorx="page" anchory="page"/>
          </v:shape>
        </w:pict>
      </w:r>
      <w:r>
        <w:pict w14:anchorId="5584A3AA">
          <v:shape id="_x0000_s1052" type="#_x0000_t202" style="position:absolute;margin-left:209.3pt;margin-top:124.1pt;width:2in;height:24.65pt;z-index:-251667968;mso-wrap-distance-left:0;mso-wrap-distance-right:0;mso-position-horizontal-relative:page;mso-position-vertical-relative:page" filled="f" stroked="f">
            <v:textbox inset="0,0,0,0">
              <w:txbxContent>
                <w:p w14:paraId="597C3CD4" w14:textId="77777777" w:rsidR="00AE5D03" w:rsidRDefault="00277326">
                  <w:pPr>
                    <w:spacing w:after="162"/>
                    <w:ind w:right="34"/>
                    <w:textAlignment w:val="baseline"/>
                  </w:pPr>
                  <w:r>
                    <w:rPr>
                      <w:noProof/>
                    </w:rPr>
                    <w:drawing>
                      <wp:inline distT="0" distB="0" distL="0" distR="0" wp14:anchorId="2633087F" wp14:editId="0ED9B0A7">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pict w14:anchorId="5C87953C">
          <v:shape id="_x0000_s1051" type="#_x0000_t202" style="position:absolute;margin-left:27.85pt;margin-top:148.75pt;width:525pt;height:62.15pt;z-index:-251666944;mso-wrap-distance-left:0;mso-wrap-distance-right:0;mso-position-horizontal-relative:page;mso-position-vertical-relative:page" filled="f" stroked="f">
            <v:textbox inset="0,0,0,0">
              <w:txbxContent>
                <w:p w14:paraId="5C2C1D02" w14:textId="77777777" w:rsidR="00AE5D03" w:rsidRDefault="00277326">
                  <w:pPr>
                    <w:spacing w:line="391" w:lineRule="exact"/>
                    <w:jc w:val="center"/>
                    <w:textAlignment w:val="baseline"/>
                    <w:rPr>
                      <w:rFonts w:ascii="Arial" w:eastAsia="Arial" w:hAnsi="Arial"/>
                      <w:color w:val="000000"/>
                      <w:spacing w:val="6"/>
                      <w:w w:val="95"/>
                      <w:sz w:val="34"/>
                    </w:rPr>
                  </w:pPr>
                  <w:r>
                    <w:rPr>
                      <w:rFonts w:ascii="Arial" w:eastAsia="Arial" w:hAnsi="Arial"/>
                      <w:color w:val="000000"/>
                      <w:spacing w:val="6"/>
                      <w:w w:val="95"/>
                      <w:sz w:val="34"/>
                    </w:rPr>
                    <w:t>Australian Jobs Act 2013</w:t>
                  </w:r>
                </w:p>
                <w:p w14:paraId="2361C5D2" w14:textId="77777777" w:rsidR="00AE5D03" w:rsidRDefault="00277326">
                  <w:pPr>
                    <w:spacing w:before="239" w:after="348" w:line="251" w:lineRule="exact"/>
                    <w:jc w:val="center"/>
                    <w:textAlignment w:val="baseline"/>
                    <w:rPr>
                      <w:rFonts w:ascii="Arial" w:eastAsia="Arial" w:hAnsi="Arial"/>
                      <w:color w:val="000000"/>
                      <w:spacing w:val="-1"/>
                    </w:rPr>
                  </w:pPr>
                  <w:r>
                    <w:rPr>
                      <w:rFonts w:ascii="Arial" w:eastAsia="Arial" w:hAnsi="Arial"/>
                      <w:color w:val="000000"/>
                      <w:spacing w:val="-1"/>
                    </w:rPr>
                    <w:t>AIP Plan reference code:</w:t>
                  </w:r>
                </w:p>
              </w:txbxContent>
            </v:textbox>
            <w10:wrap type="square" anchorx="page" anchory="page"/>
          </v:shape>
        </w:pict>
      </w:r>
      <w:r>
        <w:pict w14:anchorId="58750EE3">
          <v:shape id="_x0000_s1050" type="#_x0000_t202" style="position:absolute;margin-left:27.85pt;margin-top:210.9pt;width:525pt;height:47.9pt;z-index:-251665920;mso-wrap-distance-left:0;mso-wrap-distance-right:0;mso-position-horizontal-relative:page;mso-position-vertical-relative:page" filled="f" stroked="f">
            <v:textbox inset="0,0,0,0">
              <w:txbxContent>
                <w:p w14:paraId="7E054C3F" w14:textId="77777777" w:rsidR="00AE5D03" w:rsidRDefault="00277326">
                  <w:pPr>
                    <w:spacing w:before="474" w:after="84" w:line="393" w:lineRule="exact"/>
                    <w:jc w:val="center"/>
                    <w:textAlignment w:val="baseline"/>
                    <w:rPr>
                      <w:rFonts w:ascii="Arial" w:eastAsia="Arial" w:hAnsi="Arial"/>
                      <w:color w:val="000000"/>
                      <w:spacing w:val="7"/>
                      <w:w w:val="95"/>
                      <w:sz w:val="34"/>
                    </w:rPr>
                  </w:pPr>
                  <w:r>
                    <w:rPr>
                      <w:rFonts w:ascii="Arial" w:eastAsia="Arial" w:hAnsi="Arial"/>
                      <w:color w:val="000000"/>
                      <w:spacing w:val="7"/>
                      <w:w w:val="95"/>
                      <w:sz w:val="34"/>
                    </w:rPr>
                    <w:t>Australian Industry Participation Plan Summary - Project Phase</w:t>
                  </w:r>
                </w:p>
              </w:txbxContent>
            </v:textbox>
            <w10:wrap type="square" anchorx="page" anchory="page"/>
          </v:shape>
        </w:pict>
      </w:r>
      <w:r>
        <w:pict w14:anchorId="1DC9107B">
          <v:shape id="_x0000_s1049" type="#_x0000_t202" style="position:absolute;margin-left:27.85pt;margin-top:258.8pt;width:525pt;height:364.25pt;z-index:251644416;mso-wrap-distance-left:0;mso-wrap-distance-right:0;mso-position-horizontal-relative:page;mso-position-vertical-relative:page" filled="f" stroked="f">
            <v:textbox inset="0,0,0,0">
              <w:txbxContent>
                <w:p w14:paraId="53F7977C" w14:textId="77777777" w:rsidR="00AE5D03" w:rsidRDefault="00277326">
                  <w:pPr>
                    <w:spacing w:before="123" w:line="183" w:lineRule="exact"/>
                    <w:ind w:left="288"/>
                    <w:textAlignment w:val="baseline"/>
                    <w:rPr>
                      <w:rFonts w:ascii="Arial" w:eastAsia="Arial" w:hAnsi="Arial"/>
                      <w:b/>
                      <w:color w:val="000000"/>
                      <w:w w:val="90"/>
                      <w:sz w:val="16"/>
                    </w:rPr>
                  </w:pPr>
                  <w:r>
                    <w:rPr>
                      <w:rFonts w:ascii="Arial" w:eastAsia="Arial" w:hAnsi="Arial"/>
                      <w:b/>
                      <w:color w:val="000000"/>
                      <w:w w:val="90"/>
                      <w:sz w:val="16"/>
                    </w:rPr>
                    <w:t xml:space="preserve">Nominated project proponent: </w:t>
                  </w:r>
                  <w:r>
                    <w:rPr>
                      <w:rFonts w:ascii="Arial" w:eastAsia="Arial" w:hAnsi="Arial"/>
                      <w:color w:val="000000"/>
                      <w:sz w:val="16"/>
                    </w:rPr>
                    <w:t>The Trustee for Melbourne Energy and Resource Centre Trust</w:t>
                  </w:r>
                </w:p>
                <w:p w14:paraId="5C7B4D1B" w14:textId="77777777" w:rsidR="00AE5D03" w:rsidRDefault="00277326">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0149F594" w14:textId="7C02706A" w:rsidR="00AE5D03" w:rsidRDefault="00277326">
                  <w:pPr>
                    <w:spacing w:before="354" w:line="181" w:lineRule="exact"/>
                    <w:ind w:left="504"/>
                    <w:textAlignment w:val="baseline"/>
                    <w:rPr>
                      <w:rFonts w:ascii="Arial" w:eastAsia="Arial" w:hAnsi="Arial"/>
                      <w:color w:val="000000"/>
                      <w:spacing w:val="-4"/>
                      <w:sz w:val="16"/>
                    </w:rPr>
                  </w:pPr>
                  <w:r>
                    <w:rPr>
                      <w:rFonts w:ascii="Arial" w:eastAsia="Arial" w:hAnsi="Arial"/>
                      <w:color w:val="000000"/>
                      <w:spacing w:val="-4"/>
                      <w:sz w:val="16"/>
                    </w:rPr>
                    <w:t xml:space="preserve">Name: Melbourne Energy and Resource </w:t>
                  </w:r>
                  <w:r>
                    <w:rPr>
                      <w:rFonts w:ascii="Arial" w:eastAsia="Arial" w:hAnsi="Arial"/>
                      <w:color w:val="000000"/>
                      <w:spacing w:val="-4"/>
                      <w:sz w:val="16"/>
                    </w:rPr>
                    <w:t>Centre</w:t>
                  </w:r>
                </w:p>
                <w:p w14:paraId="0D5EF068" w14:textId="77777777" w:rsidR="00AE5D03" w:rsidRDefault="00277326">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Location: 510 Summerhill Road, Wollert VIC 3750</w:t>
                  </w:r>
                </w:p>
                <w:p w14:paraId="0E397DC2" w14:textId="77777777" w:rsidR="00AE5D03" w:rsidRDefault="00277326">
                  <w:pPr>
                    <w:spacing w:before="13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4E9A2E64" w14:textId="77777777" w:rsidR="00AE5D03" w:rsidRDefault="00277326">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0BF28949" w14:textId="77777777" w:rsidR="00AE5D03" w:rsidRDefault="00277326">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$1 billion - $2 billion</w:t>
                  </w:r>
                </w:p>
                <w:p w14:paraId="7289744F" w14:textId="77777777" w:rsidR="00AE5D03" w:rsidRDefault="00277326">
                  <w:pPr>
                    <w:spacing w:before="130" w:line="219" w:lineRule="exact"/>
                    <w:ind w:left="504" w:right="576"/>
                    <w:textAlignment w:val="baseline"/>
                    <w:rPr>
                      <w:rFonts w:ascii="Arial" w:eastAsia="Arial" w:hAnsi="Arial"/>
                      <w:color w:val="000000"/>
                      <w:spacing w:val="-4"/>
                      <w:sz w:val="16"/>
                    </w:rPr>
                  </w:pPr>
                  <w:r>
                    <w:rPr>
                      <w:rFonts w:ascii="Arial" w:eastAsia="Arial" w:hAnsi="Arial"/>
                      <w:color w:val="000000"/>
                      <w:spacing w:val="-4"/>
                      <w:sz w:val="16"/>
                    </w:rPr>
                    <w:t xml:space="preserve">Description: We are proposing the development of a state-of-the-art Energy-from-Waste (EfW) facility in Wollert, Melbourne, designed to provide a sustainable waste management solution while generating reliable energy. The facility will </w:t>
                  </w:r>
                  <w:proofErr w:type="spellStart"/>
                  <w:r>
                    <w:rPr>
                      <w:rFonts w:ascii="Arial" w:eastAsia="Arial" w:hAnsi="Arial"/>
                      <w:color w:val="000000"/>
                      <w:spacing w:val="-4"/>
                      <w:sz w:val="16"/>
                    </w:rPr>
                    <w:t>utilise</w:t>
                  </w:r>
                  <w:proofErr w:type="spellEnd"/>
                  <w:r>
                    <w:rPr>
                      <w:rFonts w:ascii="Arial" w:eastAsia="Arial" w:hAnsi="Arial"/>
                      <w:color w:val="000000"/>
                      <w:spacing w:val="-4"/>
                      <w:sz w:val="16"/>
                    </w:rPr>
                    <w:t xml:space="preserve"> international best practice technology to ensure compliance with EPA Victoria’s air emissions standards and the European Industrial Emissions Directive, leveraging decades of proven experience and safe operating practices. Our advanced flue gas treatment system will ensure that 99.9% of emissions consist of common atmospheric gases, including oxygen, carbon dioxide, nitrogen, and water </w:t>
                  </w:r>
                  <w:proofErr w:type="spellStart"/>
                  <w:r>
                    <w:rPr>
                      <w:rFonts w:ascii="Arial" w:eastAsia="Arial" w:hAnsi="Arial"/>
                      <w:color w:val="000000"/>
                      <w:spacing w:val="-4"/>
                      <w:sz w:val="16"/>
                    </w:rPr>
                    <w:t>vapour</w:t>
                  </w:r>
                  <w:proofErr w:type="spellEnd"/>
                  <w:r>
                    <w:rPr>
                      <w:rFonts w:ascii="Arial" w:eastAsia="Arial" w:hAnsi="Arial"/>
                      <w:color w:val="000000"/>
                      <w:spacing w:val="-4"/>
                      <w:sz w:val="16"/>
                    </w:rPr>
                    <w:t xml:space="preserve">. The remaining pollutants will be effectively treated using modern air pollution control technology to meet </w:t>
                  </w:r>
                  <w:r>
                    <w:rPr>
                      <w:rFonts w:ascii="Arial" w:eastAsia="Arial" w:hAnsi="Arial"/>
                      <w:color w:val="000000"/>
                      <w:spacing w:val="-4"/>
                      <w:sz w:val="16"/>
                    </w:rPr>
                    <w:t>the most stringent regulatory limits. The procurement process for the Wollert Energy-from-Waste (EfW) project follows a structured, multi-phase approach designed to engage industry early and ensure value-for-money outcomes. It begins with an open Expression of Interest (EOI) phase to identify suitably qualified market participants. Shortlisted respondents then progress to a phased dialogue process, enabling detailed technical and commercial discussions to refine project requirements and delivery models. Thi</w:t>
                  </w:r>
                  <w:r>
                    <w:rPr>
                      <w:rFonts w:ascii="Arial" w:eastAsia="Arial" w:hAnsi="Arial"/>
                      <w:color w:val="000000"/>
                      <w:spacing w:val="-4"/>
                      <w:sz w:val="16"/>
                    </w:rPr>
                    <w:t>s is followed by an Early Contractor Involvement (ECI) phase with select proponents, culminating in the selection of an Engineering, Procurement, and Construction (EPC) partner through a competitive evaluation process.</w:t>
                  </w:r>
                </w:p>
                <w:p w14:paraId="1E3FDCC8" w14:textId="77777777" w:rsidR="00AE5D03" w:rsidRDefault="00277326">
                  <w:pPr>
                    <w:spacing w:before="141" w:line="181" w:lineRule="exact"/>
                    <w:ind w:left="504"/>
                    <w:textAlignment w:val="baseline"/>
                    <w:rPr>
                      <w:rFonts w:ascii="Arial" w:eastAsia="Arial" w:hAnsi="Arial"/>
                      <w:color w:val="000000"/>
                      <w:spacing w:val="-4"/>
                      <w:sz w:val="16"/>
                    </w:rPr>
                  </w:pPr>
                  <w:r>
                    <w:rPr>
                      <w:rFonts w:ascii="Arial" w:eastAsia="Arial" w:hAnsi="Arial"/>
                      <w:color w:val="000000"/>
                      <w:spacing w:val="-4"/>
                      <w:sz w:val="16"/>
                    </w:rPr>
                    <w:t>Completion date: 31 Mar 2030</w:t>
                  </w:r>
                </w:p>
                <w:p w14:paraId="1305B5A8" w14:textId="77777777" w:rsidR="00AE5D03" w:rsidRDefault="00277326">
                  <w:pPr>
                    <w:spacing w:before="430" w:line="393" w:lineRule="exact"/>
                    <w:ind w:left="504"/>
                    <w:textAlignment w:val="baseline"/>
                    <w:rPr>
                      <w:rFonts w:ascii="Arial" w:eastAsia="Arial" w:hAnsi="Arial"/>
                      <w:color w:val="000000"/>
                      <w:w w:val="95"/>
                      <w:sz w:val="34"/>
                    </w:rPr>
                  </w:pPr>
                  <w:r>
                    <w:rPr>
                      <w:rFonts w:ascii="Arial" w:eastAsia="Arial" w:hAnsi="Arial"/>
                      <w:color w:val="000000"/>
                      <w:w w:val="95"/>
                      <w:sz w:val="34"/>
                    </w:rPr>
                    <w:t>Key goods and services</w:t>
                  </w:r>
                </w:p>
                <w:p w14:paraId="5D16AF11" w14:textId="77777777" w:rsidR="00AE5D03" w:rsidRDefault="00277326">
                  <w:pPr>
                    <w:spacing w:before="354" w:after="155" w:line="181" w:lineRule="exact"/>
                    <w:ind w:left="50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project:</w:t>
                  </w:r>
                </w:p>
              </w:txbxContent>
            </v:textbox>
            <w10:wrap anchorx="page" anchory="page"/>
          </v:shape>
        </w:pict>
      </w:r>
      <w:r>
        <w:pict w14:anchorId="4589F562">
          <v:shape id="_x0000_s1048" type="#_x0000_t202" style="position:absolute;margin-left:319.7pt;margin-top:623.05pt;width:65.25pt;height:33.15pt;z-index:-251664896;mso-wrap-distance-left:0;mso-wrap-distance-right:0;mso-position-horizontal-relative:page;mso-position-vertical-relative:page" filled="f" stroked="f">
            <v:textbox inset="0,0,0,0">
              <w:txbxContent>
                <w:p w14:paraId="239D3428" w14:textId="77777777" w:rsidR="00AE5D03" w:rsidRDefault="00277326">
                  <w:pPr>
                    <w:spacing w:line="219" w:lineRule="exact"/>
                    <w:jc w:val="center"/>
                    <w:textAlignment w:val="baseline"/>
                    <w:rPr>
                      <w:rFonts w:ascii="Arial" w:eastAsia="Arial" w:hAnsi="Arial"/>
                      <w:b/>
                      <w:color w:val="000000"/>
                      <w:w w:val="90"/>
                      <w:sz w:val="16"/>
                    </w:rPr>
                  </w:pPr>
                  <w:r>
                    <w:rPr>
                      <w:rFonts w:ascii="Arial" w:eastAsia="Arial" w:hAnsi="Arial"/>
                      <w:b/>
                      <w:color w:val="000000"/>
                      <w:w w:val="90"/>
                      <w:sz w:val="16"/>
                    </w:rPr>
                    <w:t xml:space="preserve">Opportunities for </w:t>
                  </w:r>
                  <w:r>
                    <w:rPr>
                      <w:rFonts w:ascii="Arial" w:eastAsia="Arial" w:hAnsi="Arial"/>
                      <w:b/>
                      <w:color w:val="000000"/>
                      <w:w w:val="90"/>
                      <w:sz w:val="16"/>
                    </w:rPr>
                    <w:br/>
                    <w:t xml:space="preserve">non-Australian </w:t>
                  </w:r>
                  <w:r>
                    <w:rPr>
                      <w:rFonts w:ascii="Arial" w:eastAsia="Arial" w:hAnsi="Arial"/>
                      <w:b/>
                      <w:color w:val="000000"/>
                      <w:w w:val="90"/>
                      <w:sz w:val="16"/>
                    </w:rPr>
                    <w:br/>
                    <w:t>entities</w:t>
                  </w:r>
                </w:p>
              </w:txbxContent>
            </v:textbox>
            <w10:wrap type="square" anchorx="page" anchory="page"/>
          </v:shape>
        </w:pict>
      </w:r>
      <w:r>
        <w:pict w14:anchorId="58977B01">
          <v:shape id="_x0000_s1047" type="#_x0000_t202" style="position:absolute;margin-left:400.3pt;margin-top:623.05pt;width:103.2pt;height:33.15pt;z-index:-251663872;mso-wrap-distance-left:0;mso-wrap-distance-right:0;mso-position-horizontal-relative:page;mso-position-vertical-relative:page" filled="f" stroked="f">
            <v:textbox inset="0,0,0,0">
              <w:txbxContent>
                <w:p w14:paraId="0BC1BD9F" w14:textId="77777777" w:rsidR="00AE5D03" w:rsidRDefault="00277326">
                  <w:pPr>
                    <w:spacing w:before="38" w:line="183" w:lineRule="exact"/>
                    <w:textAlignment w:val="baseline"/>
                    <w:rPr>
                      <w:rFonts w:ascii="Arial" w:eastAsia="Arial" w:hAnsi="Arial"/>
                      <w:b/>
                      <w:color w:val="000000"/>
                      <w:w w:val="90"/>
                      <w:sz w:val="16"/>
                    </w:rPr>
                  </w:pPr>
                  <w:r>
                    <w:rPr>
                      <w:rFonts w:ascii="Arial" w:eastAsia="Arial" w:hAnsi="Arial"/>
                      <w:b/>
                      <w:color w:val="000000"/>
                      <w:w w:val="90"/>
                      <w:sz w:val="16"/>
                    </w:rPr>
                    <w:t>Explanation for no</w:t>
                  </w:r>
                </w:p>
                <w:p w14:paraId="2294406D" w14:textId="77777777" w:rsidR="00AE5D03" w:rsidRDefault="00277326">
                  <w:pPr>
                    <w:spacing w:line="218" w:lineRule="exact"/>
                    <w:textAlignment w:val="baseline"/>
                    <w:rPr>
                      <w:rFonts w:ascii="Arial" w:eastAsia="Arial" w:hAnsi="Arial"/>
                      <w:b/>
                      <w:color w:val="000000"/>
                      <w:w w:val="90"/>
                      <w:sz w:val="16"/>
                    </w:rPr>
                  </w:pPr>
                  <w:r>
                    <w:rPr>
                      <w:rFonts w:ascii="Arial" w:eastAsia="Arial" w:hAnsi="Arial"/>
                      <w:b/>
                      <w:color w:val="000000"/>
                      <w:w w:val="90"/>
                      <w:sz w:val="16"/>
                    </w:rPr>
                    <w:t>opportunities for Australian entities</w:t>
                  </w:r>
                </w:p>
              </w:txbxContent>
            </v:textbox>
            <w10:wrap type="square" anchorx="page" anchory="page"/>
          </v:shape>
        </w:pict>
      </w:r>
      <w:r>
        <w:pict w14:anchorId="4656BD5D">
          <v:shape id="_x0000_s1046" type="#_x0000_t202" style="position:absolute;margin-left:52.3pt;margin-top:623.05pt;width:86.9pt;height:33.15pt;z-index:-251662848;mso-wrap-distance-left:0;mso-wrap-distance-right:0;mso-position-horizontal-relative:page;mso-position-vertical-relative:page" filled="f" stroked="f">
            <v:textbox inset="0,0,0,0">
              <w:txbxContent>
                <w:p w14:paraId="1DB7CE27" w14:textId="77777777" w:rsidR="00AE5D03" w:rsidRDefault="00277326">
                  <w:pPr>
                    <w:spacing w:before="259" w:after="215" w:line="183" w:lineRule="exact"/>
                    <w:textAlignment w:val="baseline"/>
                    <w:rPr>
                      <w:rFonts w:ascii="Arial" w:eastAsia="Arial" w:hAnsi="Arial"/>
                      <w:b/>
                      <w:color w:val="000000"/>
                      <w:spacing w:val="-1"/>
                      <w:w w:val="90"/>
                      <w:sz w:val="16"/>
                    </w:rPr>
                  </w:pPr>
                  <w:r>
                    <w:rPr>
                      <w:rFonts w:ascii="Arial" w:eastAsia="Arial" w:hAnsi="Arial"/>
                      <w:b/>
                      <w:color w:val="000000"/>
                      <w:spacing w:val="-1"/>
                      <w:w w:val="90"/>
                      <w:sz w:val="16"/>
                    </w:rPr>
                    <w:t>Key goods and services</w:t>
                  </w:r>
                </w:p>
              </w:txbxContent>
            </v:textbox>
            <w10:wrap type="square" anchorx="page" anchory="page"/>
          </v:shape>
        </w:pict>
      </w:r>
      <w:r>
        <w:pict w14:anchorId="08AB7720">
          <v:shape id="_x0000_s1045" type="#_x0000_t202" style="position:absolute;margin-left:228.2pt;margin-top:623.05pt;width:70.9pt;height:33.15pt;z-index:-251661824;mso-wrap-distance-left:0;mso-wrap-distance-right:0;mso-position-horizontal-relative:page;mso-position-vertical-relative:page" filled="f" stroked="f">
            <v:textbox inset="0,0,0,0">
              <w:txbxContent>
                <w:p w14:paraId="708DF333" w14:textId="77777777" w:rsidR="00AE5D03" w:rsidRDefault="00277326">
                  <w:pPr>
                    <w:spacing w:before="97" w:after="118" w:line="221" w:lineRule="exact"/>
                    <w:textAlignment w:val="baseline"/>
                    <w:rPr>
                      <w:rFonts w:ascii="Arial" w:eastAsia="Arial" w:hAnsi="Arial"/>
                      <w:b/>
                      <w:color w:val="000000"/>
                      <w:w w:val="90"/>
                      <w:sz w:val="16"/>
                    </w:rPr>
                  </w:pPr>
                  <w:r>
                    <w:rPr>
                      <w:rFonts w:ascii="Arial" w:eastAsia="Arial" w:hAnsi="Arial"/>
                      <w:b/>
                      <w:color w:val="000000"/>
                      <w:w w:val="90"/>
                      <w:sz w:val="16"/>
                    </w:rPr>
                    <w:t xml:space="preserve">Opportunities for Australian entities </w:t>
                  </w:r>
                  <w:r>
                    <w:rPr>
                      <w:rFonts w:ascii="Arial" w:eastAsia="Arial" w:hAnsi="Arial"/>
                      <w:b/>
                      <w:color w:val="000000"/>
                      <w:sz w:val="10"/>
                    </w:rPr>
                    <w:t>*</w:t>
                  </w:r>
                </w:p>
              </w:txbxContent>
            </v:textbox>
            <w10:wrap type="square" anchorx="page" anchory="page"/>
          </v:shape>
        </w:pict>
      </w:r>
      <w:r>
        <w:pict w14:anchorId="3505AE0A">
          <v:shape id="_x0000_s1044" type="#_x0000_t202" style="position:absolute;margin-left:52.3pt;margin-top:658.05pt;width:306pt;height:120.95pt;z-index:-25166080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31"/>
                    <w:gridCol w:w="2489"/>
                  </w:tblGrid>
                  <w:tr w:rsidR="00AE5D03" w14:paraId="02816DB6" w14:textId="77777777">
                    <w:tblPrEx>
                      <w:tblCellMar>
                        <w:top w:w="0" w:type="dxa"/>
                        <w:bottom w:w="0" w:type="dxa"/>
                      </w:tblCellMar>
                    </w:tblPrEx>
                    <w:trPr>
                      <w:trHeight w:hRule="exact" w:val="1735"/>
                    </w:trPr>
                    <w:tc>
                      <w:tcPr>
                        <w:tcW w:w="3631" w:type="dxa"/>
                      </w:tcPr>
                      <w:p w14:paraId="78B06FB6" w14:textId="77777777" w:rsidR="00AE5D03" w:rsidRDefault="00277326">
                        <w:pPr>
                          <w:spacing w:line="199" w:lineRule="exact"/>
                          <w:ind w:right="684"/>
                          <w:textAlignment w:val="baseline"/>
                          <w:rPr>
                            <w:rFonts w:ascii="Arial" w:eastAsia="Arial" w:hAnsi="Arial"/>
                            <w:color w:val="000000"/>
                            <w:spacing w:val="-5"/>
                            <w:sz w:val="16"/>
                          </w:rPr>
                        </w:pPr>
                        <w:r>
                          <w:rPr>
                            <w:rFonts w:ascii="Arial" w:eastAsia="Arial" w:hAnsi="Arial"/>
                            <w:color w:val="000000"/>
                            <w:spacing w:val="-5"/>
                            <w:sz w:val="16"/>
                          </w:rPr>
                          <w:t>Owner’s Engineer services – design review, technical advisory, project oversight</w:t>
                        </w:r>
                      </w:p>
                      <w:p w14:paraId="23BA9C8B" w14:textId="77777777" w:rsidR="00AE5D03" w:rsidRDefault="00277326">
                        <w:pPr>
                          <w:spacing w:line="220" w:lineRule="exact"/>
                          <w:ind w:right="828"/>
                          <w:textAlignment w:val="baseline"/>
                          <w:rPr>
                            <w:rFonts w:ascii="Arial" w:eastAsia="Arial" w:hAnsi="Arial"/>
                            <w:color w:val="000000"/>
                            <w:spacing w:val="-4"/>
                            <w:sz w:val="16"/>
                          </w:rPr>
                        </w:pPr>
                        <w:r>
                          <w:rPr>
                            <w:rFonts w:ascii="Arial" w:eastAsia="Arial" w:hAnsi="Arial"/>
                            <w:color w:val="000000"/>
                            <w:spacing w:val="-4"/>
                            <w:sz w:val="16"/>
                          </w:rPr>
                          <w:t>Project management services – schedule, budget, and risk management</w:t>
                        </w:r>
                      </w:p>
                      <w:p w14:paraId="49144B0D" w14:textId="77777777" w:rsidR="00AE5D03" w:rsidRDefault="00277326">
                        <w:pPr>
                          <w:spacing w:before="3" w:after="10" w:line="219" w:lineRule="exact"/>
                          <w:ind w:right="468"/>
                          <w:textAlignment w:val="baseline"/>
                          <w:rPr>
                            <w:rFonts w:ascii="Arial" w:eastAsia="Arial" w:hAnsi="Arial"/>
                            <w:color w:val="000000"/>
                            <w:sz w:val="16"/>
                          </w:rPr>
                        </w:pPr>
                        <w:r>
                          <w:rPr>
                            <w:rFonts w:ascii="Arial" w:eastAsia="Arial" w:hAnsi="Arial"/>
                            <w:color w:val="000000"/>
                            <w:sz w:val="16"/>
                          </w:rPr>
                          <w:t xml:space="preserve">Environmental consultancy – environmental impact assessments, regulatory </w:t>
                        </w:r>
                        <w:proofErr w:type="spellStart"/>
                        <w:r>
                          <w:rPr>
                            <w:rFonts w:ascii="Arial" w:eastAsia="Arial" w:hAnsi="Arial"/>
                            <w:color w:val="000000"/>
                            <w:sz w:val="16"/>
                          </w:rPr>
                          <w:t>approva</w:t>
                        </w:r>
                        <w:proofErr w:type="spellEnd"/>
                        <w:r>
                          <w:rPr>
                            <w:rFonts w:ascii="Arial" w:eastAsia="Arial" w:hAnsi="Arial"/>
                            <w:color w:val="000000"/>
                            <w:sz w:val="16"/>
                          </w:rPr>
                          <w:t xml:space="preserve"> Planning and permitting support – interface with local councils and regulators</w:t>
                        </w:r>
                      </w:p>
                    </w:tc>
                    <w:tc>
                      <w:tcPr>
                        <w:tcW w:w="2489" w:type="dxa"/>
                      </w:tcPr>
                      <w:p w14:paraId="2A90014C" w14:textId="77777777" w:rsidR="00AE5D03" w:rsidRDefault="00277326">
                        <w:pPr>
                          <w:tabs>
                            <w:tab w:val="right" w:pos="2520"/>
                          </w:tabs>
                          <w:spacing w:before="97" w:line="181"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18E96B3" w14:textId="77777777" w:rsidR="00AE5D03" w:rsidRDefault="00277326">
                        <w:pPr>
                          <w:tabs>
                            <w:tab w:val="right" w:pos="2520"/>
                          </w:tabs>
                          <w:spacing w:before="260" w:line="181"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063845EB" w14:textId="77777777" w:rsidR="00AE5D03" w:rsidRDefault="00277326">
                        <w:pPr>
                          <w:tabs>
                            <w:tab w:val="right" w:pos="2520"/>
                          </w:tabs>
                          <w:spacing w:before="261" w:line="181"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37DF09A2" w14:textId="77777777" w:rsidR="00AE5D03" w:rsidRDefault="00277326">
                        <w:pPr>
                          <w:tabs>
                            <w:tab w:val="right" w:pos="2520"/>
                          </w:tabs>
                          <w:spacing w:before="256" w:after="130" w:line="181"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tc>
                  </w:tr>
                </w:tbl>
                <w:p w14:paraId="3A5A9B23" w14:textId="77777777" w:rsidR="00AE5D03" w:rsidRDefault="00AE5D03">
                  <w:pPr>
                    <w:spacing w:after="664" w:line="20" w:lineRule="exact"/>
                  </w:pPr>
                </w:p>
              </w:txbxContent>
            </v:textbox>
            <w10:wrap type="square" anchorx="page" anchory="page"/>
          </v:shape>
        </w:pict>
      </w:r>
      <w:r>
        <w:pict w14:anchorId="35F27DF1">
          <v:shape id="_x0000_s1043" type="#_x0000_t202" style="position:absolute;margin-left:489.1pt;margin-top:765.4pt;width:53.8pt;height:12.65pt;z-index:-251659776;mso-wrap-distance-left:0;mso-wrap-distance-right:0;mso-position-horizontal-relative:page;mso-position-vertical-relative:page" filled="f" stroked="f">
            <v:textbox inset="0,0,0,0">
              <w:txbxContent>
                <w:p w14:paraId="77EF1CC1" w14:textId="77777777" w:rsidR="00AE5D03" w:rsidRDefault="00277326">
                  <w:pPr>
                    <w:spacing w:before="4" w:line="240" w:lineRule="exact"/>
                    <w:textAlignment w:val="baseline"/>
                    <w:rPr>
                      <w:rFonts w:eastAsia="Times New Roman"/>
                      <w:color w:val="000000"/>
                      <w:spacing w:val="-3"/>
                    </w:rPr>
                  </w:pPr>
                  <w:r>
                    <w:rPr>
                      <w:rFonts w:eastAsia="Times New Roman"/>
                      <w:color w:val="000000"/>
                      <w:spacing w:val="-3"/>
                    </w:rPr>
                    <w:t>Page 1 of 5</w:t>
                  </w:r>
                </w:p>
              </w:txbxContent>
            </v:textbox>
            <w10:wrap type="square" anchorx="page" anchory="page"/>
          </v:shape>
        </w:pict>
      </w:r>
      <w:r>
        <w:pict w14:anchorId="32D644E4">
          <v:line id="_x0000_s1042" style="position:absolute;z-index:251670016;mso-position-horizontal-relative:page;mso-position-vertical-relative:page" from="27.85pt,212.65pt" to="552.9pt,212.65pt" strokecolor="#347c87" strokeweight="3.35pt">
            <w10:wrap anchorx="page" anchory="page"/>
          </v:line>
        </w:pict>
      </w:r>
      <w:r>
        <w:pict w14:anchorId="611DBD76">
          <v:line id="_x0000_s1041" style="position:absolute;z-index:251671040;mso-position-horizontal-relative:page;mso-position-vertical-relative:page" from="43.9pt,259.45pt" to="538.15pt,259.45pt" strokeweight="1.2pt">
            <w10:wrap anchorx="page" anchory="page"/>
          </v:line>
        </w:pict>
      </w:r>
    </w:p>
    <w:p w14:paraId="4B346028" w14:textId="77777777" w:rsidR="00AE5D03" w:rsidRDefault="00AE5D03">
      <w:pPr>
        <w:sectPr w:rsidR="00AE5D03">
          <w:headerReference w:type="even" r:id="rId7"/>
          <w:headerReference w:type="default" r:id="rId8"/>
          <w:footerReference w:type="even" r:id="rId9"/>
          <w:footerReference w:type="default" r:id="rId10"/>
          <w:headerReference w:type="first" r:id="rId11"/>
          <w:footerReference w:type="first" r:id="rId12"/>
          <w:pgSz w:w="11904" w:h="16843"/>
          <w:pgMar w:top="752" w:right="847" w:bottom="890" w:left="557" w:header="720" w:footer="720" w:gutter="0"/>
          <w:cols w:space="720"/>
        </w:sectPr>
      </w:pPr>
    </w:p>
    <w:p w14:paraId="3359AE55" w14:textId="77777777" w:rsidR="00AE5D03" w:rsidRDefault="00277326">
      <w:pPr>
        <w:textAlignment w:val="baseline"/>
        <w:rPr>
          <w:rFonts w:eastAsia="Times New Roman"/>
          <w:color w:val="000000"/>
          <w:sz w:val="24"/>
        </w:rPr>
      </w:pPr>
      <w:r>
        <w:lastRenderedPageBreak/>
        <w:pict w14:anchorId="4CFA4184">
          <v:shape id="_x0000_s1040" type="#_x0000_t202" style="position:absolute;margin-left:134.9pt;margin-top:52pt;width:311pt;height:81.85pt;z-index:-251658752;mso-wrap-distance-left:0;mso-wrap-distance-right:0;mso-position-horizontal-relative:page;mso-position-vertical-relative:page" filled="f" stroked="f">
            <v:textbox inset="0,0,0,0">
              <w:txbxContent>
                <w:p w14:paraId="4652095E" w14:textId="77777777" w:rsidR="00AE5D03" w:rsidRDefault="00277326">
                  <w:pPr>
                    <w:spacing w:before="3" w:after="1438" w:line="183" w:lineRule="exact"/>
                    <w:jc w:val="center"/>
                    <w:textAlignment w:val="baseline"/>
                    <w:rPr>
                      <w:rFonts w:eastAsia="Times New Roman"/>
                      <w:color w:val="000000"/>
                      <w:sz w:val="16"/>
                    </w:rPr>
                  </w:pPr>
                  <w:r>
                    <w:rPr>
                      <w:rFonts w:eastAsia="Times New Roman"/>
                      <w:color w:val="000000"/>
                      <w:sz w:val="16"/>
                    </w:rPr>
                    <w:t>***** Approved by AIP Authority on Mon May 19</w:t>
                  </w:r>
                  <w:proofErr w:type="gramStart"/>
                  <w:r>
                    <w:rPr>
                      <w:rFonts w:eastAsia="Times New Roman"/>
                      <w:color w:val="000000"/>
                      <w:sz w:val="16"/>
                    </w:rPr>
                    <w:t xml:space="preserve"> 2025</w:t>
                  </w:r>
                  <w:proofErr w:type="gramEnd"/>
                  <w:r>
                    <w:rPr>
                      <w:rFonts w:eastAsia="Times New Roman"/>
                      <w:color w:val="000000"/>
                      <w:sz w:val="16"/>
                    </w:rPr>
                    <w:t xml:space="preserve"> 16:01:57 GMT+1000 (AEST) *****</w:t>
                  </w:r>
                </w:p>
              </w:txbxContent>
            </v:textbox>
            <w10:wrap type="square" anchorx="page" anchory="page"/>
          </v:shape>
        </w:pict>
      </w:r>
      <w:r>
        <w:pict w14:anchorId="37B04324">
          <v:shape id="_x0000_s1039" type="#_x0000_t202" style="position:absolute;margin-left:52.3pt;margin-top:133.85pt;width:163pt;height:308.2pt;z-index:-251657728;mso-wrap-distance-left:0;mso-wrap-distance-right:0;mso-position-horizontal-relative:page;mso-position-vertical-relative:page" filled="f" stroked="f">
            <v:textbox inset="0,0,0,0">
              <w:txbxContent>
                <w:p w14:paraId="6F251ADE" w14:textId="77777777" w:rsidR="00AE5D03" w:rsidRDefault="00277326">
                  <w:pPr>
                    <w:spacing w:line="201" w:lineRule="exact"/>
                    <w:ind w:right="432"/>
                    <w:textAlignment w:val="baseline"/>
                    <w:rPr>
                      <w:rFonts w:ascii="Arial" w:eastAsia="Arial" w:hAnsi="Arial"/>
                      <w:color w:val="000000"/>
                      <w:spacing w:val="-5"/>
                      <w:sz w:val="16"/>
                    </w:rPr>
                  </w:pPr>
                  <w:r>
                    <w:rPr>
                      <w:rFonts w:ascii="Arial" w:eastAsia="Arial" w:hAnsi="Arial"/>
                      <w:color w:val="000000"/>
                      <w:spacing w:val="-5"/>
                      <w:sz w:val="16"/>
                    </w:rPr>
                    <w:t>Legal and commercial advisory – contract development, negotiation, compliance</w:t>
                  </w:r>
                </w:p>
                <w:p w14:paraId="7D84A996" w14:textId="77777777" w:rsidR="00AE5D03" w:rsidRDefault="00277326">
                  <w:pPr>
                    <w:spacing w:line="221" w:lineRule="exact"/>
                    <w:ind w:right="144"/>
                    <w:textAlignment w:val="baseline"/>
                    <w:rPr>
                      <w:rFonts w:ascii="Arial" w:eastAsia="Arial" w:hAnsi="Arial"/>
                      <w:color w:val="000000"/>
                      <w:spacing w:val="-4"/>
                      <w:sz w:val="16"/>
                    </w:rPr>
                  </w:pPr>
                  <w:r>
                    <w:rPr>
                      <w:rFonts w:ascii="Arial" w:eastAsia="Arial" w:hAnsi="Arial"/>
                      <w:color w:val="000000"/>
                      <w:spacing w:val="-4"/>
                      <w:sz w:val="16"/>
                    </w:rPr>
                    <w:t>Financial advisory – funding strategy, financial modelling</w:t>
                  </w:r>
                </w:p>
                <w:p w14:paraId="656AD1E8" w14:textId="77777777" w:rsidR="00AE5D03" w:rsidRDefault="00277326">
                  <w:pPr>
                    <w:spacing w:before="5" w:line="216" w:lineRule="exact"/>
                    <w:ind w:right="360"/>
                    <w:textAlignment w:val="baseline"/>
                    <w:rPr>
                      <w:rFonts w:ascii="Arial" w:eastAsia="Arial" w:hAnsi="Arial"/>
                      <w:color w:val="000000"/>
                      <w:spacing w:val="-4"/>
                      <w:sz w:val="16"/>
                    </w:rPr>
                  </w:pPr>
                  <w:r>
                    <w:rPr>
                      <w:rFonts w:ascii="Arial" w:eastAsia="Arial" w:hAnsi="Arial"/>
                      <w:color w:val="000000"/>
                      <w:spacing w:val="-4"/>
                      <w:sz w:val="16"/>
                    </w:rPr>
                    <w:t>Stakeholder and community engagement – communications and consultation</w:t>
                  </w:r>
                </w:p>
                <w:p w14:paraId="4E039935" w14:textId="77777777" w:rsidR="00AE5D03" w:rsidRDefault="00277326">
                  <w:pPr>
                    <w:spacing w:line="220" w:lineRule="exact"/>
                    <w:ind w:right="144"/>
                    <w:textAlignment w:val="baseline"/>
                    <w:rPr>
                      <w:rFonts w:ascii="Arial" w:eastAsia="Arial" w:hAnsi="Arial"/>
                      <w:color w:val="000000"/>
                      <w:spacing w:val="-4"/>
                      <w:sz w:val="16"/>
                    </w:rPr>
                  </w:pPr>
                  <w:r>
                    <w:rPr>
                      <w:rFonts w:ascii="Arial" w:eastAsia="Arial" w:hAnsi="Arial"/>
                      <w:color w:val="000000"/>
                      <w:spacing w:val="-4"/>
                      <w:sz w:val="16"/>
                    </w:rPr>
                    <w:t>Process design engineering – waste combustion, flue gas cleaning, energy recover Civil and structural engineering – foundations, buildings, site works</w:t>
                  </w:r>
                </w:p>
                <w:p w14:paraId="7B195D9E" w14:textId="77777777" w:rsidR="00AE5D03" w:rsidRDefault="00277326">
                  <w:pPr>
                    <w:spacing w:before="5" w:line="216" w:lineRule="exact"/>
                    <w:textAlignment w:val="baseline"/>
                    <w:rPr>
                      <w:rFonts w:ascii="Arial" w:eastAsia="Arial" w:hAnsi="Arial"/>
                      <w:color w:val="000000"/>
                      <w:sz w:val="16"/>
                    </w:rPr>
                  </w:pPr>
                  <w:r>
                    <w:rPr>
                      <w:rFonts w:ascii="Arial" w:eastAsia="Arial" w:hAnsi="Arial"/>
                      <w:color w:val="000000"/>
                      <w:sz w:val="16"/>
                    </w:rPr>
                    <w:t>Mechanical engineering – equipment specification, installation oversight</w:t>
                  </w:r>
                </w:p>
                <w:p w14:paraId="17296EA9" w14:textId="77777777" w:rsidR="00AE5D03" w:rsidRDefault="00277326">
                  <w:pPr>
                    <w:spacing w:line="220" w:lineRule="exact"/>
                    <w:ind w:right="288"/>
                    <w:textAlignment w:val="baseline"/>
                    <w:rPr>
                      <w:rFonts w:ascii="Arial" w:eastAsia="Arial" w:hAnsi="Arial"/>
                      <w:color w:val="000000"/>
                      <w:spacing w:val="-4"/>
                      <w:sz w:val="16"/>
                    </w:rPr>
                  </w:pPr>
                  <w:r>
                    <w:rPr>
                      <w:rFonts w:ascii="Arial" w:eastAsia="Arial" w:hAnsi="Arial"/>
                      <w:color w:val="000000"/>
                      <w:spacing w:val="-4"/>
                      <w:sz w:val="16"/>
                    </w:rPr>
                    <w:t xml:space="preserve">Electrical and control systems engineering – power systems, SCADA, </w:t>
                  </w:r>
                  <w:proofErr w:type="spellStart"/>
                  <w:r>
                    <w:rPr>
                      <w:rFonts w:ascii="Arial" w:eastAsia="Arial" w:hAnsi="Arial"/>
                      <w:color w:val="000000"/>
                      <w:spacing w:val="-4"/>
                      <w:sz w:val="16"/>
                    </w:rPr>
                    <w:t>instrumentati</w:t>
                  </w:r>
                  <w:proofErr w:type="spellEnd"/>
                  <w:r>
                    <w:rPr>
                      <w:rFonts w:ascii="Arial" w:eastAsia="Arial" w:hAnsi="Arial"/>
                      <w:color w:val="000000"/>
                      <w:spacing w:val="-4"/>
                      <w:sz w:val="16"/>
                    </w:rPr>
                    <w:t xml:space="preserve"> Detailed design and drafting – 3D modelling, construction drawings</w:t>
                  </w:r>
                </w:p>
                <w:p w14:paraId="2B871167" w14:textId="77777777" w:rsidR="00AE5D03" w:rsidRDefault="00277326">
                  <w:pPr>
                    <w:spacing w:before="5" w:line="216" w:lineRule="exact"/>
                    <w:textAlignment w:val="baseline"/>
                    <w:rPr>
                      <w:rFonts w:ascii="Arial" w:eastAsia="Arial" w:hAnsi="Arial"/>
                      <w:color w:val="000000"/>
                      <w:sz w:val="16"/>
                    </w:rPr>
                  </w:pPr>
                  <w:r>
                    <w:rPr>
                      <w:rFonts w:ascii="Arial" w:eastAsia="Arial" w:hAnsi="Arial"/>
                      <w:color w:val="000000"/>
                      <w:sz w:val="16"/>
                    </w:rPr>
                    <w:t>Construction and site works – excavation, roads, drainage, fencing</w:t>
                  </w:r>
                </w:p>
                <w:p w14:paraId="77B3653F" w14:textId="77777777" w:rsidR="00AE5D03" w:rsidRDefault="00277326">
                  <w:pPr>
                    <w:spacing w:line="220" w:lineRule="exact"/>
                    <w:ind w:right="288"/>
                    <w:textAlignment w:val="baseline"/>
                    <w:rPr>
                      <w:rFonts w:ascii="Arial" w:eastAsia="Arial" w:hAnsi="Arial"/>
                      <w:color w:val="000000"/>
                      <w:spacing w:val="-4"/>
                      <w:sz w:val="16"/>
                    </w:rPr>
                  </w:pPr>
                  <w:r>
                    <w:rPr>
                      <w:rFonts w:ascii="Arial" w:eastAsia="Arial" w:hAnsi="Arial"/>
                      <w:color w:val="000000"/>
                      <w:spacing w:val="-4"/>
                      <w:sz w:val="16"/>
                    </w:rPr>
                    <w:t xml:space="preserve">Commissioning and testing services – plant start-up, performance testing, </w:t>
                  </w:r>
                  <w:proofErr w:type="spellStart"/>
                  <w:r>
                    <w:rPr>
                      <w:rFonts w:ascii="Arial" w:eastAsia="Arial" w:hAnsi="Arial"/>
                      <w:color w:val="000000"/>
                      <w:spacing w:val="-4"/>
                      <w:sz w:val="16"/>
                    </w:rPr>
                    <w:t>trai</w:t>
                  </w:r>
                  <w:proofErr w:type="spellEnd"/>
                  <w:r>
                    <w:rPr>
                      <w:rFonts w:ascii="Arial" w:eastAsia="Arial" w:hAnsi="Arial"/>
                      <w:color w:val="000000"/>
                      <w:spacing w:val="-4"/>
                      <w:sz w:val="16"/>
                    </w:rPr>
                    <w:t xml:space="preserve"> </w:t>
                  </w:r>
                  <w:proofErr w:type="spellStart"/>
                  <w:r>
                    <w:rPr>
                      <w:rFonts w:ascii="Arial" w:eastAsia="Arial" w:hAnsi="Arial"/>
                      <w:color w:val="000000"/>
                      <w:spacing w:val="-4"/>
                      <w:sz w:val="16"/>
                    </w:rPr>
                    <w:t>ni</w:t>
                  </w:r>
                  <w:proofErr w:type="spellEnd"/>
                </w:p>
                <w:p w14:paraId="38401102" w14:textId="77777777" w:rsidR="00AE5D03" w:rsidRDefault="00277326">
                  <w:pPr>
                    <w:spacing w:line="221" w:lineRule="exact"/>
                    <w:textAlignment w:val="baseline"/>
                    <w:rPr>
                      <w:rFonts w:ascii="Arial" w:eastAsia="Arial" w:hAnsi="Arial"/>
                      <w:color w:val="000000"/>
                      <w:sz w:val="16"/>
                    </w:rPr>
                  </w:pPr>
                  <w:r>
                    <w:rPr>
                      <w:rFonts w:ascii="Arial" w:eastAsia="Arial" w:hAnsi="Arial"/>
                      <w:color w:val="000000"/>
                      <w:sz w:val="16"/>
                    </w:rPr>
                    <w:t>Waste reception and handling systems – bunker, cranes, conveyors</w:t>
                  </w:r>
                </w:p>
                <w:p w14:paraId="0CD93B98" w14:textId="77777777" w:rsidR="00AE5D03" w:rsidRDefault="00277326">
                  <w:pPr>
                    <w:spacing w:before="5" w:line="216" w:lineRule="exact"/>
                    <w:ind w:right="72"/>
                    <w:textAlignment w:val="baseline"/>
                    <w:rPr>
                      <w:rFonts w:ascii="Arial" w:eastAsia="Arial" w:hAnsi="Arial"/>
                      <w:color w:val="000000"/>
                      <w:spacing w:val="-4"/>
                      <w:sz w:val="16"/>
                    </w:rPr>
                  </w:pPr>
                  <w:r>
                    <w:rPr>
                      <w:rFonts w:ascii="Arial" w:eastAsia="Arial" w:hAnsi="Arial"/>
                      <w:color w:val="000000"/>
                      <w:spacing w:val="-4"/>
                      <w:sz w:val="16"/>
                    </w:rPr>
                    <w:t xml:space="preserve">Combustion system – grate system or </w:t>
                  </w:r>
                  <w:proofErr w:type="spellStart"/>
                  <w:r>
                    <w:rPr>
                      <w:rFonts w:ascii="Arial" w:eastAsia="Arial" w:hAnsi="Arial"/>
                      <w:color w:val="000000"/>
                      <w:spacing w:val="-4"/>
                      <w:sz w:val="16"/>
                    </w:rPr>
                    <w:t>fluidised</w:t>
                  </w:r>
                  <w:proofErr w:type="spellEnd"/>
                  <w:r>
                    <w:rPr>
                      <w:rFonts w:ascii="Arial" w:eastAsia="Arial" w:hAnsi="Arial"/>
                      <w:color w:val="000000"/>
                      <w:spacing w:val="-4"/>
                      <w:sz w:val="16"/>
                    </w:rPr>
                    <w:t xml:space="preserve"> bed, auxiliary burners</w:t>
                  </w:r>
                </w:p>
                <w:p w14:paraId="04CFDCBC" w14:textId="77777777" w:rsidR="00AE5D03" w:rsidRDefault="00277326">
                  <w:pPr>
                    <w:spacing w:line="220" w:lineRule="exact"/>
                    <w:textAlignment w:val="baseline"/>
                    <w:rPr>
                      <w:rFonts w:ascii="Arial" w:eastAsia="Arial" w:hAnsi="Arial"/>
                      <w:color w:val="000000"/>
                      <w:sz w:val="16"/>
                    </w:rPr>
                  </w:pPr>
                  <w:r>
                    <w:rPr>
                      <w:rFonts w:ascii="Arial" w:eastAsia="Arial" w:hAnsi="Arial"/>
                      <w:color w:val="000000"/>
                      <w:sz w:val="16"/>
                    </w:rPr>
                    <w:t>Boiler and steam system – heat recovery boiler, steam turbine</w:t>
                  </w:r>
                </w:p>
                <w:p w14:paraId="3553D9B6" w14:textId="77777777" w:rsidR="00AE5D03" w:rsidRDefault="00277326">
                  <w:pPr>
                    <w:spacing w:after="26" w:line="221" w:lineRule="exact"/>
                    <w:ind w:right="144"/>
                    <w:textAlignment w:val="baseline"/>
                    <w:rPr>
                      <w:rFonts w:ascii="Arial" w:eastAsia="Arial" w:hAnsi="Arial"/>
                      <w:color w:val="000000"/>
                      <w:sz w:val="16"/>
                    </w:rPr>
                  </w:pPr>
                  <w:r>
                    <w:rPr>
                      <w:rFonts w:ascii="Arial" w:eastAsia="Arial" w:hAnsi="Arial"/>
                      <w:color w:val="000000"/>
                      <w:sz w:val="16"/>
                    </w:rPr>
                    <w:t>Flue gas cleaning system – scrubbers, filters, catalysts (e.g. SNCR/SCR,)</w:t>
                  </w:r>
                </w:p>
              </w:txbxContent>
            </v:textbox>
            <w10:wrap type="square" anchorx="page" anchory="page"/>
          </v:shape>
        </w:pict>
      </w:r>
      <w:r>
        <w:pict w14:anchorId="000C7BEC">
          <v:shape id="_x0000_s1038" type="#_x0000_t202" style="position:absolute;margin-left:256.8pt;margin-top:138.9pt;width:101.5pt;height:295.15pt;z-index:-251656704;mso-wrap-distance-left:0;mso-wrap-distance-right:0;mso-position-horizontal-relative:page;mso-position-vertical-relative:page" filled="f" stroked="f">
            <v:textbox inset="0,0,0,0">
              <w:txbxContent>
                <w:p w14:paraId="17F3A900" w14:textId="77777777" w:rsidR="00AE5D03" w:rsidRDefault="00277326">
                  <w:pPr>
                    <w:tabs>
                      <w:tab w:val="right" w:pos="2016"/>
                    </w:tabs>
                    <w:spacing w:before="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79A72C41" w14:textId="77777777" w:rsidR="00AE5D03" w:rsidRDefault="00277326">
                  <w:pPr>
                    <w:tabs>
                      <w:tab w:val="right" w:pos="2016"/>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D59AFDA" w14:textId="77777777" w:rsidR="00AE5D03" w:rsidRDefault="00277326">
                  <w:pPr>
                    <w:tabs>
                      <w:tab w:val="right" w:pos="2016"/>
                    </w:tabs>
                    <w:spacing w:before="257"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14BC09F3" w14:textId="77777777" w:rsidR="00AE5D03" w:rsidRDefault="00277326">
                  <w:pPr>
                    <w:tabs>
                      <w:tab w:val="right" w:pos="2016"/>
                    </w:tabs>
                    <w:spacing w:before="26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CD67B42" w14:textId="77777777" w:rsidR="00AE5D03" w:rsidRDefault="00277326">
                  <w:pPr>
                    <w:tabs>
                      <w:tab w:val="right" w:pos="2016"/>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B434D80" w14:textId="77777777" w:rsidR="00AE5D03" w:rsidRDefault="00277326">
                  <w:pPr>
                    <w:tabs>
                      <w:tab w:val="right" w:pos="2016"/>
                    </w:tabs>
                    <w:spacing w:before="257"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0000D5A9" w14:textId="77777777" w:rsidR="00AE5D03" w:rsidRDefault="00277326">
                  <w:pPr>
                    <w:tabs>
                      <w:tab w:val="right" w:pos="2016"/>
                    </w:tabs>
                    <w:spacing w:before="26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3B1163AD" w14:textId="77777777" w:rsidR="00AE5D03" w:rsidRDefault="00277326">
                  <w:pPr>
                    <w:tabs>
                      <w:tab w:val="right" w:pos="2016"/>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2529AEEE" w14:textId="77777777" w:rsidR="00AE5D03" w:rsidRDefault="00277326">
                  <w:pPr>
                    <w:tabs>
                      <w:tab w:val="right" w:pos="2016"/>
                    </w:tabs>
                    <w:spacing w:before="257"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t>No</w:t>
                  </w:r>
                </w:p>
                <w:p w14:paraId="4B28A1DF" w14:textId="77777777" w:rsidR="00AE5D03" w:rsidRDefault="00277326">
                  <w:pPr>
                    <w:tabs>
                      <w:tab w:val="right" w:pos="2016"/>
                    </w:tabs>
                    <w:spacing w:before="26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0D6D7CD" w14:textId="77777777" w:rsidR="00AE5D03" w:rsidRDefault="00277326">
                  <w:pPr>
                    <w:tabs>
                      <w:tab w:val="right" w:pos="2016"/>
                    </w:tabs>
                    <w:spacing w:before="262"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7D21D3F9" w14:textId="77777777" w:rsidR="00AE5D03" w:rsidRDefault="00277326">
                  <w:pPr>
                    <w:tabs>
                      <w:tab w:val="right" w:pos="2016"/>
                    </w:tabs>
                    <w:spacing w:before="257"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5CDE514" w14:textId="77777777" w:rsidR="00AE5D03" w:rsidRDefault="00277326">
                  <w:pPr>
                    <w:tabs>
                      <w:tab w:val="right" w:pos="2016"/>
                    </w:tabs>
                    <w:spacing w:before="261" w:line="180"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16DA0038" w14:textId="77777777" w:rsidR="00AE5D03" w:rsidRDefault="00277326">
                  <w:pPr>
                    <w:tabs>
                      <w:tab w:val="right" w:pos="2016"/>
                    </w:tabs>
                    <w:spacing w:before="262" w:line="16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79FAB6EA">
          <v:shape id="_x0000_s1037" type="#_x0000_t202" style="position:absolute;margin-left:52.3pt;margin-top:442.05pt;width:306pt;height:32.85pt;z-index:251645440;mso-wrap-distance-left:0;mso-wrap-distance-right:0;mso-position-horizontal-relative:page;mso-position-vertical-relative:page" filled="f" stroked="f">
            <v:textbox inset="0,0,0,0">
              <w:txbxContent>
                <w:p w14:paraId="7552D181" w14:textId="77777777" w:rsidR="00AE5D03" w:rsidRDefault="00277326">
                  <w:pPr>
                    <w:tabs>
                      <w:tab w:val="left" w:pos="4104"/>
                      <w:tab w:val="right" w:pos="6120"/>
                    </w:tabs>
                    <w:spacing w:before="1" w:line="180" w:lineRule="exact"/>
                    <w:textAlignment w:val="baseline"/>
                    <w:rPr>
                      <w:rFonts w:ascii="Arial" w:eastAsia="Arial" w:hAnsi="Arial"/>
                      <w:color w:val="000000"/>
                      <w:sz w:val="16"/>
                    </w:rPr>
                  </w:pPr>
                  <w:r>
                    <w:rPr>
                      <w:rFonts w:ascii="Arial" w:eastAsia="Arial" w:hAnsi="Arial"/>
                      <w:color w:val="000000"/>
                      <w:sz w:val="16"/>
                    </w:rPr>
                    <w:t xml:space="preserve">Air-cooled condenser or </w:t>
                  </w:r>
                  <w:proofErr w:type="gramStart"/>
                  <w:r>
                    <w:rPr>
                      <w:rFonts w:ascii="Arial" w:eastAsia="Arial" w:hAnsi="Arial"/>
                      <w:color w:val="000000"/>
                      <w:sz w:val="16"/>
                    </w:rPr>
                    <w:t>water cooling</w:t>
                  </w:r>
                  <w:proofErr w:type="gramEnd"/>
                  <w:r>
                    <w:rPr>
                      <w:rFonts w:ascii="Arial" w:eastAsia="Arial" w:hAnsi="Arial"/>
                      <w:color w:val="000000"/>
                      <w:sz w:val="16"/>
                    </w:rPr>
                    <w:t xml:space="preserve"> system</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53C2B5E" w14:textId="77777777" w:rsidR="00AE5D03" w:rsidRDefault="00277326">
                  <w:pPr>
                    <w:tabs>
                      <w:tab w:val="left" w:pos="4104"/>
                      <w:tab w:val="right" w:pos="6120"/>
                    </w:tabs>
                    <w:spacing w:before="52" w:line="216" w:lineRule="exact"/>
                    <w:textAlignment w:val="baseline"/>
                    <w:rPr>
                      <w:rFonts w:ascii="Arial" w:eastAsia="Arial" w:hAnsi="Arial"/>
                      <w:color w:val="000000"/>
                      <w:sz w:val="16"/>
                    </w:rPr>
                  </w:pPr>
                  <w:r>
                    <w:rPr>
                      <w:rFonts w:ascii="Arial" w:eastAsia="Arial" w:hAnsi="Arial"/>
                      <w:color w:val="000000"/>
                      <w:sz w:val="16"/>
                    </w:rPr>
                    <w:t>Turbine generator set – steam turbine,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70585F08" w14:textId="77777777" w:rsidR="00AE5D03" w:rsidRDefault="00277326">
                  <w:pPr>
                    <w:spacing w:after="31" w:line="168" w:lineRule="exact"/>
                    <w:textAlignment w:val="baseline"/>
                    <w:rPr>
                      <w:rFonts w:ascii="Arial" w:eastAsia="Arial" w:hAnsi="Arial"/>
                      <w:color w:val="000000"/>
                      <w:spacing w:val="-4"/>
                      <w:sz w:val="16"/>
                    </w:rPr>
                  </w:pPr>
                  <w:r>
                    <w:rPr>
                      <w:rFonts w:ascii="Arial" w:eastAsia="Arial" w:hAnsi="Arial"/>
                      <w:color w:val="000000"/>
                      <w:spacing w:val="-4"/>
                      <w:sz w:val="16"/>
                    </w:rPr>
                    <w:t>generator, controls</w:t>
                  </w:r>
                </w:p>
              </w:txbxContent>
            </v:textbox>
            <w10:wrap anchorx="page" anchory="page"/>
          </v:shape>
        </w:pict>
      </w:r>
      <w:r>
        <w:pict w14:anchorId="22483954">
          <v:shape id="_x0000_s1036" type="#_x0000_t202" style="position:absolute;margin-left:52.3pt;margin-top:474.9pt;width:306pt;height:66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449"/>
                    <w:gridCol w:w="2671"/>
                  </w:tblGrid>
                  <w:tr w:rsidR="00AE5D03" w14:paraId="35422B3D" w14:textId="77777777">
                    <w:tblPrEx>
                      <w:tblCellMar>
                        <w:top w:w="0" w:type="dxa"/>
                        <w:bottom w:w="0" w:type="dxa"/>
                      </w:tblCellMar>
                    </w:tblPrEx>
                    <w:trPr>
                      <w:trHeight w:hRule="exact" w:val="1320"/>
                    </w:trPr>
                    <w:tc>
                      <w:tcPr>
                        <w:tcW w:w="3449" w:type="dxa"/>
                      </w:tcPr>
                      <w:p w14:paraId="5CA7E0A4" w14:textId="77777777" w:rsidR="00AE5D03" w:rsidRDefault="00277326">
                        <w:pPr>
                          <w:spacing w:line="201" w:lineRule="exact"/>
                          <w:ind w:right="648"/>
                          <w:jc w:val="both"/>
                          <w:textAlignment w:val="baseline"/>
                          <w:rPr>
                            <w:rFonts w:ascii="Arial" w:eastAsia="Arial" w:hAnsi="Arial"/>
                            <w:color w:val="000000"/>
                            <w:spacing w:val="-6"/>
                            <w:sz w:val="16"/>
                          </w:rPr>
                        </w:pPr>
                        <w:r>
                          <w:rPr>
                            <w:rFonts w:ascii="Arial" w:eastAsia="Arial" w:hAnsi="Arial"/>
                            <w:color w:val="000000"/>
                            <w:spacing w:val="-6"/>
                            <w:sz w:val="16"/>
                          </w:rPr>
                          <w:t>Bottom ash handling system – conveyors, bunker, conditioning equipment</w:t>
                        </w:r>
                      </w:p>
                      <w:p w14:paraId="2F61EC84" w14:textId="77777777" w:rsidR="00AE5D03" w:rsidRDefault="00277326">
                        <w:pPr>
                          <w:spacing w:line="221" w:lineRule="exact"/>
                          <w:ind w:right="792"/>
                          <w:textAlignment w:val="baseline"/>
                          <w:rPr>
                            <w:rFonts w:ascii="Arial" w:eastAsia="Arial" w:hAnsi="Arial"/>
                            <w:color w:val="000000"/>
                            <w:sz w:val="16"/>
                          </w:rPr>
                        </w:pPr>
                        <w:r>
                          <w:rPr>
                            <w:rFonts w:ascii="Arial" w:eastAsia="Arial" w:hAnsi="Arial"/>
                            <w:color w:val="000000"/>
                            <w:sz w:val="16"/>
                          </w:rPr>
                          <w:t>Air pollution control reagents and dosing systems</w:t>
                        </w:r>
                      </w:p>
                      <w:p w14:paraId="5ABB3DDF" w14:textId="77777777" w:rsidR="00AE5D03" w:rsidRDefault="00277326">
                        <w:pPr>
                          <w:spacing w:after="36" w:line="218" w:lineRule="exact"/>
                          <w:ind w:right="648"/>
                          <w:jc w:val="both"/>
                          <w:textAlignment w:val="baseline"/>
                          <w:rPr>
                            <w:rFonts w:ascii="Arial" w:eastAsia="Arial" w:hAnsi="Arial"/>
                            <w:color w:val="000000"/>
                            <w:spacing w:val="-6"/>
                            <w:sz w:val="16"/>
                          </w:rPr>
                        </w:pPr>
                        <w:r>
                          <w:rPr>
                            <w:rFonts w:ascii="Arial" w:eastAsia="Arial" w:hAnsi="Arial"/>
                            <w:color w:val="000000"/>
                            <w:spacing w:val="-6"/>
                            <w:sz w:val="16"/>
                          </w:rPr>
                          <w:t>Emission monitoring system – continuous emissions monitoring (CEMS)</w:t>
                        </w:r>
                      </w:p>
                    </w:tc>
                    <w:tc>
                      <w:tcPr>
                        <w:tcW w:w="2671" w:type="dxa"/>
                      </w:tcPr>
                      <w:p w14:paraId="5C417D82" w14:textId="77777777" w:rsidR="00AE5D03" w:rsidRDefault="00277326">
                        <w:pPr>
                          <w:tabs>
                            <w:tab w:val="right" w:pos="2736"/>
                          </w:tabs>
                          <w:spacing w:before="102"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5778DAD6" w14:textId="77777777" w:rsidR="00AE5D03" w:rsidRDefault="00277326">
                        <w:pPr>
                          <w:tabs>
                            <w:tab w:val="right" w:pos="2736"/>
                          </w:tabs>
                          <w:spacing w:before="262"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52703230" w14:textId="77777777" w:rsidR="00AE5D03" w:rsidRDefault="00277326">
                        <w:pPr>
                          <w:tabs>
                            <w:tab w:val="right" w:pos="2736"/>
                          </w:tabs>
                          <w:spacing w:before="256" w:after="156"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c>
                  </w:tr>
                </w:tbl>
                <w:p w14:paraId="468187CB" w14:textId="77777777" w:rsidR="00277326" w:rsidRDefault="00277326"/>
              </w:txbxContent>
            </v:textbox>
            <w10:wrap type="square" anchorx="page" anchory="page"/>
          </v:shape>
        </w:pict>
      </w:r>
      <w:r>
        <w:pict w14:anchorId="47CC189E">
          <v:shape id="_x0000_s1035" type="#_x0000_t202" style="position:absolute;margin-left:52.3pt;margin-top:540.9pt;width:306pt;height:33.15pt;z-index:-251654656;mso-wrap-distance-left:0;mso-wrap-distance-right:0;mso-position-horizontal-relative:page;mso-position-vertical-relative:page" filled="f" stroked="f">
            <v:textbox inset="0,0,0,0">
              <w:txbxContent>
                <w:p w14:paraId="1DAAC2D2" w14:textId="77777777" w:rsidR="00AE5D03" w:rsidRDefault="00277326">
                  <w:pPr>
                    <w:tabs>
                      <w:tab w:val="left" w:pos="4104"/>
                      <w:tab w:val="right" w:pos="6120"/>
                    </w:tabs>
                    <w:spacing w:before="1" w:line="180" w:lineRule="exact"/>
                    <w:textAlignment w:val="baseline"/>
                    <w:rPr>
                      <w:rFonts w:ascii="Arial" w:eastAsia="Arial" w:hAnsi="Arial"/>
                      <w:color w:val="000000"/>
                      <w:sz w:val="16"/>
                    </w:rPr>
                  </w:pPr>
                  <w:r>
                    <w:rPr>
                      <w:rFonts w:ascii="Arial" w:eastAsia="Arial" w:hAnsi="Arial"/>
                      <w:color w:val="000000"/>
                      <w:sz w:val="16"/>
                    </w:rPr>
                    <w:t>Electrical switchgear and transformers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B00A35E" w14:textId="77777777" w:rsidR="00AE5D03" w:rsidRDefault="00277326">
                  <w:pPr>
                    <w:tabs>
                      <w:tab w:val="left" w:pos="4104"/>
                      <w:tab w:val="right" w:pos="6120"/>
                    </w:tabs>
                    <w:spacing w:before="56" w:line="218" w:lineRule="exact"/>
                    <w:textAlignment w:val="baseline"/>
                    <w:rPr>
                      <w:rFonts w:ascii="Arial" w:eastAsia="Arial" w:hAnsi="Arial"/>
                      <w:color w:val="000000"/>
                      <w:sz w:val="16"/>
                    </w:rPr>
                  </w:pPr>
                  <w:r>
                    <w:rPr>
                      <w:rFonts w:ascii="Arial" w:eastAsia="Arial" w:hAnsi="Arial"/>
                      <w:color w:val="000000"/>
                      <w:sz w:val="16"/>
                    </w:rPr>
                    <w:t>Distributed control system (DCS) – plant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2882604" w14:textId="77777777" w:rsidR="00AE5D03" w:rsidRDefault="00277326">
                  <w:pPr>
                    <w:spacing w:after="35" w:line="168" w:lineRule="exact"/>
                    <w:textAlignment w:val="baseline"/>
                    <w:rPr>
                      <w:rFonts w:ascii="Arial" w:eastAsia="Arial" w:hAnsi="Arial"/>
                      <w:color w:val="000000"/>
                      <w:spacing w:val="-5"/>
                      <w:sz w:val="16"/>
                    </w:rPr>
                  </w:pPr>
                  <w:r>
                    <w:rPr>
                      <w:rFonts w:ascii="Arial" w:eastAsia="Arial" w:hAnsi="Arial"/>
                      <w:color w:val="000000"/>
                      <w:spacing w:val="-5"/>
                      <w:sz w:val="16"/>
                    </w:rPr>
                    <w:t>automation and control</w:t>
                  </w:r>
                </w:p>
              </w:txbxContent>
            </v:textbox>
            <w10:wrap type="square" anchorx="page" anchory="page"/>
          </v:shape>
        </w:pict>
      </w:r>
      <w:r>
        <w:pict w14:anchorId="7BD93BB6">
          <v:shape id="_x0000_s1034" type="#_x0000_t202" style="position:absolute;margin-left:52.3pt;margin-top:574.05pt;width:306pt;height:66pt;z-index:-251653632;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622"/>
                    <w:gridCol w:w="2498"/>
                  </w:tblGrid>
                  <w:tr w:rsidR="00AE5D03" w14:paraId="7ACE162A" w14:textId="77777777">
                    <w:tblPrEx>
                      <w:tblCellMar>
                        <w:top w:w="0" w:type="dxa"/>
                        <w:bottom w:w="0" w:type="dxa"/>
                      </w:tblCellMar>
                    </w:tblPrEx>
                    <w:trPr>
                      <w:trHeight w:hRule="exact" w:val="1320"/>
                    </w:trPr>
                    <w:tc>
                      <w:tcPr>
                        <w:tcW w:w="3622" w:type="dxa"/>
                      </w:tcPr>
                      <w:p w14:paraId="65B391F0" w14:textId="77777777" w:rsidR="00AE5D03" w:rsidRDefault="00277326">
                        <w:pPr>
                          <w:spacing w:line="198" w:lineRule="exact"/>
                          <w:ind w:right="468"/>
                          <w:textAlignment w:val="baseline"/>
                          <w:rPr>
                            <w:rFonts w:ascii="Arial" w:eastAsia="Arial" w:hAnsi="Arial"/>
                            <w:color w:val="000000"/>
                            <w:spacing w:val="-4"/>
                            <w:sz w:val="16"/>
                          </w:rPr>
                        </w:pPr>
                        <w:r>
                          <w:rPr>
                            <w:rFonts w:ascii="Arial" w:eastAsia="Arial" w:hAnsi="Arial"/>
                            <w:color w:val="000000"/>
                            <w:spacing w:val="-4"/>
                            <w:sz w:val="16"/>
                          </w:rPr>
                          <w:t>Fire protection systems – sprinklers, detection, suppression</w:t>
                        </w:r>
                      </w:p>
                      <w:p w14:paraId="34F293E8" w14:textId="77777777" w:rsidR="00AE5D03" w:rsidRDefault="00277326">
                        <w:pPr>
                          <w:spacing w:line="220" w:lineRule="exact"/>
                          <w:ind w:right="864"/>
                          <w:textAlignment w:val="baseline"/>
                          <w:rPr>
                            <w:rFonts w:ascii="Arial" w:eastAsia="Arial" w:hAnsi="Arial"/>
                            <w:color w:val="000000"/>
                            <w:sz w:val="16"/>
                          </w:rPr>
                        </w:pPr>
                        <w:r>
                          <w:rPr>
                            <w:rFonts w:ascii="Arial" w:eastAsia="Arial" w:hAnsi="Arial"/>
                            <w:color w:val="000000"/>
                            <w:sz w:val="16"/>
                          </w:rPr>
                          <w:t>Compressed air and water systems – for operations and utilities</w:t>
                        </w:r>
                      </w:p>
                      <w:p w14:paraId="5920FE73" w14:textId="77777777" w:rsidR="00AE5D03" w:rsidRDefault="00277326">
                        <w:pPr>
                          <w:spacing w:after="26" w:line="221" w:lineRule="exact"/>
                          <w:ind w:right="684"/>
                          <w:textAlignment w:val="baseline"/>
                          <w:rPr>
                            <w:rFonts w:ascii="Arial" w:eastAsia="Arial" w:hAnsi="Arial"/>
                            <w:color w:val="000000"/>
                            <w:spacing w:val="-4"/>
                            <w:sz w:val="16"/>
                          </w:rPr>
                        </w:pPr>
                        <w:r>
                          <w:rPr>
                            <w:rFonts w:ascii="Arial" w:eastAsia="Arial" w:hAnsi="Arial"/>
                            <w:color w:val="000000"/>
                            <w:spacing w:val="-4"/>
                            <w:sz w:val="16"/>
                          </w:rPr>
                          <w:t>Auxiliary systems – HVAC, lighting, internal transport, workshop equipment</w:t>
                        </w:r>
                      </w:p>
                    </w:tc>
                    <w:tc>
                      <w:tcPr>
                        <w:tcW w:w="2498" w:type="dxa"/>
                      </w:tcPr>
                      <w:p w14:paraId="61CE7371" w14:textId="77777777" w:rsidR="00AE5D03" w:rsidRDefault="00277326">
                        <w:pPr>
                          <w:tabs>
                            <w:tab w:val="right" w:pos="2520"/>
                          </w:tabs>
                          <w:spacing w:before="97"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482FA4F2" w14:textId="77777777" w:rsidR="00AE5D03" w:rsidRDefault="00277326">
                        <w:pPr>
                          <w:tabs>
                            <w:tab w:val="right" w:pos="2520"/>
                          </w:tabs>
                          <w:spacing w:before="261"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p w14:paraId="66D7AB28" w14:textId="77777777" w:rsidR="00AE5D03" w:rsidRDefault="00277326">
                        <w:pPr>
                          <w:tabs>
                            <w:tab w:val="right" w:pos="2520"/>
                          </w:tabs>
                          <w:spacing w:before="262" w:after="146" w:line="180" w:lineRule="exact"/>
                          <w:ind w:right="4"/>
                          <w:jc w:val="righ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c>
                  </w:tr>
                </w:tbl>
                <w:p w14:paraId="4F353408" w14:textId="77777777" w:rsidR="00277326" w:rsidRDefault="00277326"/>
              </w:txbxContent>
            </v:textbox>
            <w10:wrap type="square" anchorx="page" anchory="page"/>
          </v:shape>
        </w:pict>
      </w:r>
      <w:r>
        <w:pict w14:anchorId="57D4BEE9">
          <v:shape id="_x0000_s1033" type="#_x0000_t202" style="position:absolute;margin-left:52.3pt;margin-top:640.05pt;width:306pt;height:138.95pt;z-index:-251652608;mso-wrap-distance-left:0;mso-wrap-distance-right:0;mso-position-horizontal-relative:page;mso-position-vertical-relative:page" filled="f" stroked="f">
            <v:textbox inset="0,0,0,0">
              <w:txbxContent>
                <w:p w14:paraId="4849EBAA" w14:textId="77777777" w:rsidR="00AE5D03" w:rsidRDefault="00277326">
                  <w:pPr>
                    <w:tabs>
                      <w:tab w:val="left" w:pos="4104"/>
                      <w:tab w:val="right" w:pos="6120"/>
                    </w:tabs>
                    <w:spacing w:before="1" w:line="180" w:lineRule="exact"/>
                    <w:textAlignment w:val="baseline"/>
                    <w:rPr>
                      <w:rFonts w:ascii="Arial" w:eastAsia="Arial" w:hAnsi="Arial"/>
                      <w:color w:val="000000"/>
                      <w:sz w:val="16"/>
                    </w:rPr>
                  </w:pPr>
                  <w:r>
                    <w:rPr>
                      <w:rFonts w:ascii="Arial" w:eastAsia="Arial" w:hAnsi="Arial"/>
                      <w:color w:val="000000"/>
                      <w:sz w:val="16"/>
                    </w:rPr>
                    <w:t>Concrete, steel, and structural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6E2AACE" w14:textId="77777777" w:rsidR="00AE5D03" w:rsidRDefault="00277326">
                  <w:pPr>
                    <w:tabs>
                      <w:tab w:val="left" w:pos="4104"/>
                      <w:tab w:val="right" w:pos="6120"/>
                    </w:tabs>
                    <w:spacing w:before="36" w:line="180" w:lineRule="exact"/>
                    <w:textAlignment w:val="baseline"/>
                    <w:rPr>
                      <w:rFonts w:ascii="Arial" w:eastAsia="Arial" w:hAnsi="Arial"/>
                      <w:color w:val="000000"/>
                      <w:sz w:val="16"/>
                    </w:rPr>
                  </w:pPr>
                  <w:r>
                    <w:rPr>
                      <w:rFonts w:ascii="Arial" w:eastAsia="Arial" w:hAnsi="Arial"/>
                      <w:color w:val="000000"/>
                      <w:sz w:val="16"/>
                    </w:rPr>
                    <w:t>Piping and valves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0BF76B4" w14:textId="77777777" w:rsidR="00AE5D03" w:rsidRDefault="00277326">
                  <w:pPr>
                    <w:tabs>
                      <w:tab w:val="left" w:pos="4104"/>
                      <w:tab w:val="right" w:pos="6120"/>
                    </w:tabs>
                    <w:spacing w:before="40" w:line="180" w:lineRule="exact"/>
                    <w:textAlignment w:val="baseline"/>
                    <w:rPr>
                      <w:rFonts w:ascii="Arial" w:eastAsia="Arial" w:hAnsi="Arial"/>
                      <w:color w:val="000000"/>
                      <w:sz w:val="16"/>
                    </w:rPr>
                  </w:pPr>
                  <w:r>
                    <w:rPr>
                      <w:rFonts w:ascii="Arial" w:eastAsia="Arial" w:hAnsi="Arial"/>
                      <w:color w:val="000000"/>
                      <w:sz w:val="16"/>
                    </w:rPr>
                    <w:t>Cabling and cable management systems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5C39B75F" w14:textId="77777777" w:rsidR="00AE5D03" w:rsidRDefault="00277326">
                  <w:pPr>
                    <w:tabs>
                      <w:tab w:val="left" w:pos="4104"/>
                      <w:tab w:val="right" w:pos="6120"/>
                    </w:tabs>
                    <w:spacing w:before="41" w:line="180" w:lineRule="exact"/>
                    <w:textAlignment w:val="baseline"/>
                    <w:rPr>
                      <w:rFonts w:ascii="Arial" w:eastAsia="Arial" w:hAnsi="Arial"/>
                      <w:color w:val="000000"/>
                      <w:sz w:val="16"/>
                    </w:rPr>
                  </w:pPr>
                  <w:r>
                    <w:rPr>
                      <w:rFonts w:ascii="Arial" w:eastAsia="Arial" w:hAnsi="Arial"/>
                      <w:color w:val="000000"/>
                      <w:sz w:val="16"/>
                    </w:rPr>
                    <w:t>Insulation and cladding materials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2D3CAB81" w14:textId="77777777" w:rsidR="00AE5D03" w:rsidRDefault="00277326">
                  <w:pPr>
                    <w:tabs>
                      <w:tab w:val="left" w:pos="4104"/>
                      <w:tab w:val="right" w:pos="6120"/>
                    </w:tabs>
                    <w:spacing w:before="41" w:line="180" w:lineRule="exact"/>
                    <w:textAlignment w:val="baseline"/>
                    <w:rPr>
                      <w:rFonts w:ascii="Arial" w:eastAsia="Arial" w:hAnsi="Arial"/>
                      <w:color w:val="000000"/>
                      <w:sz w:val="16"/>
                    </w:rPr>
                  </w:pPr>
                  <w:r>
                    <w:rPr>
                      <w:rFonts w:ascii="Arial" w:eastAsia="Arial" w:hAnsi="Arial"/>
                      <w:color w:val="000000"/>
                      <w:sz w:val="16"/>
                    </w:rPr>
                    <w:t>Instrumentation and sensors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B8C2E3C" w14:textId="77777777" w:rsidR="00AE5D03" w:rsidRDefault="00277326">
                  <w:pPr>
                    <w:tabs>
                      <w:tab w:val="left" w:pos="4104"/>
                      <w:tab w:val="right" w:pos="6120"/>
                    </w:tabs>
                    <w:spacing w:before="41" w:line="180" w:lineRule="exact"/>
                    <w:textAlignment w:val="baseline"/>
                    <w:rPr>
                      <w:rFonts w:ascii="Arial" w:eastAsia="Arial" w:hAnsi="Arial"/>
                      <w:color w:val="000000"/>
                      <w:sz w:val="16"/>
                    </w:rPr>
                  </w:pPr>
                  <w:r>
                    <w:rPr>
                      <w:rFonts w:ascii="Arial" w:eastAsia="Arial" w:hAnsi="Arial"/>
                      <w:color w:val="000000"/>
                      <w:sz w:val="16"/>
                    </w:rPr>
                    <w:t>Temporary power and water supply</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1BD67A62" w14:textId="77777777" w:rsidR="00AE5D03" w:rsidRDefault="00277326">
                  <w:pPr>
                    <w:tabs>
                      <w:tab w:val="left" w:pos="4104"/>
                      <w:tab w:val="right" w:pos="6120"/>
                    </w:tabs>
                    <w:spacing w:before="41" w:line="180" w:lineRule="exact"/>
                    <w:textAlignment w:val="baseline"/>
                    <w:rPr>
                      <w:rFonts w:ascii="Arial" w:eastAsia="Arial" w:hAnsi="Arial"/>
                      <w:color w:val="000000"/>
                      <w:sz w:val="16"/>
                    </w:rPr>
                  </w:pPr>
                  <w:r>
                    <w:rPr>
                      <w:rFonts w:ascii="Arial" w:eastAsia="Arial" w:hAnsi="Arial"/>
                      <w:color w:val="000000"/>
                      <w:sz w:val="16"/>
                    </w:rPr>
                    <w:t>Site offices and amenities</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E21B920" w14:textId="77777777" w:rsidR="00AE5D03" w:rsidRDefault="00277326">
                  <w:pPr>
                    <w:tabs>
                      <w:tab w:val="left" w:pos="4104"/>
                      <w:tab w:val="right" w:pos="6120"/>
                    </w:tabs>
                    <w:spacing w:before="36" w:line="180" w:lineRule="exact"/>
                    <w:textAlignment w:val="baseline"/>
                    <w:rPr>
                      <w:rFonts w:ascii="Arial" w:eastAsia="Arial" w:hAnsi="Arial"/>
                      <w:color w:val="000000"/>
                      <w:sz w:val="16"/>
                    </w:rPr>
                  </w:pPr>
                  <w:r>
                    <w:rPr>
                      <w:rFonts w:ascii="Arial" w:eastAsia="Arial" w:hAnsi="Arial"/>
                      <w:color w:val="000000"/>
                      <w:sz w:val="16"/>
                    </w:rPr>
                    <w:t>Cranes and heavy lift equipment</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3EC7CAF4" w14:textId="77777777" w:rsidR="00AE5D03" w:rsidRDefault="00277326">
                  <w:pPr>
                    <w:tabs>
                      <w:tab w:val="left" w:pos="4104"/>
                      <w:tab w:val="right" w:pos="6120"/>
                    </w:tabs>
                    <w:spacing w:before="40" w:after="828" w:line="180" w:lineRule="exact"/>
                    <w:textAlignment w:val="baseline"/>
                    <w:rPr>
                      <w:rFonts w:ascii="Arial" w:eastAsia="Arial" w:hAnsi="Arial"/>
                      <w:color w:val="000000"/>
                      <w:sz w:val="16"/>
                    </w:rPr>
                  </w:pPr>
                  <w:r>
                    <w:rPr>
                      <w:rFonts w:ascii="Arial" w:eastAsia="Arial" w:hAnsi="Arial"/>
                      <w:color w:val="000000"/>
                      <w:sz w:val="16"/>
                    </w:rPr>
                    <w:t>Construction tools and machinery hire</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17ACCBFC">
          <v:shape id="_x0000_s1032" type="#_x0000_t202" style="position:absolute;margin-left:488.15pt;margin-top:765.4pt;width:54.75pt;height:12.65pt;z-index:-251651584;mso-wrap-distance-left:0;mso-wrap-distance-right:0;mso-position-horizontal-relative:page;mso-position-vertical-relative:page" filled="f" stroked="f">
            <v:textbox inset="0,0,0,0">
              <w:txbxContent>
                <w:p w14:paraId="53E24FF0" w14:textId="77777777" w:rsidR="00AE5D03" w:rsidRDefault="00277326">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1281B784" w14:textId="77777777" w:rsidR="00AE5D03" w:rsidRDefault="00AE5D03">
      <w:pPr>
        <w:sectPr w:rsidR="00AE5D03">
          <w:pgSz w:w="11904" w:h="16843"/>
          <w:pgMar w:top="752" w:right="2986" w:bottom="890" w:left="1046" w:header="720" w:footer="720" w:gutter="0"/>
          <w:cols w:space="720"/>
        </w:sectPr>
      </w:pPr>
    </w:p>
    <w:p w14:paraId="156A051E" w14:textId="77777777" w:rsidR="00AE5D03" w:rsidRDefault="00277326">
      <w:pPr>
        <w:spacing w:before="3" w:line="183" w:lineRule="exact"/>
        <w:jc w:val="center"/>
        <w:textAlignment w:val="baseline"/>
        <w:rPr>
          <w:rFonts w:eastAsia="Times New Roman"/>
          <w:color w:val="000000"/>
          <w:sz w:val="16"/>
        </w:rPr>
      </w:pPr>
      <w:r>
        <w:rPr>
          <w:rFonts w:eastAsia="Times New Roman"/>
          <w:color w:val="000000"/>
          <w:sz w:val="16"/>
        </w:rPr>
        <w:lastRenderedPageBreak/>
        <w:t>***** Approved by AIP Authority on Mon May 19</w:t>
      </w:r>
      <w:proofErr w:type="gramStart"/>
      <w:r>
        <w:rPr>
          <w:rFonts w:eastAsia="Times New Roman"/>
          <w:color w:val="000000"/>
          <w:sz w:val="16"/>
        </w:rPr>
        <w:t xml:space="preserve"> 2025</w:t>
      </w:r>
      <w:proofErr w:type="gramEnd"/>
      <w:r>
        <w:rPr>
          <w:rFonts w:eastAsia="Times New Roman"/>
          <w:color w:val="000000"/>
          <w:sz w:val="16"/>
        </w:rPr>
        <w:t xml:space="preserve"> 16:01:57 GMT+1000 (AEST) *****</w:t>
      </w:r>
    </w:p>
    <w:p w14:paraId="1F53124A" w14:textId="77777777" w:rsidR="00AE5D03" w:rsidRDefault="00277326">
      <w:pPr>
        <w:spacing w:before="618" w:line="338"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Project standards:</w:t>
      </w:r>
    </w:p>
    <w:p w14:paraId="50F151CF" w14:textId="77777777" w:rsidR="00AE5D03" w:rsidRDefault="00277326">
      <w:pPr>
        <w:spacing w:before="100"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54DC637D" w14:textId="77777777" w:rsidR="00AE5D03" w:rsidRDefault="00277326">
      <w:pPr>
        <w:spacing w:before="473"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25E1A4D4" w14:textId="77777777" w:rsidR="00AE5D03" w:rsidRDefault="0027732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5C7D1A80" w14:textId="77777777" w:rsidR="00AE5D03" w:rsidRDefault="00277326">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Ben Vos</w:t>
      </w:r>
    </w:p>
    <w:p w14:paraId="466E9743" w14:textId="77777777" w:rsidR="00AE5D03" w:rsidRDefault="0027732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1BADBB5C" w14:textId="77777777" w:rsidR="00AE5D03" w:rsidRDefault="00277326">
      <w:pPr>
        <w:spacing w:before="38" w:line="183"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0413040921</w:t>
      </w:r>
    </w:p>
    <w:p w14:paraId="72F97FFA" w14:textId="77777777" w:rsidR="00AE5D03" w:rsidRDefault="00277326">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3">
        <w:r>
          <w:rPr>
            <w:rFonts w:ascii="Arial" w:eastAsia="Arial" w:hAnsi="Arial"/>
            <w:color w:val="0000FF"/>
            <w:spacing w:val="-1"/>
            <w:sz w:val="16"/>
            <w:u w:val="single"/>
          </w:rPr>
          <w:t>ben.vos@cleanaway.com.au</w:t>
        </w:r>
      </w:hyperlink>
      <w:r>
        <w:rPr>
          <w:rFonts w:ascii="Arial" w:eastAsia="Arial" w:hAnsi="Arial"/>
          <w:color w:val="000000"/>
          <w:spacing w:val="-1"/>
          <w:sz w:val="16"/>
        </w:rPr>
        <w:t xml:space="preserve"> </w:t>
      </w:r>
    </w:p>
    <w:p w14:paraId="68AF8591" w14:textId="77777777" w:rsidR="00AE5D03" w:rsidRDefault="00277326">
      <w:pPr>
        <w:spacing w:before="196" w:line="182" w:lineRule="exact"/>
        <w:textAlignment w:val="baseline"/>
        <w:rPr>
          <w:rFonts w:ascii="Arial" w:eastAsia="Arial" w:hAnsi="Arial"/>
          <w:color w:val="000000"/>
          <w:spacing w:val="-3"/>
          <w:sz w:val="16"/>
        </w:rPr>
      </w:pPr>
      <w:r>
        <w:rPr>
          <w:rFonts w:ascii="Arial" w:eastAsia="Arial" w:hAnsi="Arial"/>
          <w:color w:val="000000"/>
          <w:spacing w:val="-3"/>
          <w:sz w:val="16"/>
        </w:rPr>
        <w:t xml:space="preserve">Project proponent website: </w:t>
      </w:r>
      <w:hyperlink r:id="rId14">
        <w:r>
          <w:rPr>
            <w:rFonts w:ascii="Arial" w:eastAsia="Arial" w:hAnsi="Arial"/>
            <w:color w:val="0000FF"/>
            <w:spacing w:val="-3"/>
            <w:sz w:val="16"/>
            <w:u w:val="single"/>
          </w:rPr>
          <w:t>https://www.cleanaway.com.au/location/melbourne-energy-and-resource-centre/</w:t>
        </w:r>
      </w:hyperlink>
      <w:r>
        <w:rPr>
          <w:rFonts w:ascii="Arial" w:eastAsia="Arial" w:hAnsi="Arial"/>
          <w:color w:val="000000"/>
          <w:spacing w:val="-3"/>
          <w:sz w:val="16"/>
        </w:rPr>
        <w:t xml:space="preserve"> </w:t>
      </w:r>
    </w:p>
    <w:p w14:paraId="30A3ED4F" w14:textId="77777777" w:rsidR="00AE5D03" w:rsidRDefault="00277326">
      <w:pPr>
        <w:spacing w:before="97" w:line="220" w:lineRule="exact"/>
        <w:ind w:right="576"/>
        <w:textAlignment w:val="baseline"/>
        <w:rPr>
          <w:rFonts w:ascii="Arial" w:eastAsia="Arial" w:hAnsi="Arial"/>
          <w:color w:val="000000"/>
          <w:sz w:val="16"/>
        </w:rPr>
      </w:pPr>
      <w:r>
        <w:rPr>
          <w:rFonts w:ascii="Arial" w:eastAsia="Arial" w:hAnsi="Arial"/>
          <w:color w:val="000000"/>
          <w:sz w:val="16"/>
        </w:rPr>
        <w:t xml:space="preserve">Project opportunities </w:t>
      </w:r>
      <w:proofErr w:type="spellStart"/>
      <w:r>
        <w:rPr>
          <w:rFonts w:ascii="Arial" w:eastAsia="Arial" w:hAnsi="Arial"/>
          <w:color w:val="000000"/>
          <w:sz w:val="16"/>
        </w:rPr>
        <w:t>websi</w:t>
      </w:r>
      <w:proofErr w:type="spellEnd"/>
      <w:r>
        <w:rPr>
          <w:rFonts w:ascii="Arial" w:eastAsia="Arial" w:hAnsi="Arial"/>
          <w:color w:val="000000"/>
          <w:sz w:val="16"/>
        </w:rPr>
        <w:t xml:space="preserve"> </w:t>
      </w:r>
      <w:proofErr w:type="spellStart"/>
      <w:r>
        <w:rPr>
          <w:rFonts w:ascii="Arial" w:eastAsia="Arial" w:hAnsi="Arial"/>
          <w:color w:val="000000"/>
          <w:sz w:val="16"/>
        </w:rPr>
        <w:t>te</w:t>
      </w:r>
      <w:proofErr w:type="spellEnd"/>
      <w:r>
        <w:rPr>
          <w:rFonts w:ascii="Arial" w:eastAsia="Arial" w:hAnsi="Arial"/>
          <w:color w:val="000000"/>
          <w:sz w:val="16"/>
        </w:rPr>
        <w:t xml:space="preserve">: </w:t>
      </w:r>
      <w:hyperlink r:id="rId15">
        <w:r>
          <w:rPr>
            <w:rFonts w:ascii="Arial" w:eastAsia="Arial" w:hAnsi="Arial"/>
            <w:color w:val="0000FF"/>
            <w:sz w:val="16"/>
            <w:u w:val="single"/>
          </w:rPr>
          <w:t>https://www.cleanaway.com.au/location/melbourne-energy-and-resource-centre/</w:t>
        </w:r>
      </w:hyperlink>
      <w:r>
        <w:rPr>
          <w:rFonts w:ascii="Arial" w:eastAsia="Arial" w:hAnsi="Arial"/>
          <w:color w:val="000000"/>
          <w:sz w:val="16"/>
        </w:rPr>
        <w:t xml:space="preserve"> - will be updated to include the supply opportunities once relevant approvals have been received.</w:t>
      </w:r>
    </w:p>
    <w:p w14:paraId="1BD3BD2D" w14:textId="77777777" w:rsidR="00AE5D03" w:rsidRDefault="00277326">
      <w:pPr>
        <w:spacing w:before="159" w:line="182" w:lineRule="exact"/>
        <w:textAlignment w:val="baseline"/>
        <w:rPr>
          <w:rFonts w:ascii="Arial" w:eastAsia="Arial" w:hAnsi="Arial"/>
          <w:color w:val="000000"/>
          <w:spacing w:val="-4"/>
          <w:sz w:val="16"/>
        </w:rPr>
      </w:pPr>
      <w:r>
        <w:rPr>
          <w:rFonts w:ascii="Arial" w:eastAsia="Arial" w:hAnsi="Arial"/>
          <w:color w:val="000000"/>
          <w:spacing w:val="-4"/>
          <w:sz w:val="16"/>
        </w:rPr>
        <w:t xml:space="preserve">Supplier engagement and communication </w:t>
      </w:r>
      <w:proofErr w:type="gramStart"/>
      <w:r>
        <w:rPr>
          <w:rFonts w:ascii="Arial" w:eastAsia="Arial" w:hAnsi="Arial"/>
          <w:color w:val="000000"/>
          <w:spacing w:val="-4"/>
          <w:sz w:val="16"/>
        </w:rPr>
        <w:t>actions :</w:t>
      </w:r>
      <w:proofErr w:type="gramEnd"/>
    </w:p>
    <w:p w14:paraId="250D3A25" w14:textId="77777777" w:rsidR="00AE5D03" w:rsidRDefault="00277326">
      <w:pPr>
        <w:spacing w:before="105" w:line="218" w:lineRule="exact"/>
        <w:ind w:left="576"/>
        <w:textAlignment w:val="baseline"/>
        <w:rPr>
          <w:rFonts w:ascii="Arial" w:eastAsia="Arial" w:hAnsi="Arial"/>
          <w:color w:val="000000"/>
          <w:sz w:val="16"/>
        </w:rPr>
      </w:pPr>
      <w:r>
        <w:rPr>
          <w:rFonts w:ascii="Arial" w:eastAsia="Arial" w:hAnsi="Arial"/>
          <w:color w:val="000000"/>
          <w:sz w:val="16"/>
        </w:rPr>
        <w:t xml:space="preserve">Engage with vendor identification agencies on project opportunities and bid processes </w:t>
      </w:r>
      <w:r>
        <w:rPr>
          <w:rFonts w:ascii="Arial" w:eastAsia="Arial" w:hAnsi="Arial"/>
          <w:color w:val="000000"/>
          <w:sz w:val="16"/>
        </w:rPr>
        <w:br/>
        <w:t xml:space="preserve">Conduct supplier information briefings on project opportunities and bid processes </w:t>
      </w:r>
      <w:r>
        <w:rPr>
          <w:rFonts w:ascii="Arial" w:eastAsia="Arial" w:hAnsi="Arial"/>
          <w:color w:val="000000"/>
          <w:sz w:val="16"/>
        </w:rPr>
        <w:br/>
        <w:t>Develop and distribute a supplier information guide for the project</w:t>
      </w:r>
    </w:p>
    <w:p w14:paraId="077C6C45" w14:textId="77777777" w:rsidR="00AE5D03" w:rsidRDefault="00277326">
      <w:pPr>
        <w:spacing w:before="38"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p w14:paraId="4B5249D7" w14:textId="77777777" w:rsidR="00AE5D03" w:rsidRDefault="00277326">
      <w:pPr>
        <w:spacing w:before="473" w:line="393"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2EE78E7B" w14:textId="77777777" w:rsidR="00AE5D03" w:rsidRDefault="00277326">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0451C234" w14:textId="77777777" w:rsidR="00AE5D03" w:rsidRDefault="00277326">
      <w:pPr>
        <w:spacing w:before="140" w:line="182"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4F93FD3C" w14:textId="77777777" w:rsidR="00AE5D03" w:rsidRDefault="00277326">
      <w:pPr>
        <w:spacing w:before="34" w:line="182"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B66D769" w14:textId="77777777" w:rsidR="00AE5D03" w:rsidRDefault="00277326">
      <w:pPr>
        <w:spacing w:before="202" w:line="182"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3362D793" w14:textId="77777777" w:rsidR="00AE5D03" w:rsidRDefault="00277326">
      <w:pPr>
        <w:spacing w:before="116" w:line="220" w:lineRule="exact"/>
        <w:ind w:left="576"/>
        <w:textAlignment w:val="baseline"/>
        <w:rPr>
          <w:rFonts w:ascii="Arial" w:eastAsia="Arial" w:hAnsi="Arial"/>
          <w:color w:val="000000"/>
          <w:sz w:val="16"/>
        </w:rPr>
      </w:pPr>
      <w:r>
        <w:rPr>
          <w:rFonts w:ascii="Arial" w:eastAsia="Arial" w:hAnsi="Arial"/>
          <w:color w:val="000000"/>
          <w:sz w:val="16"/>
        </w:rPr>
        <w:t xml:space="preserve">Support suppliers to register with global supplier databases </w:t>
      </w:r>
      <w:r>
        <w:rPr>
          <w:rFonts w:ascii="Arial" w:eastAsia="Arial" w:hAnsi="Arial"/>
          <w:color w:val="000000"/>
          <w:sz w:val="16"/>
        </w:rPr>
        <w:br/>
      </w:r>
      <w:r>
        <w:rPr>
          <w:rFonts w:ascii="Arial" w:eastAsia="Arial" w:hAnsi="Arial"/>
          <w:color w:val="000000"/>
          <w:sz w:val="16"/>
        </w:rPr>
        <w:t>Provide references for high performing suppliers</w:t>
      </w:r>
    </w:p>
    <w:p w14:paraId="71F4E2C3" w14:textId="77777777" w:rsidR="00AE5D03" w:rsidRDefault="00277326">
      <w:pPr>
        <w:spacing w:before="198" w:line="182"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5AAC542A" w14:textId="77777777" w:rsidR="00AE5D03" w:rsidRDefault="00277326">
      <w:pPr>
        <w:spacing w:before="102" w:line="220" w:lineRule="exact"/>
        <w:ind w:right="432"/>
        <w:textAlignment w:val="baseline"/>
        <w:rPr>
          <w:rFonts w:ascii="Arial" w:eastAsia="Arial" w:hAnsi="Arial"/>
          <w:color w:val="000000"/>
          <w:spacing w:val="-5"/>
          <w:sz w:val="16"/>
        </w:rPr>
      </w:pPr>
      <w:r>
        <w:rPr>
          <w:rFonts w:ascii="Arial" w:eastAsia="Arial" w:hAnsi="Arial"/>
          <w:color w:val="000000"/>
          <w:spacing w:val="-5"/>
          <w:sz w:val="16"/>
        </w:rPr>
        <w:t>We will ensure procurement entities provide meaningful feedback to unsuccessful Australian bidders through the following process: Structured Debriefing Process – Offer written feedback and/or debrief meetings outlining evaluation outcomes, strengths, and areas for improvement. Detailed Feedback Reports – Provide specific insights on bid performance, including gaps in compliance, technical capability, or commercial competitiveness. Recommendations for Development – Suggest relevant training programs, industr</w:t>
      </w:r>
      <w:r>
        <w:rPr>
          <w:rFonts w:ascii="Arial" w:eastAsia="Arial" w:hAnsi="Arial"/>
          <w:color w:val="000000"/>
          <w:spacing w:val="-5"/>
          <w:sz w:val="16"/>
        </w:rPr>
        <w:t>y certifications, and capability-building initiatives to enhance future competitiveness. Access to Support Networks – Connect bidders with industry bodies, government programs, and business development resources to strengthen their skills and capacity. Encourage Future Participation – Maintain open communication and notify bidders of upcoming opportunities, fostering long-term engagement in the procurement process. This approach ensures transparency, supports industry growth, and strengthens Australian supp</w:t>
      </w:r>
      <w:r>
        <w:rPr>
          <w:rFonts w:ascii="Arial" w:eastAsia="Arial" w:hAnsi="Arial"/>
          <w:color w:val="000000"/>
          <w:spacing w:val="-5"/>
          <w:sz w:val="16"/>
        </w:rPr>
        <w:t>lier participation in future tenders.</w:t>
      </w:r>
    </w:p>
    <w:p w14:paraId="2025BCE1" w14:textId="77777777" w:rsidR="00AE5D03" w:rsidRDefault="00277326">
      <w:pPr>
        <w:spacing w:before="2170" w:line="249" w:lineRule="exact"/>
        <w:jc w:val="right"/>
        <w:textAlignment w:val="baseline"/>
        <w:rPr>
          <w:rFonts w:eastAsia="Times New Roman"/>
          <w:color w:val="000000"/>
        </w:rPr>
      </w:pPr>
      <w:r>
        <w:rPr>
          <w:rFonts w:eastAsia="Times New Roman"/>
          <w:color w:val="000000"/>
        </w:rPr>
        <w:t>Page 3 of 5</w:t>
      </w:r>
    </w:p>
    <w:p w14:paraId="62CBD39C" w14:textId="77777777" w:rsidR="00AE5D03" w:rsidRDefault="00AE5D03">
      <w:pPr>
        <w:sectPr w:rsidR="00AE5D03">
          <w:pgSz w:w="11904" w:h="16843"/>
          <w:pgMar w:top="1040" w:right="1038" w:bottom="867" w:left="1046" w:header="720" w:footer="720" w:gutter="0"/>
          <w:cols w:space="720"/>
        </w:sectPr>
      </w:pPr>
    </w:p>
    <w:p w14:paraId="4081F9A3" w14:textId="77777777" w:rsidR="00AE5D03" w:rsidRDefault="00277326">
      <w:pPr>
        <w:textAlignment w:val="baseline"/>
        <w:rPr>
          <w:rFonts w:eastAsia="Times New Roman"/>
          <w:color w:val="000000"/>
          <w:sz w:val="24"/>
        </w:rPr>
      </w:pPr>
      <w:r>
        <w:lastRenderedPageBreak/>
        <w:pict w14:anchorId="5B1A4622">
          <v:shape id="_x0000_s1031" type="#_x0000_t202" style="position:absolute;margin-left:43.9pt;margin-top:52pt;width:7in;height:95.9pt;z-index:-251650560;mso-wrap-distance-left:0;mso-wrap-distance-right:0;mso-position-horizontal-relative:page;mso-position-vertical-relative:page" filled="f" stroked="f">
            <v:textbox inset="0,0,0,0">
              <w:txbxContent>
                <w:p w14:paraId="20B56578" w14:textId="77777777" w:rsidR="00AE5D03" w:rsidRDefault="00277326">
                  <w:pPr>
                    <w:spacing w:before="3" w:line="183" w:lineRule="exact"/>
                    <w:jc w:val="center"/>
                    <w:textAlignment w:val="baseline"/>
                    <w:rPr>
                      <w:rFonts w:eastAsia="Times New Roman"/>
                      <w:color w:val="000000"/>
                      <w:sz w:val="16"/>
                    </w:rPr>
                  </w:pPr>
                  <w:r>
                    <w:rPr>
                      <w:rFonts w:eastAsia="Times New Roman"/>
                      <w:color w:val="000000"/>
                      <w:sz w:val="16"/>
                    </w:rPr>
                    <w:t>***** Approved by AIP Authority on Mon May 19</w:t>
                  </w:r>
                  <w:proofErr w:type="gramStart"/>
                  <w:r>
                    <w:rPr>
                      <w:rFonts w:eastAsia="Times New Roman"/>
                      <w:color w:val="000000"/>
                      <w:sz w:val="16"/>
                    </w:rPr>
                    <w:t xml:space="preserve"> 2025</w:t>
                  </w:r>
                  <w:proofErr w:type="gramEnd"/>
                  <w:r>
                    <w:rPr>
                      <w:rFonts w:eastAsia="Times New Roman"/>
                      <w:color w:val="000000"/>
                      <w:sz w:val="16"/>
                    </w:rPr>
                    <w:t xml:space="preserve"> 16:01:57 GMT+1000 (AEST) *****</w:t>
                  </w:r>
                </w:p>
                <w:p w14:paraId="6A027F8A" w14:textId="77777777" w:rsidR="00AE5D03" w:rsidRDefault="00277326">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1A015A0D">
          <v:shape id="_x0000_s1030" type="#_x0000_t202" style="position:absolute;margin-left:43.9pt;margin-top:147.9pt;width:7in;height:187.15pt;z-index:251646464;mso-wrap-distance-left:0;mso-wrap-distance-right:0;mso-position-horizontal-relative:page;mso-position-vertical-relative:page" filled="f" stroked="f">
            <v:textbox inset="0,0,0,0">
              <w:txbxContent>
                <w:p w14:paraId="4592FF16" w14:textId="77777777" w:rsidR="00AE5D03" w:rsidRDefault="00277326">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Cleanaway Pty Ltd</w:t>
                  </w:r>
                </w:p>
                <w:p w14:paraId="3350C131" w14:textId="77777777" w:rsidR="00AE5D03" w:rsidRDefault="00277326">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C10323E" w14:textId="77777777" w:rsidR="00AE5D03" w:rsidRDefault="00277326">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Melbourne Energy and Resource Centre Pty Ltd as trustee for Melbourne Energy an</w:t>
                  </w:r>
                </w:p>
                <w:p w14:paraId="54644C43" w14:textId="77777777" w:rsidR="00AE5D03" w:rsidRDefault="00277326">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510 Summerhill Road, Wollert VIC 3750</w:t>
                  </w:r>
                </w:p>
                <w:p w14:paraId="26CE9B14" w14:textId="77777777" w:rsidR="00AE5D03" w:rsidRDefault="00277326">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5F2027F4" w14:textId="77777777" w:rsidR="00AE5D03" w:rsidRDefault="00277326">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6FA9A5BD" w14:textId="77777777" w:rsidR="00AE5D03" w:rsidRDefault="00277326">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40E85414">
          <v:shape id="_x0000_s1029" type="#_x0000_t202" style="position:absolute;margin-left:52.3pt;margin-top:335.05pt;width:442.35pt;height:31.45pt;z-index:-251649536;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AE5D03" w14:paraId="312A3CCB" w14:textId="77777777">
                    <w:tblPrEx>
                      <w:tblCellMar>
                        <w:top w:w="0" w:type="dxa"/>
                        <w:bottom w:w="0" w:type="dxa"/>
                      </w:tblCellMar>
                    </w:tblPrEx>
                    <w:trPr>
                      <w:trHeight w:hRule="exact" w:val="629"/>
                    </w:trPr>
                    <w:tc>
                      <w:tcPr>
                        <w:tcW w:w="1519" w:type="dxa"/>
                        <w:vAlign w:val="center"/>
                      </w:tcPr>
                      <w:p w14:paraId="1CCB7BCD" w14:textId="77777777" w:rsidR="00AE5D03" w:rsidRDefault="00277326">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45591AE0" w14:textId="77777777" w:rsidR="00AE5D03" w:rsidRDefault="00277326">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0668CE15" w14:textId="77777777" w:rsidR="00AE5D03" w:rsidRDefault="00277326">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7DB6B2C6" w14:textId="77777777" w:rsidR="00AE5D03" w:rsidRDefault="00277326">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64F54A24" w14:textId="77777777" w:rsidR="00AE5D03" w:rsidRDefault="00277326">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3C6AF8EF" w14:textId="77777777" w:rsidR="00277326" w:rsidRDefault="00277326"/>
              </w:txbxContent>
            </v:textbox>
            <w10:wrap type="square" anchorx="page" anchory="page"/>
          </v:shape>
        </w:pict>
      </w:r>
      <w:r>
        <w:pict w14:anchorId="2BEE5550">
          <v:shape id="_x0000_s1028" type="#_x0000_t202" style="position:absolute;margin-left:52.3pt;margin-top:384.65pt;width:373pt;height:380.75pt;z-index:-251648512;mso-wrap-distance-left:0;mso-wrap-distance-right:0;mso-position-horizontal-relative:page;mso-position-vertical-relative:page" filled="f" stroked="f">
            <v:textbox inset="0,0,0,0">
              <w:txbxContent>
                <w:p w14:paraId="264D039F" w14:textId="77777777" w:rsidR="00AE5D03" w:rsidRDefault="00277326">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7390B0D1" w14:textId="77777777" w:rsidR="00AE5D03" w:rsidRDefault="00277326">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10DC3BC3" w14:textId="77777777" w:rsidR="00AE5D03" w:rsidRDefault="00277326">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6BED68CD" w14:textId="77777777" w:rsidR="00AE5D03" w:rsidRDefault="00277326">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0DDA6CD3" w14:textId="77777777" w:rsidR="00AE5D03" w:rsidRDefault="00277326">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Ben Vos</w:t>
                  </w:r>
                </w:p>
                <w:p w14:paraId="0F8D80F2" w14:textId="77777777" w:rsidR="00AE5D03" w:rsidRDefault="00277326">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4298706C" w14:textId="77777777" w:rsidR="00AE5D03" w:rsidRDefault="00277326">
                  <w:pPr>
                    <w:spacing w:before="38" w:line="183"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0413040921</w:t>
                  </w:r>
                </w:p>
                <w:p w14:paraId="6D1DB506" w14:textId="77777777" w:rsidR="00AE5D03" w:rsidRDefault="00277326">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6">
                    <w:r>
                      <w:rPr>
                        <w:rFonts w:ascii="Arial" w:eastAsia="Arial" w:hAnsi="Arial"/>
                        <w:color w:val="0000FF"/>
                        <w:spacing w:val="-1"/>
                        <w:sz w:val="16"/>
                        <w:u w:val="single"/>
                      </w:rPr>
                      <w:t>ben.vos@cleanaway.com.au</w:t>
                    </w:r>
                  </w:hyperlink>
                  <w:r>
                    <w:rPr>
                      <w:rFonts w:ascii="Arial" w:eastAsia="Arial" w:hAnsi="Arial"/>
                      <w:color w:val="000000"/>
                      <w:spacing w:val="-1"/>
                      <w:sz w:val="16"/>
                    </w:rPr>
                    <w:t xml:space="preserve"> </w:t>
                  </w:r>
                </w:p>
                <w:p w14:paraId="27B6A68F" w14:textId="77777777" w:rsidR="00AE5D03" w:rsidRDefault="00277326">
                  <w:pPr>
                    <w:spacing w:before="51" w:line="328" w:lineRule="exact"/>
                    <w:textAlignment w:val="baseline"/>
                    <w:rPr>
                      <w:rFonts w:ascii="Arial" w:eastAsia="Arial" w:hAnsi="Arial"/>
                      <w:color w:val="000000"/>
                      <w:sz w:val="16"/>
                    </w:rPr>
                  </w:pPr>
                  <w:r>
                    <w:rPr>
                      <w:rFonts w:ascii="Arial" w:eastAsia="Arial" w:hAnsi="Arial"/>
                      <w:color w:val="000000"/>
                      <w:sz w:val="16"/>
                    </w:rPr>
                    <w:t xml:space="preserve">Facility operator website: </w:t>
                  </w:r>
                  <w:hyperlink r:id="rId17">
                    <w:r>
                      <w:rPr>
                        <w:rFonts w:ascii="Arial" w:eastAsia="Arial" w:hAnsi="Arial"/>
                        <w:color w:val="0000FF"/>
                        <w:sz w:val="16"/>
                        <w:u w:val="single"/>
                      </w:rPr>
                      <w:t>https://www.cleanaway.com.au/location/melbourne-energy-and-resource-centre/</w:t>
                    </w:r>
                  </w:hyperlink>
                  <w:r>
                    <w:rPr>
                      <w:rFonts w:ascii="Arial" w:eastAsia="Arial" w:hAnsi="Arial"/>
                      <w:color w:val="000000"/>
                      <w:sz w:val="16"/>
                    </w:rPr>
                    <w:t xml:space="preserve"> Facility opportunities website: </w:t>
                  </w:r>
                  <w:hyperlink r:id="rId18">
                    <w:r>
                      <w:rPr>
                        <w:rFonts w:ascii="Arial" w:eastAsia="Arial" w:hAnsi="Arial"/>
                        <w:color w:val="0000FF"/>
                        <w:sz w:val="16"/>
                        <w:u w:val="single"/>
                      </w:rPr>
                      <w:t>https://www.cleanaway.com.au/location/melbourne-energy-and-resource-centre/</w:t>
                    </w:r>
                  </w:hyperlink>
                  <w:r>
                    <w:rPr>
                      <w:rFonts w:ascii="Arial" w:eastAsia="Arial" w:hAnsi="Arial"/>
                      <w:color w:val="000000"/>
                      <w:sz w:val="16"/>
                    </w:rPr>
                    <w:t xml:space="preserve"> Supplier engagement and communication actions :</w:t>
                  </w:r>
                </w:p>
                <w:p w14:paraId="25208DB3" w14:textId="77777777" w:rsidR="00AE5D03" w:rsidRDefault="00277326">
                  <w:pPr>
                    <w:spacing w:before="101" w:line="221" w:lineRule="exact"/>
                    <w:ind w:left="576" w:right="1152"/>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 Conduct supplier information briefings on project opportunities and bid processes Develop and distribute a supplier information guide for the project</w:t>
                  </w:r>
                </w:p>
                <w:p w14:paraId="6CE8C605" w14:textId="77777777" w:rsidR="00AE5D03" w:rsidRDefault="00277326">
                  <w:pPr>
                    <w:spacing w:before="34" w:after="210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714BB3ED">
          <v:shape id="_x0000_s1027" type="#_x0000_t202" style="position:absolute;margin-left:488.15pt;margin-top:765.4pt;width:55pt;height:13.6pt;z-index:-251647488;mso-wrap-distance-left:0;mso-wrap-distance-right:0;mso-position-horizontal-relative:page;mso-position-vertical-relative:page" filled="f" stroked="f">
            <v:textbox inset="0,0,0,0">
              <w:txbxContent>
                <w:p w14:paraId="0E2222BA" w14:textId="77777777" w:rsidR="00AE5D03" w:rsidRDefault="00277326">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00429173">
          <v:line id="_x0000_s1026" style="position:absolute;z-index:251672064;mso-position-horizontal-relative:page;mso-position-vertical-relative:page" from="43.9pt,148.55pt" to="538.15pt,148.55pt" strokeweight="1.2pt">
            <w10:wrap anchorx="page" anchory="page"/>
          </v:line>
        </w:pict>
      </w:r>
    </w:p>
    <w:p w14:paraId="5552C69E" w14:textId="77777777" w:rsidR="00AE5D03" w:rsidRDefault="00AE5D03">
      <w:pPr>
        <w:sectPr w:rsidR="00AE5D03">
          <w:pgSz w:w="11904" w:h="16843"/>
          <w:pgMar w:top="752" w:right="946" w:bottom="890" w:left="878" w:header="720" w:footer="720" w:gutter="0"/>
          <w:cols w:space="720"/>
        </w:sectPr>
      </w:pPr>
    </w:p>
    <w:p w14:paraId="639A8485" w14:textId="77777777" w:rsidR="00AE5D03" w:rsidRDefault="00277326">
      <w:pPr>
        <w:spacing w:before="3" w:after="818" w:line="183" w:lineRule="exact"/>
        <w:jc w:val="center"/>
        <w:textAlignment w:val="baseline"/>
        <w:rPr>
          <w:rFonts w:eastAsia="Times New Roman"/>
          <w:color w:val="000000"/>
          <w:sz w:val="16"/>
        </w:rPr>
      </w:pPr>
      <w:r>
        <w:rPr>
          <w:rFonts w:eastAsia="Times New Roman"/>
          <w:color w:val="000000"/>
          <w:sz w:val="16"/>
        </w:rPr>
        <w:lastRenderedPageBreak/>
        <w:t>***** Approved by AIP Authority on Mon May 19</w:t>
      </w:r>
      <w:proofErr w:type="gramStart"/>
      <w:r>
        <w:rPr>
          <w:rFonts w:eastAsia="Times New Roman"/>
          <w:color w:val="000000"/>
          <w:sz w:val="16"/>
        </w:rPr>
        <w:t xml:space="preserve"> 2025</w:t>
      </w:r>
      <w:proofErr w:type="gramEnd"/>
      <w:r>
        <w:rPr>
          <w:rFonts w:eastAsia="Times New Roman"/>
          <w:color w:val="000000"/>
          <w:sz w:val="16"/>
        </w:rPr>
        <w:t xml:space="preserve"> 16:01:57 GMT+1000 (AEST) *****</w:t>
      </w:r>
    </w:p>
    <w:p w14:paraId="39DADC73" w14:textId="77777777" w:rsidR="00AE5D03" w:rsidRDefault="00AE5D03">
      <w:pPr>
        <w:spacing w:before="3" w:after="818" w:line="183" w:lineRule="exact"/>
        <w:sectPr w:rsidR="00AE5D03">
          <w:pgSz w:w="11904" w:h="16843"/>
          <w:pgMar w:top="1040" w:right="1193" w:bottom="867" w:left="891" w:header="720" w:footer="720" w:gutter="0"/>
          <w:cols w:space="720"/>
        </w:sectPr>
      </w:pPr>
    </w:p>
    <w:p w14:paraId="1C480477" w14:textId="77777777" w:rsidR="00AE5D03" w:rsidRDefault="00277326">
      <w:pPr>
        <w:spacing w:line="391" w:lineRule="exact"/>
        <w:ind w:left="216"/>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11E01729" w14:textId="77777777" w:rsidR="00AE5D03" w:rsidRDefault="00277326">
      <w:pPr>
        <w:spacing w:before="353" w:line="181" w:lineRule="exact"/>
        <w:ind w:left="216"/>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5CE52FC6" w14:textId="77777777" w:rsidR="00AE5D03" w:rsidRDefault="00277326">
      <w:pPr>
        <w:spacing w:before="141" w:line="181" w:lineRule="exact"/>
        <w:ind w:left="792"/>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5F669B64" w14:textId="77777777" w:rsidR="00AE5D03" w:rsidRDefault="00277326">
      <w:pPr>
        <w:spacing w:before="40" w:line="181" w:lineRule="exact"/>
        <w:ind w:left="792"/>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E642AB5" w14:textId="77777777" w:rsidR="00AE5D03" w:rsidRDefault="00277326">
      <w:pPr>
        <w:spacing w:before="198" w:line="181" w:lineRule="exact"/>
        <w:ind w:left="216"/>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63C76AB9" w14:textId="77777777" w:rsidR="00AE5D03" w:rsidRDefault="00277326">
      <w:pPr>
        <w:spacing w:before="160" w:line="181" w:lineRule="exact"/>
        <w:ind w:left="792"/>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7456168B" w14:textId="77777777" w:rsidR="00AE5D03" w:rsidRDefault="00277326">
      <w:pPr>
        <w:spacing w:before="40" w:line="181" w:lineRule="exact"/>
        <w:ind w:left="792"/>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25ABBC72" w14:textId="77777777" w:rsidR="00AE5D03" w:rsidRDefault="00277326">
      <w:pPr>
        <w:spacing w:before="198" w:line="181" w:lineRule="exact"/>
        <w:ind w:left="216"/>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48693542" w14:textId="77777777" w:rsidR="00AE5D03" w:rsidRDefault="00277326">
      <w:pPr>
        <w:spacing w:before="97" w:after="8608" w:line="220" w:lineRule="exact"/>
        <w:ind w:left="216" w:right="216"/>
        <w:textAlignment w:val="baseline"/>
        <w:rPr>
          <w:rFonts w:ascii="Arial" w:eastAsia="Arial" w:hAnsi="Arial"/>
          <w:color w:val="000000"/>
          <w:spacing w:val="-5"/>
          <w:sz w:val="16"/>
        </w:rPr>
      </w:pPr>
      <w:r>
        <w:rPr>
          <w:rFonts w:ascii="Arial" w:eastAsia="Arial" w:hAnsi="Arial"/>
          <w:color w:val="000000"/>
          <w:spacing w:val="-5"/>
          <w:sz w:val="16"/>
        </w:rPr>
        <w:t>We will ensure procurement entities provide meaningful feedback to unsuccessful Australian bidders through the following process: Structured Debriefing Process – Offer written feedback and/or debrief meetings outlining evaluation outcomes, strengths, and areas for improvement. Detailed Feedback Reports – Provide specific insights on bid performance, including gaps in compliance, technical capability, or commercial competitiveness. Recommendations for Development – Suggest relevant training programs, industr</w:t>
      </w:r>
      <w:r>
        <w:rPr>
          <w:rFonts w:ascii="Arial" w:eastAsia="Arial" w:hAnsi="Arial"/>
          <w:color w:val="000000"/>
          <w:spacing w:val="-5"/>
          <w:sz w:val="16"/>
        </w:rPr>
        <w:t>y certifications, and capability-building initiatives to enhance future competitiveness. Access to Support Networks – Connect bidders with industry bodies, government programs, and business development resources to strengthen their skills and capacity. Encourage Future Participation – Maintain open communication and notify bidders of upcoming opportunities, fostering long-term engagement in the procurement process. This approach ensures transparency, supports industry growth, and strengthens Australian supp</w:t>
      </w:r>
      <w:r>
        <w:rPr>
          <w:rFonts w:ascii="Arial" w:eastAsia="Arial" w:hAnsi="Arial"/>
          <w:color w:val="000000"/>
          <w:spacing w:val="-5"/>
          <w:sz w:val="16"/>
        </w:rPr>
        <w:t>lier participation in future tenders.</w:t>
      </w:r>
    </w:p>
    <w:p w14:paraId="072D08A3" w14:textId="77777777" w:rsidR="00AE5D03" w:rsidRDefault="00AE5D03">
      <w:pPr>
        <w:spacing w:before="97" w:after="8608" w:line="220" w:lineRule="exact"/>
        <w:sectPr w:rsidR="00AE5D03">
          <w:type w:val="continuous"/>
          <w:pgSz w:w="11904" w:h="16843"/>
          <w:pgMar w:top="1040" w:right="1263" w:bottom="867" w:left="821" w:header="720" w:footer="720" w:gutter="0"/>
          <w:cols w:space="720"/>
        </w:sectPr>
      </w:pPr>
    </w:p>
    <w:p w14:paraId="65B0F8A7" w14:textId="77777777" w:rsidR="00AE5D03" w:rsidRDefault="00277326">
      <w:pPr>
        <w:spacing w:before="4" w:line="249" w:lineRule="exact"/>
        <w:textAlignment w:val="baseline"/>
        <w:rPr>
          <w:rFonts w:eastAsia="Times New Roman"/>
          <w:color w:val="000000"/>
          <w:spacing w:val="-1"/>
        </w:rPr>
      </w:pPr>
      <w:r>
        <w:rPr>
          <w:rFonts w:eastAsia="Times New Roman"/>
          <w:color w:val="000000"/>
          <w:spacing w:val="-1"/>
        </w:rPr>
        <w:t>Page 5 of 5</w:t>
      </w:r>
    </w:p>
    <w:sectPr w:rsidR="00AE5D03">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8AFB1" w14:textId="77777777" w:rsidR="00277326" w:rsidRDefault="00277326">
      <w:r>
        <w:separator/>
      </w:r>
    </w:p>
  </w:endnote>
  <w:endnote w:type="continuationSeparator" w:id="0">
    <w:p w14:paraId="53447359" w14:textId="77777777" w:rsidR="00277326" w:rsidRDefault="0027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E08D7" w14:textId="4AC7D2D1" w:rsidR="003C3A30" w:rsidRDefault="003C3A30">
    <w:pPr>
      <w:pStyle w:val="Footer"/>
    </w:pPr>
    <w:r>
      <w:rPr>
        <w:noProof/>
      </w:rPr>
      <mc:AlternateContent>
        <mc:Choice Requires="wps">
          <w:drawing>
            <wp:anchor distT="0" distB="0" distL="0" distR="0" simplePos="0" relativeHeight="251662336" behindDoc="0" locked="0" layoutInCell="1" allowOverlap="1" wp14:anchorId="6EEF673A" wp14:editId="4ECAB554">
              <wp:simplePos x="635" y="635"/>
              <wp:positionH relativeFrom="page">
                <wp:align>center</wp:align>
              </wp:positionH>
              <wp:positionV relativeFrom="page">
                <wp:align>bottom</wp:align>
              </wp:positionV>
              <wp:extent cx="551815" cy="376555"/>
              <wp:effectExtent l="0" t="0" r="635" b="0"/>
              <wp:wrapNone/>
              <wp:docPr id="195105414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592E12A" w14:textId="7ED4F9FF"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EF673A"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tLEDwIAABw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fU9NPU/RaaIw7lYNy3t3zVYek18+GJOVwwzoGi&#10;DY94SAV9TeFkUdKC+/k3f8xH3jFKSY+CqalBRVOivhvcR9TWZLjJ2Caj+JKXOcbNXt8ByrDAF2F5&#10;MtHrgppM6UC/oJyXsRCGmOFYrqbbybwLo3LxOXCxXKYklJFlYW02lkfoSFfk8nl4Yc6eCA+4qQeY&#10;1MSqN7yPufGmt8t9QPbTUiK1I5EnxlGCaa2n5xI1/vo/ZV0e9eIX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CLLSxA8CAAAc&#10;BAAADgAAAAAAAAAAAAAAAAAuAgAAZHJzL2Uyb0RvYy54bWxQSwECLQAUAAYACAAAACEAIHrByNoA&#10;AAADAQAADwAAAAAAAAAAAAAAAABpBAAAZHJzL2Rvd25yZXYueG1sUEsFBgAAAAAEAAQA8wAAAHAF&#10;AAAAAA==&#10;" filled="f" stroked="f">
              <v:fill o:detectmouseclick="t"/>
              <v:textbox style="mso-fit-shape-to-text:t" inset="0,0,0,15pt">
                <w:txbxContent>
                  <w:p w14:paraId="5592E12A" w14:textId="7ED4F9FF"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137F" w14:textId="493A27CF" w:rsidR="003C3A30" w:rsidRDefault="003C3A30">
    <w:pPr>
      <w:pStyle w:val="Footer"/>
    </w:pPr>
    <w:r>
      <w:rPr>
        <w:noProof/>
      </w:rPr>
      <mc:AlternateContent>
        <mc:Choice Requires="wps">
          <w:drawing>
            <wp:anchor distT="0" distB="0" distL="0" distR="0" simplePos="0" relativeHeight="251663360" behindDoc="0" locked="0" layoutInCell="1" allowOverlap="1" wp14:anchorId="57160B76" wp14:editId="04FA41CD">
              <wp:simplePos x="355600" y="10077450"/>
              <wp:positionH relativeFrom="page">
                <wp:align>center</wp:align>
              </wp:positionH>
              <wp:positionV relativeFrom="page">
                <wp:align>bottom</wp:align>
              </wp:positionV>
              <wp:extent cx="551815" cy="376555"/>
              <wp:effectExtent l="0" t="0" r="635" b="0"/>
              <wp:wrapNone/>
              <wp:docPr id="1474496313"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5B31A6" w14:textId="4B8C82DF"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160B76"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3E5B31A6" w14:textId="4B8C82DF"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5916" w14:textId="67E3A3B4" w:rsidR="003C3A30" w:rsidRDefault="003C3A30">
    <w:pPr>
      <w:pStyle w:val="Footer"/>
    </w:pPr>
    <w:r>
      <w:rPr>
        <w:noProof/>
      </w:rPr>
      <mc:AlternateContent>
        <mc:Choice Requires="wps">
          <w:drawing>
            <wp:anchor distT="0" distB="0" distL="0" distR="0" simplePos="0" relativeHeight="251661312" behindDoc="0" locked="0" layoutInCell="1" allowOverlap="1" wp14:anchorId="230C1E76" wp14:editId="45C5ADE6">
              <wp:simplePos x="635" y="635"/>
              <wp:positionH relativeFrom="page">
                <wp:align>center</wp:align>
              </wp:positionH>
              <wp:positionV relativeFrom="page">
                <wp:align>bottom</wp:align>
              </wp:positionV>
              <wp:extent cx="551815" cy="376555"/>
              <wp:effectExtent l="0" t="0" r="635" b="0"/>
              <wp:wrapNone/>
              <wp:docPr id="135173804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A851D81" w14:textId="7FC98B7E"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0C1E76"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fill o:detectmouseclick="t"/>
              <v:textbox style="mso-fit-shape-to-text:t" inset="0,0,0,15pt">
                <w:txbxContent>
                  <w:p w14:paraId="1A851D81" w14:textId="7FC98B7E"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F903C" w14:textId="77777777" w:rsidR="00AE5D03" w:rsidRDefault="00AE5D03"/>
  </w:footnote>
  <w:footnote w:type="continuationSeparator" w:id="0">
    <w:p w14:paraId="09CC7F3F" w14:textId="77777777" w:rsidR="00AE5D03" w:rsidRDefault="0027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C6B0F" w14:textId="61C3AD26" w:rsidR="003C3A30" w:rsidRDefault="003C3A30">
    <w:pPr>
      <w:pStyle w:val="Header"/>
    </w:pPr>
    <w:r>
      <w:rPr>
        <w:noProof/>
      </w:rPr>
      <mc:AlternateContent>
        <mc:Choice Requires="wps">
          <w:drawing>
            <wp:anchor distT="0" distB="0" distL="0" distR="0" simplePos="0" relativeHeight="251659264" behindDoc="0" locked="0" layoutInCell="1" allowOverlap="1" wp14:anchorId="2AD66DDD" wp14:editId="79D1E4F8">
              <wp:simplePos x="635" y="635"/>
              <wp:positionH relativeFrom="page">
                <wp:align>center</wp:align>
              </wp:positionH>
              <wp:positionV relativeFrom="page">
                <wp:align>top</wp:align>
              </wp:positionV>
              <wp:extent cx="551815" cy="376555"/>
              <wp:effectExtent l="0" t="0" r="635" b="4445"/>
              <wp:wrapNone/>
              <wp:docPr id="151033344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0A7A3C3" w14:textId="6A4256CA"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D66DDD"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fill o:detectmouseclick="t"/>
              <v:textbox style="mso-fit-shape-to-text:t" inset="0,15pt,0,0">
                <w:txbxContent>
                  <w:p w14:paraId="70A7A3C3" w14:textId="6A4256CA"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D1540" w14:textId="23A532D7" w:rsidR="003C3A30" w:rsidRDefault="003C3A30">
    <w:pPr>
      <w:pStyle w:val="Header"/>
    </w:pPr>
    <w:r>
      <w:rPr>
        <w:noProof/>
      </w:rPr>
      <mc:AlternateContent>
        <mc:Choice Requires="wps">
          <w:drawing>
            <wp:anchor distT="0" distB="0" distL="0" distR="0" simplePos="0" relativeHeight="251660288" behindDoc="0" locked="0" layoutInCell="1" allowOverlap="1" wp14:anchorId="139C3414" wp14:editId="3CDFECD2">
              <wp:simplePos x="355600" y="457200"/>
              <wp:positionH relativeFrom="page">
                <wp:align>center</wp:align>
              </wp:positionH>
              <wp:positionV relativeFrom="page">
                <wp:align>top</wp:align>
              </wp:positionV>
              <wp:extent cx="551815" cy="376555"/>
              <wp:effectExtent l="0" t="0" r="635" b="4445"/>
              <wp:wrapNone/>
              <wp:docPr id="194192980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38920A" w14:textId="6E474785"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9C3414"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fill o:detectmouseclick="t"/>
              <v:textbox style="mso-fit-shape-to-text:t" inset="0,15pt,0,0">
                <w:txbxContent>
                  <w:p w14:paraId="2D38920A" w14:textId="6E474785"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94E8" w14:textId="66812E12" w:rsidR="003C3A30" w:rsidRDefault="003C3A30">
    <w:pPr>
      <w:pStyle w:val="Header"/>
    </w:pPr>
    <w:r>
      <w:rPr>
        <w:noProof/>
      </w:rPr>
      <mc:AlternateContent>
        <mc:Choice Requires="wps">
          <w:drawing>
            <wp:anchor distT="0" distB="0" distL="0" distR="0" simplePos="0" relativeHeight="251658240" behindDoc="0" locked="0" layoutInCell="1" allowOverlap="1" wp14:anchorId="04D1587C" wp14:editId="7CAA859D">
              <wp:simplePos x="635" y="635"/>
              <wp:positionH relativeFrom="page">
                <wp:align>center</wp:align>
              </wp:positionH>
              <wp:positionV relativeFrom="page">
                <wp:align>top</wp:align>
              </wp:positionV>
              <wp:extent cx="551815" cy="376555"/>
              <wp:effectExtent l="0" t="0" r="635" b="4445"/>
              <wp:wrapNone/>
              <wp:docPr id="187671091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902BB4F" w14:textId="78D8B4BD"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D1587C"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fill o:detectmouseclick="t"/>
              <v:textbox style="mso-fit-shape-to-text:t" inset="0,15pt,0,0">
                <w:txbxContent>
                  <w:p w14:paraId="7902BB4F" w14:textId="78D8B4BD" w:rsidR="003C3A30" w:rsidRPr="003C3A30" w:rsidRDefault="003C3A30" w:rsidP="003C3A30">
                    <w:pPr>
                      <w:rPr>
                        <w:rFonts w:ascii="Calibri" w:eastAsia="Calibri" w:hAnsi="Calibri" w:cs="Calibri"/>
                        <w:noProof/>
                        <w:color w:val="C00000"/>
                        <w:sz w:val="24"/>
                        <w:szCs w:val="24"/>
                      </w:rPr>
                    </w:pPr>
                    <w:r w:rsidRPr="003C3A30">
                      <w:rPr>
                        <w:rFonts w:ascii="Calibri" w:eastAsia="Calibri" w:hAnsi="Calibri" w:cs="Calibri"/>
                        <w:noProof/>
                        <w:color w:val="C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D03"/>
    <w:rsid w:val="00277326"/>
    <w:rsid w:val="003C3A30"/>
    <w:rsid w:val="00AE5D03"/>
    <w:rsid w:val="00EE71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14:docId w14:val="437FE51E"/>
  <w15:docId w15:val="{E9191418-B50E-4519-AE65-ACE5AD0E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3A30"/>
    <w:pPr>
      <w:tabs>
        <w:tab w:val="center" w:pos="4513"/>
        <w:tab w:val="right" w:pos="9026"/>
      </w:tabs>
    </w:pPr>
  </w:style>
  <w:style w:type="character" w:customStyle="1" w:styleId="HeaderChar">
    <w:name w:val="Header Char"/>
    <w:basedOn w:val="DefaultParagraphFont"/>
    <w:link w:val="Header"/>
    <w:uiPriority w:val="99"/>
    <w:rsid w:val="003C3A30"/>
  </w:style>
  <w:style w:type="paragraph" w:styleId="Footer">
    <w:name w:val="footer"/>
    <w:basedOn w:val="Normal"/>
    <w:link w:val="FooterChar"/>
    <w:uiPriority w:val="99"/>
    <w:unhideWhenUsed/>
    <w:rsid w:val="003C3A30"/>
    <w:pPr>
      <w:tabs>
        <w:tab w:val="center" w:pos="4513"/>
        <w:tab w:val="right" w:pos="9026"/>
      </w:tabs>
    </w:pPr>
  </w:style>
  <w:style w:type="character" w:customStyle="1" w:styleId="FooterChar">
    <w:name w:val="Footer Char"/>
    <w:basedOn w:val="DefaultParagraphFont"/>
    <w:link w:val="Footer"/>
    <w:uiPriority w:val="99"/>
    <w:rsid w:val="003C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ben.vos@cleanaway.com.au" TargetMode="External"/><Relationship Id="rId18" Type="http://schemas.openxmlformats.org/officeDocument/2006/relationships/hyperlink" Target="https://www.cleanaway.com.au/location/melbourne-energy-and-resource-centre/"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cleanaway.com.au/location/melbourne-energy-and-resource-centre/" TargetMode="External"/><Relationship Id="fId" Type="http://schemas.openxmlformats.org/wordprocessingml/2006/fontTable" Target="fontTable0.xml"/><Relationship Id="rId2" Type="http://schemas.openxmlformats.org/officeDocument/2006/relationships/settings" Target="settings.xml"/><Relationship Id="rId16" Type="http://schemas.openxmlformats.org/officeDocument/2006/relationships/hyperlink" Target="mailto:ben.vos@cleanaway.com.au"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cleanaway.com.au/location/melbourne-energy-and-resource-centre/"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cleanaway.com.au/location/melbourne-energy-and-resource-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f788632b-1377-4314-aac5-af7281e8e760}" enabled="1" method="Privileged" siteId="{8f73f427-32e5-4a3b-8d42-b369b956a96b}" contentBits="3" removed="0"/>
</clbl:labelList>
</file>

<file path=docProps/app.xml><?xml version="1.0" encoding="utf-8"?>
<Properties xmlns="http://schemas.openxmlformats.org/officeDocument/2006/extended-properties" xmlns:vt="http://schemas.openxmlformats.org/officeDocument/2006/docPropsVTypes">
  <Template>Normal</Template>
  <TotalTime>2</TotalTime>
  <Pages>5</Pages>
  <Words>655</Words>
  <Characters>3737</Characters>
  <Application>Microsoft Office Word</Application>
  <DocSecurity>0</DocSecurity>
  <Lines>31</Lines>
  <Paragraphs>8</Paragraphs>
  <ScaleCrop>false</ScaleCrop>
  <Company>Department of Industry, Science, and Resources</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Dent, Michael</cp:lastModifiedBy>
  <cp:revision>3</cp:revision>
  <cp:lastPrinted>2025-05-21T03:31:00Z</cp:lastPrinted>
  <dcterms:created xsi:type="dcterms:W3CDTF">2025-05-21T03:29:00Z</dcterms:created>
  <dcterms:modified xsi:type="dcterms:W3CDTF">2025-05-21T03:31:00Z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6fdc55fe,5a05dc03,73bf7f4b</vt:lpwstr>
  </property>
  <property fmtid="{D5CDD505-2E9C-101B-9397-08002B2CF9AE}" pid="3" name="ClassificationContentMarkingHeaderFontProps">
    <vt:lpwstr>#c00000,12,Calibri</vt:lpwstr>
  </property>
  <property fmtid="{D5CDD505-2E9C-101B-9397-08002B2CF9AE}" pid="4" name="ClassificationContentMarkingHeaderText">
    <vt:lpwstr>OFFICIAL</vt:lpwstr>
  </property>
  <property fmtid="{D5CDD505-2E9C-101B-9397-08002B2CF9AE}" pid="5" name="ClassificationContentMarkingFooterShapeIds">
    <vt:lpwstr>5091e2b9,744ab942,57e30739</vt:lpwstr>
  </property>
  <property fmtid="{D5CDD505-2E9C-101B-9397-08002B2CF9AE}" pid="6" name="ClassificationContentMarkingFooterFontProps">
    <vt:lpwstr>#c00000,12,Calibri</vt:lpwstr>
  </property>
  <property fmtid="{D5CDD505-2E9C-101B-9397-08002B2CF9AE}" pid="7" name="ClassificationContentMarkingFooterText">
    <vt:lpwstr>OFFICIAL</vt:lpwstr>
  </property>
</Properties>
</file>