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fId0.xml" ContentType="application/vnd.openxmlformats-officedocument.wordprocessingml.footer+xml"/>
  <Override PartName="/word/footnotes.xml" ContentType="application/vnd.openxmlformats-officedocument.wordprocessingml.footnotes+xml"/>
  <Override PartName="/word/headerhId0.xml" ContentType="application/vnd.openxmlformats-officedocument.wordprocessingml.header+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p>
      <w:pPr>
        <w:spacing w:before="0" w:after="0" w:line="391" w:lineRule="exact"/>
        <w:ind w:right="0" w:left="3312" w:firstLine="0"/>
        <w:jc w:val="left"/>
        <w:textAlignment w:val="baseline"/>
        <w:rPr>
          <w:rFonts w:ascii="Arial" w:hAnsi="Arial" w:eastAsia="Arial"/>
          <w:color w:val="000000"/>
          <w:spacing w:val="6"/>
          <w:w w:val="95"/>
          <w:sz w:val="34"/>
          <w:vertAlign w:val="baseline"/>
          <w:lang w:val="en-US"/>
        </w:rPr>
      </w:pP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331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AIP Plan reference code: </w:t>
      </w:r>
      <w:r>
        <w:rPr>
          <w:rFonts w:ascii="Arial" w:hAnsi="Arial" w:eastAsia="Arial"/>
          <w:color w:val="000000"/>
          <w:spacing w:val="0"/>
          <w:w w:val="100"/>
          <w:sz w:val="26"/>
          <w:vertAlign w:val="baseline"/>
          <w:lang w:val="en-US"/>
        </w:rPr>
        <w:t xml:space="preserve">F2TXL6TK</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MIRVAC RETAIL SUB SPV PTY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Harbourside Redevelopment</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2-10 Darling Drive, Sydney NSW 2000</w:t>
      </w:r>
    </w:p>
    <w:p>
      <w:pPr>
        <w:spacing w:before="135"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Other productive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Capital expenditure: $ 845,000,000</w:t>
      </w:r>
    </w:p>
    <w:p>
      <w:pPr>
        <w:spacing w:before="121" w:after="0" w:line="220"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Harbourside is a new mixed use development, which comprises a retail and commercial podium, and residential tower. Mirvac Constructions Pty Limited will be engaged as the Head Contractor by the nominated Mirvac project proponents, and will fulfil the project management role, including implementing relevant strategies for the procurement of goods and services on the project, as well as the responsibility for implementing and reporting against the approved AIP Plan Mirvac Construction anticipate that procurement for major building elements and services will commence late in the fourth quarter of 2023 and/or early in the first quarter 2024, with critical structure, façade and service trades likely to be the first packages (construction start date during the second quarter of 2023). Mi rvac Construction note that early lead in works, including demolition have been let prior to the aforementioned procurement periods, noting the criticality of the commencement. All tenders already undertaken (hoardings and demolition) were only available to Australian Suppliers and were comprised of the following process: - Expression of interest from Mirvac Database of capable Subcontractors &amp; Subcontractors recommended by industry contacts - List of Proposed Tenderers developed from EOI - 3 Rounds of Competitive Tender Submissions - Key metrics for selection included WHS&amp;E, availability of labour/materials, programme, previous experience, pricing, financial stability Mirvac does not anticipate requiring key goods and services of $1 million or more during the initial 2-year operations phase. However, should key goods or services be required, the actions approved in the AIP plan will be implemented during procurement of these goods and services.</w:t>
      </w:r>
    </w:p>
    <w:p>
      <w:pPr>
        <w:spacing w:before="135" w:after="0" w:line="181"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30 May 2027</w:t>
      </w:r>
    </w:p>
    <w:p>
      <w:pPr>
        <w:sectPr>
          <w:headerReference w:type="default" r:id="hId0"/>
          <w:footerReference w:type="default" r:id="fId0"/>
          <w:type w:val="nextPage"/>
          <w:pgSz w:w="11904" w:h="16843" w:orient="portrait"/>
          <w:pgMar w:bottom="1139" w:top="2482" w:right="847" w:left="557" w:header="977" w:footer="9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274.8pt;height:93.95pt;z-index:-1;margin-left:224.65pt;margin-top:157pt;mso-wrap-distance-left:0pt;mso-wrap-distance-right:0pt;mso-position-horizontal-relative:page;mso-position-vertical-relative:page">
            <w10:wrap type="square"/>
            <v:fill opacity="1" o:opacity2="1" recolor="f" rotate="f" type="solid"/>
            <v:textbox inset="0pt, 0pt, 0pt, 0pt">
              <w:txbxContent>
                <w:tbl>
                  <w:tblPr>
                    <w:jc w:val="left"/>
                    <w:tblLayout w:type="fixed"/>
                    <w:tblCellMar>
                      <w:left w:w="0" w:type="dxa"/>
                      <w:right w:w="0" w:type="dxa"/>
                    </w:tblCellMar>
                  </w:tblPr>
                  <w:tblGrid>
                    <w:gridCol w:w="1605"/>
                    <w:gridCol w:w="1673"/>
                    <w:gridCol w:w="2218"/>
                  </w:tblGrid>
                  <w:tr>
                    <w:trPr>
                      <w:trHeight w:val="628" w:hRule="exact"/>
                    </w:trPr>
                    <w:tc>
                      <w:tcPr>
                        <w:tcW w:w="1605" w:type="dxa"/>
                        <w:tcBorders>
                          <w:top w:val="none"/>
                          <w:left w:val="none"/>
                          <w:bottom w:val="none"/>
                          <w:right w:val="none"/>
                        </w:tcBorders>
                        <w:textDirection w:val="lrTb"/>
                        <w:vAlign w:val="center"/>
                      </w:tcPr>
                      <w:p>
                        <w:pPr>
                          <w:spacing w:before="98" w:after="80" w:line="220" w:lineRule="exact"/>
                          <w:ind w:right="0" w:left="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3"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2218" w:type="dxa"/>
                        <w:tcBorders>
                          <w:top w:val="none"/>
                          <w:left w:val="none"/>
                          <w:bottom w:val="none"/>
                          <w:right w:val="none"/>
                        </w:tcBorders>
                        <w:textDirection w:val="lrTb"/>
                        <w:vAlign w:val="top"/>
                      </w:tcPr>
                      <w:p>
                        <w:pPr>
                          <w:spacing w:before="38" w:after="0" w:line="182" w:lineRule="exact"/>
                          <w:ind w:right="0"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w:t>
                        </w:r>
                      </w:p>
                      <w:p>
                        <w:pPr>
                          <w:spacing w:before="0" w:after="0" w:line="199" w:lineRule="exact"/>
                          <w:ind w:right="0" w:left="144"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opportunities for Australian entities</w:t>
                        </w:r>
                      </w:p>
                    </w:tc>
                  </w:tr>
                </w:tbl>
                <w:p>
                  <w:pPr>
                    <w:spacing w:before="0" w:after="152" w:line="20" w:lineRule="exact"/>
                  </w:pPr>
                </w:p>
                <w:p>
                  <w:pPr>
                    <w:tabs>
                      <w:tab w:val="left" w:leader="none" w:pos="2376"/>
                    </w:tabs>
                    <w:spacing w:before="1" w:after="0" w:line="182" w:lineRule="exact"/>
                    <w:ind w:right="0" w:left="504" w:firstLine="0"/>
                    <w:jc w:val="left"/>
                    <w:textAlignment w:val="baseline"/>
                    <w:rPr>
                      <w:rFonts w:ascii="Arial" w:hAnsi="Arial" w:eastAsia="Arial"/>
                      <w:color w:val="000000"/>
                      <w:spacing w:val="-10"/>
                      <w:w w:val="100"/>
                      <w:sz w:val="16"/>
                      <w:vertAlign w:val="baseline"/>
                      <w:lang w:val="en-US"/>
                    </w:rPr>
                  </w:pPr>
                  <w:r>
                    <w:rPr>
                      <w:rFonts w:ascii="Arial" w:hAnsi="Arial" w:eastAsia="Arial"/>
                      <w:color w:val="000000"/>
                      <w:spacing w:val="-10"/>
                      <w:w w:val="100"/>
                      <w:sz w:val="16"/>
                      <w:vertAlign w:val="baseline"/>
                      <w:lang w:val="en-US"/>
                    </w:rPr>
                    <w:t xml:space="preserve">Yes	</w:t>
                  </w:r>
                  <w:r>
                    <w:rPr>
                      <w:rFonts w:ascii="Arial" w:hAnsi="Arial" w:eastAsia="Arial"/>
                      <w:color w:val="000000"/>
                      <w:spacing w:val="-10"/>
                      <w:w w:val="100"/>
                      <w:sz w:val="16"/>
                      <w:vertAlign w:val="baseline"/>
                      <w:lang w:val="en-US"/>
                    </w:rPr>
                    <w:t xml:space="preserve">Yes</w:t>
                  </w:r>
                </w:p>
                <w:p>
                  <w:pPr>
                    <w:tabs>
                      <w:tab w:val="left" w:leader="none" w:pos="2376"/>
                    </w:tabs>
                    <w:spacing w:before="255" w:after="0" w:line="182" w:lineRule="exact"/>
                    <w:ind w:right="0" w:left="504" w:firstLine="0"/>
                    <w:jc w:val="left"/>
                    <w:textAlignment w:val="baseline"/>
                    <w:rPr>
                      <w:rFonts w:ascii="Arial" w:hAnsi="Arial" w:eastAsia="Arial"/>
                      <w:color w:val="000000"/>
                      <w:spacing w:val="-10"/>
                      <w:w w:val="100"/>
                      <w:sz w:val="16"/>
                      <w:vertAlign w:val="baseline"/>
                      <w:lang w:val="en-US"/>
                    </w:rPr>
                  </w:pPr>
                  <w:r>
                    <w:rPr>
                      <w:rFonts w:ascii="Arial" w:hAnsi="Arial" w:eastAsia="Arial"/>
                      <w:color w:val="000000"/>
                      <w:spacing w:val="-10"/>
                      <w:w w:val="100"/>
                      <w:sz w:val="16"/>
                      <w:vertAlign w:val="baseline"/>
                      <w:lang w:val="en-US"/>
                    </w:rPr>
                    <w:t xml:space="preserve">Yes	</w:t>
                  </w:r>
                  <w:r>
                    <w:rPr>
                      <w:rFonts w:ascii="Arial" w:hAnsi="Arial" w:eastAsia="Arial"/>
                      <w:color w:val="000000"/>
                      <w:spacing w:val="-10"/>
                      <w:w w:val="100"/>
                      <w:sz w:val="16"/>
                      <w:vertAlign w:val="baseline"/>
                      <w:lang w:val="en-US"/>
                    </w:rPr>
                    <w:t xml:space="preserve">Yes</w:t>
                  </w:r>
                </w:p>
                <w:p>
                  <w:pPr>
                    <w:tabs>
                      <w:tab w:val="left" w:leader="none" w:pos="2376"/>
                    </w:tabs>
                    <w:spacing w:before="259" w:after="0" w:line="177" w:lineRule="exact"/>
                    <w:ind w:right="0" w:left="504" w:firstLine="0"/>
                    <w:jc w:val="left"/>
                    <w:textAlignment w:val="baseline"/>
                    <w:rPr>
                      <w:rFonts w:ascii="Arial" w:hAnsi="Arial" w:eastAsia="Arial"/>
                      <w:color w:val="000000"/>
                      <w:spacing w:val="-10"/>
                      <w:w w:val="100"/>
                      <w:sz w:val="16"/>
                      <w:vertAlign w:val="baseline"/>
                      <w:lang w:val="en-US"/>
                    </w:rPr>
                  </w:pPr>
                  <w:r>
                    <w:rPr>
                      <w:rFonts w:ascii="Arial" w:hAnsi="Arial" w:eastAsia="Arial"/>
                      <w:color w:val="000000"/>
                      <w:spacing w:val="-10"/>
                      <w:w w:val="100"/>
                      <w:sz w:val="16"/>
                      <w:vertAlign w:val="baseline"/>
                      <w:lang w:val="en-US"/>
                    </w:rPr>
                    <w:t xml:space="preserve">Yes	</w:t>
                  </w:r>
                  <w:r>
                    <w:rPr>
                      <w:rFonts w:ascii="Arial" w:hAnsi="Arial" w:eastAsia="Arial"/>
                      <w:color w:val="000000"/>
                      <w:spacing w:val="-10"/>
                      <w:w w:val="100"/>
                      <w:sz w:val="16"/>
                      <w:vertAlign w:val="baseline"/>
                      <w:lang w:val="en-US"/>
                    </w:rPr>
                    <w:t xml:space="preserve">Yes</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234pt;height:54.3pt;z-index:-1;margin-left:52.8pt;margin-top:102.7pt;mso-wrap-distance-left:0pt;mso-wrap-distance-right:0pt;mso-position-horizontal-relative:page;mso-position-vertical-relative:page">
            <w10:wrap type="square" side="both"/>
            <v:fill opacity="1" o:opacity2="1" recolor="f" rotate="f" type="solid"/>
            <v:textbox inset="0pt, 0pt, 0pt, 0pt">
              <w:txbxContent>
                <w:p>
                  <w:pPr>
                    <w:spacing w:before="0" w:after="0" w:line="391"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Indicative list of key goods and services to be acquired for the project:</w:t>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144pt;height:100.95pt;z-index:-1;margin-left:52.55pt;margin-top:157pt;mso-wrap-distance-left:0pt;mso-wrap-distance-right:0pt;mso-position-horizontal-relative:page;mso-position-vertical-relative:page">
            <w10:wrap type="square" side="both"/>
            <v:fill opacity="1" o:opacity2="1" recolor="f" rotate="f" type="solid"/>
            <v:textbox inset="0pt, 0pt, 0pt, 0pt">
              <w:txbxContent>
                <w:p>
                  <w:pPr>
                    <w:spacing w:before="258" w:after="0" w:line="182" w:lineRule="exact"/>
                    <w:ind w:right="72" w:left="0" w:firstLine="0"/>
                    <w:jc w:val="left"/>
                    <w:textAlignment w:val="baseline"/>
                    <w:rPr>
                      <w:rFonts w:ascii="Arial" w:hAnsi="Arial" w:eastAsia="Arial"/>
                      <w:b w:val="true"/>
                      <w:color w:val="000000"/>
                      <w:spacing w:val="-4"/>
                      <w:w w:val="100"/>
                      <w:sz w:val="16"/>
                      <w:vertAlign w:val="baseline"/>
                      <w:lang w:val="en-US"/>
                    </w:rPr>
                  </w:pPr>
                  <w:r>
                    <w:rPr>
                      <w:rFonts w:ascii="Arial" w:hAnsi="Arial" w:eastAsia="Arial"/>
                      <w:b w:val="true"/>
                      <w:color w:val="000000"/>
                      <w:spacing w:val="-4"/>
                      <w:w w:val="100"/>
                      <w:sz w:val="16"/>
                      <w:vertAlign w:val="baseline"/>
                      <w:lang w:val="en-US"/>
                    </w:rPr>
                    <w:t xml:space="preserve">Key goods and services</w:t>
                  </w:r>
                </w:p>
                <w:p>
                  <w:pPr>
                    <w:spacing w:before="221" w:after="0" w:line="221" w:lineRule="exact"/>
                    <w:ind w:right="7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Excavation, Demolition &amp; Site Preparation (Piling and Shoring)</w:t>
                  </w:r>
                </w:p>
                <w:p>
                  <w:pPr>
                    <w:spacing w:before="2" w:after="34" w:line="219" w:lineRule="exact"/>
                    <w:ind w:right="72"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Concrete Formwork and Reinforcement Package (Including Structural Steel) Mechanical, Electrical, Fire, Integrated Communication Network and Hydraulics</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28pt;height:507.65pt;z-index:-1;margin-left:50.95pt;margin-top:257.9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4032"/>
                      <w:tab w:val="right" w:leader="none" w:pos="6120"/>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Window/Curtain Walling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5" w:after="0" w:line="21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Vertical Transportation and Building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Maintenance Units</w:t>
                  </w:r>
                </w:p>
                <w:p>
                  <w:pPr>
                    <w:tabs>
                      <w:tab w:val="left" w:leader="none" w:pos="4032"/>
                      <w:tab w:val="right" w:leader="none" w:pos="6120"/>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Plastering, Ceiling and Partitions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38"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Tiling, Painting and Stone Cladding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51"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Office Fitout (Inclusive of finishes, workstations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and furniture)</w:t>
                  </w:r>
                </w:p>
                <w:p>
                  <w:pPr>
                    <w:tabs>
                      <w:tab w:val="left" w:leader="none" w:pos="4032"/>
                      <w:tab w:val="right" w:leader="none" w:pos="6120"/>
                    </w:tabs>
                    <w:spacing w:before="28" w:after="0" w:line="207" w:lineRule="exact"/>
                    <w:ind w:right="504"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Bathroom Works (Inclusive of Finishes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Fixtures)</w:t>
                  </w:r>
                </w:p>
                <w:p>
                  <w:pPr>
                    <w:tabs>
                      <w:tab w:val="left" w:leader="none" w:pos="4032"/>
                      <w:tab w:val="right" w:leader="none" w:pos="6120"/>
                    </w:tabs>
                    <w:spacing w:before="24" w:after="0" w:line="206" w:lineRule="exact"/>
                    <w:ind w:right="504"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Kitchen Works (Inclusive of finishes and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fixtures)</w:t>
                  </w:r>
                </w:p>
                <w:p>
                  <w:pPr>
                    <w:tabs>
                      <w:tab w:val="left" w:leader="none" w:pos="4032"/>
                      <w:tab w:val="right" w:leader="none" w:pos="6120"/>
                    </w:tabs>
                    <w:spacing w:before="39" w:after="0" w:line="182"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Timber Cladding and Staircases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4032"/>
                      <w:tab w:val="right" w:leader="none" w:pos="6120"/>
                    </w:tabs>
                    <w:spacing w:before="39" w:after="0" w:line="182"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Infrastructure and Landscaping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4032"/>
                      <w:tab w:val="right" w:leader="none" w:pos="6120"/>
                    </w:tabs>
                    <w:spacing w:before="50" w:after="0" w:line="222"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Site Amenities, Hoardings, Scaffolding, Crane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and Plant Hire</w:t>
                  </w:r>
                </w:p>
                <w:p>
                  <w:pPr>
                    <w:spacing w:before="312"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13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 Australian entity is an entity with an ABN or ACN</w:t>
                  </w:r>
                </w:p>
                <w:p>
                  <w:pPr>
                    <w:spacing w:before="140" w:after="0" w:line="182"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standards:</w:t>
                  </w:r>
                </w:p>
                <w:p>
                  <w:pPr>
                    <w:spacing w:before="159"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68"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Stephen Chamberlain</w:t>
                  </w:r>
                </w:p>
                <w:p>
                  <w:pPr>
                    <w:spacing w:before="39" w:after="0" w:line="182"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Project Manager</w:t>
                  </w:r>
                </w:p>
                <w:p>
                  <w:pPr>
                    <w:spacing w:before="34" w:after="0" w:line="182" w:lineRule="exact"/>
                    <w:ind w:right="0" w:left="64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0458748199</w:t>
                  </w:r>
                </w:p>
                <w:p>
                  <w:pPr>
                    <w:spacing w:before="38" w:after="0" w:line="182"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stephen.chamberlain@mirvac.com</w:t>
                    </w:r>
                  </w:hyperlink>
                  <w:r>
                    <w:rPr>
                      <w:rFonts w:ascii="Arial" w:hAnsi="Arial" w:eastAsia="Arial"/>
                      <w:color w:val="000000"/>
                      <w:spacing w:val="0"/>
                      <w:w w:val="100"/>
                      <w:sz w:val="16"/>
                      <w:vertAlign w:val="baseline"/>
                      <w:lang w:val="en-US"/>
                    </w:rPr>
                    <w:t xml:space="preserve">
</w:t>
                  </w:r>
                </w:p>
                <w:p>
                  <w:pPr>
                    <w:spacing w:before="49" w:after="0" w:line="33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w:t>
                  </w:r>
                  <w:hyperlink r:id="dhId2">
                    <w:r>
                      <w:rPr>
                        <w:rFonts w:ascii="Arial" w:hAnsi="Arial" w:eastAsia="Arial"/>
                        <w:color w:val="0000FF"/>
                        <w:spacing w:val="0"/>
                        <w:w w:val="100"/>
                        <w:sz w:val="16"/>
                        <w:u w:val="single"/>
                        <w:vertAlign w:val="baseline"/>
                        <w:lang w:val="en-US"/>
                      </w:rPr>
                      <w:t xml:space="preserve">https://harboursidecommunity.mirvac.com</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Project opportunities website: </w:t>
                  </w:r>
                  <w:hyperlink r:id="dhId3">
                    <w:r>
                      <w:rPr>
                        <w:rFonts w:ascii="Arial" w:hAnsi="Arial" w:eastAsia="Arial"/>
                        <w:color w:val="0000FF"/>
                        <w:spacing w:val="0"/>
                        <w:w w:val="100"/>
                        <w:sz w:val="16"/>
                        <w:u w:val="single"/>
                        <w:vertAlign w:val="baseline"/>
                        <w:lang w:val="en-US"/>
                      </w:rPr>
                      <w:t xml:space="preserve">https://harboursidecommunity.mirvac.com</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40"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0" w:after="937" w:line="219"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Issue media releases or ASX announcements on project developments and opportunities Directly contact suppliers with information on project opportunities and bid processes Cascading Australian Supplier Commitments</w:t>
                  </w:r>
                </w:p>
              </w:txbxContent>
            </v:textbox>
          </v:shape>
        </w:pict>
      </w:r>
    </w:p>
    <w:p>
      <w:pPr>
        <w:sectPr>
          <w:type w:val="nextPage"/>
          <w:pgSz w:w="11904" w:h="16843" w:orient="portrait"/>
          <w:pgMar w:bottom="890" w:top="1076" w:right="1046" w:left="1047" w:header="977" w:footer="671"/>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Partnerships with International Suppliers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1" w:after="0" w:line="22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Mirvac Construction will offer feedback and where requested actively participate in providing feedback to unsuccessful suppliers, and will continue to do so on this Project. The aim of such feedback is to provide insight to unsuccessful Australian suppliers so as to assist them in future opportunities. Mirvac will include in this feedback, details on key areas of improvement which may assist the unsuccessful supplier on future projects, be it additional training required, key systems or capabilities that may need to be implemented and areas where the overall competitiveness of their tender may be improved. Mirvac note that where necessary, all feedback provided will protect the IP and confidentiality of other suppliers.</w:t>
      </w:r>
    </w:p>
    <w:p>
      <w:pPr>
        <w:sectPr>
          <w:type w:val="nextPage"/>
          <w:pgSz w:w="11904" w:h="16843" w:orient="portrait"/>
          <w:pgMar w:bottom="1139" w:top="2054" w:right="1458" w:left="1046" w:header="977" w:footer="9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5" coordsize="21600,21600" o:spt="202" path="m,l,21600r21600,l21600,xe">
            <v:stroke joinstyle="miter"/>
            <v:path gradientshapeok="t" o:connecttype="rect"/>
          </v:shapetype>
          <v:shape id="_x0000_s4" type="#_x0000_t5" filled="f" stroked="f" style="position:absolute;width:504pt;height:86.6pt;z-index:-1;margin-left:43.9pt;margin-top:61.3pt;mso-wrap-distance-left:0pt;mso-wrap-distance-right:0pt;mso-position-horizontal-relative:page;mso-position-vertical-relative:page">
            <w10:wrap type="square" side="both"/>
            <v:fill opacity="1" o:opacity2="1" recolor="f" rotate="f" type="solid"/>
            <v:textbox inset="0pt, 0pt, 0pt, 0pt">
              <w:txbxContent>
                <w:p>
                  <w:pPr>
                    <w:spacing w:before="902"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504pt;height:187.15pt;z-index:-1;margin-left:43.9pt;margin-top:147.9pt;mso-wrap-distance-left:0pt;mso-wrap-distance-right:0pt;mso-position-horizontal-relative:page;mso-position-vertical-relative:page">
            <w10:wrap type="square" side="both"/>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Nominated facility operator: </w:t>
                  </w:r>
                  <w:r>
                    <w:rPr>
                      <w:rFonts w:ascii="Arial" w:hAnsi="Arial" w:eastAsia="Arial"/>
                      <w:color w:val="000000"/>
                      <w:spacing w:val="-2"/>
                      <w:w w:val="100"/>
                      <w:sz w:val="16"/>
                      <w:vertAlign w:val="baseline"/>
                      <w:lang w:val="en-US"/>
                    </w:rPr>
                    <w:t xml:space="preserve">MIRVAC REAL ESTATE PTY LTD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Harbourside Redevelopment</w:t>
                  </w:r>
                </w:p>
                <w:p>
                  <w:pPr>
                    <w:spacing w:before="140"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Location: 2-10 Darling Drive, Sydney NSW 2000</w:t>
                  </w:r>
                </w:p>
                <w:p>
                  <w:pPr>
                    <w:spacing w:before="159" w:after="0" w:line="182" w:lineRule="exact"/>
                    <w:ind w:right="0"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Other productive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442.35pt;height:31.45pt;z-index:-1;margin-left:52.3pt;margin-top:335.0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519"/>
                    <w:gridCol w:w="1750"/>
                    <w:gridCol w:w="261"/>
                    <w:gridCol w:w="1673"/>
                    <w:gridCol w:w="3644"/>
                  </w:tblGrid>
                  <w:tr>
                    <w:trPr>
                      <w:trHeight w:val="629" w:hRule="exact"/>
                    </w:trPr>
                    <w:tc>
                      <w:tcPr>
                        <w:tcW w:w="1519" w:type="dxa"/>
                        <w:tcBorders>
                          <w:top w:val="none"/>
                          <w:left w:val="none"/>
                          <w:bottom w:val="none"/>
                          <w:right w:val="none"/>
                        </w:tcBorders>
                        <w:textDirection w:val="lrTb"/>
                        <w:vAlign w:val="center"/>
                      </w:tcPr>
                      <w:p>
                        <w:pPr>
                          <w:spacing w:before="101" w:after="85" w:line="221"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0" w:type="dxa"/>
                        <w:tcBorders>
                          <w:top w:val="none"/>
                          <w:left w:val="none"/>
                          <w:bottom w:val="none"/>
                          <w:right w:val="none"/>
                        </w:tcBorders>
                        <w:textDirection w:val="lrTb"/>
                        <w:vAlign w:val="center"/>
                      </w:tcPr>
                      <w:p>
                        <w:pPr>
                          <w:spacing w:before="101" w:after="85" w:line="221" w:lineRule="exact"/>
                          <w:ind w:right="0" w:left="432" w:firstLine="0"/>
                          <w:jc w:val="left"/>
                          <w:textAlignment w:val="baseline"/>
                          <w:rPr>
                            <w:rFonts w:ascii="Arial" w:hAnsi="Arial" w:eastAsia="Arial"/>
                            <w:b w:val="true"/>
                            <w:color w:val="000000"/>
                            <w:spacing w:val="-5"/>
                            <w:w w:val="100"/>
                            <w:sz w:val="16"/>
                            <w:vertAlign w:val="baseline"/>
                            <w:lang w:val="en-US"/>
                          </w:rPr>
                        </w:pPr>
                        <w:r>
                          <w:rPr>
                            <w:rFonts w:ascii="Arial" w:hAnsi="Arial" w:eastAsia="Arial"/>
                            <w:b w:val="true"/>
                            <w:color w:val="000000"/>
                            <w:spacing w:val="-5"/>
                            <w:w w:val="100"/>
                            <w:sz w:val="16"/>
                            <w:vertAlign w:val="baseline"/>
                            <w:lang w:val="en-US"/>
                          </w:rPr>
                          <w:t xml:space="preserve">Opportunities for Australian entities</w:t>
                        </w:r>
                      </w:p>
                    </w:tc>
                    <w:tc>
                      <w:tcPr>
                        <w:tcW w:w="261" w:type="dxa"/>
                        <w:tcBorders>
                          <w:top w:val="none"/>
                          <w:left w:val="none"/>
                          <w:bottom w:val="none"/>
                          <w:right w:val="none"/>
                        </w:tcBorders>
                        <w:textDirection w:val="lrTb"/>
                        <w:vAlign w:val="top"/>
                      </w:tcPr>
                      <w:p>
                        <w:pPr>
                          <w:spacing w:before="335" w:after="160" w:line="133" w:lineRule="exact"/>
                          <w:ind w:right="0" w:left="0" w:firstLine="0"/>
                          <w:jc w:val="center"/>
                          <w:textAlignment w:val="baseline"/>
                          <w:rPr>
                            <w:rFonts w:ascii="Arial" w:hAnsi="Arial" w:eastAsia="Arial"/>
                            <w:b w:val="true"/>
                            <w:color w:val="000000"/>
                            <w:spacing w:val="0"/>
                            <w:w w:val="100"/>
                            <w:sz w:val="11"/>
                            <w:vertAlign w:val="baseline"/>
                            <w:lang w:val="en-US"/>
                          </w:rPr>
                        </w:pPr>
                        <w:r>
                          <w:rPr>
                            <w:rFonts w:ascii="Arial" w:hAnsi="Arial" w:eastAsia="Arial"/>
                            <w:b w:val="true"/>
                            <w:color w:val="000000"/>
                            <w:spacing w:val="0"/>
                            <w:w w:val="100"/>
                            <w:sz w:val="11"/>
                            <w:vertAlign w:val="baseline"/>
                            <w:lang w:val="en-US"/>
                          </w:rPr>
                          <w:t xml:space="preserve">*</w:t>
                        </w:r>
                      </w:p>
                    </w:tc>
                    <w:tc>
                      <w:tcPr>
                        <w:tcW w:w="1673" w:type="dxa"/>
                        <w:tcBorders>
                          <w:top w:val="none"/>
                          <w:left w:val="none"/>
                          <w:bottom w:val="none"/>
                          <w:right w:val="none"/>
                        </w:tcBorders>
                        <w:textDirection w:val="lrTb"/>
                        <w:vAlign w:val="top"/>
                      </w:tcPr>
                      <w:p>
                        <w:pPr>
                          <w:spacing w:before="0" w:after="0" w:line="209"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44" w:type="dxa"/>
                        <w:tcBorders>
                          <w:top w:val="none"/>
                          <w:left w:val="none"/>
                          <w:bottom w:val="none"/>
                          <w:right w:val="none"/>
                        </w:tcBorders>
                        <w:textDirection w:val="lrTb"/>
                        <w:vAlign w:val="center"/>
                      </w:tcPr>
                      <w:p>
                        <w:pPr>
                          <w:spacing w:before="101" w:after="85" w:line="221" w:lineRule="exact"/>
                          <w:ind w:right="0" w:left="144" w:firstLine="0"/>
                          <w:jc w:val="both"/>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Explanation for no opportunities for Australian entities</w:t>
                        </w:r>
                      </w:p>
                    </w:tc>
                  </w:tr>
                </w:tbl>
              </w:txbxContent>
            </v:textbox>
          </v:shape>
        </w:pict>
      </w:r>
      <w:r>
        <w:pict>
          <v:shapetype id="_x0000_t8" coordsize="21600,21600" o:spt="202" path="m,l,21600r21600,l21600,xe">
            <v:stroke joinstyle="miter"/>
            <v:path gradientshapeok="t" o:connecttype="rect"/>
          </v:shapetype>
          <v:shape id="_x0000_s7" type="#_x0000_t8" filled="f" stroked="f" style="position:absolute;width:327pt;height:380.75pt;z-index:-1;margin-left:52.3pt;margin-top:384.65pt;mso-wrap-distance-left:0pt;mso-wrap-distance-right:0pt;mso-position-horizontal-relative:page;mso-position-vertical-relative:page">
            <w10:wrap type="square" side="both"/>
            <v:fill opacity="1" o:opacity2="1" recolor="f" rotate="f" type="solid"/>
            <v:textbox inset="0pt, 0pt, 0pt, 0pt">
              <w:txbxContent>
                <w:p>
                  <w:pPr>
                    <w:spacing w:before="23" w:after="0" w:line="182" w:lineRule="exact"/>
                    <w:ind w:right="0" w:left="0" w:firstLine="0"/>
                    <w:jc w:val="left"/>
                    <w:textAlignment w:val="baseline"/>
                    <w:rPr>
                      <w:rFonts w:ascii="Arial" w:hAnsi="Arial" w:eastAsia="Arial"/>
                      <w:color w:val="000000"/>
                      <w:spacing w:val="-3"/>
                      <w:w w:val="100"/>
                      <w:sz w:val="11"/>
                      <w:vertAlign w:val="superscript"/>
                      <w:lang w:val="en-US"/>
                    </w:rPr>
                  </w:pPr>
                  <w:r>
                    <w:rPr>
                      <w:rFonts w:ascii="Arial" w:hAnsi="Arial" w:eastAsia="Arial"/>
                      <w:color w:val="000000"/>
                      <w:spacing w:val="-3"/>
                      <w:w w:val="100"/>
                      <w:sz w:val="11"/>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61"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standards: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73" w:after="0" w:line="393"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58" w:after="0" w:line="183"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Stephen Chamberlain</w:t>
                  </w:r>
                </w:p>
                <w:p>
                  <w:pPr>
                    <w:spacing w:before="38" w:after="0" w:line="183"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Senior Project Manager</w:t>
                  </w:r>
                </w:p>
                <w:p>
                  <w:pPr>
                    <w:spacing w:before="38" w:after="0" w:line="183"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0458748199</w:t>
                  </w:r>
                </w:p>
                <w:p>
                  <w:pPr>
                    <w:spacing w:before="38" w:after="0" w:line="183"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4">
                    <w:r>
                      <w:rPr>
                        <w:rFonts w:ascii="Arial" w:hAnsi="Arial" w:eastAsia="Arial"/>
                        <w:color w:val="0000FF"/>
                        <w:spacing w:val="0"/>
                        <w:w w:val="100"/>
                        <w:sz w:val="16"/>
                        <w:u w:val="single"/>
                        <w:vertAlign w:val="baseline"/>
                        <w:lang w:val="en-US"/>
                      </w:rPr>
                      <w:t xml:space="preserve">stephen.chamberlain@mirvac.com</w:t>
                    </w:r>
                  </w:hyperlink>
                  <w:r>
                    <w:rPr>
                      <w:rFonts w:ascii="Arial" w:hAnsi="Arial" w:eastAsia="Arial"/>
                      <w:color w:val="000000"/>
                      <w:spacing w:val="0"/>
                      <w:w w:val="100"/>
                      <w:sz w:val="16"/>
                      <w:vertAlign w:val="baseline"/>
                      <w:lang w:val="en-US"/>
                    </w:rPr>
                    <w:t xml:space="preserve">
</w:t>
                  </w:r>
                </w:p>
                <w:p>
                  <w:pPr>
                    <w:spacing w:before="49" w:after="0" w:line="329" w:lineRule="exact"/>
                    <w:ind w:right="1584"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Facility operator website: https://harboursidecommunity.mirvac.com/ Facility opportunities website: https://harboursidecommunity.mirvac.com/ Supplier engagement and communication actions :</w:t>
                  </w:r>
                </w:p>
                <w:p>
                  <w:pPr>
                    <w:spacing w:before="1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0" w:after="2323"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Issue media releases or ASX announcements on project developments and opportunities Directly contact suppliers with information on project opportunities and bid processes Cascading Australian Supplier Commitments</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1076" w:right="1045" w:left="889" w:header="977" w:footer="671"/>
          <w:titlePg w:val="false"/>
          <w:textDirection w:val="lrTb"/>
        </w:sectPr>
      </w:pPr>
    </w:p>
    <w:p>
      <w:pPr>
        <w:spacing w:before="0" w:after="0" w:line="391"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3"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9" w:after="0" w:line="182"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7"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0" w:after="0" w:line="360" w:lineRule="exact"/>
        <w:ind w:right="0" w:left="0" w:firstLine="576"/>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Provide references for high performing suppliers</w:t>
        <w:br/>
      </w:r>
      <w:r>
        <w:rPr>
          <w:rFonts w:ascii="Arial" w:hAnsi="Arial" w:eastAsia="Arial"/>
          <w:color w:val="000000"/>
          <w:spacing w:val="0"/>
          <w:w w:val="100"/>
          <w:sz w:val="16"/>
          <w:vertAlign w:val="baseline"/>
          <w:lang w:val="en-US"/>
        </w:rPr>
        <w:t xml:space="preserve">Feedback process for unsuccessful bidders:</w:t>
      </w:r>
    </w:p>
    <w:p>
      <w:pPr>
        <w:spacing w:before="107"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Mirvac will offer feedback and where requested actively participate in providing feedback to unsuccessful suppliers, and will continue to do soon this Project. The aim of such feedback is to provide insight to unsuccessful Australian suppliers so as to assist them in future opportunities. Mirvac will include in this feedback, details on key areas of improvement which may assist the unsuccessful supplier on future projects, be it additional training required, key systems or capabilities that may need to be implemented and areas where the overall competitiveness of their tender may be improved. Mirvac note that where necessary, all feedback provided will protect the IP and confidentiality of other suppliers.</w:t>
      </w:r>
    </w:p>
    <w:sectPr>
      <w:type w:val="nextPage"/>
      <w:pgSz w:w="11904" w:h="16843" w:orient="portrait"/>
      <w:pgMar w:bottom="1139" w:top="2054" w:right="1458" w:left="1046" w:header="977" w:footer="9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footerfId0.xml><?xml version="1.0" encoding="utf-8"?>
<w:ft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tabs>
        <w:tab w:val="left" w:leader="none" w:pos="9134"/>
      </w:tabs>
      <w:spacing w:before="0" w:after="0" w:line="249" w:lineRule="exact"/>
      <w:ind w:right="0" w:left="8712"/>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ab/>
    </w:r>
    <w:r>
      <w:rPr>
        <w:rFonts w:ascii="Times New Roman" w:hAnsi="Times New Roman" w:eastAsia="Times New Roman"/>
        <w:color w:val="000000"/>
        <w:spacing w:val="-1"/>
        <w:w w:val="100"/>
        <w:sz w:val="22"/>
        <w:vertAlign w:val="baseline"/>
        <w:lang w:val="en-US"/>
      </w:rPr>
      <w:t xml:space="preserve">Page </w:t>
    </w:r>
    <w:r>
      <w:rPr>
        <w:rFonts w:ascii="Times New Roman" w:hAnsi="Times New Roman" w:eastAsia="Times New Roman"/>
        <w:color w:val="000000"/>
        <w:spacing w:val="-1"/>
        <w:w w:val="100"/>
        <w:sz w:val="22"/>
        <w:vertAlign w:val="baseline"/>
        <w:lang w:val="en-US"/>
      </w:rPr>
      <w:fldChar w:fldCharType="begin"/>
    </w:r>
    <w:r>
      <w:rPr>
        <w:rFonts w:ascii="Times New Roman" w:hAnsi="Times New Roman" w:eastAsia="Times New Roman"/>
        <w:color w:val="000000"/>
        <w:spacing w:val="-1"/>
        <w:w w:val="100"/>
        <w:sz w:val="22"/>
        <w:vertAlign w:val="baseline"/>
        <w:lang w:val="en-US"/>
      </w:rPr>
      <w:instrText xml:space="preserve">PAGE</w:instrText>
    </w:r>
    <w:r>
      <w:rPr>
        <w:rFonts w:ascii="Times New Roman" w:hAnsi="Times New Roman" w:eastAsia="Times New Roman"/>
        <w:color w:val="000000"/>
        <w:spacing w:val="-1"/>
        <w:w w:val="100"/>
        <w:sz w:val="22"/>
        <w:vertAlign w:val="baseline"/>
        <w:lang w:val="en-US"/>
      </w:rPr>
      <w:fldChar w:fldCharType="end"/>
    </w:r>
    <w:r>
      <w:rPr>
        <w:rFonts w:ascii="Times New Roman" w:hAnsi="Times New Roman" w:eastAsia="Times New Roman"/>
        <w:color w:val="000000"/>
        <w:spacing w:val="-1"/>
        <w:w w:val="100"/>
        <w:sz w:val="22"/>
        <w:vertAlign w:val="baseline"/>
        <w:lang w:val="en-US"/>
      </w:rPr>
      <w:t xml:space="preserve"> of 5</w:t>
    </w:r>
  </w:p>
</w:ftr>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headerhId0.xml><?xml version="1.0" encoding="utf-8"?>
<w:hdr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p>
    <w:pPr>
      <w:tabs>
        <w:tab w:val="left" w:leader="none" w:pos="1459"/>
      </w:tabs>
      <w:spacing w:before="0" w:after="0" w:line="183" w:lineRule="exact"/>
      <w:ind w:right="0" w:left="0"/>
      <w:jc w:val="left"/>
      <w:textAlignment w:val="baseline"/>
      <w:rPr>
        <w:rFonts w:ascii="Times New Roman" w:hAnsi="Times New Roman" w:eastAsia="Times New Roman"/>
        <w:color w:val="000000"/>
        <w:w w:val="100"/>
        <w:sz w:val="24"/>
        <w:vertAlign w:val="baseline"/>
        <w:lang w:val="en-US"/>
      </w:rPr>
    </w:pPr>
    <w:r>
      <w:rPr>
        <w:rFonts w:ascii="Times New Roman" w:hAnsi="Times New Roman" w:eastAsia="Times New Roman"/>
        <w:color w:val="000000"/>
        <w:w w:val="100"/>
        <w:sz w:val="24"/>
        <w:vertAlign w:val="baseline"/>
        <w:lang w:val="en-US"/>
      </w:rPr>
      <w:tab/>
    </w:r>
    <w:r>
      <w:rPr>
        <w:rFonts w:ascii="Times New Roman" w:hAnsi="Times New Roman" w:eastAsia="Times New Roman"/>
        <w:color w:val="000000"/>
        <w:spacing w:val="0"/>
        <w:w w:val="100"/>
        <w:sz w:val="16"/>
        <w:vertAlign w:val="baseline"/>
        <w:lang w:val="en-US"/>
      </w:rPr>
      <w:t xml:space="preserve">***** DRAFT not approved by AIP Authority (printed on Tue Sep 19 2023 1 1:39:34 GMT+1000 (AEST)) *****</w:t>
    </w:r>
  </w:p>
</w:hdr>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evenAndOddHeaders w:val="false"/>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fId0" Type="http://schemas.openxmlformats.org/officeDocument/2006/relationships/footer" Target="footerfId0.xml"/><Relationship Id="dhId1" Type="http://schemas.openxmlformats.org/officeDocument/2006/relationships/hyperlink" TargetMode="External" Target="mailto:stephen.chamberlain@mirvac.com"/><Relationship Id="dhId2" Type="http://schemas.openxmlformats.org/officeDocument/2006/relationships/hyperlink" TargetMode="External" Target="https://harboursidecommunity.mirvac.com"/><Relationship Id="dhId3" Type="http://schemas.openxmlformats.org/officeDocument/2006/relationships/hyperlink" TargetMode="External" Target="https://harboursidecommunity.mirvac.com"/><Relationship Id="dhId4" Type="http://schemas.openxmlformats.org/officeDocument/2006/relationships/hyperlink" TargetMode="External" Target="mailto:stephen.chamberlain@mirvac.com"/><Relationship Id="prId1" Type="http://schemas.openxmlformats.org/officeDocument/2006/relationships/image" Target="media/image1.png"/><Relationship Id="hId0" Type="http://schemas.openxmlformats.org/officeDocument/2006/relationships/header" Target="headerhId0.xml"/><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2023-09-19T01:40:57Z</dcterms:created>
  <dcterms:modified xsi:type="dcterms:W3CDTF">2023-09-19T01:40:57Z</dcterms:modified>
</cp:coreProperties>
</file>