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68AAAA90" w:rsidR="004D054E" w:rsidRDefault="006D5977" w:rsidP="00596AD4">
      <w:pPr>
        <w:jc w:val="center"/>
        <w:rPr>
          <w:rFonts w:cs="Calibri"/>
          <w:b/>
          <w:bCs/>
          <w:sz w:val="24"/>
        </w:rPr>
      </w:pPr>
      <w:r>
        <w:rPr>
          <w:rFonts w:cs="Calibri"/>
          <w:b/>
          <w:bCs/>
          <w:sz w:val="44"/>
          <w:szCs w:val="44"/>
        </w:rPr>
        <w:t>Silicon Metal</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65"/>
        <w:gridCol w:w="1299"/>
        <w:gridCol w:w="2108"/>
        <w:gridCol w:w="2010"/>
        <w:gridCol w:w="2028"/>
      </w:tblGrid>
      <w:tr w:rsidR="009709AA" w:rsidRPr="009709AA" w14:paraId="68BAC54D" w14:textId="77777777" w:rsidTr="5B124053">
        <w:trPr>
          <w:trHeight w:val="797"/>
        </w:trPr>
        <w:tc>
          <w:tcPr>
            <w:tcW w:w="1965"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299"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010"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28"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010378" w:rsidRPr="009709AA" w14:paraId="68BAC584" w14:textId="77777777" w:rsidTr="5B124053">
        <w:trPr>
          <w:trHeight w:val="478"/>
        </w:trPr>
        <w:tc>
          <w:tcPr>
            <w:tcW w:w="1965" w:type="dxa"/>
            <w:shd w:val="clear" w:color="auto" w:fill="auto"/>
            <w:vAlign w:val="center"/>
          </w:tcPr>
          <w:p w14:paraId="68BAC57F" w14:textId="4AF58265" w:rsidR="00010378" w:rsidRPr="00110351" w:rsidRDefault="00010378" w:rsidP="00EF4067">
            <w:pPr>
              <w:rPr>
                <w:rFonts w:cs="Calibri"/>
                <w:b/>
                <w:bCs/>
                <w:color w:val="000000"/>
                <w:sz w:val="22"/>
                <w:szCs w:val="22"/>
              </w:rPr>
            </w:pPr>
            <w:r>
              <w:rPr>
                <w:rFonts w:cs="Calibri"/>
                <w:b/>
                <w:bCs/>
                <w:color w:val="000000"/>
                <w:sz w:val="22"/>
                <w:szCs w:val="22"/>
              </w:rPr>
              <w:t>CHINA</w:t>
            </w:r>
          </w:p>
        </w:tc>
        <w:tc>
          <w:tcPr>
            <w:tcW w:w="1299" w:type="dxa"/>
            <w:shd w:val="clear" w:color="auto" w:fill="auto"/>
            <w:noWrap/>
            <w:vAlign w:val="center"/>
          </w:tcPr>
          <w:p w14:paraId="68BAC580" w14:textId="65F1B616" w:rsidR="00010378" w:rsidRPr="00110351" w:rsidRDefault="00010378" w:rsidP="00596AD4">
            <w:pPr>
              <w:rPr>
                <w:rFonts w:cs="Calibri"/>
                <w:b/>
                <w:bCs/>
                <w:color w:val="000000"/>
                <w:sz w:val="22"/>
                <w:szCs w:val="22"/>
              </w:rPr>
            </w:pPr>
            <w:r>
              <w:rPr>
                <w:rFonts w:cs="Calibri"/>
                <w:b/>
                <w:bCs/>
                <w:color w:val="000000"/>
                <w:sz w:val="22"/>
                <w:szCs w:val="22"/>
              </w:rPr>
              <w:t>IDD</w:t>
            </w:r>
            <w:r w:rsidR="00381A5F">
              <w:rPr>
                <w:rFonts w:cs="Calibri"/>
                <w:b/>
                <w:bCs/>
                <w:color w:val="000000"/>
                <w:sz w:val="22"/>
                <w:szCs w:val="22"/>
              </w:rPr>
              <w:t xml:space="preserve"> &amp; ICD</w:t>
            </w:r>
          </w:p>
        </w:tc>
        <w:tc>
          <w:tcPr>
            <w:tcW w:w="2108" w:type="dxa"/>
            <w:shd w:val="clear" w:color="auto" w:fill="auto"/>
            <w:vAlign w:val="center"/>
          </w:tcPr>
          <w:p w14:paraId="68BAC581" w14:textId="6DD962D3" w:rsidR="00010378" w:rsidRPr="00110351" w:rsidRDefault="493E8B2C" w:rsidP="00CD7E6D">
            <w:pPr>
              <w:rPr>
                <w:rFonts w:cs="Calibri"/>
                <w:color w:val="000000"/>
                <w:sz w:val="22"/>
                <w:szCs w:val="22"/>
              </w:rPr>
            </w:pPr>
            <w:r w:rsidRPr="5B124053">
              <w:rPr>
                <w:rFonts w:cs="Calibri"/>
                <w:color w:val="000000" w:themeColor="text1"/>
                <w:sz w:val="22"/>
                <w:szCs w:val="22"/>
              </w:rPr>
              <w:t>3</w:t>
            </w:r>
            <w:r w:rsidR="00381A5F" w:rsidRPr="5B124053">
              <w:rPr>
                <w:rFonts w:cs="Calibri"/>
                <w:color w:val="000000" w:themeColor="text1"/>
                <w:sz w:val="22"/>
                <w:szCs w:val="22"/>
              </w:rPr>
              <w:t>-June-2015</w:t>
            </w:r>
          </w:p>
        </w:tc>
        <w:tc>
          <w:tcPr>
            <w:tcW w:w="2010" w:type="dxa"/>
            <w:shd w:val="clear" w:color="auto" w:fill="auto"/>
            <w:vAlign w:val="center"/>
          </w:tcPr>
          <w:p w14:paraId="68BAC582" w14:textId="177C94AB" w:rsidR="00010378" w:rsidRPr="00110351" w:rsidRDefault="00381A5F" w:rsidP="00010378">
            <w:pPr>
              <w:rPr>
                <w:rFonts w:cs="Calibri"/>
                <w:color w:val="000000"/>
                <w:sz w:val="22"/>
                <w:szCs w:val="22"/>
              </w:rPr>
            </w:pPr>
            <w:r>
              <w:rPr>
                <w:rFonts w:cs="Calibri"/>
                <w:color w:val="000000"/>
                <w:sz w:val="22"/>
                <w:szCs w:val="22"/>
              </w:rPr>
              <w:t>3-June-2025</w:t>
            </w:r>
          </w:p>
        </w:tc>
        <w:tc>
          <w:tcPr>
            <w:tcW w:w="2028" w:type="dxa"/>
            <w:shd w:val="clear" w:color="auto" w:fill="auto"/>
            <w:vAlign w:val="center"/>
          </w:tcPr>
          <w:p w14:paraId="68BAC583" w14:textId="085B3BA2" w:rsidR="00010378" w:rsidRPr="00110351" w:rsidRDefault="00906FE7" w:rsidP="00110351">
            <w:pPr>
              <w:rPr>
                <w:rFonts w:cs="Calibri"/>
                <w:color w:val="000000"/>
                <w:sz w:val="22"/>
                <w:szCs w:val="22"/>
              </w:rPr>
            </w:pPr>
            <w:hyperlink r:id="rId12" w:history="1">
              <w:r w:rsidR="00B62216" w:rsidRPr="00B62216">
                <w:rPr>
                  <w:rStyle w:val="Hyperlink"/>
                  <w:rFonts w:cs="Calibri"/>
                  <w:sz w:val="22"/>
                  <w:szCs w:val="22"/>
                </w:rPr>
                <w:t>2020/036</w:t>
              </w:r>
            </w:hyperlink>
          </w:p>
        </w:tc>
      </w:tr>
    </w:tbl>
    <w:p w14:paraId="68BAC585" w14:textId="77777777" w:rsidR="009709AA" w:rsidRDefault="009709AA" w:rsidP="00E4346B">
      <w:pPr>
        <w:jc w:val="both"/>
        <w:rPr>
          <w:rFonts w:cs="Calibri"/>
          <w:b/>
          <w:bCs/>
          <w:sz w:val="24"/>
        </w:rPr>
      </w:pPr>
    </w:p>
    <w:p w14:paraId="51D4FD76" w14:textId="15785229" w:rsidR="009709AA" w:rsidRDefault="705FF206" w:rsidP="3F10457F">
      <w:pPr>
        <w:jc w:val="both"/>
      </w:pPr>
      <w:r w:rsidRPr="43C2803E">
        <w:rPr>
          <w:rFonts w:eastAsia="Calibri" w:cs="Calibri"/>
          <w:color w:val="000000" w:themeColor="text1"/>
          <w:sz w:val="16"/>
          <w:szCs w:val="16"/>
        </w:rPr>
        <w:t>T</w:t>
      </w:r>
      <w:r w:rsidR="4D3C7F1B" w:rsidRPr="43C2803E">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35F71403" w:rsidR="009709AA" w:rsidRDefault="009709AA" w:rsidP="3F10457F">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578ED4F3" w14:textId="406450A3" w:rsidR="00B62216"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816230" w:history="1">
        <w:r w:rsidR="00B62216" w:rsidRPr="00BC54A1">
          <w:rPr>
            <w:rStyle w:val="Hyperlink"/>
          </w:rPr>
          <w:t>1. What is the function of the Dumping Commodity Register (DCR)?</w:t>
        </w:r>
        <w:r w:rsidR="00B62216">
          <w:rPr>
            <w:webHidden/>
          </w:rPr>
          <w:tab/>
        </w:r>
        <w:r w:rsidR="00B62216">
          <w:rPr>
            <w:webHidden/>
          </w:rPr>
          <w:fldChar w:fldCharType="begin"/>
        </w:r>
        <w:r w:rsidR="00B62216">
          <w:rPr>
            <w:webHidden/>
          </w:rPr>
          <w:instrText xml:space="preserve"> PAGEREF _Toc130816230 \h </w:instrText>
        </w:r>
        <w:r w:rsidR="00B62216">
          <w:rPr>
            <w:webHidden/>
          </w:rPr>
        </w:r>
        <w:r w:rsidR="00B62216">
          <w:rPr>
            <w:webHidden/>
          </w:rPr>
          <w:fldChar w:fldCharType="separate"/>
        </w:r>
        <w:r w:rsidR="00E7799B">
          <w:rPr>
            <w:webHidden/>
          </w:rPr>
          <w:t>3</w:t>
        </w:r>
        <w:r w:rsidR="00B62216">
          <w:rPr>
            <w:webHidden/>
          </w:rPr>
          <w:fldChar w:fldCharType="end"/>
        </w:r>
      </w:hyperlink>
    </w:p>
    <w:p w14:paraId="1D8C5648" w14:textId="5E9C11F3" w:rsidR="00B62216" w:rsidRDefault="00906FE7">
      <w:pPr>
        <w:pStyle w:val="TOC1"/>
        <w:rPr>
          <w:rFonts w:asciiTheme="minorHAnsi" w:eastAsiaTheme="minorEastAsia" w:hAnsiTheme="minorHAnsi" w:cstheme="minorBidi"/>
          <w:i w:val="0"/>
          <w:sz w:val="22"/>
          <w:szCs w:val="22"/>
        </w:rPr>
      </w:pPr>
      <w:hyperlink w:anchor="_Toc130816231" w:history="1">
        <w:r w:rsidR="00B62216" w:rsidRPr="00BC54A1">
          <w:rPr>
            <w:rStyle w:val="Hyperlink"/>
          </w:rPr>
          <w:t>2. What types of silicon metal are subject to anti-dumping measures?</w:t>
        </w:r>
        <w:r w:rsidR="00B62216">
          <w:rPr>
            <w:webHidden/>
          </w:rPr>
          <w:tab/>
        </w:r>
        <w:r w:rsidR="00B62216">
          <w:rPr>
            <w:webHidden/>
          </w:rPr>
          <w:fldChar w:fldCharType="begin"/>
        </w:r>
        <w:r w:rsidR="00B62216">
          <w:rPr>
            <w:webHidden/>
          </w:rPr>
          <w:instrText xml:space="preserve"> PAGEREF _Toc130816231 \h </w:instrText>
        </w:r>
        <w:r w:rsidR="00B62216">
          <w:rPr>
            <w:webHidden/>
          </w:rPr>
        </w:r>
        <w:r w:rsidR="00B62216">
          <w:rPr>
            <w:webHidden/>
          </w:rPr>
          <w:fldChar w:fldCharType="separate"/>
        </w:r>
        <w:r w:rsidR="00E7799B">
          <w:rPr>
            <w:webHidden/>
          </w:rPr>
          <w:t>3</w:t>
        </w:r>
        <w:r w:rsidR="00B62216">
          <w:rPr>
            <w:webHidden/>
          </w:rPr>
          <w:fldChar w:fldCharType="end"/>
        </w:r>
      </w:hyperlink>
    </w:p>
    <w:p w14:paraId="2BD6C021" w14:textId="00780BC9" w:rsidR="00B62216" w:rsidRDefault="00906FE7">
      <w:pPr>
        <w:pStyle w:val="TOC1"/>
        <w:rPr>
          <w:rFonts w:asciiTheme="minorHAnsi" w:eastAsiaTheme="minorEastAsia" w:hAnsiTheme="minorHAnsi" w:cstheme="minorBidi"/>
          <w:i w:val="0"/>
          <w:sz w:val="22"/>
          <w:szCs w:val="22"/>
        </w:rPr>
      </w:pPr>
      <w:hyperlink w:anchor="_Toc130816232" w:history="1">
        <w:r w:rsidR="00B62216" w:rsidRPr="00BC54A1">
          <w:rPr>
            <w:rStyle w:val="Hyperlink"/>
          </w:rPr>
          <w:t>3. What tariff classifications and statistical codes are covered by the anti-dumping measures?</w:t>
        </w:r>
        <w:r w:rsidR="00B62216">
          <w:rPr>
            <w:webHidden/>
          </w:rPr>
          <w:tab/>
        </w:r>
        <w:r w:rsidR="00B62216">
          <w:rPr>
            <w:webHidden/>
          </w:rPr>
          <w:fldChar w:fldCharType="begin"/>
        </w:r>
        <w:r w:rsidR="00B62216">
          <w:rPr>
            <w:webHidden/>
          </w:rPr>
          <w:instrText xml:space="preserve"> PAGEREF _Toc130816232 \h </w:instrText>
        </w:r>
        <w:r w:rsidR="00B62216">
          <w:rPr>
            <w:webHidden/>
          </w:rPr>
        </w:r>
        <w:r w:rsidR="00B62216">
          <w:rPr>
            <w:webHidden/>
          </w:rPr>
          <w:fldChar w:fldCharType="separate"/>
        </w:r>
        <w:r w:rsidR="00E7799B">
          <w:rPr>
            <w:webHidden/>
          </w:rPr>
          <w:t>3</w:t>
        </w:r>
        <w:r w:rsidR="00B62216">
          <w:rPr>
            <w:webHidden/>
          </w:rPr>
          <w:fldChar w:fldCharType="end"/>
        </w:r>
      </w:hyperlink>
    </w:p>
    <w:p w14:paraId="68957FC3" w14:textId="061A7F42" w:rsidR="00B62216" w:rsidRDefault="00906FE7">
      <w:pPr>
        <w:pStyle w:val="TOC1"/>
        <w:rPr>
          <w:rFonts w:asciiTheme="minorHAnsi" w:eastAsiaTheme="minorEastAsia" w:hAnsiTheme="minorHAnsi" w:cstheme="minorBidi"/>
          <w:i w:val="0"/>
          <w:sz w:val="22"/>
          <w:szCs w:val="22"/>
        </w:rPr>
      </w:pPr>
      <w:hyperlink w:anchor="_Toc130816233" w:history="1">
        <w:r w:rsidR="00B62216" w:rsidRPr="00BC54A1">
          <w:rPr>
            <w:rStyle w:val="Hyperlink"/>
          </w:rPr>
          <w:t>4. How much Interim Dumping Duty (IDD will an importer have to pay?</w:t>
        </w:r>
        <w:r w:rsidR="00B62216">
          <w:rPr>
            <w:webHidden/>
          </w:rPr>
          <w:tab/>
        </w:r>
        <w:r w:rsidR="00B62216">
          <w:rPr>
            <w:webHidden/>
          </w:rPr>
          <w:fldChar w:fldCharType="begin"/>
        </w:r>
        <w:r w:rsidR="00B62216">
          <w:rPr>
            <w:webHidden/>
          </w:rPr>
          <w:instrText xml:space="preserve"> PAGEREF _Toc130816233 \h </w:instrText>
        </w:r>
        <w:r w:rsidR="00B62216">
          <w:rPr>
            <w:webHidden/>
          </w:rPr>
        </w:r>
        <w:r w:rsidR="00B62216">
          <w:rPr>
            <w:webHidden/>
          </w:rPr>
          <w:fldChar w:fldCharType="separate"/>
        </w:r>
        <w:r w:rsidR="00E7799B">
          <w:rPr>
            <w:webHidden/>
          </w:rPr>
          <w:t>4</w:t>
        </w:r>
        <w:r w:rsidR="00B62216">
          <w:rPr>
            <w:webHidden/>
          </w:rPr>
          <w:fldChar w:fldCharType="end"/>
        </w:r>
      </w:hyperlink>
    </w:p>
    <w:p w14:paraId="4A534A82" w14:textId="65F390E7" w:rsidR="00B62216" w:rsidRDefault="00906FE7">
      <w:pPr>
        <w:pStyle w:val="TOC1"/>
        <w:rPr>
          <w:rFonts w:asciiTheme="minorHAnsi" w:eastAsiaTheme="minorEastAsia" w:hAnsiTheme="minorHAnsi" w:cstheme="minorBidi"/>
          <w:i w:val="0"/>
          <w:sz w:val="22"/>
          <w:szCs w:val="22"/>
        </w:rPr>
      </w:pPr>
      <w:hyperlink w:anchor="_Toc130816234" w:history="1">
        <w:r w:rsidR="00B62216" w:rsidRPr="00BC54A1">
          <w:rPr>
            <w:rStyle w:val="Hyperlink"/>
          </w:rPr>
          <w:t>5. What is the dumping export price (DXP) and how do I calculate it?</w:t>
        </w:r>
        <w:r w:rsidR="00B62216">
          <w:rPr>
            <w:webHidden/>
          </w:rPr>
          <w:tab/>
        </w:r>
        <w:r w:rsidR="00B62216">
          <w:rPr>
            <w:webHidden/>
          </w:rPr>
          <w:fldChar w:fldCharType="begin"/>
        </w:r>
        <w:r w:rsidR="00B62216">
          <w:rPr>
            <w:webHidden/>
          </w:rPr>
          <w:instrText xml:space="preserve"> PAGEREF _Toc130816234 \h </w:instrText>
        </w:r>
        <w:r w:rsidR="00B62216">
          <w:rPr>
            <w:webHidden/>
          </w:rPr>
        </w:r>
        <w:r w:rsidR="00B62216">
          <w:rPr>
            <w:webHidden/>
          </w:rPr>
          <w:fldChar w:fldCharType="separate"/>
        </w:r>
        <w:r w:rsidR="00E7799B">
          <w:rPr>
            <w:webHidden/>
          </w:rPr>
          <w:t>4</w:t>
        </w:r>
        <w:r w:rsidR="00B62216">
          <w:rPr>
            <w:webHidden/>
          </w:rPr>
          <w:fldChar w:fldCharType="end"/>
        </w:r>
      </w:hyperlink>
    </w:p>
    <w:p w14:paraId="785E41ED" w14:textId="5A554D52" w:rsidR="00B62216" w:rsidRDefault="00906FE7">
      <w:pPr>
        <w:pStyle w:val="TOC1"/>
        <w:rPr>
          <w:rFonts w:asciiTheme="minorHAnsi" w:eastAsiaTheme="minorEastAsia" w:hAnsiTheme="minorHAnsi" w:cstheme="minorBidi"/>
          <w:i w:val="0"/>
          <w:sz w:val="22"/>
          <w:szCs w:val="22"/>
        </w:rPr>
      </w:pPr>
      <w:hyperlink w:anchor="_Toc130816235" w:history="1">
        <w:r w:rsidR="00B62216" w:rsidRPr="00BC54A1">
          <w:rPr>
            <w:rStyle w:val="Hyperlink"/>
          </w:rPr>
          <w:t>6. What Dumping Specification Number (DSN) do I use and what are the rates for my exporter?</w:t>
        </w:r>
        <w:r w:rsidR="00B62216">
          <w:rPr>
            <w:webHidden/>
          </w:rPr>
          <w:tab/>
        </w:r>
        <w:r w:rsidR="00B62216">
          <w:rPr>
            <w:webHidden/>
          </w:rPr>
          <w:fldChar w:fldCharType="begin"/>
        </w:r>
        <w:r w:rsidR="00B62216">
          <w:rPr>
            <w:webHidden/>
          </w:rPr>
          <w:instrText xml:space="preserve"> PAGEREF _Toc130816235 \h </w:instrText>
        </w:r>
        <w:r w:rsidR="00B62216">
          <w:rPr>
            <w:webHidden/>
          </w:rPr>
        </w:r>
        <w:r w:rsidR="00B62216">
          <w:rPr>
            <w:webHidden/>
          </w:rPr>
          <w:fldChar w:fldCharType="separate"/>
        </w:r>
        <w:r w:rsidR="00E7799B">
          <w:rPr>
            <w:webHidden/>
          </w:rPr>
          <w:t>6</w:t>
        </w:r>
        <w:r w:rsidR="00B62216">
          <w:rPr>
            <w:webHidden/>
          </w:rPr>
          <w:fldChar w:fldCharType="end"/>
        </w:r>
      </w:hyperlink>
    </w:p>
    <w:p w14:paraId="53142618" w14:textId="0A14299A" w:rsidR="00B62216" w:rsidRDefault="00906FE7">
      <w:pPr>
        <w:pStyle w:val="TOC1"/>
        <w:rPr>
          <w:rFonts w:asciiTheme="minorHAnsi" w:eastAsiaTheme="minorEastAsia" w:hAnsiTheme="minorHAnsi" w:cstheme="minorBidi"/>
          <w:i w:val="0"/>
          <w:sz w:val="22"/>
          <w:szCs w:val="22"/>
        </w:rPr>
      </w:pPr>
      <w:hyperlink w:anchor="_Toc130816236" w:history="1">
        <w:r w:rsidR="00B62216" w:rsidRPr="00BC54A1">
          <w:rPr>
            <w:rStyle w:val="Hyperlink"/>
          </w:rPr>
          <w:t>7. How do I find out the confidential rate and ascertained export price for my exporter?</w:t>
        </w:r>
        <w:r w:rsidR="00B62216">
          <w:rPr>
            <w:webHidden/>
          </w:rPr>
          <w:tab/>
        </w:r>
        <w:r w:rsidR="00B62216">
          <w:rPr>
            <w:webHidden/>
          </w:rPr>
          <w:fldChar w:fldCharType="begin"/>
        </w:r>
        <w:r w:rsidR="00B62216">
          <w:rPr>
            <w:webHidden/>
          </w:rPr>
          <w:instrText xml:space="preserve"> PAGEREF _Toc130816236 \h </w:instrText>
        </w:r>
        <w:r w:rsidR="00B62216">
          <w:rPr>
            <w:webHidden/>
          </w:rPr>
        </w:r>
        <w:r w:rsidR="00B62216">
          <w:rPr>
            <w:webHidden/>
          </w:rPr>
          <w:fldChar w:fldCharType="separate"/>
        </w:r>
        <w:r w:rsidR="00E7799B">
          <w:rPr>
            <w:webHidden/>
          </w:rPr>
          <w:t>7</w:t>
        </w:r>
        <w:r w:rsidR="00B62216">
          <w:rPr>
            <w:webHidden/>
          </w:rPr>
          <w:fldChar w:fldCharType="end"/>
        </w:r>
      </w:hyperlink>
    </w:p>
    <w:p w14:paraId="47065071" w14:textId="293862FC" w:rsidR="00B62216" w:rsidRDefault="00906FE7">
      <w:pPr>
        <w:pStyle w:val="TOC1"/>
        <w:rPr>
          <w:rFonts w:asciiTheme="minorHAnsi" w:eastAsiaTheme="minorEastAsia" w:hAnsiTheme="minorHAnsi" w:cstheme="minorBidi"/>
          <w:i w:val="0"/>
          <w:sz w:val="22"/>
          <w:szCs w:val="22"/>
        </w:rPr>
      </w:pPr>
      <w:hyperlink w:anchor="_Toc130816237" w:history="1">
        <w:r w:rsidR="00B62216" w:rsidRPr="00BC54A1">
          <w:rPr>
            <w:rStyle w:val="Hyperlink"/>
          </w:rPr>
          <w:t>8. What information is needed to complete an import declaration for goods subject to measures?</w:t>
        </w:r>
        <w:r w:rsidR="00B62216">
          <w:rPr>
            <w:webHidden/>
          </w:rPr>
          <w:tab/>
        </w:r>
        <w:r w:rsidR="00B62216">
          <w:rPr>
            <w:webHidden/>
          </w:rPr>
          <w:fldChar w:fldCharType="begin"/>
        </w:r>
        <w:r w:rsidR="00B62216">
          <w:rPr>
            <w:webHidden/>
          </w:rPr>
          <w:instrText xml:space="preserve"> PAGEREF _Toc130816237 \h </w:instrText>
        </w:r>
        <w:r w:rsidR="00B62216">
          <w:rPr>
            <w:webHidden/>
          </w:rPr>
        </w:r>
        <w:r w:rsidR="00B62216">
          <w:rPr>
            <w:webHidden/>
          </w:rPr>
          <w:fldChar w:fldCharType="separate"/>
        </w:r>
        <w:r w:rsidR="00E7799B">
          <w:rPr>
            <w:webHidden/>
          </w:rPr>
          <w:t>7</w:t>
        </w:r>
        <w:r w:rsidR="00B62216">
          <w:rPr>
            <w:webHidden/>
          </w:rPr>
          <w:fldChar w:fldCharType="end"/>
        </w:r>
      </w:hyperlink>
    </w:p>
    <w:p w14:paraId="5848E434" w14:textId="1BA2402F" w:rsidR="00B62216" w:rsidRDefault="00906FE7">
      <w:pPr>
        <w:pStyle w:val="TOC1"/>
        <w:rPr>
          <w:rFonts w:asciiTheme="minorHAnsi" w:eastAsiaTheme="minorEastAsia" w:hAnsiTheme="minorHAnsi" w:cstheme="minorBidi"/>
          <w:i w:val="0"/>
          <w:sz w:val="22"/>
          <w:szCs w:val="22"/>
        </w:rPr>
      </w:pPr>
      <w:hyperlink w:anchor="_Toc130816238" w:history="1">
        <w:r w:rsidR="00B62216" w:rsidRPr="00BC54A1">
          <w:rPr>
            <w:rStyle w:val="Hyperlink"/>
          </w:rPr>
          <w:t>9. What are the duty assessment importation and application period dates?</w:t>
        </w:r>
        <w:r w:rsidR="00B62216">
          <w:rPr>
            <w:webHidden/>
          </w:rPr>
          <w:tab/>
        </w:r>
        <w:r w:rsidR="00B62216">
          <w:rPr>
            <w:webHidden/>
          </w:rPr>
          <w:fldChar w:fldCharType="begin"/>
        </w:r>
        <w:r w:rsidR="00B62216">
          <w:rPr>
            <w:webHidden/>
          </w:rPr>
          <w:instrText xml:space="preserve"> PAGEREF _Toc130816238 \h </w:instrText>
        </w:r>
        <w:r w:rsidR="00B62216">
          <w:rPr>
            <w:webHidden/>
          </w:rPr>
        </w:r>
        <w:r w:rsidR="00B62216">
          <w:rPr>
            <w:webHidden/>
          </w:rPr>
          <w:fldChar w:fldCharType="separate"/>
        </w:r>
        <w:r w:rsidR="00E7799B">
          <w:rPr>
            <w:webHidden/>
          </w:rPr>
          <w:t>7</w:t>
        </w:r>
        <w:r w:rsidR="00B62216">
          <w:rPr>
            <w:webHidden/>
          </w:rPr>
          <w:fldChar w:fldCharType="end"/>
        </w:r>
      </w:hyperlink>
    </w:p>
    <w:p w14:paraId="7F6780F8" w14:textId="1ADB7C42" w:rsidR="00B62216" w:rsidRDefault="00906FE7">
      <w:pPr>
        <w:pStyle w:val="TOC1"/>
        <w:rPr>
          <w:rFonts w:asciiTheme="minorHAnsi" w:eastAsiaTheme="minorEastAsia" w:hAnsiTheme="minorHAnsi" w:cstheme="minorBidi"/>
          <w:i w:val="0"/>
          <w:sz w:val="22"/>
          <w:szCs w:val="22"/>
        </w:rPr>
      </w:pPr>
      <w:hyperlink w:anchor="_Toc130816239" w:history="1">
        <w:r w:rsidR="00B62216" w:rsidRPr="00BC54A1">
          <w:rPr>
            <w:rStyle w:val="Hyperlink"/>
          </w:rPr>
          <w:t>10. What are the key reports and notices linked to the measures on silicon metal?</w:t>
        </w:r>
        <w:r w:rsidR="00B62216">
          <w:rPr>
            <w:webHidden/>
          </w:rPr>
          <w:tab/>
        </w:r>
        <w:r w:rsidR="00B62216">
          <w:rPr>
            <w:webHidden/>
          </w:rPr>
          <w:fldChar w:fldCharType="begin"/>
        </w:r>
        <w:r w:rsidR="00B62216">
          <w:rPr>
            <w:webHidden/>
          </w:rPr>
          <w:instrText xml:space="preserve"> PAGEREF _Toc130816239 \h </w:instrText>
        </w:r>
        <w:r w:rsidR="00B62216">
          <w:rPr>
            <w:webHidden/>
          </w:rPr>
        </w:r>
        <w:r w:rsidR="00B62216">
          <w:rPr>
            <w:webHidden/>
          </w:rPr>
          <w:fldChar w:fldCharType="separate"/>
        </w:r>
        <w:r w:rsidR="00E7799B">
          <w:rPr>
            <w:webHidden/>
          </w:rPr>
          <w:t>8</w:t>
        </w:r>
        <w:r w:rsidR="00B62216">
          <w:rPr>
            <w:webHidden/>
          </w:rPr>
          <w:fldChar w:fldCharType="end"/>
        </w:r>
      </w:hyperlink>
    </w:p>
    <w:p w14:paraId="68BAC59C" w14:textId="40CBA161"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4C12D0E3" w14:textId="30A84FE2" w:rsidR="2802E3D8" w:rsidRDefault="2802E3D8" w:rsidP="2802E3D8">
      <w:pPr>
        <w:jc w:val="both"/>
      </w:pPr>
    </w:p>
    <w:p w14:paraId="3C0C4FF3" w14:textId="075CE665" w:rsidR="2802E3D8" w:rsidRDefault="2802E3D8" w:rsidP="2802E3D8">
      <w:pPr>
        <w:jc w:val="both"/>
      </w:pPr>
    </w:p>
    <w:p w14:paraId="5AA90341" w14:textId="1360DA31" w:rsidR="2802E3D8" w:rsidRDefault="2802E3D8" w:rsidP="2802E3D8">
      <w:pPr>
        <w:jc w:val="both"/>
      </w:pPr>
    </w:p>
    <w:p w14:paraId="10C4A3F0" w14:textId="3CCF5863" w:rsidR="2802E3D8" w:rsidRDefault="2802E3D8" w:rsidP="2802E3D8">
      <w:pPr>
        <w:jc w:val="both"/>
      </w:pPr>
    </w:p>
    <w:p w14:paraId="45C929B2" w14:textId="27C3DAD0" w:rsidR="2802E3D8" w:rsidRDefault="2802E3D8" w:rsidP="2802E3D8">
      <w:pPr>
        <w:jc w:val="both"/>
      </w:pPr>
    </w:p>
    <w:p w14:paraId="029F73C1" w14:textId="37984EFB" w:rsidR="2802E3D8" w:rsidRDefault="2802E3D8" w:rsidP="2802E3D8">
      <w:pPr>
        <w:jc w:val="both"/>
      </w:pPr>
    </w:p>
    <w:p w14:paraId="4A52D81C" w14:textId="10501AC8" w:rsidR="2802E3D8" w:rsidRDefault="2802E3D8" w:rsidP="2802E3D8">
      <w:pPr>
        <w:jc w:val="both"/>
      </w:pPr>
    </w:p>
    <w:p w14:paraId="3A6AE34D" w14:textId="4D8BF545" w:rsidR="2802E3D8" w:rsidRDefault="2802E3D8" w:rsidP="2802E3D8">
      <w:pPr>
        <w:jc w:val="both"/>
      </w:pPr>
    </w:p>
    <w:p w14:paraId="1AC7C921" w14:textId="2FB72FA5" w:rsidR="2802E3D8" w:rsidRDefault="2802E3D8" w:rsidP="2802E3D8">
      <w:pPr>
        <w:jc w:val="both"/>
      </w:pPr>
    </w:p>
    <w:p w14:paraId="3EC8DDF5" w14:textId="203406F6" w:rsidR="2802E3D8" w:rsidRDefault="2802E3D8" w:rsidP="2802E3D8">
      <w:pPr>
        <w:jc w:val="both"/>
      </w:pPr>
    </w:p>
    <w:p w14:paraId="68BAC5AF" w14:textId="77777777" w:rsidR="00C41C3A" w:rsidRPr="00C41C3A" w:rsidRDefault="00C41C3A" w:rsidP="00E4346B">
      <w:pPr>
        <w:jc w:val="both"/>
      </w:pPr>
      <w:bookmarkStart w:id="17" w:name="_Toc111821177"/>
    </w:p>
    <w:p w14:paraId="68BAC5B0" w14:textId="5DF025EE" w:rsidR="007970C2" w:rsidRPr="006F7A4C" w:rsidRDefault="00082018" w:rsidP="006F7A4C">
      <w:pPr>
        <w:pStyle w:val="Heading1"/>
        <w:spacing w:after="240"/>
        <w:rPr>
          <w:sz w:val="28"/>
          <w:szCs w:val="28"/>
        </w:rPr>
      </w:pPr>
      <w:bookmarkStart w:id="18" w:name="_Toc130816230"/>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782694E1" w:rsidR="000F70AE" w:rsidRPr="006F7A4C" w:rsidRDefault="00D32CC1" w:rsidP="006F7A4C">
      <w:pPr>
        <w:pStyle w:val="Heading1"/>
        <w:spacing w:after="240"/>
        <w:rPr>
          <w:sz w:val="28"/>
          <w:szCs w:val="28"/>
        </w:rPr>
      </w:pPr>
      <w:bookmarkStart w:id="19" w:name="_Toc130816231"/>
      <w:r w:rsidRPr="006F7A4C">
        <w:rPr>
          <w:sz w:val="28"/>
          <w:szCs w:val="28"/>
        </w:rPr>
        <w:t>2</w:t>
      </w:r>
      <w:r w:rsidR="00E54A69" w:rsidRPr="006F7A4C">
        <w:rPr>
          <w:sz w:val="28"/>
          <w:szCs w:val="28"/>
        </w:rPr>
        <w:t xml:space="preserve">. </w:t>
      </w:r>
      <w:r w:rsidR="000F70AE" w:rsidRPr="006F7A4C">
        <w:rPr>
          <w:sz w:val="28"/>
          <w:szCs w:val="28"/>
        </w:rPr>
        <w:t xml:space="preserve">What types of </w:t>
      </w:r>
      <w:r w:rsidR="00B62216">
        <w:rPr>
          <w:sz w:val="28"/>
          <w:szCs w:val="28"/>
        </w:rPr>
        <w:t>silicon metal</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09A9250A" w14:textId="462FC044" w:rsidR="00A83293" w:rsidRDefault="0054587C" w:rsidP="00A83293">
      <w:pPr>
        <w:pStyle w:val="ListParagraph"/>
        <w:numPr>
          <w:ilvl w:val="0"/>
          <w:numId w:val="14"/>
        </w:numPr>
      </w:pPr>
      <w:r w:rsidRPr="0054587C">
        <w:t>Silicon metal containing at least 96.00 per cent but less than 99.99 per cent silicon by weight, and</w:t>
      </w:r>
    </w:p>
    <w:p w14:paraId="21278418" w14:textId="46235BC5" w:rsidR="00A83293" w:rsidRDefault="0054587C">
      <w:pPr>
        <w:pStyle w:val="ListParagraph"/>
        <w:numPr>
          <w:ilvl w:val="0"/>
          <w:numId w:val="14"/>
        </w:numPr>
      </w:pPr>
      <w:r>
        <w:t>Silicon metal containing between 89.00 per cent and 96.00 per cent silicon by weight that contains aluminium greater than 0.20 per cent by weight, of all forms (i.e. lumps, granules, or powder) and sizes.</w:t>
      </w:r>
    </w:p>
    <w:p w14:paraId="18B75C8F" w14:textId="285AA344" w:rsidR="00404D24" w:rsidRDefault="00404D24" w:rsidP="00EF1380">
      <w:pPr>
        <w:tabs>
          <w:tab w:val="left" w:pos="3975"/>
        </w:tabs>
        <w:rPr>
          <w:b/>
        </w:rPr>
      </w:pPr>
    </w:p>
    <w:p w14:paraId="519F9097" w14:textId="1E725A02"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4" w:history="1">
        <w:r w:rsidRPr="0054587C">
          <w:rPr>
            <w:rStyle w:val="Hyperlink"/>
            <w:rFonts w:asciiTheme="minorHAnsi" w:hAnsiTheme="minorHAnsi"/>
            <w:sz w:val="22"/>
            <w:szCs w:val="22"/>
          </w:rPr>
          <w:t>REP</w:t>
        </w:r>
        <w:r w:rsidR="0054587C" w:rsidRPr="0054587C">
          <w:rPr>
            <w:rStyle w:val="Hyperlink"/>
            <w:rFonts w:asciiTheme="minorHAnsi" w:hAnsiTheme="minorHAnsi"/>
            <w:sz w:val="22"/>
            <w:szCs w:val="22"/>
          </w:rPr>
          <w:t xml:space="preserve"> 237</w:t>
        </w:r>
      </w:hyperlink>
      <w:r w:rsidR="0054587C">
        <w:rPr>
          <w:rFonts w:asciiTheme="minorHAnsi" w:hAnsiTheme="minorHAnsi"/>
          <w:sz w:val="22"/>
          <w:szCs w:val="22"/>
        </w:rPr>
        <w:t xml:space="preserve"> and </w:t>
      </w:r>
      <w:hyperlink r:id="rId15" w:history="1">
        <w:r w:rsidR="0054587C" w:rsidRPr="0054587C">
          <w:rPr>
            <w:rStyle w:val="Hyperlink"/>
            <w:rFonts w:asciiTheme="minorHAnsi" w:hAnsiTheme="minorHAnsi"/>
            <w:sz w:val="22"/>
            <w:szCs w:val="22"/>
          </w:rPr>
          <w:t>REP 524</w:t>
        </w:r>
      </w:hyperlink>
      <w:r w:rsidR="0049412A">
        <w:rPr>
          <w:rStyle w:val="Hyperlink"/>
          <w:rFonts w:asciiTheme="minorHAnsi" w:hAnsiTheme="minorHAnsi"/>
          <w:sz w:val="22"/>
          <w:szCs w:val="22"/>
        </w:rPr>
        <w:t>.</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2802E3D8">
      <w:pPr>
        <w:pStyle w:val="ListParagraph"/>
      </w:pPr>
      <w:r>
        <w:t>The use of exemption types is subject to monitoring by the Anti-Dumping Commission and the Australian Border Force.</w:t>
      </w:r>
    </w:p>
    <w:p w14:paraId="209DFDAE" w14:textId="09457A99" w:rsidR="2802E3D8" w:rsidRDefault="2802E3D8" w:rsidP="2802E3D8"/>
    <w:p w14:paraId="1784FBB0" w14:textId="25896FEC" w:rsidR="2802E3D8" w:rsidRDefault="2802E3D8" w:rsidP="2802E3D8"/>
    <w:p w14:paraId="68BAC5C0" w14:textId="77777777" w:rsidR="009A3781" w:rsidRPr="006F7A4C" w:rsidRDefault="00D32CC1" w:rsidP="006F7A4C">
      <w:pPr>
        <w:pStyle w:val="Heading1"/>
        <w:rPr>
          <w:sz w:val="28"/>
          <w:szCs w:val="28"/>
        </w:rPr>
      </w:pPr>
      <w:bookmarkStart w:id="20" w:name="_Toc130816232"/>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15F4BB90" w:rsidR="0049412A" w:rsidRPr="0049412A" w:rsidRDefault="0054587C" w:rsidP="0049412A">
            <w:pPr>
              <w:jc w:val="center"/>
              <w:rPr>
                <w:rFonts w:cs="Calibri"/>
                <w:color w:val="000000"/>
                <w:sz w:val="22"/>
                <w:szCs w:val="22"/>
              </w:rPr>
            </w:pPr>
            <w:r>
              <w:rPr>
                <w:rFonts w:cs="Calibri"/>
                <w:color w:val="000000"/>
                <w:sz w:val="22"/>
                <w:szCs w:val="22"/>
              </w:rPr>
              <w:t>2804.69.00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140EBE07" w:rsidR="0049412A" w:rsidRPr="0049412A" w:rsidRDefault="0054587C" w:rsidP="0049412A">
            <w:pPr>
              <w:jc w:val="center"/>
              <w:rPr>
                <w:rFonts w:cs="Calibri"/>
                <w:color w:val="000000"/>
                <w:sz w:val="22"/>
                <w:szCs w:val="22"/>
              </w:rPr>
            </w:pPr>
            <w:r>
              <w:rPr>
                <w:rFonts w:cs="Calibri"/>
                <w:color w:val="000000"/>
                <w:sz w:val="22"/>
                <w:szCs w:val="22"/>
              </w:rPr>
              <w:t>14</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lastRenderedPageBreak/>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6D8D403D" w:rsidR="00075815" w:rsidRPr="006F7A4C" w:rsidRDefault="00D32CC1" w:rsidP="006F7A4C">
      <w:pPr>
        <w:pStyle w:val="Heading1"/>
        <w:spacing w:after="240"/>
        <w:rPr>
          <w:sz w:val="28"/>
          <w:szCs w:val="28"/>
        </w:rPr>
      </w:pPr>
      <w:bookmarkStart w:id="21" w:name="_Toc130816233"/>
      <w:r w:rsidRPr="006F7A4C">
        <w:rPr>
          <w:sz w:val="28"/>
          <w:szCs w:val="28"/>
        </w:rPr>
        <w:t>4</w:t>
      </w:r>
      <w:r w:rsidR="00075815" w:rsidRPr="006F7A4C">
        <w:rPr>
          <w:sz w:val="28"/>
          <w:szCs w:val="28"/>
        </w:rPr>
        <w:t xml:space="preserve">. </w:t>
      </w:r>
      <w:bookmarkStart w:id="22" w:name="_Toc37168720"/>
      <w:r w:rsidR="00075815" w:rsidRPr="006F7A4C">
        <w:rPr>
          <w:sz w:val="28"/>
          <w:szCs w:val="28"/>
        </w:rPr>
        <w:t xml:space="preserve">How much Interim Dumping Duty </w:t>
      </w:r>
      <w:r w:rsidR="00AF5358">
        <w:rPr>
          <w:sz w:val="28"/>
          <w:szCs w:val="28"/>
        </w:rPr>
        <w:t xml:space="preserve">(IDD) and Interim Countervailing Duty </w:t>
      </w:r>
      <w:r w:rsidR="00075815" w:rsidRPr="006F7A4C">
        <w:rPr>
          <w:sz w:val="28"/>
          <w:szCs w:val="28"/>
        </w:rPr>
        <w:t>(I</w:t>
      </w:r>
      <w:r w:rsidR="00AF5358">
        <w:rPr>
          <w:sz w:val="28"/>
          <w:szCs w:val="28"/>
        </w:rPr>
        <w:t>C</w:t>
      </w:r>
      <w:r w:rsidR="00075815" w:rsidRPr="006F7A4C">
        <w:rPr>
          <w:sz w:val="28"/>
          <w:szCs w:val="28"/>
        </w:rPr>
        <w:t>D</w:t>
      </w:r>
      <w:r w:rsidR="00AF5358">
        <w:rPr>
          <w:sz w:val="28"/>
          <w:szCs w:val="28"/>
        </w:rPr>
        <w:t>)</w:t>
      </w:r>
      <w:r w:rsidR="00075815" w:rsidRPr="006F7A4C">
        <w:rPr>
          <w:sz w:val="28"/>
          <w:szCs w:val="28"/>
        </w:rPr>
        <w:t xml:space="preserve"> will an importer have to pay?</w:t>
      </w:r>
      <w:bookmarkEnd w:id="21"/>
      <w:bookmarkEnd w:id="22"/>
    </w:p>
    <w:p w14:paraId="68BAC5CC" w14:textId="63B9BA99"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sidR="00AF5358">
        <w:rPr>
          <w:rFonts w:asciiTheme="minorHAnsi" w:hAnsiTheme="minorHAnsi"/>
          <w:b/>
          <w:sz w:val="22"/>
          <w:u w:val="single"/>
        </w:rPr>
        <w:t>– all exporters</w:t>
      </w:r>
      <w:r w:rsidR="00631B3E">
        <w:rPr>
          <w:rFonts w:asciiTheme="minorHAnsi" w:hAnsiTheme="minorHAnsi"/>
          <w:b/>
          <w:sz w:val="22"/>
          <w:u w:val="single"/>
        </w:rPr>
        <w:t xml:space="preserve"> </w:t>
      </w:r>
    </w:p>
    <w:p w14:paraId="68BAC5CF" w14:textId="5EE66470" w:rsidR="00464B5A" w:rsidRDefault="00171281" w:rsidP="00171281">
      <w:pPr>
        <w:spacing w:before="120" w:after="60" w:line="264" w:lineRule="auto"/>
        <w:jc w:val="both"/>
        <w:rPr>
          <w:rFonts w:cs="Calibri"/>
          <w:color w:val="000000"/>
          <w:sz w:val="22"/>
          <w:szCs w:val="22"/>
        </w:rPr>
      </w:pPr>
      <w:r w:rsidRPr="00F62065">
        <w:rPr>
          <w:rFonts w:cs="Calibri"/>
          <w:color w:val="000000"/>
          <w:sz w:val="22"/>
          <w:szCs w:val="22"/>
        </w:rPr>
        <w:t>IDD is in the form of an ad valorem measure. The total IDD liability is calculated by multiplying the</w:t>
      </w:r>
      <w:r>
        <w:rPr>
          <w:rFonts w:cs="Calibri"/>
          <w:color w:val="000000"/>
          <w:sz w:val="22"/>
          <w:szCs w:val="22"/>
        </w:rPr>
        <w:t xml:space="preserve"> dumping export price (DXP) by </w:t>
      </w:r>
      <w:r w:rsidRPr="00F62065">
        <w:rPr>
          <w:rFonts w:cs="Calibri"/>
          <w:color w:val="000000"/>
          <w:sz w:val="22"/>
          <w:szCs w:val="22"/>
        </w:rPr>
        <w:t>the applicable IDD ad valorem duty rate</w:t>
      </w:r>
      <w:r>
        <w:rPr>
          <w:rFonts w:cs="Calibri"/>
          <w:color w:val="000000"/>
          <w:sz w:val="22"/>
          <w:szCs w:val="22"/>
        </w:rPr>
        <w:t>.</w:t>
      </w:r>
    </w:p>
    <w:p w14:paraId="376D2FD0" w14:textId="53AA5142" w:rsidR="00AF5358" w:rsidRDefault="00AF5358" w:rsidP="00AF5358">
      <w:pPr>
        <w:spacing w:before="120" w:line="264" w:lineRule="auto"/>
        <w:jc w:val="both"/>
        <w:rPr>
          <w:rFonts w:asciiTheme="minorHAnsi" w:hAnsiTheme="minorHAnsi"/>
          <w:szCs w:val="20"/>
          <w:u w:val="single"/>
        </w:rPr>
      </w:pPr>
      <w:r>
        <w:rPr>
          <w:rFonts w:asciiTheme="minorHAnsi" w:hAnsiTheme="minorHAnsi"/>
          <w:b/>
          <w:sz w:val="22"/>
          <w:u w:val="single"/>
        </w:rPr>
        <w:t>ICD</w:t>
      </w:r>
      <w:r w:rsidRPr="007E4290">
        <w:rPr>
          <w:rFonts w:asciiTheme="minorHAnsi" w:hAnsiTheme="minorHAnsi"/>
          <w:b/>
          <w:sz w:val="22"/>
          <w:u w:val="single"/>
        </w:rPr>
        <w:t xml:space="preserve"> </w:t>
      </w:r>
      <w:r>
        <w:rPr>
          <w:rFonts w:asciiTheme="minorHAnsi" w:hAnsiTheme="minorHAnsi"/>
          <w:b/>
          <w:sz w:val="22"/>
          <w:u w:val="single"/>
        </w:rPr>
        <w:t xml:space="preserve">– all exporters </w:t>
      </w:r>
    </w:p>
    <w:p w14:paraId="72D00238" w14:textId="38ED3AEB" w:rsidR="00AF5358" w:rsidRDefault="00AF5358" w:rsidP="00AF5358">
      <w:pPr>
        <w:spacing w:before="120" w:after="60" w:line="264" w:lineRule="auto"/>
        <w:jc w:val="both"/>
        <w:rPr>
          <w:rFonts w:cs="Calibri"/>
          <w:color w:val="000000"/>
          <w:sz w:val="22"/>
          <w:szCs w:val="22"/>
        </w:rPr>
      </w:pPr>
      <w:r w:rsidRPr="00AF5358">
        <w:rPr>
          <w:rFonts w:cs="Calibri"/>
          <w:color w:val="000000"/>
          <w:sz w:val="22"/>
          <w:szCs w:val="22"/>
        </w:rPr>
        <w:t>The ICD liability is calculated by multiplying the DXP by the ICD ad valorem duty rate</w:t>
      </w:r>
      <w:r>
        <w:rPr>
          <w:rFonts w:cs="Calibri"/>
          <w:color w:val="000000"/>
          <w:sz w:val="22"/>
          <w:szCs w:val="22"/>
        </w:rPr>
        <w:t>.</w:t>
      </w: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7A3D7A11" w:rsidR="00D30599" w:rsidRPr="0040742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3D2146C9" w14:textId="23671134" w:rsidR="00D55328" w:rsidRPr="006F7A4C" w:rsidRDefault="00D55328" w:rsidP="00D55328">
      <w:pPr>
        <w:pStyle w:val="Heading1"/>
        <w:spacing w:after="240"/>
        <w:rPr>
          <w:sz w:val="28"/>
          <w:szCs w:val="28"/>
        </w:rPr>
      </w:pPr>
      <w:bookmarkStart w:id="23" w:name="_Toc130816234"/>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lastRenderedPageBreak/>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816235"/>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77825047"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300F01">
              <w:rPr>
                <w:rFonts w:asciiTheme="minorHAnsi" w:hAnsiTheme="minorHAnsi"/>
                <w:b/>
                <w:sz w:val="22"/>
              </w:rPr>
              <w:t xml:space="preserve">China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300F01">
              <w:rPr>
                <w:rFonts w:asciiTheme="minorHAnsi" w:hAnsiTheme="minorHAnsi"/>
                <w:b/>
                <w:sz w:val="22"/>
              </w:rPr>
              <w:t>4 June</w:t>
            </w:r>
            <w:r w:rsidR="00F66F28">
              <w:rPr>
                <w:rFonts w:asciiTheme="minorHAnsi" w:hAnsiTheme="minorHAnsi"/>
                <w:b/>
                <w:sz w:val="22"/>
              </w:rPr>
              <w:t xml:space="preserve"> </w:t>
            </w:r>
            <w:r w:rsidR="00300544">
              <w:rPr>
                <w:rFonts w:asciiTheme="minorHAnsi" w:hAnsiTheme="minorHAnsi"/>
                <w:b/>
                <w:sz w:val="22"/>
              </w:rPr>
              <w:t>202</w:t>
            </w:r>
            <w:r w:rsidR="00300F01">
              <w:rPr>
                <w:rFonts w:asciiTheme="minorHAnsi" w:hAnsiTheme="minorHAnsi"/>
                <w:b/>
                <w:sz w:val="22"/>
              </w:rPr>
              <w:t>0</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5905"/>
              <w:gridCol w:w="1701"/>
              <w:gridCol w:w="1087"/>
              <w:gridCol w:w="1687"/>
              <w:gridCol w:w="1701"/>
              <w:gridCol w:w="2299"/>
            </w:tblGrid>
            <w:tr w:rsidR="00F66F28" w14:paraId="68BAC5E0" w14:textId="77777777" w:rsidTr="2802E3D8">
              <w:trPr>
                <w:trHeight w:val="765"/>
              </w:trPr>
              <w:tc>
                <w:tcPr>
                  <w:tcW w:w="5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9" w14:textId="031C8F55" w:rsidR="00F66F28" w:rsidRDefault="00F66F28" w:rsidP="00F66F28">
                  <w:pPr>
                    <w:rPr>
                      <w:rFonts w:cs="Calibri"/>
                      <w:b/>
                      <w:bCs/>
                      <w:color w:val="000000"/>
                      <w:szCs w:val="20"/>
                    </w:rPr>
                  </w:pPr>
                  <w:r>
                    <w:rPr>
                      <w:rFonts w:cs="Calibri"/>
                      <w:b/>
                      <w:bCs/>
                      <w:color w:val="000000"/>
                      <w:szCs w:val="20"/>
                    </w:rPr>
                    <w:t xml:space="preserve"> Exporter Name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F66F28" w:rsidRDefault="00F66F28"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F66F28" w:rsidRDefault="00F66F28" w:rsidP="00300544">
                  <w:pPr>
                    <w:jc w:val="center"/>
                    <w:rPr>
                      <w:rFonts w:cs="Calibri"/>
                      <w:b/>
                      <w:bCs/>
                      <w:color w:val="000000"/>
                      <w:szCs w:val="20"/>
                    </w:rPr>
                  </w:pPr>
                  <w:r>
                    <w:rPr>
                      <w:rFonts w:cs="Calibri"/>
                      <w:b/>
                      <w:bCs/>
                      <w:color w:val="000000"/>
                      <w:szCs w:val="20"/>
                    </w:rPr>
                    <w:t>Measure</w:t>
                  </w:r>
                </w:p>
              </w:tc>
              <w:tc>
                <w:tcPr>
                  <w:tcW w:w="16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733AAC8" w14:textId="77777777" w:rsidR="00300F01" w:rsidRPr="00300F01" w:rsidRDefault="00300F01" w:rsidP="00300F01">
                  <w:pPr>
                    <w:jc w:val="center"/>
                    <w:rPr>
                      <w:rFonts w:cs="Calibri"/>
                      <w:b/>
                      <w:bCs/>
                      <w:color w:val="000000"/>
                      <w:szCs w:val="20"/>
                    </w:rPr>
                  </w:pPr>
                  <w:r w:rsidRPr="00300F01">
                    <w:rPr>
                      <w:rFonts w:cs="Calibri"/>
                      <w:b/>
                      <w:bCs/>
                      <w:color w:val="000000"/>
                      <w:szCs w:val="20"/>
                    </w:rPr>
                    <w:t xml:space="preserve">IDD Ad </w:t>
                  </w:r>
                </w:p>
                <w:p w14:paraId="68BAC5DC" w14:textId="542B7985" w:rsidR="00F66F28" w:rsidRDefault="00300F01" w:rsidP="00300F01">
                  <w:pPr>
                    <w:jc w:val="center"/>
                    <w:rPr>
                      <w:rFonts w:cs="Calibri"/>
                      <w:b/>
                      <w:bCs/>
                      <w:color w:val="000000"/>
                      <w:szCs w:val="20"/>
                    </w:rPr>
                  </w:pPr>
                  <w:r w:rsidRPr="00300F01">
                    <w:rPr>
                      <w:rFonts w:cs="Calibri"/>
                      <w:b/>
                      <w:bCs/>
                      <w:color w:val="000000"/>
                      <w:szCs w:val="20"/>
                    </w:rPr>
                    <w:t>Valorem Rate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4AA95B8" w14:textId="2943C0CA" w:rsidR="00300F01" w:rsidRPr="00300F01" w:rsidRDefault="00300F01" w:rsidP="00300F01">
                  <w:pPr>
                    <w:jc w:val="center"/>
                    <w:rPr>
                      <w:rFonts w:cs="Calibri"/>
                      <w:b/>
                      <w:bCs/>
                      <w:color w:val="000000"/>
                      <w:szCs w:val="20"/>
                    </w:rPr>
                  </w:pPr>
                  <w:r w:rsidRPr="00300F01">
                    <w:rPr>
                      <w:rFonts w:cs="Calibri"/>
                      <w:b/>
                      <w:bCs/>
                      <w:color w:val="000000"/>
                      <w:szCs w:val="20"/>
                    </w:rPr>
                    <w:t>I</w:t>
                  </w:r>
                  <w:r>
                    <w:rPr>
                      <w:rFonts w:cs="Calibri"/>
                      <w:b/>
                      <w:bCs/>
                      <w:color w:val="000000"/>
                      <w:szCs w:val="20"/>
                    </w:rPr>
                    <w:t>C</w:t>
                  </w:r>
                  <w:r w:rsidRPr="00300F01">
                    <w:rPr>
                      <w:rFonts w:cs="Calibri"/>
                      <w:b/>
                      <w:bCs/>
                      <w:color w:val="000000"/>
                      <w:szCs w:val="20"/>
                    </w:rPr>
                    <w:t xml:space="preserve">D Ad </w:t>
                  </w:r>
                </w:p>
                <w:p w14:paraId="68BAC5DD" w14:textId="6F3E6C7D" w:rsidR="00F66F28" w:rsidRDefault="00300F01" w:rsidP="00300F01">
                  <w:pPr>
                    <w:jc w:val="center"/>
                    <w:rPr>
                      <w:rFonts w:cs="Calibri"/>
                      <w:b/>
                      <w:bCs/>
                      <w:color w:val="000000"/>
                      <w:szCs w:val="20"/>
                    </w:rPr>
                  </w:pPr>
                  <w:r w:rsidRPr="00300F01">
                    <w:rPr>
                      <w:rFonts w:cs="Calibri"/>
                      <w:b/>
                      <w:bCs/>
                      <w:color w:val="000000"/>
                      <w:szCs w:val="20"/>
                    </w:rPr>
                    <w:t>Valorem Rate</w:t>
                  </w:r>
                </w:p>
              </w:tc>
              <w:tc>
                <w:tcPr>
                  <w:tcW w:w="229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F66F28" w:rsidRDefault="00F66F28" w:rsidP="00300544">
                  <w:pPr>
                    <w:jc w:val="center"/>
                    <w:rPr>
                      <w:rFonts w:cs="Calibri"/>
                      <w:b/>
                      <w:bCs/>
                      <w:color w:val="000000"/>
                      <w:szCs w:val="20"/>
                    </w:rPr>
                  </w:pPr>
                  <w:r>
                    <w:rPr>
                      <w:rFonts w:cs="Calibri"/>
                      <w:b/>
                      <w:bCs/>
                      <w:color w:val="000000"/>
                      <w:szCs w:val="20"/>
                    </w:rPr>
                    <w:t>Export Price terms</w:t>
                  </w:r>
                </w:p>
              </w:tc>
            </w:tr>
            <w:tr w:rsidR="00F66F28" w14:paraId="46B2197F" w14:textId="77777777" w:rsidTr="2802E3D8">
              <w:trPr>
                <w:trHeight w:val="765"/>
              </w:trPr>
              <w:tc>
                <w:tcPr>
                  <w:tcW w:w="143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31BB087C" w:rsidR="00F66F28" w:rsidRPr="00F66F28" w:rsidRDefault="008112CC" w:rsidP="00F66F28">
                  <w:pPr>
                    <w:rPr>
                      <w:rFonts w:cs="Calibri"/>
                      <w:b/>
                      <w:bCs/>
                      <w:color w:val="000000"/>
                      <w:sz w:val="24"/>
                    </w:rPr>
                  </w:pPr>
                  <w:r>
                    <w:rPr>
                      <w:rFonts w:cs="Calibri"/>
                      <w:b/>
                      <w:bCs/>
                      <w:color w:val="000000"/>
                      <w:sz w:val="24"/>
                    </w:rPr>
                    <w:t xml:space="preserve">  </w:t>
                  </w:r>
                  <w:r w:rsidR="00300F01">
                    <w:rPr>
                      <w:rFonts w:cs="Calibri"/>
                      <w:b/>
                      <w:bCs/>
                      <w:color w:val="000000"/>
                      <w:sz w:val="24"/>
                    </w:rPr>
                    <w:t>CHINA</w:t>
                  </w:r>
                </w:p>
              </w:tc>
            </w:tr>
            <w:tr w:rsidR="00C77CA7" w14:paraId="0736FF45" w14:textId="77777777" w:rsidTr="2802E3D8">
              <w:trPr>
                <w:trHeight w:val="680"/>
              </w:trPr>
              <w:tc>
                <w:tcPr>
                  <w:tcW w:w="5905"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2750C4" w14:textId="3EBD03A2" w:rsidR="00C77CA7" w:rsidRPr="0051390E" w:rsidRDefault="00C77CA7" w:rsidP="00AF02EC">
                  <w:pPr>
                    <w:ind w:left="156"/>
                    <w:rPr>
                      <w:rFonts w:cs="Calibri"/>
                      <w:color w:val="000000"/>
                      <w:szCs w:val="20"/>
                    </w:rPr>
                  </w:pPr>
                  <w:r w:rsidRPr="0051390E">
                    <w:rPr>
                      <w:rFonts w:cs="Calibri"/>
                      <w:color w:val="000000"/>
                      <w:szCs w:val="20"/>
                    </w:rPr>
                    <w:t>All Other Exporters</w:t>
                  </w:r>
                </w:p>
              </w:tc>
              <w:tc>
                <w:tcPr>
                  <w:tcW w:w="1701" w:type="dxa"/>
                  <w:tcBorders>
                    <w:top w:val="nil"/>
                    <w:left w:val="nil"/>
                    <w:bottom w:val="single" w:sz="4" w:space="0" w:color="auto"/>
                    <w:right w:val="single" w:sz="4" w:space="0" w:color="auto"/>
                  </w:tcBorders>
                  <w:vAlign w:val="center"/>
                </w:tcPr>
                <w:p w14:paraId="1A524E97" w14:textId="55B15B0B" w:rsidR="00C77CA7" w:rsidRDefault="00300F01" w:rsidP="00F66F28">
                  <w:pPr>
                    <w:jc w:val="center"/>
                    <w:rPr>
                      <w:rFonts w:cs="Calibri"/>
                      <w:color w:val="000000"/>
                      <w:szCs w:val="20"/>
                    </w:rPr>
                  </w:pPr>
                  <w:r>
                    <w:rPr>
                      <w:rFonts w:cs="Calibri"/>
                      <w:color w:val="000000"/>
                      <w:szCs w:val="20"/>
                    </w:rPr>
                    <w:t>37</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60621EFE" w:rsidR="00C77CA7" w:rsidRPr="0051390E" w:rsidRDefault="00C77CA7" w:rsidP="00C77CA7">
                  <w:pPr>
                    <w:jc w:val="center"/>
                    <w:rPr>
                      <w:rFonts w:cs="Calibri"/>
                      <w:color w:val="000000"/>
                      <w:szCs w:val="20"/>
                    </w:rPr>
                  </w:pPr>
                  <w:r w:rsidRPr="0051390E">
                    <w:rPr>
                      <w:rFonts w:cs="Calibri"/>
                      <w:color w:val="000000"/>
                      <w:szCs w:val="20"/>
                    </w:rPr>
                    <w:t>IDD</w:t>
                  </w:r>
                  <w:r w:rsidR="00300F01">
                    <w:rPr>
                      <w:rFonts w:cs="Calibri"/>
                      <w:color w:val="000000"/>
                      <w:szCs w:val="20"/>
                    </w:rPr>
                    <w:t xml:space="preserve"> &amp; ICD</w:t>
                  </w:r>
                </w:p>
              </w:tc>
              <w:tc>
                <w:tcPr>
                  <w:tcW w:w="16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72138752" w:rsidR="00C77CA7" w:rsidRDefault="00300F01" w:rsidP="00C77CA7">
                  <w:pPr>
                    <w:jc w:val="center"/>
                    <w:rPr>
                      <w:rFonts w:cs="Calibri"/>
                      <w:color w:val="000000"/>
                      <w:szCs w:val="20"/>
                    </w:rPr>
                  </w:pPr>
                  <w:r>
                    <w:rPr>
                      <w:rFonts w:cs="Calibri"/>
                      <w:color w:val="000000"/>
                      <w:szCs w:val="20"/>
                    </w:rPr>
                    <w:t>20.7%</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7B442BC0" w:rsidR="00C77CA7" w:rsidRDefault="00300F01" w:rsidP="00F66F28">
                  <w:pPr>
                    <w:jc w:val="center"/>
                    <w:rPr>
                      <w:rFonts w:cs="Calibri"/>
                      <w:color w:val="000000"/>
                      <w:szCs w:val="20"/>
                    </w:rPr>
                  </w:pPr>
                  <w:r>
                    <w:rPr>
                      <w:rFonts w:cs="Calibri"/>
                      <w:color w:val="000000"/>
                      <w:szCs w:val="20"/>
                    </w:rPr>
                    <w:t>34.8</w:t>
                  </w:r>
                  <w:r w:rsidR="00C77CA7">
                    <w:rPr>
                      <w:rFonts w:cs="Calibri"/>
                      <w:color w:val="000000"/>
                      <w:szCs w:val="20"/>
                    </w:rPr>
                    <w:t>%</w:t>
                  </w:r>
                </w:p>
              </w:tc>
              <w:tc>
                <w:tcPr>
                  <w:tcW w:w="22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6A2F1CEF" w:rsidR="00C77CA7" w:rsidRPr="0051390E" w:rsidRDefault="00300F01" w:rsidP="00F66F28">
                  <w:pPr>
                    <w:jc w:val="center"/>
                    <w:rPr>
                      <w:rFonts w:cs="Calibri"/>
                      <w:color w:val="000000"/>
                      <w:szCs w:val="20"/>
                    </w:rPr>
                  </w:pPr>
                  <w:r>
                    <w:rPr>
                      <w:rFonts w:cs="Calibri"/>
                      <w:color w:val="000000"/>
                      <w:szCs w:val="20"/>
                    </w:rPr>
                    <w:t>FOB</w:t>
                  </w:r>
                  <w:r w:rsidR="00C77CA7">
                    <w:rPr>
                      <w:rFonts w:cs="Calibri"/>
                      <w:color w:val="000000"/>
                      <w:szCs w:val="20"/>
                    </w:rPr>
                    <w:t xml:space="preserve">, </w:t>
                  </w:r>
                  <w:r>
                    <w:rPr>
                      <w:rFonts w:cs="Calibri"/>
                      <w:color w:val="000000"/>
                      <w:szCs w:val="20"/>
                    </w:rPr>
                    <w:t>30 days</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77777777" w:rsidR="00F66F28" w:rsidRPr="00CB6F8B" w:rsidRDefault="00F66F28" w:rsidP="00F66F28">
            <w:pPr>
              <w:pStyle w:val="ListParagraph"/>
              <w:numPr>
                <w:ilvl w:val="0"/>
                <w:numId w:val="9"/>
              </w:numPr>
              <w:spacing w:before="0"/>
            </w:pPr>
            <w:r w:rsidRPr="00CB6F8B">
              <w:t xml:space="preserve">As </w:t>
            </w:r>
            <w:r>
              <w:t>the measure type is ad valorem</w:t>
            </w:r>
            <w:r w:rsidRPr="00CB6F8B">
              <w:t xml:space="preserve"> there are no confidential instructions.  The </w:t>
            </w:r>
            <w:r>
              <w:t xml:space="preserve">applicable </w:t>
            </w:r>
            <w:r w:rsidRPr="00CB6F8B">
              <w:t xml:space="preserve">IDD rate </w:t>
            </w:r>
            <w:r>
              <w:t>is</w:t>
            </w:r>
            <w:r w:rsidRPr="00CB6F8B">
              <w:t xml:space="preserve"> listed </w:t>
            </w:r>
            <w:r>
              <w:t xml:space="preserve">in the table </w:t>
            </w:r>
            <w:r w:rsidRPr="00CB6F8B">
              <w:t>above.</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30816236"/>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816237"/>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816238"/>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6F51CE8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190908">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028C09A4"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300F01">
        <w:rPr>
          <w:rFonts w:asciiTheme="minorHAnsi" w:hAnsiTheme="minorHAnsi"/>
          <w:b/>
          <w:sz w:val="22"/>
          <w:szCs w:val="22"/>
        </w:rPr>
        <w:t>China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CF6DD4">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300F01" w:rsidRPr="009B5BB4" w14:paraId="68BAC6B2" w14:textId="77777777" w:rsidTr="00CF6DD4">
        <w:trPr>
          <w:trHeight w:val="277"/>
          <w:jc w:val="center"/>
        </w:trPr>
        <w:tc>
          <w:tcPr>
            <w:tcW w:w="4855" w:type="dxa"/>
            <w:shd w:val="clear" w:color="auto" w:fill="auto"/>
            <w:hideMark/>
          </w:tcPr>
          <w:p w14:paraId="68BAC6B0" w14:textId="50010EE3" w:rsidR="00300F01" w:rsidRPr="0062419B" w:rsidRDefault="00300F01" w:rsidP="00300F01">
            <w:pPr>
              <w:jc w:val="center"/>
              <w:rPr>
                <w:rFonts w:cs="Calibri"/>
                <w:color w:val="000000"/>
                <w:szCs w:val="20"/>
              </w:rPr>
            </w:pPr>
            <w:r w:rsidRPr="00246406">
              <w:t>3 June 2020 – 2 December 2020</w:t>
            </w:r>
          </w:p>
        </w:tc>
        <w:tc>
          <w:tcPr>
            <w:tcW w:w="4855" w:type="dxa"/>
            <w:shd w:val="clear" w:color="auto" w:fill="auto"/>
            <w:hideMark/>
          </w:tcPr>
          <w:p w14:paraId="68BAC6B1" w14:textId="7B93369D" w:rsidR="00300F01" w:rsidRPr="0062419B" w:rsidRDefault="00300F01" w:rsidP="00300F01">
            <w:pPr>
              <w:jc w:val="center"/>
              <w:rPr>
                <w:rFonts w:cs="Calibri"/>
                <w:color w:val="000000"/>
                <w:szCs w:val="20"/>
              </w:rPr>
            </w:pPr>
            <w:r w:rsidRPr="00246406">
              <w:t>3 December 2020 – 2 June 2021</w:t>
            </w:r>
          </w:p>
        </w:tc>
      </w:tr>
      <w:tr w:rsidR="00300F01" w:rsidRPr="009B5BB4" w14:paraId="68BAC6B5" w14:textId="77777777" w:rsidTr="00CF6DD4">
        <w:trPr>
          <w:trHeight w:val="277"/>
          <w:jc w:val="center"/>
        </w:trPr>
        <w:tc>
          <w:tcPr>
            <w:tcW w:w="4855" w:type="dxa"/>
            <w:shd w:val="clear" w:color="auto" w:fill="auto"/>
            <w:hideMark/>
          </w:tcPr>
          <w:p w14:paraId="68BAC6B3" w14:textId="64063940" w:rsidR="00300F01" w:rsidRPr="0062419B" w:rsidRDefault="00300F01" w:rsidP="00300F01">
            <w:pPr>
              <w:jc w:val="center"/>
              <w:rPr>
                <w:rFonts w:cs="Calibri"/>
                <w:color w:val="000000"/>
                <w:szCs w:val="20"/>
              </w:rPr>
            </w:pPr>
            <w:r w:rsidRPr="00246406">
              <w:t>3 December 2020 – 2 June 2021</w:t>
            </w:r>
          </w:p>
        </w:tc>
        <w:tc>
          <w:tcPr>
            <w:tcW w:w="4855" w:type="dxa"/>
            <w:shd w:val="clear" w:color="auto" w:fill="auto"/>
            <w:hideMark/>
          </w:tcPr>
          <w:p w14:paraId="68BAC6B4" w14:textId="73088314" w:rsidR="00300F01" w:rsidRPr="0062419B" w:rsidRDefault="00300F01" w:rsidP="00300F01">
            <w:pPr>
              <w:jc w:val="center"/>
              <w:rPr>
                <w:rFonts w:cs="Calibri"/>
                <w:color w:val="000000"/>
                <w:szCs w:val="20"/>
              </w:rPr>
            </w:pPr>
            <w:r w:rsidRPr="00246406">
              <w:t>3 June 2021 – 2 December 2021</w:t>
            </w:r>
          </w:p>
        </w:tc>
      </w:tr>
      <w:tr w:rsidR="00300F01" w:rsidRPr="009B5BB4" w14:paraId="68BAC6B8" w14:textId="77777777" w:rsidTr="00CF6DD4">
        <w:trPr>
          <w:trHeight w:val="277"/>
          <w:jc w:val="center"/>
        </w:trPr>
        <w:tc>
          <w:tcPr>
            <w:tcW w:w="4855" w:type="dxa"/>
            <w:shd w:val="clear" w:color="auto" w:fill="auto"/>
            <w:hideMark/>
          </w:tcPr>
          <w:p w14:paraId="68BAC6B6" w14:textId="2725ABA8" w:rsidR="00300F01" w:rsidRPr="0062419B" w:rsidRDefault="00300F01" w:rsidP="00300F01">
            <w:pPr>
              <w:jc w:val="center"/>
              <w:rPr>
                <w:rFonts w:cs="Calibri"/>
                <w:color w:val="000000"/>
                <w:szCs w:val="20"/>
              </w:rPr>
            </w:pPr>
            <w:r w:rsidRPr="00246406">
              <w:t>3 June 2021 – 2 December 2021</w:t>
            </w:r>
          </w:p>
        </w:tc>
        <w:tc>
          <w:tcPr>
            <w:tcW w:w="4855" w:type="dxa"/>
            <w:shd w:val="clear" w:color="auto" w:fill="auto"/>
            <w:hideMark/>
          </w:tcPr>
          <w:p w14:paraId="68BAC6B7" w14:textId="39BDFB56" w:rsidR="00300F01" w:rsidRPr="0062419B" w:rsidRDefault="00300F01" w:rsidP="00300F01">
            <w:pPr>
              <w:jc w:val="center"/>
              <w:rPr>
                <w:rFonts w:cs="Calibri"/>
                <w:color w:val="000000"/>
                <w:szCs w:val="20"/>
              </w:rPr>
            </w:pPr>
            <w:r w:rsidRPr="00246406">
              <w:t>3 December 2021 – 2 June 2022</w:t>
            </w:r>
          </w:p>
        </w:tc>
      </w:tr>
      <w:tr w:rsidR="00300F01" w:rsidRPr="009B5BB4" w14:paraId="68BAC6BB" w14:textId="77777777" w:rsidTr="00CF6DD4">
        <w:trPr>
          <w:trHeight w:val="277"/>
          <w:jc w:val="center"/>
        </w:trPr>
        <w:tc>
          <w:tcPr>
            <w:tcW w:w="4855" w:type="dxa"/>
            <w:shd w:val="clear" w:color="auto" w:fill="auto"/>
            <w:hideMark/>
          </w:tcPr>
          <w:p w14:paraId="68BAC6B9" w14:textId="226C7940" w:rsidR="00300F01" w:rsidRPr="0062419B" w:rsidRDefault="00300F01" w:rsidP="00300F01">
            <w:pPr>
              <w:jc w:val="center"/>
              <w:rPr>
                <w:rFonts w:cs="Calibri"/>
                <w:color w:val="000000"/>
                <w:szCs w:val="20"/>
              </w:rPr>
            </w:pPr>
            <w:r w:rsidRPr="00246406">
              <w:t>3 December 2021 – 2 June 2022</w:t>
            </w:r>
          </w:p>
        </w:tc>
        <w:tc>
          <w:tcPr>
            <w:tcW w:w="4855" w:type="dxa"/>
            <w:shd w:val="clear" w:color="auto" w:fill="auto"/>
            <w:hideMark/>
          </w:tcPr>
          <w:p w14:paraId="68BAC6BA" w14:textId="2A15D6AF" w:rsidR="00300F01" w:rsidRPr="0062419B" w:rsidRDefault="00300F01" w:rsidP="00300F01">
            <w:pPr>
              <w:jc w:val="center"/>
              <w:rPr>
                <w:rFonts w:cs="Calibri"/>
                <w:color w:val="000000"/>
                <w:szCs w:val="20"/>
              </w:rPr>
            </w:pPr>
            <w:r w:rsidRPr="00246406">
              <w:t>3 June 2022 – 2 December 2022</w:t>
            </w:r>
          </w:p>
        </w:tc>
      </w:tr>
      <w:tr w:rsidR="00300F01" w:rsidRPr="009B5BB4" w14:paraId="68BAC6BE" w14:textId="77777777" w:rsidTr="00CF6DD4">
        <w:trPr>
          <w:trHeight w:val="277"/>
          <w:jc w:val="center"/>
        </w:trPr>
        <w:tc>
          <w:tcPr>
            <w:tcW w:w="4855" w:type="dxa"/>
            <w:shd w:val="clear" w:color="auto" w:fill="auto"/>
            <w:hideMark/>
          </w:tcPr>
          <w:p w14:paraId="68BAC6BC" w14:textId="186EEAC1" w:rsidR="00300F01" w:rsidRPr="0062419B" w:rsidRDefault="00300F01" w:rsidP="00300F01">
            <w:pPr>
              <w:jc w:val="center"/>
              <w:rPr>
                <w:rFonts w:cs="Calibri"/>
                <w:color w:val="000000"/>
                <w:szCs w:val="20"/>
              </w:rPr>
            </w:pPr>
            <w:r w:rsidRPr="00246406">
              <w:t>3 June 2022 – 2 December 2022</w:t>
            </w:r>
          </w:p>
        </w:tc>
        <w:tc>
          <w:tcPr>
            <w:tcW w:w="4855" w:type="dxa"/>
            <w:shd w:val="clear" w:color="auto" w:fill="auto"/>
            <w:hideMark/>
          </w:tcPr>
          <w:p w14:paraId="68BAC6BD" w14:textId="4E57F3AA" w:rsidR="00300F01" w:rsidRPr="0062419B" w:rsidRDefault="00300F01" w:rsidP="00300F01">
            <w:pPr>
              <w:jc w:val="center"/>
              <w:rPr>
                <w:rFonts w:cs="Calibri"/>
                <w:color w:val="000000"/>
                <w:szCs w:val="20"/>
              </w:rPr>
            </w:pPr>
            <w:r w:rsidRPr="00246406">
              <w:t>3 December 2022 – 2 June 2023</w:t>
            </w:r>
          </w:p>
        </w:tc>
      </w:tr>
      <w:tr w:rsidR="00300F01" w:rsidRPr="009B5BB4" w14:paraId="68BAC6C1" w14:textId="77777777" w:rsidTr="00CF6DD4">
        <w:trPr>
          <w:trHeight w:val="277"/>
          <w:jc w:val="center"/>
        </w:trPr>
        <w:tc>
          <w:tcPr>
            <w:tcW w:w="4855" w:type="dxa"/>
            <w:shd w:val="clear" w:color="auto" w:fill="auto"/>
            <w:hideMark/>
          </w:tcPr>
          <w:p w14:paraId="68BAC6BF" w14:textId="694F14CD" w:rsidR="00300F01" w:rsidRPr="0062419B" w:rsidRDefault="00300F01" w:rsidP="00300F01">
            <w:pPr>
              <w:jc w:val="center"/>
              <w:rPr>
                <w:rFonts w:cs="Calibri"/>
                <w:color w:val="000000"/>
                <w:szCs w:val="20"/>
              </w:rPr>
            </w:pPr>
            <w:r w:rsidRPr="00246406">
              <w:t>3 December 2022 – 2 June 2023</w:t>
            </w:r>
          </w:p>
        </w:tc>
        <w:tc>
          <w:tcPr>
            <w:tcW w:w="4855" w:type="dxa"/>
            <w:shd w:val="clear" w:color="auto" w:fill="auto"/>
            <w:hideMark/>
          </w:tcPr>
          <w:p w14:paraId="68BAC6C0" w14:textId="707EB532" w:rsidR="00300F01" w:rsidRPr="0062419B" w:rsidRDefault="00300F01" w:rsidP="00300F01">
            <w:pPr>
              <w:jc w:val="center"/>
              <w:rPr>
                <w:rFonts w:cs="Calibri"/>
                <w:color w:val="000000"/>
                <w:szCs w:val="20"/>
              </w:rPr>
            </w:pPr>
            <w:r w:rsidRPr="00246406">
              <w:t>3 June 2023 – 2 December 2023</w:t>
            </w:r>
          </w:p>
        </w:tc>
      </w:tr>
      <w:tr w:rsidR="00300F01" w:rsidRPr="009B5BB4" w14:paraId="68BAC6C4" w14:textId="77777777" w:rsidTr="00CF6DD4">
        <w:trPr>
          <w:trHeight w:val="277"/>
          <w:jc w:val="center"/>
        </w:trPr>
        <w:tc>
          <w:tcPr>
            <w:tcW w:w="4855" w:type="dxa"/>
            <w:shd w:val="clear" w:color="auto" w:fill="auto"/>
            <w:hideMark/>
          </w:tcPr>
          <w:p w14:paraId="68BAC6C2" w14:textId="6321F024" w:rsidR="00300F01" w:rsidRPr="0062419B" w:rsidRDefault="00300F01" w:rsidP="00300F01">
            <w:pPr>
              <w:jc w:val="center"/>
              <w:rPr>
                <w:rFonts w:cs="Calibri"/>
                <w:color w:val="000000"/>
                <w:szCs w:val="20"/>
              </w:rPr>
            </w:pPr>
            <w:r w:rsidRPr="00246406">
              <w:t>3 June 2023 – 2 December 2023</w:t>
            </w:r>
          </w:p>
        </w:tc>
        <w:tc>
          <w:tcPr>
            <w:tcW w:w="4855" w:type="dxa"/>
            <w:shd w:val="clear" w:color="auto" w:fill="auto"/>
            <w:hideMark/>
          </w:tcPr>
          <w:p w14:paraId="68BAC6C3" w14:textId="1A7817EF" w:rsidR="00300F01" w:rsidRPr="0062419B" w:rsidRDefault="00300F01" w:rsidP="00300F01">
            <w:pPr>
              <w:jc w:val="center"/>
              <w:rPr>
                <w:rFonts w:cs="Calibri"/>
                <w:color w:val="000000"/>
                <w:szCs w:val="20"/>
              </w:rPr>
            </w:pPr>
            <w:r w:rsidRPr="00246406">
              <w:t>3 December 2023 – 2 June 2024</w:t>
            </w:r>
          </w:p>
        </w:tc>
      </w:tr>
      <w:tr w:rsidR="00300F01" w:rsidRPr="009B5BB4" w14:paraId="68BAC6C7" w14:textId="77777777" w:rsidTr="00CF6DD4">
        <w:trPr>
          <w:trHeight w:val="277"/>
          <w:jc w:val="center"/>
        </w:trPr>
        <w:tc>
          <w:tcPr>
            <w:tcW w:w="4855" w:type="dxa"/>
            <w:shd w:val="clear" w:color="auto" w:fill="auto"/>
            <w:hideMark/>
          </w:tcPr>
          <w:p w14:paraId="68BAC6C5" w14:textId="4A0B3958" w:rsidR="00300F01" w:rsidRPr="0062419B" w:rsidRDefault="00300F01" w:rsidP="00300F01">
            <w:pPr>
              <w:jc w:val="center"/>
              <w:rPr>
                <w:rFonts w:cs="Calibri"/>
                <w:color w:val="000000"/>
                <w:szCs w:val="20"/>
              </w:rPr>
            </w:pPr>
            <w:r w:rsidRPr="00246406">
              <w:t>3 December 2023 – 2 June 2024</w:t>
            </w:r>
          </w:p>
        </w:tc>
        <w:tc>
          <w:tcPr>
            <w:tcW w:w="4855" w:type="dxa"/>
            <w:shd w:val="clear" w:color="auto" w:fill="auto"/>
            <w:hideMark/>
          </w:tcPr>
          <w:p w14:paraId="68BAC6C6" w14:textId="4177986B" w:rsidR="00300F01" w:rsidRPr="0062419B" w:rsidRDefault="00300F01" w:rsidP="00300F01">
            <w:pPr>
              <w:jc w:val="center"/>
              <w:rPr>
                <w:rFonts w:cs="Calibri"/>
                <w:color w:val="000000"/>
                <w:szCs w:val="20"/>
              </w:rPr>
            </w:pPr>
            <w:r w:rsidRPr="00246406">
              <w:t>3 June 2024 – 2 December 2024</w:t>
            </w:r>
          </w:p>
        </w:tc>
      </w:tr>
      <w:tr w:rsidR="00300F01" w:rsidRPr="009B5BB4" w14:paraId="68BAC6CA" w14:textId="77777777" w:rsidTr="00CF6DD4">
        <w:trPr>
          <w:trHeight w:val="277"/>
          <w:jc w:val="center"/>
        </w:trPr>
        <w:tc>
          <w:tcPr>
            <w:tcW w:w="4855" w:type="dxa"/>
            <w:shd w:val="clear" w:color="auto" w:fill="auto"/>
            <w:hideMark/>
          </w:tcPr>
          <w:p w14:paraId="68BAC6C8" w14:textId="578FF274" w:rsidR="00300F01" w:rsidRPr="0062419B" w:rsidRDefault="00300F01" w:rsidP="00300F01">
            <w:pPr>
              <w:jc w:val="center"/>
              <w:rPr>
                <w:rFonts w:cs="Calibri"/>
                <w:color w:val="000000"/>
                <w:szCs w:val="20"/>
              </w:rPr>
            </w:pPr>
            <w:r w:rsidRPr="00246406">
              <w:t>3 June 2024 – 2 December 2024</w:t>
            </w:r>
          </w:p>
        </w:tc>
        <w:tc>
          <w:tcPr>
            <w:tcW w:w="4855" w:type="dxa"/>
            <w:shd w:val="clear" w:color="auto" w:fill="auto"/>
            <w:hideMark/>
          </w:tcPr>
          <w:p w14:paraId="68BAC6C9" w14:textId="06AFF393" w:rsidR="00300F01" w:rsidRPr="0062419B" w:rsidRDefault="00300F01" w:rsidP="00300F01">
            <w:pPr>
              <w:jc w:val="center"/>
              <w:rPr>
                <w:rFonts w:cs="Calibri"/>
                <w:color w:val="000000"/>
                <w:szCs w:val="20"/>
              </w:rPr>
            </w:pPr>
            <w:r w:rsidRPr="00246406">
              <w:t>3 December 2024 – 2 June 2025</w:t>
            </w:r>
          </w:p>
        </w:tc>
      </w:tr>
      <w:tr w:rsidR="00300F01" w:rsidRPr="009B5BB4" w14:paraId="68BAC6CD" w14:textId="77777777" w:rsidTr="00CF6DD4">
        <w:trPr>
          <w:trHeight w:val="277"/>
          <w:jc w:val="center"/>
        </w:trPr>
        <w:tc>
          <w:tcPr>
            <w:tcW w:w="4855" w:type="dxa"/>
            <w:shd w:val="clear" w:color="auto" w:fill="auto"/>
            <w:hideMark/>
          </w:tcPr>
          <w:p w14:paraId="68BAC6CB" w14:textId="10B5D4C5" w:rsidR="00300F01" w:rsidRPr="0062419B" w:rsidRDefault="00300F01" w:rsidP="00300F01">
            <w:pPr>
              <w:jc w:val="center"/>
              <w:rPr>
                <w:rFonts w:cs="Calibri"/>
                <w:color w:val="000000"/>
                <w:szCs w:val="20"/>
              </w:rPr>
            </w:pPr>
            <w:r w:rsidRPr="00246406">
              <w:t>3 December 2024 – 2 June 2025</w:t>
            </w:r>
          </w:p>
        </w:tc>
        <w:tc>
          <w:tcPr>
            <w:tcW w:w="4855" w:type="dxa"/>
            <w:shd w:val="clear" w:color="auto" w:fill="auto"/>
            <w:hideMark/>
          </w:tcPr>
          <w:p w14:paraId="68BAC6CC" w14:textId="45A1467D" w:rsidR="00300F01" w:rsidRPr="0062419B" w:rsidRDefault="00300F01" w:rsidP="00300F01">
            <w:pPr>
              <w:jc w:val="center"/>
              <w:rPr>
                <w:rFonts w:cs="Calibri"/>
                <w:color w:val="000000"/>
                <w:szCs w:val="20"/>
              </w:rPr>
            </w:pPr>
            <w:r w:rsidRPr="00246406">
              <w:t>3 June 2025 – 2 December 2025</w:t>
            </w:r>
          </w:p>
        </w:tc>
      </w:tr>
    </w:tbl>
    <w:p w14:paraId="68BAC6CE" w14:textId="40873439" w:rsidR="003F2C42" w:rsidRDefault="0090082D" w:rsidP="00CF6DD4">
      <w:pPr>
        <w:spacing w:before="60" w:line="264" w:lineRule="auto"/>
        <w:jc w:val="center"/>
        <w:rPr>
          <w:rFonts w:asciiTheme="minorHAnsi" w:hAnsiTheme="minorHAnsi"/>
          <w:sz w:val="22"/>
          <w:szCs w:val="22"/>
        </w:rPr>
      </w:pPr>
      <w:r>
        <w:t xml:space="preserve">*Applications must be received by the commission as per </w:t>
      </w:r>
      <w:hyperlink r:id="rId20" w:history="1">
        <w:r>
          <w:rPr>
            <w:rStyle w:val="Hyperlink"/>
          </w:rPr>
          <w:t>Anti-Dumping Notice 2024/075</w:t>
        </w:r>
      </w:hyperlink>
      <w:r>
        <w:t>.</w:t>
      </w:r>
    </w:p>
    <w:p w14:paraId="0237D067" w14:textId="630C76A4" w:rsidR="009F749A" w:rsidRDefault="009F749A"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20399ED6" w:rsidR="009A007D" w:rsidRPr="0062419B" w:rsidRDefault="000B3B0F" w:rsidP="0062419B">
      <w:pPr>
        <w:pStyle w:val="Heading1"/>
        <w:rPr>
          <w:sz w:val="28"/>
          <w:szCs w:val="28"/>
        </w:rPr>
      </w:pPr>
      <w:bookmarkStart w:id="30" w:name="_Toc130816239"/>
      <w:r w:rsidRPr="0062419B">
        <w:rPr>
          <w:sz w:val="28"/>
          <w:szCs w:val="28"/>
        </w:rPr>
        <w:t>1</w:t>
      </w:r>
      <w:r w:rsidR="00D55328" w:rsidRPr="0062419B">
        <w:rPr>
          <w:sz w:val="28"/>
          <w:szCs w:val="28"/>
        </w:rPr>
        <w:t>0</w:t>
      </w:r>
      <w:r w:rsidRPr="0062419B">
        <w:rPr>
          <w:sz w:val="28"/>
          <w:szCs w:val="28"/>
        </w:rPr>
        <w:t xml:space="preserve">. </w:t>
      </w:r>
      <w:r w:rsidR="00C865A4" w:rsidRPr="004F321E">
        <w:rPr>
          <w:sz w:val="28"/>
          <w:szCs w:val="28"/>
        </w:rPr>
        <w:t xml:space="preserve">DCR changes including links to key reports and notices for measures on </w:t>
      </w:r>
      <w:r w:rsidR="00C865A4">
        <w:rPr>
          <w:sz w:val="28"/>
          <w:szCs w:val="28"/>
        </w:rPr>
        <w:t xml:space="preserve">     </w:t>
      </w:r>
      <w:r w:rsidR="00176D31" w:rsidRPr="0062419B">
        <w:rPr>
          <w:sz w:val="28"/>
          <w:szCs w:val="28"/>
        </w:rPr>
        <w:t xml:space="preserve"> </w:t>
      </w:r>
      <w:r w:rsidR="002F4C25">
        <w:rPr>
          <w:sz w:val="28"/>
          <w:szCs w:val="28"/>
        </w:rPr>
        <w:t>S</w:t>
      </w:r>
      <w:r w:rsidR="00B62216">
        <w:rPr>
          <w:sz w:val="28"/>
          <w:szCs w:val="28"/>
        </w:rPr>
        <w:t xml:space="preserve">ilicon </w:t>
      </w:r>
      <w:r w:rsidR="002F4C25">
        <w:rPr>
          <w:sz w:val="28"/>
          <w:szCs w:val="28"/>
        </w:rPr>
        <w:t>M</w:t>
      </w:r>
      <w:r w:rsidR="00B62216">
        <w:rPr>
          <w:sz w:val="28"/>
          <w:szCs w:val="28"/>
        </w:rPr>
        <w:t>etal</w:t>
      </w:r>
      <w:r w:rsidR="00176D31" w:rsidRPr="0062419B">
        <w:rPr>
          <w:sz w:val="28"/>
          <w:szCs w:val="28"/>
        </w:rPr>
        <w:t>?</w:t>
      </w:r>
      <w:bookmarkEnd w:id="30"/>
    </w:p>
    <w:p w14:paraId="68BAC779" w14:textId="70E67F06"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304"/>
        <w:gridCol w:w="5495"/>
        <w:gridCol w:w="2102"/>
        <w:gridCol w:w="1159"/>
      </w:tblGrid>
      <w:tr w:rsidR="00300F01" w14:paraId="6E8E23A6" w14:textId="77777777" w:rsidTr="00300F01">
        <w:trPr>
          <w:trHeight w:val="283"/>
        </w:trPr>
        <w:tc>
          <w:tcPr>
            <w:tcW w:w="1304" w:type="dxa"/>
            <w:shd w:val="clear" w:color="auto" w:fill="F2F2F2" w:themeFill="background1" w:themeFillShade="F2"/>
          </w:tcPr>
          <w:p w14:paraId="0CC4777F" w14:textId="77777777" w:rsidR="00300F01" w:rsidRDefault="00300F01">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495" w:type="dxa"/>
            <w:shd w:val="clear" w:color="auto" w:fill="F2F2F2" w:themeFill="background1" w:themeFillShade="F2"/>
          </w:tcPr>
          <w:p w14:paraId="6828F63C" w14:textId="77777777" w:rsidR="00300F01" w:rsidRDefault="00300F01">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02" w:type="dxa"/>
            <w:shd w:val="clear" w:color="auto" w:fill="F2F2F2" w:themeFill="background1" w:themeFillShade="F2"/>
          </w:tcPr>
          <w:p w14:paraId="067B575C" w14:textId="77777777" w:rsidR="00300F01" w:rsidRDefault="00300F01">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59" w:type="dxa"/>
            <w:shd w:val="clear" w:color="auto" w:fill="F2F2F2" w:themeFill="background1" w:themeFillShade="F2"/>
          </w:tcPr>
          <w:p w14:paraId="44D305B1" w14:textId="77777777" w:rsidR="00300F01" w:rsidRDefault="00300F01">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300F01" w14:paraId="4C453865" w14:textId="77777777" w:rsidTr="00300F01">
        <w:trPr>
          <w:trHeight w:val="429"/>
        </w:trPr>
        <w:tc>
          <w:tcPr>
            <w:tcW w:w="1304" w:type="dxa"/>
          </w:tcPr>
          <w:p w14:paraId="5DFA9B07" w14:textId="77777777" w:rsidR="00300F01" w:rsidRPr="00C043FA" w:rsidRDefault="00300F01">
            <w:pPr>
              <w:autoSpaceDE w:val="0"/>
              <w:autoSpaceDN w:val="0"/>
              <w:adjustRightInd w:val="0"/>
              <w:spacing w:line="264" w:lineRule="auto"/>
              <w:rPr>
                <w:rFonts w:cs="Calibri,Bold"/>
                <w:bCs/>
                <w:color w:val="000000"/>
                <w:szCs w:val="20"/>
              </w:rPr>
            </w:pPr>
            <w:r>
              <w:rPr>
                <w:rFonts w:cs="Calibri,Bold"/>
                <w:bCs/>
                <w:color w:val="000000"/>
                <w:szCs w:val="20"/>
              </w:rPr>
              <w:t>3 Jun 2015</w:t>
            </w:r>
          </w:p>
        </w:tc>
        <w:tc>
          <w:tcPr>
            <w:tcW w:w="5495" w:type="dxa"/>
          </w:tcPr>
          <w:p w14:paraId="721A41F8" w14:textId="77777777" w:rsidR="00300F01" w:rsidRPr="00C043FA" w:rsidRDefault="00300F01">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China</w:t>
            </w:r>
          </w:p>
        </w:tc>
        <w:tc>
          <w:tcPr>
            <w:tcW w:w="2102" w:type="dxa"/>
          </w:tcPr>
          <w:p w14:paraId="7461AC8B" w14:textId="77777777" w:rsidR="00300F01" w:rsidRPr="008A56B2" w:rsidRDefault="00300F01">
            <w:pPr>
              <w:autoSpaceDE w:val="0"/>
              <w:autoSpaceDN w:val="0"/>
              <w:adjustRightInd w:val="0"/>
              <w:spacing w:line="264" w:lineRule="auto"/>
              <w:rPr>
                <w:rFonts w:asciiTheme="minorHAnsi" w:hAnsiTheme="minorHAnsi"/>
                <w:szCs w:val="20"/>
              </w:rPr>
            </w:pPr>
            <w:r w:rsidRPr="00B87E58">
              <w:rPr>
                <w:rFonts w:asciiTheme="minorHAnsi" w:hAnsiTheme="minorHAnsi"/>
                <w:szCs w:val="20"/>
              </w:rPr>
              <w:t xml:space="preserve">Final Report </w:t>
            </w:r>
            <w:hyperlink r:id="rId22" w:history="1">
              <w:r w:rsidRPr="00656D6B">
                <w:rPr>
                  <w:rStyle w:val="Hyperlink"/>
                  <w:rFonts w:asciiTheme="minorHAnsi" w:hAnsiTheme="minorHAnsi"/>
                  <w:szCs w:val="20"/>
                </w:rPr>
                <w:t xml:space="preserve">REP </w:t>
              </w:r>
              <w:r>
                <w:rPr>
                  <w:rStyle w:val="Hyperlink"/>
                  <w:rFonts w:asciiTheme="minorHAnsi" w:hAnsiTheme="minorHAnsi"/>
                  <w:szCs w:val="20"/>
                </w:rPr>
                <w:t>237</w:t>
              </w:r>
            </w:hyperlink>
          </w:p>
        </w:tc>
        <w:tc>
          <w:tcPr>
            <w:tcW w:w="1159" w:type="dxa"/>
          </w:tcPr>
          <w:p w14:paraId="62254E99" w14:textId="0FED3E18" w:rsidR="00300F01" w:rsidRDefault="00906FE7">
            <w:pPr>
              <w:autoSpaceDE w:val="0"/>
              <w:autoSpaceDN w:val="0"/>
              <w:adjustRightInd w:val="0"/>
              <w:spacing w:line="264" w:lineRule="auto"/>
              <w:rPr>
                <w:rStyle w:val="Hyperlink"/>
                <w:rFonts w:asciiTheme="minorHAnsi" w:hAnsiTheme="minorHAnsi"/>
                <w:szCs w:val="20"/>
              </w:rPr>
            </w:pPr>
            <w:hyperlink r:id="rId23" w:history="1">
              <w:r w:rsidR="00300F01" w:rsidRPr="00656D6B">
                <w:rPr>
                  <w:rStyle w:val="Hyperlink"/>
                  <w:rFonts w:asciiTheme="minorHAnsi" w:hAnsiTheme="minorHAnsi"/>
                  <w:szCs w:val="20"/>
                </w:rPr>
                <w:t>20</w:t>
              </w:r>
              <w:r w:rsidR="00300F01">
                <w:rPr>
                  <w:rStyle w:val="Hyperlink"/>
                  <w:rFonts w:asciiTheme="minorHAnsi" w:hAnsiTheme="minorHAnsi"/>
                  <w:szCs w:val="20"/>
                </w:rPr>
                <w:t>15</w:t>
              </w:r>
              <w:r w:rsidR="00300F01" w:rsidRPr="00656D6B">
                <w:rPr>
                  <w:rStyle w:val="Hyperlink"/>
                  <w:rFonts w:asciiTheme="minorHAnsi" w:hAnsiTheme="minorHAnsi"/>
                  <w:szCs w:val="20"/>
                </w:rPr>
                <w:t>/</w:t>
              </w:r>
              <w:r w:rsidR="00300F01">
                <w:rPr>
                  <w:rStyle w:val="Hyperlink"/>
                  <w:rFonts w:asciiTheme="minorHAnsi" w:hAnsiTheme="minorHAnsi"/>
                  <w:szCs w:val="20"/>
                </w:rPr>
                <w:t>7</w:t>
              </w:r>
              <w:r w:rsidR="00300F01" w:rsidRPr="00656D6B">
                <w:rPr>
                  <w:rStyle w:val="Hyperlink"/>
                  <w:rFonts w:asciiTheme="minorHAnsi" w:hAnsiTheme="minorHAnsi"/>
                  <w:szCs w:val="20"/>
                </w:rPr>
                <w:t>1</w:t>
              </w:r>
            </w:hyperlink>
          </w:p>
        </w:tc>
      </w:tr>
      <w:tr w:rsidR="00300F01" w14:paraId="7629984E" w14:textId="77777777" w:rsidTr="00300F01">
        <w:trPr>
          <w:trHeight w:val="422"/>
        </w:trPr>
        <w:tc>
          <w:tcPr>
            <w:tcW w:w="1304" w:type="dxa"/>
          </w:tcPr>
          <w:p w14:paraId="16915B5A" w14:textId="77777777" w:rsidR="00300F01" w:rsidRDefault="00300F01">
            <w:pPr>
              <w:autoSpaceDE w:val="0"/>
              <w:autoSpaceDN w:val="0"/>
              <w:adjustRightInd w:val="0"/>
              <w:spacing w:line="264" w:lineRule="auto"/>
              <w:rPr>
                <w:rFonts w:cs="Calibri,Bold"/>
                <w:bCs/>
                <w:color w:val="000000"/>
                <w:szCs w:val="20"/>
              </w:rPr>
            </w:pPr>
            <w:r>
              <w:rPr>
                <w:rFonts w:cs="Calibri,Bold"/>
                <w:bCs/>
                <w:color w:val="000000"/>
                <w:szCs w:val="20"/>
              </w:rPr>
              <w:t>12 May</w:t>
            </w:r>
            <w:r w:rsidRPr="00C043FA">
              <w:rPr>
                <w:rFonts w:cs="Calibri,Bold"/>
                <w:bCs/>
                <w:color w:val="000000"/>
                <w:szCs w:val="20"/>
              </w:rPr>
              <w:t xml:space="preserve"> 20</w:t>
            </w:r>
            <w:r>
              <w:rPr>
                <w:rFonts w:cs="Calibri,Bold"/>
                <w:bCs/>
                <w:color w:val="000000"/>
                <w:szCs w:val="20"/>
              </w:rPr>
              <w:t>20</w:t>
            </w:r>
          </w:p>
        </w:tc>
        <w:tc>
          <w:tcPr>
            <w:tcW w:w="5495" w:type="dxa"/>
          </w:tcPr>
          <w:p w14:paraId="616A4B4F" w14:textId="77777777" w:rsidR="00300F01" w:rsidRPr="00C043FA" w:rsidRDefault="00300F01">
            <w:pPr>
              <w:autoSpaceDE w:val="0"/>
              <w:autoSpaceDN w:val="0"/>
              <w:adjustRightInd w:val="0"/>
              <w:spacing w:line="264" w:lineRule="auto"/>
              <w:rPr>
                <w:rFonts w:cs="Calibri,Bold"/>
                <w:bCs/>
                <w:color w:val="000000"/>
                <w:szCs w:val="20"/>
              </w:rPr>
            </w:pPr>
            <w:r>
              <w:rPr>
                <w:rFonts w:cs="Calibri,Bold"/>
                <w:bCs/>
                <w:color w:val="000000"/>
                <w:szCs w:val="20"/>
              </w:rPr>
              <w:t xml:space="preserve">Continuation of </w:t>
            </w:r>
            <w:r w:rsidRPr="00C043FA">
              <w:rPr>
                <w:rFonts w:cs="Calibri,Bold"/>
                <w:bCs/>
                <w:color w:val="000000"/>
                <w:szCs w:val="20"/>
              </w:rPr>
              <w:t>Measur</w:t>
            </w:r>
            <w:r>
              <w:rPr>
                <w:rFonts w:cs="Calibri,Bold"/>
                <w:bCs/>
                <w:color w:val="000000"/>
                <w:szCs w:val="20"/>
              </w:rPr>
              <w:t>es on China</w:t>
            </w:r>
          </w:p>
        </w:tc>
        <w:tc>
          <w:tcPr>
            <w:tcW w:w="2102" w:type="dxa"/>
          </w:tcPr>
          <w:p w14:paraId="45D7F7B5" w14:textId="77777777" w:rsidR="00300F01" w:rsidRPr="00B87E58" w:rsidRDefault="00300F01">
            <w:pPr>
              <w:autoSpaceDE w:val="0"/>
              <w:autoSpaceDN w:val="0"/>
              <w:adjustRightInd w:val="0"/>
              <w:spacing w:line="264" w:lineRule="auto"/>
              <w:rPr>
                <w:rFonts w:asciiTheme="minorHAnsi" w:hAnsiTheme="minorHAnsi"/>
                <w:szCs w:val="20"/>
              </w:rPr>
            </w:pPr>
            <w:r w:rsidRPr="00B87E58">
              <w:rPr>
                <w:rFonts w:asciiTheme="minorHAnsi" w:hAnsiTheme="minorHAnsi"/>
                <w:szCs w:val="20"/>
              </w:rPr>
              <w:t xml:space="preserve">Final Report </w:t>
            </w:r>
            <w:hyperlink r:id="rId24" w:history="1">
              <w:r w:rsidRPr="00920CA5">
                <w:rPr>
                  <w:rStyle w:val="Hyperlink"/>
                  <w:rFonts w:asciiTheme="minorHAnsi" w:hAnsiTheme="minorHAnsi"/>
                  <w:szCs w:val="20"/>
                </w:rPr>
                <w:t>REP 5</w:t>
              </w:r>
              <w:r>
                <w:rPr>
                  <w:rStyle w:val="Hyperlink"/>
                  <w:rFonts w:asciiTheme="minorHAnsi" w:hAnsiTheme="minorHAnsi"/>
                  <w:szCs w:val="20"/>
                </w:rPr>
                <w:t>2</w:t>
              </w:r>
              <w:r w:rsidRPr="00920CA5">
                <w:rPr>
                  <w:rStyle w:val="Hyperlink"/>
                  <w:rFonts w:asciiTheme="minorHAnsi" w:hAnsiTheme="minorHAnsi"/>
                  <w:szCs w:val="20"/>
                </w:rPr>
                <w:t>4</w:t>
              </w:r>
            </w:hyperlink>
          </w:p>
        </w:tc>
        <w:tc>
          <w:tcPr>
            <w:tcW w:w="1159" w:type="dxa"/>
          </w:tcPr>
          <w:p w14:paraId="0946A4B6" w14:textId="77777777" w:rsidR="00300F01" w:rsidRDefault="00906FE7">
            <w:pPr>
              <w:autoSpaceDE w:val="0"/>
              <w:autoSpaceDN w:val="0"/>
              <w:adjustRightInd w:val="0"/>
              <w:spacing w:line="264" w:lineRule="auto"/>
              <w:rPr>
                <w:rStyle w:val="Hyperlink"/>
                <w:rFonts w:asciiTheme="minorHAnsi" w:hAnsiTheme="minorHAnsi"/>
                <w:szCs w:val="20"/>
              </w:rPr>
            </w:pPr>
            <w:hyperlink r:id="rId25" w:history="1">
              <w:r w:rsidR="00300F01" w:rsidRPr="00656D6B">
                <w:rPr>
                  <w:rStyle w:val="Hyperlink"/>
                  <w:rFonts w:asciiTheme="minorHAnsi" w:hAnsiTheme="minorHAnsi"/>
                  <w:szCs w:val="20"/>
                </w:rPr>
                <w:t>20</w:t>
              </w:r>
              <w:r w:rsidR="00300F01">
                <w:rPr>
                  <w:rStyle w:val="Hyperlink"/>
                  <w:rFonts w:asciiTheme="minorHAnsi" w:hAnsiTheme="minorHAnsi"/>
                  <w:szCs w:val="20"/>
                </w:rPr>
                <w:t>20</w:t>
              </w:r>
              <w:r w:rsidR="00300F01" w:rsidRPr="00656D6B">
                <w:rPr>
                  <w:rStyle w:val="Hyperlink"/>
                  <w:rFonts w:asciiTheme="minorHAnsi" w:hAnsiTheme="minorHAnsi"/>
                  <w:szCs w:val="20"/>
                </w:rPr>
                <w:t>/</w:t>
              </w:r>
              <w:r w:rsidR="00300F01">
                <w:rPr>
                  <w:rStyle w:val="Hyperlink"/>
                  <w:rFonts w:asciiTheme="minorHAnsi" w:hAnsiTheme="minorHAnsi"/>
                  <w:szCs w:val="20"/>
                </w:rPr>
                <w:t>036</w:t>
              </w:r>
            </w:hyperlink>
          </w:p>
        </w:tc>
      </w:tr>
    </w:tbl>
    <w:p w14:paraId="01E11DC8" w14:textId="77777777" w:rsidR="008112CC" w:rsidRDefault="008112CC" w:rsidP="008112CC">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0E1A" w14:textId="77777777" w:rsidR="00B76388" w:rsidRDefault="00B76388">
      <w:r>
        <w:separator/>
      </w:r>
    </w:p>
  </w:endnote>
  <w:endnote w:type="continuationSeparator" w:id="0">
    <w:p w14:paraId="158151B2" w14:textId="77777777" w:rsidR="00B76388" w:rsidRDefault="00B76388">
      <w:r>
        <w:continuationSeparator/>
      </w:r>
    </w:p>
  </w:endnote>
  <w:endnote w:type="continuationNotice" w:id="1">
    <w:p w14:paraId="1C1242F3" w14:textId="77777777" w:rsidR="00B76388" w:rsidRDefault="00B76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C52F" w14:textId="77777777" w:rsidR="00B76388" w:rsidRDefault="00B76388">
      <w:r>
        <w:separator/>
      </w:r>
    </w:p>
  </w:footnote>
  <w:footnote w:type="continuationSeparator" w:id="0">
    <w:p w14:paraId="0E76CF74" w14:textId="77777777" w:rsidR="00B76388" w:rsidRDefault="00B76388">
      <w:r>
        <w:continuationSeparator/>
      </w:r>
    </w:p>
  </w:footnote>
  <w:footnote w:type="continuationNotice" w:id="1">
    <w:p w14:paraId="6DEFD6B7" w14:textId="77777777" w:rsidR="00B76388" w:rsidRDefault="00B76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6D5977">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82845708">
    <w:abstractNumId w:val="1"/>
  </w:num>
  <w:num w:numId="2" w16cid:durableId="1214317019">
    <w:abstractNumId w:val="14"/>
  </w:num>
  <w:num w:numId="3" w16cid:durableId="1905096913">
    <w:abstractNumId w:val="6"/>
  </w:num>
  <w:num w:numId="4" w16cid:durableId="1943954697">
    <w:abstractNumId w:val="12"/>
  </w:num>
  <w:num w:numId="5" w16cid:durableId="941645886">
    <w:abstractNumId w:val="16"/>
  </w:num>
  <w:num w:numId="6" w16cid:durableId="1255359003">
    <w:abstractNumId w:val="7"/>
  </w:num>
  <w:num w:numId="7" w16cid:durableId="1610237357">
    <w:abstractNumId w:val="2"/>
  </w:num>
  <w:num w:numId="8" w16cid:durableId="831026548">
    <w:abstractNumId w:val="3"/>
  </w:num>
  <w:num w:numId="9" w16cid:durableId="504900723">
    <w:abstractNumId w:val="11"/>
  </w:num>
  <w:num w:numId="10" w16cid:durableId="1478642118">
    <w:abstractNumId w:val="2"/>
    <w:lvlOverride w:ilvl="0">
      <w:startOverride w:val="1"/>
    </w:lvlOverride>
  </w:num>
  <w:num w:numId="11" w16cid:durableId="1376471240">
    <w:abstractNumId w:val="15"/>
  </w:num>
  <w:num w:numId="12" w16cid:durableId="1943612460">
    <w:abstractNumId w:val="8"/>
  </w:num>
  <w:num w:numId="13" w16cid:durableId="1592472924">
    <w:abstractNumId w:val="0"/>
  </w:num>
  <w:num w:numId="14" w16cid:durableId="1590696835">
    <w:abstractNumId w:val="4"/>
  </w:num>
  <w:num w:numId="15" w16cid:durableId="890118574">
    <w:abstractNumId w:val="10"/>
  </w:num>
  <w:num w:numId="16" w16cid:durableId="1116406026">
    <w:abstractNumId w:val="17"/>
  </w:num>
  <w:num w:numId="17" w16cid:durableId="117648017">
    <w:abstractNumId w:val="18"/>
  </w:num>
  <w:num w:numId="18" w16cid:durableId="1987584610">
    <w:abstractNumId w:val="9"/>
  </w:num>
  <w:num w:numId="19" w16cid:durableId="1801075437">
    <w:abstractNumId w:val="5"/>
  </w:num>
  <w:num w:numId="20" w16cid:durableId="53130890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378"/>
    <w:rsid w:val="00010C8D"/>
    <w:rsid w:val="00010C9F"/>
    <w:rsid w:val="00013004"/>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2018"/>
    <w:rsid w:val="000829E7"/>
    <w:rsid w:val="0008325C"/>
    <w:rsid w:val="00083614"/>
    <w:rsid w:val="00083AE9"/>
    <w:rsid w:val="00083E46"/>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B0EAE"/>
    <w:rsid w:val="000B138A"/>
    <w:rsid w:val="000B1585"/>
    <w:rsid w:val="000B1C06"/>
    <w:rsid w:val="000B234D"/>
    <w:rsid w:val="000B3B0F"/>
    <w:rsid w:val="000B5F20"/>
    <w:rsid w:val="000B745B"/>
    <w:rsid w:val="000C0E0F"/>
    <w:rsid w:val="000C2394"/>
    <w:rsid w:val="000C41C3"/>
    <w:rsid w:val="000C57EC"/>
    <w:rsid w:val="000D105F"/>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0908"/>
    <w:rsid w:val="0019386B"/>
    <w:rsid w:val="001952E2"/>
    <w:rsid w:val="00196CB7"/>
    <w:rsid w:val="001A0873"/>
    <w:rsid w:val="001A32C6"/>
    <w:rsid w:val="001A473C"/>
    <w:rsid w:val="001A4CA5"/>
    <w:rsid w:val="001A69B2"/>
    <w:rsid w:val="001A6D1C"/>
    <w:rsid w:val="001B0777"/>
    <w:rsid w:val="001B16BB"/>
    <w:rsid w:val="001B3ABE"/>
    <w:rsid w:val="001B40FB"/>
    <w:rsid w:val="001B5AB3"/>
    <w:rsid w:val="001B7B3D"/>
    <w:rsid w:val="001B7FDC"/>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27540"/>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4011"/>
    <w:rsid w:val="002D5CD6"/>
    <w:rsid w:val="002D710C"/>
    <w:rsid w:val="002D7E2A"/>
    <w:rsid w:val="002E290B"/>
    <w:rsid w:val="002E4966"/>
    <w:rsid w:val="002E52BE"/>
    <w:rsid w:val="002E5E5D"/>
    <w:rsid w:val="002E749C"/>
    <w:rsid w:val="002E7CC8"/>
    <w:rsid w:val="002F12F0"/>
    <w:rsid w:val="002F1652"/>
    <w:rsid w:val="002F4319"/>
    <w:rsid w:val="002F49C4"/>
    <w:rsid w:val="002F4C25"/>
    <w:rsid w:val="002F6580"/>
    <w:rsid w:val="00300544"/>
    <w:rsid w:val="00300F01"/>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27310"/>
    <w:rsid w:val="00331ED0"/>
    <w:rsid w:val="00333E35"/>
    <w:rsid w:val="003341AE"/>
    <w:rsid w:val="00335C76"/>
    <w:rsid w:val="00336B77"/>
    <w:rsid w:val="0033752A"/>
    <w:rsid w:val="003413AB"/>
    <w:rsid w:val="003442D4"/>
    <w:rsid w:val="00345AEC"/>
    <w:rsid w:val="003475E8"/>
    <w:rsid w:val="00350068"/>
    <w:rsid w:val="0035446A"/>
    <w:rsid w:val="00356D37"/>
    <w:rsid w:val="003575AA"/>
    <w:rsid w:val="003578F1"/>
    <w:rsid w:val="0036337C"/>
    <w:rsid w:val="0036361F"/>
    <w:rsid w:val="00363BFA"/>
    <w:rsid w:val="00365590"/>
    <w:rsid w:val="0037057B"/>
    <w:rsid w:val="00373840"/>
    <w:rsid w:val="003748E3"/>
    <w:rsid w:val="00374A0D"/>
    <w:rsid w:val="00375147"/>
    <w:rsid w:val="0037569B"/>
    <w:rsid w:val="00381A5F"/>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18B4"/>
    <w:rsid w:val="00427342"/>
    <w:rsid w:val="004274F0"/>
    <w:rsid w:val="00427561"/>
    <w:rsid w:val="00430945"/>
    <w:rsid w:val="00431CCB"/>
    <w:rsid w:val="00433056"/>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EA2"/>
    <w:rsid w:val="004C4CBC"/>
    <w:rsid w:val="004C5F11"/>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587C"/>
    <w:rsid w:val="005458EF"/>
    <w:rsid w:val="00545B6C"/>
    <w:rsid w:val="00545E2F"/>
    <w:rsid w:val="00547E49"/>
    <w:rsid w:val="00550BA1"/>
    <w:rsid w:val="00552A7D"/>
    <w:rsid w:val="005542E7"/>
    <w:rsid w:val="00557370"/>
    <w:rsid w:val="005579E0"/>
    <w:rsid w:val="005605D5"/>
    <w:rsid w:val="0056269E"/>
    <w:rsid w:val="00563394"/>
    <w:rsid w:val="00564FA0"/>
    <w:rsid w:val="0056715B"/>
    <w:rsid w:val="00570DE1"/>
    <w:rsid w:val="00571937"/>
    <w:rsid w:val="00571D05"/>
    <w:rsid w:val="00571E09"/>
    <w:rsid w:val="00573098"/>
    <w:rsid w:val="00573BD7"/>
    <w:rsid w:val="005744B1"/>
    <w:rsid w:val="005770D1"/>
    <w:rsid w:val="00581D69"/>
    <w:rsid w:val="00582429"/>
    <w:rsid w:val="00582B92"/>
    <w:rsid w:val="005847FC"/>
    <w:rsid w:val="00590034"/>
    <w:rsid w:val="0059602A"/>
    <w:rsid w:val="00596AD4"/>
    <w:rsid w:val="005A2E82"/>
    <w:rsid w:val="005A43E1"/>
    <w:rsid w:val="005A5046"/>
    <w:rsid w:val="005A6364"/>
    <w:rsid w:val="005A78EE"/>
    <w:rsid w:val="005A7BE2"/>
    <w:rsid w:val="005B2CA7"/>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42958"/>
    <w:rsid w:val="00643125"/>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7EF"/>
    <w:rsid w:val="006D5977"/>
    <w:rsid w:val="006D598D"/>
    <w:rsid w:val="006E2408"/>
    <w:rsid w:val="006E31CF"/>
    <w:rsid w:val="006E3463"/>
    <w:rsid w:val="006E4730"/>
    <w:rsid w:val="006E4C8C"/>
    <w:rsid w:val="006E5DE4"/>
    <w:rsid w:val="006E6E89"/>
    <w:rsid w:val="006F0248"/>
    <w:rsid w:val="006F087E"/>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0E14"/>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6E55"/>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6802"/>
    <w:rsid w:val="008479D7"/>
    <w:rsid w:val="00852538"/>
    <w:rsid w:val="008560B2"/>
    <w:rsid w:val="00864883"/>
    <w:rsid w:val="00866702"/>
    <w:rsid w:val="00867320"/>
    <w:rsid w:val="00873565"/>
    <w:rsid w:val="00874801"/>
    <w:rsid w:val="00875B98"/>
    <w:rsid w:val="008760BF"/>
    <w:rsid w:val="00877ACB"/>
    <w:rsid w:val="00883DFC"/>
    <w:rsid w:val="008864B8"/>
    <w:rsid w:val="0089035E"/>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082D"/>
    <w:rsid w:val="009014DB"/>
    <w:rsid w:val="00902077"/>
    <w:rsid w:val="009031DA"/>
    <w:rsid w:val="00903CBD"/>
    <w:rsid w:val="00906403"/>
    <w:rsid w:val="009066B8"/>
    <w:rsid w:val="009074DB"/>
    <w:rsid w:val="00910DEC"/>
    <w:rsid w:val="00911CBE"/>
    <w:rsid w:val="00911D46"/>
    <w:rsid w:val="00912402"/>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27D9"/>
    <w:rsid w:val="00935064"/>
    <w:rsid w:val="00935285"/>
    <w:rsid w:val="009366AF"/>
    <w:rsid w:val="00940272"/>
    <w:rsid w:val="00942483"/>
    <w:rsid w:val="00943EDC"/>
    <w:rsid w:val="009446D7"/>
    <w:rsid w:val="009530EF"/>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015B"/>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D5AAC"/>
    <w:rsid w:val="009E0358"/>
    <w:rsid w:val="009E0D0E"/>
    <w:rsid w:val="009E485B"/>
    <w:rsid w:val="009E6C55"/>
    <w:rsid w:val="009E7E3E"/>
    <w:rsid w:val="009F0D68"/>
    <w:rsid w:val="009F15A4"/>
    <w:rsid w:val="009F193D"/>
    <w:rsid w:val="009F2ED6"/>
    <w:rsid w:val="009F3048"/>
    <w:rsid w:val="009F36A2"/>
    <w:rsid w:val="009F3B08"/>
    <w:rsid w:val="009F749A"/>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1AE5"/>
    <w:rsid w:val="00A428F3"/>
    <w:rsid w:val="00A440AE"/>
    <w:rsid w:val="00A44182"/>
    <w:rsid w:val="00A46820"/>
    <w:rsid w:val="00A47575"/>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1743"/>
    <w:rsid w:val="00A96982"/>
    <w:rsid w:val="00A970D8"/>
    <w:rsid w:val="00AA1813"/>
    <w:rsid w:val="00AA3224"/>
    <w:rsid w:val="00AA3764"/>
    <w:rsid w:val="00AA3ABA"/>
    <w:rsid w:val="00AA3DF6"/>
    <w:rsid w:val="00AB17CB"/>
    <w:rsid w:val="00AB3B3B"/>
    <w:rsid w:val="00AB4D7A"/>
    <w:rsid w:val="00AB53B3"/>
    <w:rsid w:val="00AB671E"/>
    <w:rsid w:val="00AB7490"/>
    <w:rsid w:val="00AB74C1"/>
    <w:rsid w:val="00AC4195"/>
    <w:rsid w:val="00AC478F"/>
    <w:rsid w:val="00AC67CA"/>
    <w:rsid w:val="00AC70AA"/>
    <w:rsid w:val="00AC7804"/>
    <w:rsid w:val="00AC7DA7"/>
    <w:rsid w:val="00AC7FDE"/>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5358"/>
    <w:rsid w:val="00AF7F25"/>
    <w:rsid w:val="00B00FF8"/>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216"/>
    <w:rsid w:val="00B623E5"/>
    <w:rsid w:val="00B66367"/>
    <w:rsid w:val="00B66E08"/>
    <w:rsid w:val="00B70823"/>
    <w:rsid w:val="00B70E86"/>
    <w:rsid w:val="00B72452"/>
    <w:rsid w:val="00B73BE7"/>
    <w:rsid w:val="00B746EF"/>
    <w:rsid w:val="00B747A3"/>
    <w:rsid w:val="00B75301"/>
    <w:rsid w:val="00B76388"/>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2B48"/>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65A4"/>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4A0E"/>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D7E6D"/>
    <w:rsid w:val="00CE1870"/>
    <w:rsid w:val="00CE22BA"/>
    <w:rsid w:val="00CE3AF9"/>
    <w:rsid w:val="00CE5153"/>
    <w:rsid w:val="00CE59D8"/>
    <w:rsid w:val="00CE5FAD"/>
    <w:rsid w:val="00CE6157"/>
    <w:rsid w:val="00CE655C"/>
    <w:rsid w:val="00CF2166"/>
    <w:rsid w:val="00CF2414"/>
    <w:rsid w:val="00CF3A76"/>
    <w:rsid w:val="00CF3B7E"/>
    <w:rsid w:val="00CF6514"/>
    <w:rsid w:val="00CF664C"/>
    <w:rsid w:val="00CF6DD4"/>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27592"/>
    <w:rsid w:val="00D30599"/>
    <w:rsid w:val="00D31FC1"/>
    <w:rsid w:val="00D32CC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5C81"/>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8B4"/>
    <w:rsid w:val="00DE3B46"/>
    <w:rsid w:val="00DE47F5"/>
    <w:rsid w:val="00DF1D35"/>
    <w:rsid w:val="00DF26AC"/>
    <w:rsid w:val="00DF26D5"/>
    <w:rsid w:val="00DF2829"/>
    <w:rsid w:val="00DF4DFC"/>
    <w:rsid w:val="00E02AC6"/>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2E23"/>
    <w:rsid w:val="00E54A69"/>
    <w:rsid w:val="00E55B7B"/>
    <w:rsid w:val="00E57508"/>
    <w:rsid w:val="00E60E91"/>
    <w:rsid w:val="00E62C8D"/>
    <w:rsid w:val="00E637E0"/>
    <w:rsid w:val="00E64609"/>
    <w:rsid w:val="00E65621"/>
    <w:rsid w:val="00E671D8"/>
    <w:rsid w:val="00E6738D"/>
    <w:rsid w:val="00E72664"/>
    <w:rsid w:val="00E74692"/>
    <w:rsid w:val="00E75BF3"/>
    <w:rsid w:val="00E7799B"/>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2A84"/>
    <w:rsid w:val="00EF3D82"/>
    <w:rsid w:val="00EF4067"/>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5F66"/>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6555"/>
    <w:rsid w:val="00FD7589"/>
    <w:rsid w:val="00FE459E"/>
    <w:rsid w:val="00FE4AFC"/>
    <w:rsid w:val="00FE68EF"/>
    <w:rsid w:val="00FE6A80"/>
    <w:rsid w:val="00FE6C83"/>
    <w:rsid w:val="00FE6F66"/>
    <w:rsid w:val="00FF350C"/>
    <w:rsid w:val="00FF3C6B"/>
    <w:rsid w:val="00FF4158"/>
    <w:rsid w:val="2802E3D8"/>
    <w:rsid w:val="3F10457F"/>
    <w:rsid w:val="43C2803E"/>
    <w:rsid w:val="493E8B2C"/>
    <w:rsid w:val="4D3C7F1B"/>
    <w:rsid w:val="5B124053"/>
    <w:rsid w:val="635660B1"/>
    <w:rsid w:val="705FF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D8BA0760-E021-40A0-A8BA-F3A1E918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B6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regulations-and-standards/anti-dumping-and-countervailing-system/importers-and-exporters-in-the-anti-dumping-system"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524_-_10_-_notice_adn_-_2020-036_-_findings_in_relation_to_a_continuation_inquiry.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524_-_10_-_notice_adn_-_2020-036_-_findings_in_relation_to_a_continuation_inquiry.pdf" TargetMode="Externa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524_-_09_-_report_-_final_report_-_rep_524.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524_-_09_-_report_-_final_report_-_rep_524.pdf" TargetMode="External"/><Relationship Id="rId23" Type="http://schemas.openxmlformats.org/officeDocument/2006/relationships/hyperlink" Target="https://www.industry.gov.au/sites/default/files/adc/public-record/043-adn-201571_-_findings_in_relation_to_a_dumping_and_subsidisation_investigation.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044-final_report_-_other_-final_report_237.pdf" TargetMode="External"/><Relationship Id="rId22" Type="http://schemas.openxmlformats.org/officeDocument/2006/relationships/hyperlink" Target="https://www.industry.gov.au/sites/default/files/adc/public-record/044-final_report_-_other_-final_report_23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4238B-670A-4C7A-B9F9-AB8E5A132889}">
  <ds:schemaRefs>
    <ds:schemaRef ds:uri="http://purl.org/dc/dcmitype/"/>
    <ds:schemaRef ds:uri="http://schemas.microsoft.com/sharepoint/v3"/>
    <ds:schemaRef ds:uri="772b126d-104a-4cd6-9891-7ab7df372f6e"/>
    <ds:schemaRef ds:uri="http://schemas.openxmlformats.org/package/2006/metadata/core-properties"/>
    <ds:schemaRef ds:uri="http://purl.org/dc/terms/"/>
    <ds:schemaRef ds:uri="http://schemas.microsoft.com/office/2006/documentManagement/types"/>
    <ds:schemaRef ds:uri="http://schemas.microsoft.com/office/2006/metadata/properties"/>
    <ds:schemaRef ds:uri="741b5a84-ad2a-4cba-b1bf-e95f1273240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3.xml><?xml version="1.0" encoding="utf-8"?>
<ds:datastoreItem xmlns:ds="http://schemas.openxmlformats.org/officeDocument/2006/customXml" ds:itemID="{EAC732F9-5848-4D11-8271-A2C6C7AF7E41}">
  <ds:schemaRefs>
    <ds:schemaRef ds:uri="http://schemas.openxmlformats.org/officeDocument/2006/bibliography"/>
  </ds:schemaRefs>
</ds:datastoreItem>
</file>

<file path=customXml/itemProps4.xml><?xml version="1.0" encoding="utf-8"?>
<ds:datastoreItem xmlns:ds="http://schemas.openxmlformats.org/officeDocument/2006/customXml" ds:itemID="{9097E825-6519-4A9B-8180-F05066C4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11450</Characters>
  <Application>Microsoft Office Word</Application>
  <DocSecurity>0</DocSecurity>
  <Lines>95</Lines>
  <Paragraphs>26</Paragraphs>
  <ScaleCrop>false</ScaleCrop>
  <Company>Australian Customs Service</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Metal</dc:title>
  <dc:subject/>
  <dc:creator>C8rjc</dc:creator>
  <cp:keywords/>
  <cp:lastModifiedBy>Watkins, Simon</cp:lastModifiedBy>
  <cp:revision>2</cp:revision>
  <cp:lastPrinted>2024-10-29T22:40:00Z</cp:lastPrinted>
  <dcterms:created xsi:type="dcterms:W3CDTF">2025-04-30T06:41:00Z</dcterms:created>
  <dcterms:modified xsi:type="dcterms:W3CDTF">2025-04-30T06:41:00Z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893;#Silicon metal|e1909612-08fc-44e5-901a-1821c8e81506</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4ae28d2f-ea29-43d4-b2d1-6e0707fb2f41</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