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12917B93" w:rsidR="004D054E" w:rsidRDefault="00AF0114" w:rsidP="00596AD4">
      <w:pPr>
        <w:jc w:val="center"/>
        <w:rPr>
          <w:rFonts w:cs="Calibri"/>
          <w:b/>
          <w:bCs/>
          <w:sz w:val="24"/>
        </w:rPr>
      </w:pPr>
      <w:r>
        <w:rPr>
          <w:rFonts w:cs="Calibri"/>
          <w:b/>
          <w:bCs/>
          <w:sz w:val="44"/>
          <w:szCs w:val="44"/>
        </w:rPr>
        <w:t>P</w:t>
      </w:r>
      <w:r w:rsidR="00227540">
        <w:rPr>
          <w:rFonts w:cs="Calibri"/>
          <w:b/>
          <w:bCs/>
          <w:sz w:val="44"/>
          <w:szCs w:val="44"/>
        </w:rPr>
        <w:t>recision Pipe and Tube Steel</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60"/>
        <w:gridCol w:w="1242"/>
        <w:gridCol w:w="2142"/>
        <w:gridCol w:w="2183"/>
        <w:gridCol w:w="1983"/>
      </w:tblGrid>
      <w:tr w:rsidR="009709AA" w:rsidRPr="009709AA" w14:paraId="68BAC54D" w14:textId="77777777" w:rsidTr="6D7D34B8">
        <w:trPr>
          <w:trHeight w:val="797"/>
        </w:trPr>
        <w:tc>
          <w:tcPr>
            <w:tcW w:w="1860"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242"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142"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183"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1983"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227540" w:rsidRPr="009709AA" w14:paraId="68BAC584" w14:textId="77777777" w:rsidTr="6D7D34B8">
        <w:trPr>
          <w:trHeight w:val="478"/>
        </w:trPr>
        <w:tc>
          <w:tcPr>
            <w:tcW w:w="1860" w:type="dxa"/>
            <w:shd w:val="clear" w:color="auto" w:fill="auto"/>
            <w:vAlign w:val="center"/>
          </w:tcPr>
          <w:p w14:paraId="68BAC57F" w14:textId="2801A2DA" w:rsidR="00227540" w:rsidRPr="00110351" w:rsidRDefault="00227540" w:rsidP="00EF4067">
            <w:pPr>
              <w:rPr>
                <w:rFonts w:cs="Calibri"/>
                <w:b/>
                <w:bCs/>
                <w:color w:val="000000"/>
                <w:sz w:val="22"/>
                <w:szCs w:val="22"/>
              </w:rPr>
            </w:pPr>
            <w:r>
              <w:rPr>
                <w:rFonts w:cs="Calibri"/>
                <w:b/>
                <w:bCs/>
                <w:color w:val="000000"/>
                <w:sz w:val="22"/>
                <w:szCs w:val="22"/>
              </w:rPr>
              <w:t>CHINA</w:t>
            </w:r>
          </w:p>
        </w:tc>
        <w:tc>
          <w:tcPr>
            <w:tcW w:w="1242" w:type="dxa"/>
            <w:shd w:val="clear" w:color="auto" w:fill="auto"/>
            <w:noWrap/>
            <w:vAlign w:val="center"/>
          </w:tcPr>
          <w:p w14:paraId="68BAC580" w14:textId="46695B70" w:rsidR="00227540" w:rsidRPr="00110351" w:rsidRDefault="00227540" w:rsidP="00596AD4">
            <w:pPr>
              <w:rPr>
                <w:rFonts w:cs="Calibri"/>
                <w:b/>
                <w:bCs/>
                <w:color w:val="000000"/>
                <w:sz w:val="22"/>
                <w:szCs w:val="22"/>
              </w:rPr>
            </w:pPr>
            <w:r>
              <w:rPr>
                <w:rFonts w:cs="Calibri"/>
                <w:b/>
                <w:bCs/>
                <w:color w:val="000000"/>
                <w:sz w:val="22"/>
                <w:szCs w:val="22"/>
              </w:rPr>
              <w:t>IDD &amp; ICD</w:t>
            </w:r>
          </w:p>
        </w:tc>
        <w:tc>
          <w:tcPr>
            <w:tcW w:w="2142" w:type="dxa"/>
            <w:shd w:val="clear" w:color="auto" w:fill="auto"/>
            <w:vAlign w:val="center"/>
          </w:tcPr>
          <w:p w14:paraId="68BAC581" w14:textId="100B9A3A" w:rsidR="00227540" w:rsidRPr="00110351" w:rsidRDefault="00227540" w:rsidP="00227540">
            <w:pPr>
              <w:rPr>
                <w:rFonts w:cs="Calibri"/>
                <w:color w:val="000000"/>
                <w:sz w:val="22"/>
                <w:szCs w:val="22"/>
              </w:rPr>
            </w:pPr>
            <w:r w:rsidRPr="6D7D34B8">
              <w:rPr>
                <w:rFonts w:cs="Calibri"/>
                <w:color w:val="000000" w:themeColor="text1"/>
                <w:sz w:val="22"/>
                <w:szCs w:val="22"/>
              </w:rPr>
              <w:t>2</w:t>
            </w:r>
            <w:r w:rsidR="4937E1E5" w:rsidRPr="6D7D34B8">
              <w:rPr>
                <w:rFonts w:cs="Calibri"/>
                <w:color w:val="000000" w:themeColor="text1"/>
                <w:sz w:val="22"/>
                <w:szCs w:val="22"/>
              </w:rPr>
              <w:t>8</w:t>
            </w:r>
            <w:r w:rsidRPr="6D7D34B8">
              <w:rPr>
                <w:rFonts w:cs="Calibri"/>
                <w:color w:val="000000" w:themeColor="text1"/>
                <w:sz w:val="22"/>
                <w:szCs w:val="22"/>
              </w:rPr>
              <w:t>-September-2021</w:t>
            </w:r>
          </w:p>
        </w:tc>
        <w:tc>
          <w:tcPr>
            <w:tcW w:w="2183" w:type="dxa"/>
            <w:shd w:val="clear" w:color="auto" w:fill="auto"/>
            <w:vAlign w:val="center"/>
          </w:tcPr>
          <w:p w14:paraId="68BAC582" w14:textId="29F3E137" w:rsidR="00227540" w:rsidRPr="00110351" w:rsidRDefault="00227540" w:rsidP="00227540">
            <w:pPr>
              <w:rPr>
                <w:rFonts w:cs="Calibri"/>
                <w:color w:val="000000"/>
                <w:sz w:val="22"/>
                <w:szCs w:val="22"/>
              </w:rPr>
            </w:pPr>
            <w:r>
              <w:rPr>
                <w:rFonts w:cs="Calibri"/>
                <w:color w:val="000000"/>
                <w:sz w:val="22"/>
                <w:szCs w:val="22"/>
              </w:rPr>
              <w:t>28-September-2026</w:t>
            </w:r>
          </w:p>
        </w:tc>
        <w:tc>
          <w:tcPr>
            <w:tcW w:w="1983" w:type="dxa"/>
            <w:shd w:val="clear" w:color="auto" w:fill="auto"/>
            <w:vAlign w:val="center"/>
          </w:tcPr>
          <w:p w14:paraId="19FDD907" w14:textId="0CE0F9B7" w:rsidR="00227540" w:rsidRDefault="00C768D4" w:rsidP="00110351">
            <w:pPr>
              <w:rPr>
                <w:rFonts w:cs="Calibri"/>
                <w:color w:val="000000"/>
                <w:sz w:val="22"/>
                <w:szCs w:val="22"/>
              </w:rPr>
            </w:pPr>
            <w:hyperlink r:id="rId12" w:history="1">
              <w:r w:rsidR="004B1842" w:rsidRPr="004B1842">
                <w:rPr>
                  <w:rStyle w:val="Hyperlink"/>
                  <w:rFonts w:cs="Calibri"/>
                  <w:sz w:val="22"/>
                  <w:szCs w:val="22"/>
                </w:rPr>
                <w:t>2021/109</w:t>
              </w:r>
            </w:hyperlink>
          </w:p>
          <w:p w14:paraId="68BAC583" w14:textId="78C647EF" w:rsidR="004B1842" w:rsidRPr="00110351" w:rsidRDefault="00C768D4" w:rsidP="00110351">
            <w:pPr>
              <w:rPr>
                <w:rFonts w:cs="Calibri"/>
                <w:color w:val="000000"/>
                <w:sz w:val="22"/>
                <w:szCs w:val="22"/>
              </w:rPr>
            </w:pPr>
            <w:hyperlink r:id="rId13" w:history="1">
              <w:r w:rsidR="004B1842" w:rsidRPr="004B1842">
                <w:rPr>
                  <w:rStyle w:val="Hyperlink"/>
                  <w:rFonts w:cs="Calibri"/>
                  <w:sz w:val="22"/>
                  <w:szCs w:val="22"/>
                </w:rPr>
                <w:t>2021/110</w:t>
              </w:r>
            </w:hyperlink>
          </w:p>
        </w:tc>
      </w:tr>
      <w:tr w:rsidR="00227540" w:rsidRPr="009709AA" w14:paraId="18939039" w14:textId="77777777" w:rsidTr="6D7D34B8">
        <w:trPr>
          <w:trHeight w:val="478"/>
        </w:trPr>
        <w:tc>
          <w:tcPr>
            <w:tcW w:w="1860" w:type="dxa"/>
            <w:shd w:val="clear" w:color="auto" w:fill="auto"/>
            <w:vAlign w:val="center"/>
          </w:tcPr>
          <w:p w14:paraId="324B3C00" w14:textId="400CCEE1" w:rsidR="00227540" w:rsidRDefault="00227540" w:rsidP="00227540">
            <w:pPr>
              <w:rPr>
                <w:rFonts w:cs="Calibri"/>
                <w:b/>
                <w:bCs/>
                <w:color w:val="000000"/>
                <w:sz w:val="22"/>
                <w:szCs w:val="22"/>
              </w:rPr>
            </w:pPr>
            <w:r>
              <w:rPr>
                <w:rFonts w:cs="Calibri"/>
                <w:b/>
                <w:bCs/>
                <w:color w:val="000000"/>
                <w:sz w:val="22"/>
                <w:szCs w:val="22"/>
              </w:rPr>
              <w:t>KOREA</w:t>
            </w:r>
          </w:p>
        </w:tc>
        <w:tc>
          <w:tcPr>
            <w:tcW w:w="1242" w:type="dxa"/>
            <w:shd w:val="clear" w:color="auto" w:fill="auto"/>
            <w:noWrap/>
            <w:vAlign w:val="center"/>
          </w:tcPr>
          <w:p w14:paraId="0B4989D2" w14:textId="5BF2381D" w:rsidR="00227540" w:rsidRDefault="00227540" w:rsidP="00227540">
            <w:pPr>
              <w:rPr>
                <w:rFonts w:cs="Calibri"/>
                <w:b/>
                <w:bCs/>
                <w:color w:val="000000"/>
                <w:sz w:val="22"/>
                <w:szCs w:val="22"/>
              </w:rPr>
            </w:pPr>
            <w:r>
              <w:rPr>
                <w:rFonts w:cs="Calibri"/>
                <w:b/>
                <w:bCs/>
                <w:color w:val="000000"/>
                <w:sz w:val="22"/>
                <w:szCs w:val="22"/>
              </w:rPr>
              <w:t>IDD</w:t>
            </w:r>
          </w:p>
        </w:tc>
        <w:tc>
          <w:tcPr>
            <w:tcW w:w="2142" w:type="dxa"/>
            <w:shd w:val="clear" w:color="auto" w:fill="auto"/>
            <w:vAlign w:val="center"/>
          </w:tcPr>
          <w:p w14:paraId="1F38EB26" w14:textId="6BE8CDE4" w:rsidR="00227540" w:rsidRDefault="00227540" w:rsidP="00227540">
            <w:pPr>
              <w:rPr>
                <w:rFonts w:cs="Calibri"/>
                <w:color w:val="000000"/>
                <w:sz w:val="22"/>
                <w:szCs w:val="22"/>
              </w:rPr>
            </w:pPr>
            <w:r w:rsidRPr="6D7D34B8">
              <w:rPr>
                <w:rFonts w:cs="Calibri"/>
                <w:color w:val="000000" w:themeColor="text1"/>
                <w:sz w:val="22"/>
                <w:szCs w:val="22"/>
              </w:rPr>
              <w:t>2</w:t>
            </w:r>
            <w:r w:rsidR="6A616F75" w:rsidRPr="6D7D34B8">
              <w:rPr>
                <w:rFonts w:cs="Calibri"/>
                <w:color w:val="000000" w:themeColor="text1"/>
                <w:sz w:val="22"/>
                <w:szCs w:val="22"/>
              </w:rPr>
              <w:t>8</w:t>
            </w:r>
            <w:r w:rsidRPr="6D7D34B8">
              <w:rPr>
                <w:rFonts w:cs="Calibri"/>
                <w:color w:val="000000" w:themeColor="text1"/>
                <w:sz w:val="22"/>
                <w:szCs w:val="22"/>
              </w:rPr>
              <w:t>-September-2021</w:t>
            </w:r>
          </w:p>
        </w:tc>
        <w:tc>
          <w:tcPr>
            <w:tcW w:w="2183" w:type="dxa"/>
            <w:shd w:val="clear" w:color="auto" w:fill="auto"/>
            <w:vAlign w:val="center"/>
          </w:tcPr>
          <w:p w14:paraId="65A1CA93" w14:textId="3D4E334A" w:rsidR="00227540" w:rsidRDefault="00227540" w:rsidP="00227540">
            <w:pPr>
              <w:rPr>
                <w:rFonts w:cs="Calibri"/>
                <w:color w:val="000000"/>
                <w:sz w:val="22"/>
                <w:szCs w:val="22"/>
              </w:rPr>
            </w:pPr>
            <w:r>
              <w:rPr>
                <w:rFonts w:cs="Calibri"/>
                <w:color w:val="000000"/>
                <w:sz w:val="22"/>
                <w:szCs w:val="22"/>
              </w:rPr>
              <w:t>28-September-2026</w:t>
            </w:r>
          </w:p>
        </w:tc>
        <w:tc>
          <w:tcPr>
            <w:tcW w:w="1983" w:type="dxa"/>
            <w:shd w:val="clear" w:color="auto" w:fill="auto"/>
            <w:vAlign w:val="center"/>
          </w:tcPr>
          <w:p w14:paraId="0AE544F8" w14:textId="7DE70D15" w:rsidR="00227540" w:rsidRPr="00110351" w:rsidRDefault="00C768D4" w:rsidP="00227540">
            <w:pPr>
              <w:rPr>
                <w:rFonts w:cs="Calibri"/>
                <w:color w:val="000000"/>
                <w:sz w:val="22"/>
                <w:szCs w:val="22"/>
              </w:rPr>
            </w:pPr>
            <w:hyperlink r:id="rId14" w:history="1">
              <w:r w:rsidR="004B1842" w:rsidRPr="004B1842">
                <w:rPr>
                  <w:rStyle w:val="Hyperlink"/>
                  <w:rFonts w:cs="Calibri"/>
                  <w:sz w:val="22"/>
                  <w:szCs w:val="22"/>
                </w:rPr>
                <w:t>2021/109</w:t>
              </w:r>
            </w:hyperlink>
          </w:p>
        </w:tc>
      </w:tr>
    </w:tbl>
    <w:p w14:paraId="68BAC585" w14:textId="77777777" w:rsidR="009709AA" w:rsidRDefault="009709AA" w:rsidP="00E4346B">
      <w:pPr>
        <w:jc w:val="both"/>
        <w:rPr>
          <w:rFonts w:cs="Calibri"/>
          <w:b/>
          <w:bCs/>
          <w:sz w:val="24"/>
        </w:rPr>
      </w:pPr>
    </w:p>
    <w:p w14:paraId="2422F6AB" w14:textId="2731E956" w:rsidR="009709AA" w:rsidRDefault="77695709" w:rsidP="702C8E0F">
      <w:pPr>
        <w:jc w:val="both"/>
      </w:pPr>
      <w:r w:rsidRPr="20306ABD">
        <w:rPr>
          <w:rFonts w:eastAsia="Calibri" w:cs="Calibri"/>
          <w:color w:val="000000" w:themeColor="text1"/>
          <w:sz w:val="16"/>
          <w:szCs w:val="16"/>
        </w:rPr>
        <w:t>T</w:t>
      </w:r>
      <w:r w:rsidR="7691CE41" w:rsidRPr="20306ABD">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036C5CF2" w:rsidR="009709AA" w:rsidRDefault="009709AA" w:rsidP="702C8E0F">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195382AF" w14:textId="3ABD9F84" w:rsidR="0047493F"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9091556" w:history="1">
        <w:r w:rsidR="0047493F" w:rsidRPr="007F0F10">
          <w:rPr>
            <w:rStyle w:val="Hyperlink"/>
          </w:rPr>
          <w:t>1. What is the function of the Dumping Commodity Register (DCR)?</w:t>
        </w:r>
        <w:r w:rsidR="0047493F">
          <w:rPr>
            <w:webHidden/>
          </w:rPr>
          <w:tab/>
        </w:r>
        <w:r w:rsidR="0047493F">
          <w:rPr>
            <w:webHidden/>
          </w:rPr>
          <w:fldChar w:fldCharType="begin"/>
        </w:r>
        <w:r w:rsidR="0047493F">
          <w:rPr>
            <w:webHidden/>
          </w:rPr>
          <w:instrText xml:space="preserve"> PAGEREF _Toc129091556 \h </w:instrText>
        </w:r>
        <w:r w:rsidR="0047493F">
          <w:rPr>
            <w:webHidden/>
          </w:rPr>
        </w:r>
        <w:r w:rsidR="0047493F">
          <w:rPr>
            <w:webHidden/>
          </w:rPr>
          <w:fldChar w:fldCharType="separate"/>
        </w:r>
        <w:r w:rsidR="00E80289">
          <w:rPr>
            <w:webHidden/>
          </w:rPr>
          <w:t>3</w:t>
        </w:r>
        <w:r w:rsidR="0047493F">
          <w:rPr>
            <w:webHidden/>
          </w:rPr>
          <w:fldChar w:fldCharType="end"/>
        </w:r>
      </w:hyperlink>
    </w:p>
    <w:p w14:paraId="33C92DCB" w14:textId="4018829B" w:rsidR="0047493F" w:rsidRDefault="00C768D4">
      <w:pPr>
        <w:pStyle w:val="TOC1"/>
        <w:rPr>
          <w:rFonts w:asciiTheme="minorHAnsi" w:eastAsiaTheme="minorEastAsia" w:hAnsiTheme="minorHAnsi" w:cstheme="minorBidi"/>
          <w:i w:val="0"/>
          <w:sz w:val="22"/>
          <w:szCs w:val="22"/>
        </w:rPr>
      </w:pPr>
      <w:hyperlink w:anchor="_Toc129091557" w:history="1">
        <w:r w:rsidR="0047493F" w:rsidRPr="007F0F10">
          <w:rPr>
            <w:rStyle w:val="Hyperlink"/>
          </w:rPr>
          <w:t>2. What types of precision pipe and tube steel are subject to anti-dumping measures?</w:t>
        </w:r>
        <w:r w:rsidR="0047493F">
          <w:rPr>
            <w:webHidden/>
          </w:rPr>
          <w:tab/>
        </w:r>
        <w:r w:rsidR="0047493F">
          <w:rPr>
            <w:webHidden/>
          </w:rPr>
          <w:fldChar w:fldCharType="begin"/>
        </w:r>
        <w:r w:rsidR="0047493F">
          <w:rPr>
            <w:webHidden/>
          </w:rPr>
          <w:instrText xml:space="preserve"> PAGEREF _Toc129091557 \h </w:instrText>
        </w:r>
        <w:r w:rsidR="0047493F">
          <w:rPr>
            <w:webHidden/>
          </w:rPr>
        </w:r>
        <w:r w:rsidR="0047493F">
          <w:rPr>
            <w:webHidden/>
          </w:rPr>
          <w:fldChar w:fldCharType="separate"/>
        </w:r>
        <w:r w:rsidR="00E80289">
          <w:rPr>
            <w:webHidden/>
          </w:rPr>
          <w:t>3</w:t>
        </w:r>
        <w:r w:rsidR="0047493F">
          <w:rPr>
            <w:webHidden/>
          </w:rPr>
          <w:fldChar w:fldCharType="end"/>
        </w:r>
      </w:hyperlink>
    </w:p>
    <w:p w14:paraId="47EEA3C1" w14:textId="3C608DD6" w:rsidR="0047493F" w:rsidRDefault="00C768D4">
      <w:pPr>
        <w:pStyle w:val="TOC1"/>
        <w:rPr>
          <w:rFonts w:asciiTheme="minorHAnsi" w:eastAsiaTheme="minorEastAsia" w:hAnsiTheme="minorHAnsi" w:cstheme="minorBidi"/>
          <w:i w:val="0"/>
          <w:sz w:val="22"/>
          <w:szCs w:val="22"/>
        </w:rPr>
      </w:pPr>
      <w:hyperlink w:anchor="_Toc129091558" w:history="1">
        <w:r w:rsidR="0047493F" w:rsidRPr="007F0F10">
          <w:rPr>
            <w:rStyle w:val="Hyperlink"/>
          </w:rPr>
          <w:t>3. What tariff classifications and statistical codes are covered by the anti-dumping measures?</w:t>
        </w:r>
        <w:r w:rsidR="0047493F">
          <w:rPr>
            <w:webHidden/>
          </w:rPr>
          <w:tab/>
        </w:r>
        <w:r w:rsidR="0047493F">
          <w:rPr>
            <w:webHidden/>
          </w:rPr>
          <w:fldChar w:fldCharType="begin"/>
        </w:r>
        <w:r w:rsidR="0047493F">
          <w:rPr>
            <w:webHidden/>
          </w:rPr>
          <w:instrText xml:space="preserve"> PAGEREF _Toc129091558 \h </w:instrText>
        </w:r>
        <w:r w:rsidR="0047493F">
          <w:rPr>
            <w:webHidden/>
          </w:rPr>
        </w:r>
        <w:r w:rsidR="0047493F">
          <w:rPr>
            <w:webHidden/>
          </w:rPr>
          <w:fldChar w:fldCharType="separate"/>
        </w:r>
        <w:r w:rsidR="00E80289">
          <w:rPr>
            <w:webHidden/>
          </w:rPr>
          <w:t>5</w:t>
        </w:r>
        <w:r w:rsidR="0047493F">
          <w:rPr>
            <w:webHidden/>
          </w:rPr>
          <w:fldChar w:fldCharType="end"/>
        </w:r>
      </w:hyperlink>
    </w:p>
    <w:p w14:paraId="290D093E" w14:textId="0A15A498" w:rsidR="0047493F" w:rsidRDefault="00C768D4">
      <w:pPr>
        <w:pStyle w:val="TOC1"/>
        <w:rPr>
          <w:rFonts w:asciiTheme="minorHAnsi" w:eastAsiaTheme="minorEastAsia" w:hAnsiTheme="minorHAnsi" w:cstheme="minorBidi"/>
          <w:i w:val="0"/>
          <w:sz w:val="22"/>
          <w:szCs w:val="22"/>
        </w:rPr>
      </w:pPr>
      <w:hyperlink w:anchor="_Toc129091559" w:history="1">
        <w:r w:rsidR="0047493F" w:rsidRPr="007F0F10">
          <w:rPr>
            <w:rStyle w:val="Hyperlink"/>
          </w:rPr>
          <w:t>4. How much Interim Dumping Duty (IDD will an importer have to pay?</w:t>
        </w:r>
        <w:r w:rsidR="0047493F">
          <w:rPr>
            <w:webHidden/>
          </w:rPr>
          <w:tab/>
        </w:r>
        <w:r w:rsidR="0047493F">
          <w:rPr>
            <w:webHidden/>
          </w:rPr>
          <w:fldChar w:fldCharType="begin"/>
        </w:r>
        <w:r w:rsidR="0047493F">
          <w:rPr>
            <w:webHidden/>
          </w:rPr>
          <w:instrText xml:space="preserve"> PAGEREF _Toc129091559 \h </w:instrText>
        </w:r>
        <w:r w:rsidR="0047493F">
          <w:rPr>
            <w:webHidden/>
          </w:rPr>
        </w:r>
        <w:r w:rsidR="0047493F">
          <w:rPr>
            <w:webHidden/>
          </w:rPr>
          <w:fldChar w:fldCharType="separate"/>
        </w:r>
        <w:r w:rsidR="00E80289">
          <w:rPr>
            <w:webHidden/>
          </w:rPr>
          <w:t>5</w:t>
        </w:r>
        <w:r w:rsidR="0047493F">
          <w:rPr>
            <w:webHidden/>
          </w:rPr>
          <w:fldChar w:fldCharType="end"/>
        </w:r>
      </w:hyperlink>
    </w:p>
    <w:p w14:paraId="7428591A" w14:textId="7E5ABBC3" w:rsidR="0047493F" w:rsidRDefault="00C768D4">
      <w:pPr>
        <w:pStyle w:val="TOC1"/>
        <w:rPr>
          <w:rFonts w:asciiTheme="minorHAnsi" w:eastAsiaTheme="minorEastAsia" w:hAnsiTheme="minorHAnsi" w:cstheme="minorBidi"/>
          <w:i w:val="0"/>
          <w:sz w:val="22"/>
          <w:szCs w:val="22"/>
        </w:rPr>
      </w:pPr>
      <w:hyperlink w:anchor="_Toc129091560" w:history="1">
        <w:r w:rsidR="0047493F" w:rsidRPr="007F0F10">
          <w:rPr>
            <w:rStyle w:val="Hyperlink"/>
          </w:rPr>
          <w:t>5. What is the dumping export price (DXP) and how do I calculate it?</w:t>
        </w:r>
        <w:r w:rsidR="0047493F">
          <w:rPr>
            <w:webHidden/>
          </w:rPr>
          <w:tab/>
        </w:r>
        <w:r w:rsidR="0047493F">
          <w:rPr>
            <w:webHidden/>
          </w:rPr>
          <w:fldChar w:fldCharType="begin"/>
        </w:r>
        <w:r w:rsidR="0047493F">
          <w:rPr>
            <w:webHidden/>
          </w:rPr>
          <w:instrText xml:space="preserve"> PAGEREF _Toc129091560 \h </w:instrText>
        </w:r>
        <w:r w:rsidR="0047493F">
          <w:rPr>
            <w:webHidden/>
          </w:rPr>
        </w:r>
        <w:r w:rsidR="0047493F">
          <w:rPr>
            <w:webHidden/>
          </w:rPr>
          <w:fldChar w:fldCharType="separate"/>
        </w:r>
        <w:r w:rsidR="00E80289">
          <w:rPr>
            <w:webHidden/>
          </w:rPr>
          <w:t>6</w:t>
        </w:r>
        <w:r w:rsidR="0047493F">
          <w:rPr>
            <w:webHidden/>
          </w:rPr>
          <w:fldChar w:fldCharType="end"/>
        </w:r>
      </w:hyperlink>
    </w:p>
    <w:p w14:paraId="4AEF2285" w14:textId="71BA1BAD" w:rsidR="0047493F" w:rsidRDefault="00C768D4">
      <w:pPr>
        <w:pStyle w:val="TOC1"/>
        <w:rPr>
          <w:rFonts w:asciiTheme="minorHAnsi" w:eastAsiaTheme="minorEastAsia" w:hAnsiTheme="minorHAnsi" w:cstheme="minorBidi"/>
          <w:i w:val="0"/>
          <w:sz w:val="22"/>
          <w:szCs w:val="22"/>
        </w:rPr>
      </w:pPr>
      <w:hyperlink w:anchor="_Toc129091561" w:history="1">
        <w:r w:rsidR="0047493F" w:rsidRPr="007F0F10">
          <w:rPr>
            <w:rStyle w:val="Hyperlink"/>
          </w:rPr>
          <w:t>6. What Dumping Specification Number (DSN) do I use and what are the rates for my exporter?</w:t>
        </w:r>
        <w:r w:rsidR="0047493F">
          <w:rPr>
            <w:webHidden/>
          </w:rPr>
          <w:tab/>
        </w:r>
        <w:r w:rsidR="0047493F">
          <w:rPr>
            <w:webHidden/>
          </w:rPr>
          <w:fldChar w:fldCharType="begin"/>
        </w:r>
        <w:r w:rsidR="0047493F">
          <w:rPr>
            <w:webHidden/>
          </w:rPr>
          <w:instrText xml:space="preserve"> PAGEREF _Toc129091561 \h </w:instrText>
        </w:r>
        <w:r w:rsidR="0047493F">
          <w:rPr>
            <w:webHidden/>
          </w:rPr>
        </w:r>
        <w:r w:rsidR="0047493F">
          <w:rPr>
            <w:webHidden/>
          </w:rPr>
          <w:fldChar w:fldCharType="separate"/>
        </w:r>
        <w:r w:rsidR="00E80289">
          <w:rPr>
            <w:webHidden/>
          </w:rPr>
          <w:t>7</w:t>
        </w:r>
        <w:r w:rsidR="0047493F">
          <w:rPr>
            <w:webHidden/>
          </w:rPr>
          <w:fldChar w:fldCharType="end"/>
        </w:r>
      </w:hyperlink>
    </w:p>
    <w:p w14:paraId="530C2DB2" w14:textId="11D739DB" w:rsidR="0047493F" w:rsidRDefault="00C768D4">
      <w:pPr>
        <w:pStyle w:val="TOC1"/>
        <w:rPr>
          <w:rFonts w:asciiTheme="minorHAnsi" w:eastAsiaTheme="minorEastAsia" w:hAnsiTheme="minorHAnsi" w:cstheme="minorBidi"/>
          <w:i w:val="0"/>
          <w:sz w:val="22"/>
          <w:szCs w:val="22"/>
        </w:rPr>
      </w:pPr>
      <w:hyperlink w:anchor="_Toc129091562" w:history="1">
        <w:r w:rsidR="0047493F" w:rsidRPr="007F0F10">
          <w:rPr>
            <w:rStyle w:val="Hyperlink"/>
          </w:rPr>
          <w:t>7. How do I find out the confidential rate and ascertained export price for my exporter?</w:t>
        </w:r>
        <w:r w:rsidR="0047493F">
          <w:rPr>
            <w:webHidden/>
          </w:rPr>
          <w:tab/>
        </w:r>
        <w:r w:rsidR="0047493F">
          <w:rPr>
            <w:webHidden/>
          </w:rPr>
          <w:fldChar w:fldCharType="begin"/>
        </w:r>
        <w:r w:rsidR="0047493F">
          <w:rPr>
            <w:webHidden/>
          </w:rPr>
          <w:instrText xml:space="preserve"> PAGEREF _Toc129091562 \h </w:instrText>
        </w:r>
        <w:r w:rsidR="0047493F">
          <w:rPr>
            <w:webHidden/>
          </w:rPr>
        </w:r>
        <w:r w:rsidR="0047493F">
          <w:rPr>
            <w:webHidden/>
          </w:rPr>
          <w:fldChar w:fldCharType="separate"/>
        </w:r>
        <w:r w:rsidR="00E80289">
          <w:rPr>
            <w:webHidden/>
          </w:rPr>
          <w:t>8</w:t>
        </w:r>
        <w:r w:rsidR="0047493F">
          <w:rPr>
            <w:webHidden/>
          </w:rPr>
          <w:fldChar w:fldCharType="end"/>
        </w:r>
      </w:hyperlink>
    </w:p>
    <w:p w14:paraId="1541D64A" w14:textId="2D8838DC" w:rsidR="0047493F" w:rsidRDefault="00C768D4">
      <w:pPr>
        <w:pStyle w:val="TOC1"/>
        <w:rPr>
          <w:rFonts w:asciiTheme="minorHAnsi" w:eastAsiaTheme="minorEastAsia" w:hAnsiTheme="minorHAnsi" w:cstheme="minorBidi"/>
          <w:i w:val="0"/>
          <w:sz w:val="22"/>
          <w:szCs w:val="22"/>
        </w:rPr>
      </w:pPr>
      <w:hyperlink w:anchor="_Toc129091563" w:history="1">
        <w:r w:rsidR="0047493F" w:rsidRPr="007F0F10">
          <w:rPr>
            <w:rStyle w:val="Hyperlink"/>
          </w:rPr>
          <w:t>8. What information is needed to complete an import declaration for goods subject to measures?</w:t>
        </w:r>
        <w:r w:rsidR="0047493F">
          <w:rPr>
            <w:webHidden/>
          </w:rPr>
          <w:tab/>
        </w:r>
        <w:r w:rsidR="0047493F">
          <w:rPr>
            <w:webHidden/>
          </w:rPr>
          <w:fldChar w:fldCharType="begin"/>
        </w:r>
        <w:r w:rsidR="0047493F">
          <w:rPr>
            <w:webHidden/>
          </w:rPr>
          <w:instrText xml:space="preserve"> PAGEREF _Toc129091563 \h </w:instrText>
        </w:r>
        <w:r w:rsidR="0047493F">
          <w:rPr>
            <w:webHidden/>
          </w:rPr>
        </w:r>
        <w:r w:rsidR="0047493F">
          <w:rPr>
            <w:webHidden/>
          </w:rPr>
          <w:fldChar w:fldCharType="separate"/>
        </w:r>
        <w:r w:rsidR="00E80289">
          <w:rPr>
            <w:webHidden/>
          </w:rPr>
          <w:t>8</w:t>
        </w:r>
        <w:r w:rsidR="0047493F">
          <w:rPr>
            <w:webHidden/>
          </w:rPr>
          <w:fldChar w:fldCharType="end"/>
        </w:r>
      </w:hyperlink>
    </w:p>
    <w:p w14:paraId="19C69972" w14:textId="613ACE59" w:rsidR="0047493F" w:rsidRDefault="00C768D4">
      <w:pPr>
        <w:pStyle w:val="TOC1"/>
        <w:rPr>
          <w:rFonts w:asciiTheme="minorHAnsi" w:eastAsiaTheme="minorEastAsia" w:hAnsiTheme="minorHAnsi" w:cstheme="minorBidi"/>
          <w:i w:val="0"/>
          <w:sz w:val="22"/>
          <w:szCs w:val="22"/>
        </w:rPr>
      </w:pPr>
      <w:hyperlink w:anchor="_Toc129091564" w:history="1">
        <w:r w:rsidR="0047493F" w:rsidRPr="007F0F10">
          <w:rPr>
            <w:rStyle w:val="Hyperlink"/>
          </w:rPr>
          <w:t>9. What are the duty assessment importation and application period dates?</w:t>
        </w:r>
        <w:r w:rsidR="0047493F">
          <w:rPr>
            <w:webHidden/>
          </w:rPr>
          <w:tab/>
        </w:r>
        <w:r w:rsidR="0047493F">
          <w:rPr>
            <w:webHidden/>
          </w:rPr>
          <w:fldChar w:fldCharType="begin"/>
        </w:r>
        <w:r w:rsidR="0047493F">
          <w:rPr>
            <w:webHidden/>
          </w:rPr>
          <w:instrText xml:space="preserve"> PAGEREF _Toc129091564 \h </w:instrText>
        </w:r>
        <w:r w:rsidR="0047493F">
          <w:rPr>
            <w:webHidden/>
          </w:rPr>
        </w:r>
        <w:r w:rsidR="0047493F">
          <w:rPr>
            <w:webHidden/>
          </w:rPr>
          <w:fldChar w:fldCharType="separate"/>
        </w:r>
        <w:r w:rsidR="00E80289">
          <w:rPr>
            <w:webHidden/>
          </w:rPr>
          <w:t>8</w:t>
        </w:r>
        <w:r w:rsidR="0047493F">
          <w:rPr>
            <w:webHidden/>
          </w:rPr>
          <w:fldChar w:fldCharType="end"/>
        </w:r>
      </w:hyperlink>
    </w:p>
    <w:p w14:paraId="72F9659B" w14:textId="4A18363C" w:rsidR="0047493F" w:rsidRDefault="00C768D4">
      <w:pPr>
        <w:pStyle w:val="TOC1"/>
        <w:rPr>
          <w:rFonts w:asciiTheme="minorHAnsi" w:eastAsiaTheme="minorEastAsia" w:hAnsiTheme="minorHAnsi" w:cstheme="minorBidi"/>
          <w:i w:val="0"/>
          <w:sz w:val="22"/>
          <w:szCs w:val="22"/>
        </w:rPr>
      </w:pPr>
      <w:hyperlink w:anchor="_Toc129091565" w:history="1">
        <w:r w:rsidR="0047493F" w:rsidRPr="007F0F10">
          <w:rPr>
            <w:rStyle w:val="Hyperlink"/>
          </w:rPr>
          <w:t>10. What are the key reports and notices linked to the measures on precision pipe and tube steel?</w:t>
        </w:r>
        <w:r w:rsidR="0047493F">
          <w:rPr>
            <w:webHidden/>
          </w:rPr>
          <w:tab/>
        </w:r>
        <w:r w:rsidR="0047493F">
          <w:rPr>
            <w:webHidden/>
          </w:rPr>
          <w:fldChar w:fldCharType="begin"/>
        </w:r>
        <w:r w:rsidR="0047493F">
          <w:rPr>
            <w:webHidden/>
          </w:rPr>
          <w:instrText xml:space="preserve"> PAGEREF _Toc129091565 \h </w:instrText>
        </w:r>
        <w:r w:rsidR="0047493F">
          <w:rPr>
            <w:webHidden/>
          </w:rPr>
        </w:r>
        <w:r w:rsidR="0047493F">
          <w:rPr>
            <w:webHidden/>
          </w:rPr>
          <w:fldChar w:fldCharType="separate"/>
        </w:r>
        <w:r w:rsidR="00E80289">
          <w:rPr>
            <w:webHidden/>
          </w:rPr>
          <w:t>9</w:t>
        </w:r>
        <w:r w:rsidR="0047493F">
          <w:rPr>
            <w:webHidden/>
          </w:rPr>
          <w:fldChar w:fldCharType="end"/>
        </w:r>
      </w:hyperlink>
    </w:p>
    <w:p w14:paraId="68BAC59C" w14:textId="64BBD82D"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68BAC5AF" w14:textId="77777777" w:rsidR="00C41C3A" w:rsidRPr="00C41C3A" w:rsidRDefault="00C41C3A" w:rsidP="00E4346B">
      <w:pPr>
        <w:jc w:val="both"/>
      </w:pPr>
      <w:bookmarkStart w:id="17" w:name="_Toc111821177"/>
    </w:p>
    <w:p w14:paraId="52804E4E" w14:textId="27FBAB7F" w:rsidR="7E8F66B3" w:rsidRDefault="7E8F66B3" w:rsidP="7E8F66B3">
      <w:pPr>
        <w:jc w:val="both"/>
      </w:pPr>
    </w:p>
    <w:p w14:paraId="76786F78" w14:textId="6948B065" w:rsidR="7E8F66B3" w:rsidRDefault="7E8F66B3" w:rsidP="7E8F66B3">
      <w:pPr>
        <w:jc w:val="both"/>
      </w:pPr>
    </w:p>
    <w:p w14:paraId="30B5C477" w14:textId="77EDB478" w:rsidR="7E8F66B3" w:rsidRDefault="7E8F66B3" w:rsidP="7E8F66B3">
      <w:pPr>
        <w:jc w:val="both"/>
      </w:pPr>
    </w:p>
    <w:p w14:paraId="1B417111" w14:textId="7FB5BAC0" w:rsidR="7E8F66B3" w:rsidRDefault="7E8F66B3" w:rsidP="7E8F66B3">
      <w:pPr>
        <w:jc w:val="both"/>
      </w:pPr>
    </w:p>
    <w:p w14:paraId="782EF7C5" w14:textId="1EC1E74B" w:rsidR="7E8F66B3" w:rsidRDefault="7E8F66B3" w:rsidP="7E8F66B3">
      <w:pPr>
        <w:jc w:val="both"/>
      </w:pPr>
    </w:p>
    <w:p w14:paraId="371B5121" w14:textId="3F2D76B0" w:rsidR="7E8F66B3" w:rsidRDefault="7E8F66B3" w:rsidP="7E8F66B3">
      <w:pPr>
        <w:jc w:val="both"/>
      </w:pPr>
    </w:p>
    <w:p w14:paraId="192E3B1B" w14:textId="1C5BAD74" w:rsidR="7E8F66B3" w:rsidRDefault="7E8F66B3" w:rsidP="7E8F66B3">
      <w:pPr>
        <w:jc w:val="both"/>
      </w:pPr>
    </w:p>
    <w:p w14:paraId="00B84258" w14:textId="257E7693" w:rsidR="7E8F66B3" w:rsidRDefault="7E8F66B3" w:rsidP="7E8F66B3">
      <w:pPr>
        <w:jc w:val="both"/>
      </w:pPr>
    </w:p>
    <w:p w14:paraId="6EB7AADB" w14:textId="3B12D799" w:rsidR="7E8F66B3" w:rsidRDefault="7E8F66B3" w:rsidP="7E8F66B3">
      <w:pPr>
        <w:jc w:val="both"/>
      </w:pPr>
    </w:p>
    <w:p w14:paraId="6677B9B7" w14:textId="26046253" w:rsidR="7E8F66B3" w:rsidRDefault="7E8F66B3" w:rsidP="7E8F66B3">
      <w:pPr>
        <w:jc w:val="both"/>
      </w:pPr>
    </w:p>
    <w:p w14:paraId="68BAC5B0" w14:textId="5DF025EE" w:rsidR="007970C2" w:rsidRPr="006F7A4C" w:rsidRDefault="00082018" w:rsidP="006F7A4C">
      <w:pPr>
        <w:pStyle w:val="Heading1"/>
        <w:spacing w:after="240"/>
        <w:rPr>
          <w:sz w:val="28"/>
          <w:szCs w:val="28"/>
        </w:rPr>
      </w:pPr>
      <w:bookmarkStart w:id="18" w:name="_Toc129091556"/>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5"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171BF6F3" w:rsidR="000F70AE" w:rsidRPr="006F7A4C" w:rsidRDefault="00D32CC1" w:rsidP="006F7A4C">
      <w:pPr>
        <w:pStyle w:val="Heading1"/>
        <w:spacing w:after="240"/>
        <w:rPr>
          <w:sz w:val="28"/>
          <w:szCs w:val="28"/>
        </w:rPr>
      </w:pPr>
      <w:bookmarkStart w:id="19" w:name="_Toc129091557"/>
      <w:r w:rsidRPr="006F7A4C">
        <w:rPr>
          <w:sz w:val="28"/>
          <w:szCs w:val="28"/>
        </w:rPr>
        <w:t>2</w:t>
      </w:r>
      <w:r w:rsidR="00E54A69" w:rsidRPr="006F7A4C">
        <w:rPr>
          <w:sz w:val="28"/>
          <w:szCs w:val="28"/>
        </w:rPr>
        <w:t xml:space="preserve">. </w:t>
      </w:r>
      <w:r w:rsidR="000F70AE" w:rsidRPr="006F7A4C">
        <w:rPr>
          <w:sz w:val="28"/>
          <w:szCs w:val="28"/>
        </w:rPr>
        <w:t xml:space="preserve">What types of </w:t>
      </w:r>
      <w:r w:rsidR="004B1842">
        <w:rPr>
          <w:sz w:val="28"/>
          <w:szCs w:val="28"/>
        </w:rPr>
        <w:t xml:space="preserve">precision pipe and tube steel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70076512" w14:textId="77777777" w:rsidR="003C6B3E" w:rsidRDefault="003C6B3E" w:rsidP="003C6B3E">
      <w:pPr>
        <w:tabs>
          <w:tab w:val="left" w:pos="3975"/>
        </w:tabs>
        <w:rPr>
          <w:sz w:val="22"/>
          <w:szCs w:val="22"/>
        </w:rPr>
      </w:pPr>
      <w:r w:rsidRPr="003C6B3E">
        <w:rPr>
          <w:sz w:val="22"/>
          <w:szCs w:val="22"/>
        </w:rPr>
        <w:t xml:space="preserve">Certain electric resistance welded pipe and tube made of carbon steel, </w:t>
      </w:r>
      <w:proofErr w:type="gramStart"/>
      <w:r w:rsidRPr="003C6B3E">
        <w:rPr>
          <w:sz w:val="22"/>
          <w:szCs w:val="22"/>
        </w:rPr>
        <w:t>whether or not</w:t>
      </w:r>
      <w:proofErr w:type="gramEnd"/>
      <w:r w:rsidRPr="003C6B3E">
        <w:rPr>
          <w:sz w:val="22"/>
          <w:szCs w:val="22"/>
        </w:rPr>
        <w:t xml:space="preserve"> including alloys, comprising circular, rectangular and square hollow sections in metallic coated and non-metallic coated finishes. Metallic finish types for the goods include galvanised and aluminised. Non-metallic finishes include hot-rolled and cold-rolled.</w:t>
      </w:r>
    </w:p>
    <w:p w14:paraId="17AD59A9" w14:textId="594782E8" w:rsidR="003C6B3E" w:rsidRPr="003C6B3E" w:rsidRDefault="003C6B3E" w:rsidP="003C6B3E">
      <w:pPr>
        <w:tabs>
          <w:tab w:val="left" w:pos="3975"/>
        </w:tabs>
        <w:spacing w:before="120"/>
        <w:rPr>
          <w:b/>
          <w:bCs/>
          <w:sz w:val="22"/>
          <w:szCs w:val="22"/>
        </w:rPr>
      </w:pPr>
      <w:r w:rsidRPr="003C6B3E">
        <w:rPr>
          <w:b/>
          <w:bCs/>
          <w:sz w:val="22"/>
          <w:szCs w:val="22"/>
        </w:rPr>
        <w:t>Sizes</w:t>
      </w:r>
    </w:p>
    <w:p w14:paraId="2775E143" w14:textId="551DAE41" w:rsidR="003C6B3E" w:rsidRDefault="003C6B3E">
      <w:pPr>
        <w:pStyle w:val="ListParagraph"/>
      </w:pPr>
      <w:r>
        <w:t>Circular products - equal to or less than 21 millimetres (“mm”) in outside diameter. Also included are air heater tubes to Australian Standard (AS) 2556, up to and including 101.6 mm outside diameter.</w:t>
      </w:r>
    </w:p>
    <w:p w14:paraId="6EB2DD8F" w14:textId="1D969F8B" w:rsidR="003C6B3E" w:rsidRPr="003C6B3E" w:rsidRDefault="003C6B3E">
      <w:pPr>
        <w:pStyle w:val="ListParagraph"/>
      </w:pPr>
      <w:r>
        <w:t>Rectangular and square products - with a nominal thickness of less than 1.6 mm (being a perimeter up to and including 260 mm).</w:t>
      </w:r>
    </w:p>
    <w:p w14:paraId="1F8FD45F" w14:textId="36734C19" w:rsidR="003C6B3E" w:rsidRDefault="003C6B3E" w:rsidP="003C6B3E">
      <w:pPr>
        <w:tabs>
          <w:tab w:val="left" w:pos="3975"/>
        </w:tabs>
        <w:rPr>
          <w:sz w:val="22"/>
          <w:szCs w:val="22"/>
        </w:rPr>
      </w:pPr>
    </w:p>
    <w:p w14:paraId="003B2231" w14:textId="17466059" w:rsidR="003C6B3E" w:rsidRDefault="003C6B3E" w:rsidP="003C6B3E">
      <w:pPr>
        <w:tabs>
          <w:tab w:val="left" w:pos="3975"/>
        </w:tabs>
        <w:rPr>
          <w:sz w:val="22"/>
          <w:szCs w:val="22"/>
        </w:rPr>
      </w:pPr>
      <w:r w:rsidRPr="003C6B3E">
        <w:rPr>
          <w:sz w:val="22"/>
          <w:szCs w:val="22"/>
        </w:rPr>
        <w:t>Included within the goods are end-configurations such as plain, square-faced and other (e.g. threaded, swaged and shouldered).</w:t>
      </w:r>
      <w:r>
        <w:rPr>
          <w:sz w:val="22"/>
          <w:szCs w:val="22"/>
        </w:rPr>
        <w:t xml:space="preserve"> </w:t>
      </w:r>
      <w:r w:rsidRPr="003C6B3E">
        <w:rPr>
          <w:sz w:val="22"/>
          <w:szCs w:val="22"/>
        </w:rPr>
        <w:t>The goods include all electric resistance welded pipe and tube made of steel meeting the above description of the goods (and inclusions), including whether the pipe or tube meets a specific structural standard or is used in structural applications.</w:t>
      </w: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7D1B4CEB" w14:textId="4A065350" w:rsidR="00EF1380" w:rsidRPr="003C6B3E" w:rsidRDefault="003C6B3E" w:rsidP="003C6B3E">
      <w:pPr>
        <w:pStyle w:val="ListParagraph"/>
        <w:numPr>
          <w:ilvl w:val="0"/>
          <w:numId w:val="16"/>
        </w:numPr>
        <w:rPr>
          <w:b/>
        </w:rPr>
      </w:pPr>
      <w:r w:rsidRPr="003C6B3E">
        <w:t>Oval and other shaped hollow sections which are not circular, rectangular or square, are excluded from the goods</w:t>
      </w:r>
      <w:r w:rsidR="0049412A">
        <w:t>.</w:t>
      </w:r>
      <w:r w:rsidR="00EF1380" w:rsidRPr="00345BF3">
        <w:t xml:space="preserve"> </w:t>
      </w:r>
    </w:p>
    <w:p w14:paraId="6F8DF8D6" w14:textId="77777777" w:rsidR="003C6B3E" w:rsidRPr="00255C07" w:rsidRDefault="003C6B3E" w:rsidP="003C6B3E">
      <w:pPr>
        <w:spacing w:line="264" w:lineRule="auto"/>
      </w:pPr>
    </w:p>
    <w:p w14:paraId="34901797" w14:textId="77777777" w:rsidR="003C6B3E" w:rsidRPr="003C6B3E" w:rsidRDefault="00C768D4" w:rsidP="003C6B3E">
      <w:pPr>
        <w:rPr>
          <w:sz w:val="22"/>
          <w:szCs w:val="22"/>
        </w:rPr>
      </w:pPr>
      <w:hyperlink r:id="rId16" w:history="1">
        <w:r w:rsidR="003C6B3E" w:rsidRPr="003C6B3E">
          <w:rPr>
            <w:rStyle w:val="Hyperlink"/>
            <w:sz w:val="22"/>
            <w:szCs w:val="22"/>
          </w:rPr>
          <w:t>Ministerial Exemption Instrument No 4 of 2021</w:t>
        </w:r>
      </w:hyperlink>
      <w:r w:rsidR="003C6B3E" w:rsidRPr="003C6B3E">
        <w:rPr>
          <w:rStyle w:val="Hyperlink"/>
          <w:sz w:val="22"/>
          <w:szCs w:val="22"/>
          <w:u w:val="none"/>
        </w:rPr>
        <w:t xml:space="preserve"> </w:t>
      </w:r>
      <w:r w:rsidR="003C6B3E" w:rsidRPr="003C6B3E">
        <w:rPr>
          <w:sz w:val="22"/>
          <w:szCs w:val="22"/>
        </w:rPr>
        <w:t xml:space="preserve">effective from 2 June 2021 exempts the following: </w:t>
      </w:r>
    </w:p>
    <w:p w14:paraId="062D8E6A" w14:textId="77777777" w:rsidR="003C6B3E" w:rsidRPr="003C6B3E" w:rsidRDefault="003C6B3E" w:rsidP="7E8F66B3">
      <w:pPr>
        <w:pStyle w:val="ListParagraph"/>
      </w:pPr>
      <w:r w:rsidRPr="003C6B3E">
        <w:t xml:space="preserve">Air heater tubes to the Australian Standard (AS) 2556, up to and including 101.6 mm outside diameter. </w:t>
      </w:r>
    </w:p>
    <w:p w14:paraId="3AA29447" w14:textId="77777777" w:rsidR="003C6B3E" w:rsidRPr="003C6B3E" w:rsidRDefault="003C6B3E" w:rsidP="003C6B3E">
      <w:pPr>
        <w:rPr>
          <w:b/>
          <w:sz w:val="22"/>
          <w:szCs w:val="22"/>
          <w:u w:val="single"/>
        </w:rPr>
      </w:pPr>
    </w:p>
    <w:p w14:paraId="20D16E46" w14:textId="77777777" w:rsidR="003C6B3E" w:rsidRPr="003C6B3E" w:rsidRDefault="00C768D4" w:rsidP="003C6B3E">
      <w:pPr>
        <w:spacing w:line="264" w:lineRule="auto"/>
        <w:rPr>
          <w:rStyle w:val="Hyperlink"/>
          <w:sz w:val="22"/>
          <w:szCs w:val="22"/>
        </w:rPr>
      </w:pPr>
      <w:hyperlink r:id="rId17" w:history="1">
        <w:r w:rsidR="003C6B3E" w:rsidRPr="003C6B3E">
          <w:rPr>
            <w:rStyle w:val="Hyperlink"/>
            <w:sz w:val="22"/>
            <w:szCs w:val="22"/>
          </w:rPr>
          <w:t>Ministerial Exemption Instrument No 1 of 2022</w:t>
        </w:r>
      </w:hyperlink>
      <w:r w:rsidR="003C6B3E" w:rsidRPr="003C6B3E">
        <w:rPr>
          <w:rStyle w:val="Hyperlink"/>
          <w:color w:val="auto"/>
          <w:sz w:val="22"/>
          <w:szCs w:val="22"/>
          <w:u w:val="none"/>
        </w:rPr>
        <w:t xml:space="preserve"> effective from 29 September 2021 exempts the following:</w:t>
      </w:r>
    </w:p>
    <w:p w14:paraId="58A660D9" w14:textId="77777777" w:rsidR="003C6B3E" w:rsidRPr="002B1D69" w:rsidRDefault="003C6B3E" w:rsidP="003C6B3E">
      <w:pPr>
        <w:pStyle w:val="ListParagraph"/>
        <w:numPr>
          <w:ilvl w:val="0"/>
          <w:numId w:val="23"/>
        </w:numPr>
        <w:rPr>
          <w:b/>
          <w:u w:val="single"/>
        </w:rPr>
      </w:pPr>
      <w:r w:rsidRPr="002B1D69">
        <w:lastRenderedPageBreak/>
        <w:t xml:space="preserve">Curtain rods that have a 16 mm outside diameter and a 0.4 mm gauge/wall thickness. They come in both powder-coated (Black/White/Ivory) and electroplated (Brushed Chrome). </w:t>
      </w:r>
    </w:p>
    <w:p w14:paraId="01DE4E69" w14:textId="77777777" w:rsidR="003C6B3E" w:rsidRPr="002B1D69" w:rsidRDefault="003C6B3E" w:rsidP="003C6B3E">
      <w:pPr>
        <w:pStyle w:val="ListParagraph"/>
        <w:numPr>
          <w:ilvl w:val="0"/>
          <w:numId w:val="23"/>
        </w:numPr>
        <w:rPr>
          <w:b/>
          <w:u w:val="single"/>
        </w:rPr>
      </w:pPr>
      <w:r w:rsidRPr="002B1D69">
        <w:t xml:space="preserve">The curtain rods come in lengths 1.5, 2.0, 2.5 and 3.0 metres, and are individually heat/shrink wrapped and labelled. </w:t>
      </w:r>
    </w:p>
    <w:p w14:paraId="4872C2FF" w14:textId="77777777" w:rsidR="003C6B3E" w:rsidRPr="002B1D69" w:rsidRDefault="003C6B3E" w:rsidP="003C6B3E">
      <w:pPr>
        <w:pStyle w:val="ListParagraph"/>
        <w:numPr>
          <w:ilvl w:val="0"/>
          <w:numId w:val="23"/>
        </w:numPr>
        <w:rPr>
          <w:b/>
          <w:u w:val="single"/>
        </w:rPr>
      </w:pPr>
      <w:r w:rsidRPr="002B1D69">
        <w:t>The curtain rods are made of A class hot-rolled strip metal comprising of 0.12% Carbon and are made using a roll forming process and a longitudinal welding technique.</w:t>
      </w:r>
    </w:p>
    <w:p w14:paraId="75AF9AF6" w14:textId="77777777" w:rsidR="003C6B3E" w:rsidRPr="003C6B3E" w:rsidRDefault="003C6B3E" w:rsidP="003C6B3E">
      <w:pPr>
        <w:spacing w:line="264" w:lineRule="auto"/>
        <w:rPr>
          <w:sz w:val="22"/>
          <w:szCs w:val="22"/>
        </w:rPr>
      </w:pPr>
      <w:r w:rsidRPr="003C6B3E">
        <w:rPr>
          <w:sz w:val="22"/>
          <w:szCs w:val="22"/>
        </w:rPr>
        <w:t xml:space="preserve">For more information about the Ministerial Exemption Instrument please refer to  </w:t>
      </w:r>
      <w:hyperlink r:id="rId18" w:history="1">
        <w:r w:rsidRPr="003C6B3E">
          <w:rPr>
            <w:rStyle w:val="Hyperlink"/>
            <w:sz w:val="22"/>
            <w:szCs w:val="22"/>
          </w:rPr>
          <w:t>EX0086</w:t>
        </w:r>
      </w:hyperlink>
    </w:p>
    <w:p w14:paraId="6CD8B68B" w14:textId="77777777" w:rsidR="003C6B3E" w:rsidRPr="003C6B3E" w:rsidRDefault="003C6B3E" w:rsidP="003C6B3E">
      <w:pPr>
        <w:spacing w:line="264" w:lineRule="auto"/>
        <w:rPr>
          <w:sz w:val="22"/>
          <w:szCs w:val="22"/>
        </w:rPr>
      </w:pPr>
    </w:p>
    <w:p w14:paraId="50DFD0FB" w14:textId="1757514A" w:rsidR="003C6B3E" w:rsidRPr="003C6B3E" w:rsidRDefault="00C768D4" w:rsidP="003C6B3E">
      <w:pPr>
        <w:spacing w:line="264" w:lineRule="auto"/>
        <w:rPr>
          <w:rStyle w:val="Hyperlink"/>
          <w:color w:val="auto"/>
          <w:sz w:val="22"/>
          <w:szCs w:val="22"/>
          <w:u w:val="none"/>
        </w:rPr>
      </w:pPr>
      <w:hyperlink r:id="rId19" w:history="1">
        <w:r w:rsidR="003C6B3E" w:rsidRPr="00D71927">
          <w:rPr>
            <w:rStyle w:val="Hyperlink"/>
            <w:sz w:val="22"/>
            <w:szCs w:val="22"/>
          </w:rPr>
          <w:t xml:space="preserve">Ministerial Exemption Instrument No 3 of 2022 </w:t>
        </w:r>
      </w:hyperlink>
      <w:r w:rsidR="003C6B3E" w:rsidRPr="003C6B3E">
        <w:rPr>
          <w:rStyle w:val="Hyperlink"/>
          <w:color w:val="auto"/>
          <w:sz w:val="22"/>
          <w:szCs w:val="22"/>
          <w:u w:val="none"/>
        </w:rPr>
        <w:t xml:space="preserve"> effective from 4 November 2021 exempts the following:</w:t>
      </w:r>
    </w:p>
    <w:p w14:paraId="356108F9" w14:textId="77777777" w:rsidR="003C6B3E" w:rsidRPr="003C6B3E" w:rsidRDefault="003C6B3E" w:rsidP="003C6B3E">
      <w:pPr>
        <w:spacing w:line="264" w:lineRule="auto"/>
        <w:rPr>
          <w:rStyle w:val="Hyperlink"/>
          <w:sz w:val="22"/>
          <w:szCs w:val="22"/>
        </w:rPr>
      </w:pPr>
    </w:p>
    <w:p w14:paraId="66A1FF7D" w14:textId="77777777" w:rsidR="003C6B3E" w:rsidRPr="00505EAC" w:rsidRDefault="003C6B3E" w:rsidP="003C6B3E">
      <w:pPr>
        <w:autoSpaceDE w:val="0"/>
        <w:autoSpaceDN w:val="0"/>
        <w:adjustRightInd w:val="0"/>
        <w:snapToGrid w:val="0"/>
        <w:rPr>
          <w:i/>
          <w:color w:val="000000"/>
          <w:lang w:val="x-none"/>
        </w:rPr>
      </w:pPr>
      <w:r>
        <w:rPr>
          <w:i/>
          <w:color w:val="000000"/>
        </w:rPr>
        <w:t xml:space="preserve">              </w:t>
      </w:r>
      <w:r w:rsidRPr="00505EAC">
        <w:rPr>
          <w:i/>
          <w:color w:val="000000"/>
          <w:lang w:val="x-none"/>
        </w:rPr>
        <w:t xml:space="preserve">TUBES, WELDED, </w:t>
      </w:r>
      <w:proofErr w:type="spellStart"/>
      <w:r w:rsidRPr="00505EAC">
        <w:rPr>
          <w:i/>
          <w:color w:val="000000"/>
          <w:lang w:val="x-none"/>
        </w:rPr>
        <w:t>non alloy</w:t>
      </w:r>
      <w:proofErr w:type="spellEnd"/>
      <w:r w:rsidRPr="00505EAC">
        <w:rPr>
          <w:i/>
          <w:color w:val="000000"/>
          <w:lang w:val="x-none"/>
        </w:rPr>
        <w:t xml:space="preserve"> steel, being EITHER of the following:</w:t>
      </w:r>
    </w:p>
    <w:p w14:paraId="6FD33FBD" w14:textId="145D1885" w:rsidR="003C6B3E" w:rsidRPr="00505EAC" w:rsidRDefault="003C6B3E" w:rsidP="40ACBEC3">
      <w:pPr>
        <w:pStyle w:val="ListParagraph"/>
        <w:snapToGrid w:val="0"/>
        <w:ind w:left="1021"/>
        <w:rPr>
          <w:rFonts w:cstheme="minorBidi"/>
          <w:lang w:val="en-US"/>
        </w:rPr>
      </w:pPr>
      <w:r w:rsidRPr="40ACBEC3">
        <w:rPr>
          <w:rFonts w:cstheme="minorBidi"/>
          <w:lang w:val="en-US"/>
        </w:rPr>
        <w:t xml:space="preserve">single wall resistance welded to specification SAE J526, having </w:t>
      </w:r>
      <w:proofErr w:type="gramStart"/>
      <w:r w:rsidRPr="40ACBEC3">
        <w:rPr>
          <w:rFonts w:cstheme="minorBidi"/>
          <w:lang w:val="en-US"/>
        </w:rPr>
        <w:t>ALL of</w:t>
      </w:r>
      <w:proofErr w:type="gramEnd"/>
      <w:r w:rsidRPr="40ACBEC3">
        <w:rPr>
          <w:rFonts w:cstheme="minorBidi"/>
          <w:lang w:val="en-US"/>
        </w:rPr>
        <w:t xml:space="preserve"> the</w:t>
      </w:r>
    </w:p>
    <w:p w14:paraId="164133FE" w14:textId="77777777" w:rsidR="003C6B3E" w:rsidRPr="00505EAC" w:rsidRDefault="003C6B3E" w:rsidP="003C6B3E">
      <w:pPr>
        <w:autoSpaceDE w:val="0"/>
        <w:autoSpaceDN w:val="0"/>
        <w:adjustRightInd w:val="0"/>
        <w:snapToGrid w:val="0"/>
        <w:ind w:left="661"/>
        <w:rPr>
          <w:i/>
          <w:color w:val="000000"/>
          <w:lang w:val="x-none"/>
        </w:rPr>
      </w:pPr>
      <w:r w:rsidRPr="00505EAC">
        <w:rPr>
          <w:i/>
          <w:color w:val="000000"/>
          <w:lang w:val="x-none"/>
        </w:rPr>
        <w:t>following:</w:t>
      </w:r>
    </w:p>
    <w:p w14:paraId="5E745457" w14:textId="77777777" w:rsidR="003C6B3E" w:rsidRPr="00505EAC" w:rsidRDefault="003C6B3E" w:rsidP="003C6B3E">
      <w:pPr>
        <w:autoSpaceDE w:val="0"/>
        <w:autoSpaceDN w:val="0"/>
        <w:adjustRightInd w:val="0"/>
        <w:snapToGrid w:val="0"/>
        <w:ind w:left="1021"/>
        <w:rPr>
          <w:i/>
          <w:color w:val="000000"/>
          <w:lang w:val="x-none"/>
        </w:rPr>
      </w:pPr>
      <w:r w:rsidRPr="00505EAC">
        <w:rPr>
          <w:i/>
          <w:color w:val="000000"/>
        </w:rPr>
        <w:t xml:space="preserve"> </w:t>
      </w:r>
      <w:r w:rsidRPr="00505EAC">
        <w:rPr>
          <w:i/>
          <w:color w:val="000000"/>
          <w:lang w:val="x-none"/>
        </w:rPr>
        <w:t>(</w:t>
      </w:r>
      <w:proofErr w:type="spellStart"/>
      <w:r w:rsidRPr="00505EAC">
        <w:rPr>
          <w:i/>
          <w:color w:val="000000"/>
          <w:lang w:val="x-none"/>
        </w:rPr>
        <w:t>i</w:t>
      </w:r>
      <w:proofErr w:type="spellEnd"/>
      <w:r w:rsidRPr="00505EAC">
        <w:rPr>
          <w:i/>
          <w:color w:val="000000"/>
          <w:lang w:val="x-none"/>
        </w:rPr>
        <w:t>) carbon content NOT greater than 0.13%;</w:t>
      </w:r>
    </w:p>
    <w:p w14:paraId="2FD468DF" w14:textId="5FC84FF6" w:rsidR="003C6B3E" w:rsidRPr="00505EAC" w:rsidRDefault="003C6B3E" w:rsidP="40ACBEC3">
      <w:pPr>
        <w:autoSpaceDE w:val="0"/>
        <w:autoSpaceDN w:val="0"/>
        <w:adjustRightInd w:val="0"/>
        <w:snapToGrid w:val="0"/>
        <w:ind w:left="1021"/>
        <w:rPr>
          <w:i/>
          <w:iCs/>
          <w:color w:val="000000"/>
          <w:lang w:val="en-US"/>
        </w:rPr>
      </w:pPr>
      <w:r w:rsidRPr="40ACBEC3">
        <w:rPr>
          <w:i/>
          <w:iCs/>
          <w:color w:val="000000" w:themeColor="text1"/>
          <w:lang w:val="en-US"/>
        </w:rPr>
        <w:t xml:space="preserve">(ii) outside diameter NOT greater than 11.50 </w:t>
      </w:r>
      <w:proofErr w:type="gramStart"/>
      <w:r w:rsidRPr="40ACBEC3">
        <w:rPr>
          <w:i/>
          <w:iCs/>
          <w:color w:val="000000" w:themeColor="text1"/>
          <w:lang w:val="en-US"/>
        </w:rPr>
        <w:t>mm;</w:t>
      </w:r>
      <w:proofErr w:type="gramEnd"/>
    </w:p>
    <w:p w14:paraId="02C7EFA2" w14:textId="60211E92" w:rsidR="003C6B3E" w:rsidRPr="00505EAC" w:rsidRDefault="003C6B3E" w:rsidP="40ACBEC3">
      <w:pPr>
        <w:autoSpaceDE w:val="0"/>
        <w:autoSpaceDN w:val="0"/>
        <w:adjustRightInd w:val="0"/>
        <w:snapToGrid w:val="0"/>
        <w:ind w:left="1021"/>
        <w:rPr>
          <w:i/>
          <w:iCs/>
          <w:color w:val="000000"/>
          <w:lang w:val="en-US"/>
        </w:rPr>
      </w:pPr>
      <w:r w:rsidRPr="40ACBEC3">
        <w:rPr>
          <w:i/>
          <w:iCs/>
          <w:color w:val="000000" w:themeColor="text1"/>
          <w:lang w:val="en-US"/>
        </w:rPr>
        <w:t xml:space="preserve">(iii) wall thickness NOT less than 0.5 mm and NOT greater than 1.0 </w:t>
      </w:r>
      <w:proofErr w:type="gramStart"/>
      <w:r w:rsidRPr="40ACBEC3">
        <w:rPr>
          <w:i/>
          <w:iCs/>
          <w:color w:val="000000" w:themeColor="text1"/>
          <w:lang w:val="en-US"/>
        </w:rPr>
        <w:t>mm;</w:t>
      </w:r>
      <w:proofErr w:type="gramEnd"/>
    </w:p>
    <w:p w14:paraId="4B40CB4E" w14:textId="65AB2A37" w:rsidR="003C6B3E" w:rsidRPr="00505EAC" w:rsidRDefault="003C6B3E" w:rsidP="40ACBEC3">
      <w:pPr>
        <w:autoSpaceDE w:val="0"/>
        <w:autoSpaceDN w:val="0"/>
        <w:adjustRightInd w:val="0"/>
        <w:snapToGrid w:val="0"/>
        <w:ind w:left="596"/>
        <w:rPr>
          <w:i/>
          <w:iCs/>
          <w:color w:val="000000"/>
          <w:lang w:val="en-US"/>
        </w:rPr>
      </w:pPr>
      <w:r w:rsidRPr="40ACBEC3">
        <w:rPr>
          <w:i/>
          <w:iCs/>
          <w:color w:val="000000" w:themeColor="text1"/>
          <w:lang w:val="en-US"/>
        </w:rPr>
        <w:t xml:space="preserve">(b) double wall copper brazed to specification SAE J527, having </w:t>
      </w:r>
      <w:proofErr w:type="gramStart"/>
      <w:r w:rsidRPr="40ACBEC3">
        <w:rPr>
          <w:i/>
          <w:iCs/>
          <w:color w:val="000000" w:themeColor="text1"/>
          <w:lang w:val="en-US"/>
        </w:rPr>
        <w:t>ALL of</w:t>
      </w:r>
      <w:proofErr w:type="gramEnd"/>
      <w:r w:rsidRPr="40ACBEC3">
        <w:rPr>
          <w:i/>
          <w:iCs/>
          <w:color w:val="000000" w:themeColor="text1"/>
          <w:lang w:val="en-US"/>
        </w:rPr>
        <w:t xml:space="preserve"> the</w:t>
      </w:r>
    </w:p>
    <w:p w14:paraId="0FC444AF" w14:textId="77777777" w:rsidR="003C6B3E" w:rsidRPr="00505EAC" w:rsidRDefault="003C6B3E" w:rsidP="003C6B3E">
      <w:pPr>
        <w:autoSpaceDE w:val="0"/>
        <w:autoSpaceDN w:val="0"/>
        <w:adjustRightInd w:val="0"/>
        <w:snapToGrid w:val="0"/>
        <w:ind w:left="596"/>
        <w:rPr>
          <w:i/>
          <w:color w:val="000000"/>
          <w:lang w:val="x-none"/>
        </w:rPr>
      </w:pPr>
      <w:r w:rsidRPr="00505EAC">
        <w:rPr>
          <w:i/>
          <w:color w:val="000000"/>
          <w:lang w:val="x-none"/>
        </w:rPr>
        <w:t>following:</w:t>
      </w:r>
    </w:p>
    <w:p w14:paraId="778BB3C7" w14:textId="6B4B2DEA" w:rsidR="003C6B3E" w:rsidRPr="00505EAC" w:rsidRDefault="003C6B3E" w:rsidP="40ACBEC3">
      <w:pPr>
        <w:autoSpaceDE w:val="0"/>
        <w:autoSpaceDN w:val="0"/>
        <w:adjustRightInd w:val="0"/>
        <w:snapToGrid w:val="0"/>
        <w:ind w:left="1021"/>
        <w:rPr>
          <w:i/>
          <w:iCs/>
          <w:color w:val="000000"/>
          <w:lang w:val="en-US"/>
        </w:rPr>
      </w:pPr>
      <w:r w:rsidRPr="40ACBEC3">
        <w:rPr>
          <w:i/>
          <w:iCs/>
          <w:color w:val="000000" w:themeColor="text1"/>
          <w:lang w:val="en-US"/>
        </w:rPr>
        <w:t>(</w:t>
      </w:r>
      <w:proofErr w:type="spellStart"/>
      <w:r w:rsidRPr="40ACBEC3">
        <w:rPr>
          <w:i/>
          <w:iCs/>
          <w:color w:val="000000" w:themeColor="text1"/>
          <w:lang w:val="en-US"/>
        </w:rPr>
        <w:t>i</w:t>
      </w:r>
      <w:proofErr w:type="spellEnd"/>
      <w:r w:rsidRPr="40ACBEC3">
        <w:rPr>
          <w:i/>
          <w:iCs/>
          <w:color w:val="000000" w:themeColor="text1"/>
          <w:lang w:val="en-US"/>
        </w:rPr>
        <w:t xml:space="preserve">) carbon content NOT greater than </w:t>
      </w:r>
      <w:proofErr w:type="gramStart"/>
      <w:r w:rsidRPr="40ACBEC3">
        <w:rPr>
          <w:i/>
          <w:iCs/>
          <w:color w:val="000000" w:themeColor="text1"/>
          <w:lang w:val="en-US"/>
        </w:rPr>
        <w:t>0.13%;</w:t>
      </w:r>
      <w:proofErr w:type="gramEnd"/>
    </w:p>
    <w:p w14:paraId="457CE110" w14:textId="3E952F7E" w:rsidR="003C6B3E" w:rsidRPr="00505EAC" w:rsidRDefault="003C6B3E" w:rsidP="40ACBEC3">
      <w:pPr>
        <w:autoSpaceDE w:val="0"/>
        <w:autoSpaceDN w:val="0"/>
        <w:adjustRightInd w:val="0"/>
        <w:snapToGrid w:val="0"/>
        <w:ind w:left="1021"/>
        <w:rPr>
          <w:i/>
          <w:iCs/>
          <w:color w:val="000000"/>
          <w:lang w:val="en-US"/>
        </w:rPr>
      </w:pPr>
      <w:r w:rsidRPr="40ACBEC3">
        <w:rPr>
          <w:i/>
          <w:iCs/>
          <w:color w:val="000000" w:themeColor="text1"/>
          <w:lang w:val="en-US"/>
        </w:rPr>
        <w:t xml:space="preserve">(ii) outside diameter NOT greater than 13 </w:t>
      </w:r>
      <w:proofErr w:type="gramStart"/>
      <w:r w:rsidRPr="40ACBEC3">
        <w:rPr>
          <w:i/>
          <w:iCs/>
          <w:color w:val="000000" w:themeColor="text1"/>
          <w:lang w:val="en-US"/>
        </w:rPr>
        <w:t>mm;</w:t>
      </w:r>
      <w:proofErr w:type="gramEnd"/>
    </w:p>
    <w:p w14:paraId="62D301BF" w14:textId="60486270" w:rsidR="003C6B3E" w:rsidRDefault="003C6B3E" w:rsidP="40ACBEC3">
      <w:pPr>
        <w:autoSpaceDE w:val="0"/>
        <w:autoSpaceDN w:val="0"/>
        <w:adjustRightInd w:val="0"/>
        <w:snapToGrid w:val="0"/>
        <w:ind w:left="1021"/>
        <w:rPr>
          <w:i/>
          <w:iCs/>
          <w:color w:val="000000"/>
          <w:lang w:val="en-US"/>
        </w:rPr>
      </w:pPr>
      <w:r w:rsidRPr="40ACBEC3">
        <w:rPr>
          <w:i/>
          <w:iCs/>
          <w:color w:val="000000" w:themeColor="text1"/>
          <w:lang w:val="en-US"/>
        </w:rPr>
        <w:t>(iii) wall thickness NOT less than 0.5 mm and NOT greater than 1.0 mm.</w:t>
      </w:r>
    </w:p>
    <w:p w14:paraId="53F6DB8B" w14:textId="77777777" w:rsidR="003C6B3E" w:rsidRPr="00505EAC" w:rsidRDefault="003C6B3E" w:rsidP="003C6B3E">
      <w:pPr>
        <w:autoSpaceDE w:val="0"/>
        <w:autoSpaceDN w:val="0"/>
        <w:adjustRightInd w:val="0"/>
        <w:snapToGrid w:val="0"/>
        <w:ind w:left="1021"/>
        <w:rPr>
          <w:i/>
          <w:color w:val="000000"/>
          <w:lang w:val="x-none"/>
        </w:rPr>
      </w:pPr>
    </w:p>
    <w:p w14:paraId="4051578F" w14:textId="0824D992" w:rsidR="003C6B3E" w:rsidRPr="003C6B3E" w:rsidRDefault="003C6B3E" w:rsidP="003C6B3E">
      <w:pPr>
        <w:spacing w:line="264" w:lineRule="auto"/>
        <w:rPr>
          <w:sz w:val="22"/>
          <w:szCs w:val="22"/>
        </w:rPr>
      </w:pPr>
      <w:r w:rsidRPr="003C6B3E">
        <w:rPr>
          <w:sz w:val="22"/>
          <w:szCs w:val="22"/>
        </w:rPr>
        <w:t xml:space="preserve">For more information about the Ministerial Exemption Instrument please refer to </w:t>
      </w:r>
      <w:hyperlink r:id="rId20" w:history="1">
        <w:r w:rsidRPr="003C6B3E">
          <w:rPr>
            <w:rStyle w:val="Hyperlink"/>
            <w:sz w:val="22"/>
            <w:szCs w:val="22"/>
          </w:rPr>
          <w:t>EX0090</w:t>
        </w:r>
      </w:hyperlink>
    </w:p>
    <w:p w14:paraId="6FB70A30" w14:textId="08BB58F6" w:rsidR="003C6B3E" w:rsidRDefault="003C6B3E" w:rsidP="003C6B3E">
      <w:pPr>
        <w:rPr>
          <w:b/>
        </w:rPr>
      </w:pPr>
    </w:p>
    <w:p w14:paraId="2FA11F1F" w14:textId="642AAD2F" w:rsidR="003C6B3E" w:rsidRPr="003C6B3E" w:rsidRDefault="00C768D4" w:rsidP="003C6B3E">
      <w:pPr>
        <w:spacing w:line="264" w:lineRule="auto"/>
        <w:rPr>
          <w:rStyle w:val="Hyperlink"/>
          <w:color w:val="auto"/>
          <w:sz w:val="22"/>
          <w:szCs w:val="22"/>
          <w:u w:val="none"/>
        </w:rPr>
      </w:pPr>
      <w:hyperlink r:id="rId21" w:history="1">
        <w:r w:rsidR="003C6B3E" w:rsidRPr="003C6B3E">
          <w:rPr>
            <w:rStyle w:val="Hyperlink"/>
            <w:sz w:val="22"/>
            <w:szCs w:val="22"/>
          </w:rPr>
          <w:t>Ministerial Exemption Instrument No 4 of 2022</w:t>
        </w:r>
      </w:hyperlink>
      <w:r w:rsidR="003C6B3E" w:rsidRPr="003C6B3E">
        <w:rPr>
          <w:rStyle w:val="Hyperlink"/>
          <w:color w:val="auto"/>
          <w:sz w:val="22"/>
          <w:szCs w:val="22"/>
          <w:u w:val="none"/>
        </w:rPr>
        <w:t xml:space="preserve">  effective from 21 December 2021 exempts the following:</w:t>
      </w:r>
    </w:p>
    <w:p w14:paraId="01B61603" w14:textId="77777777" w:rsidR="003C6B3E" w:rsidRPr="003C6B3E" w:rsidRDefault="003C6B3E" w:rsidP="003C6B3E">
      <w:pPr>
        <w:autoSpaceDE w:val="0"/>
        <w:autoSpaceDN w:val="0"/>
        <w:adjustRightInd w:val="0"/>
        <w:snapToGrid w:val="0"/>
        <w:rPr>
          <w:i/>
          <w:color w:val="000000"/>
          <w:sz w:val="22"/>
          <w:szCs w:val="22"/>
          <w:lang w:val="x-none"/>
        </w:rPr>
      </w:pPr>
      <w:r w:rsidRPr="003C6B3E">
        <w:rPr>
          <w:rFonts w:ascii="F2" w:hAnsi="F2" w:cs="F2"/>
          <w:color w:val="000000"/>
          <w:sz w:val="22"/>
          <w:szCs w:val="22"/>
        </w:rPr>
        <w:t xml:space="preserve">              </w:t>
      </w:r>
      <w:r w:rsidRPr="003C6B3E">
        <w:rPr>
          <w:i/>
          <w:color w:val="000000"/>
          <w:sz w:val="22"/>
          <w:szCs w:val="22"/>
          <w:lang w:val="x-none"/>
        </w:rPr>
        <w:t>Chrome plated steel tube in 16mm and 19mm outside diameters.</w:t>
      </w:r>
    </w:p>
    <w:p w14:paraId="4177137B" w14:textId="77777777" w:rsidR="003C6B3E" w:rsidRPr="003C6B3E" w:rsidRDefault="003C6B3E" w:rsidP="003C6B3E">
      <w:pPr>
        <w:autoSpaceDE w:val="0"/>
        <w:autoSpaceDN w:val="0"/>
        <w:adjustRightInd w:val="0"/>
        <w:snapToGrid w:val="0"/>
        <w:rPr>
          <w:i/>
          <w:color w:val="000000"/>
          <w:sz w:val="22"/>
          <w:szCs w:val="22"/>
          <w:lang w:val="x-none"/>
        </w:rPr>
      </w:pPr>
    </w:p>
    <w:p w14:paraId="18B75C8F" w14:textId="26C6693D" w:rsidR="00404D24" w:rsidRPr="00B75791" w:rsidRDefault="003C6B3E" w:rsidP="00B75791">
      <w:pPr>
        <w:spacing w:line="264" w:lineRule="auto"/>
        <w:rPr>
          <w:sz w:val="22"/>
          <w:szCs w:val="22"/>
        </w:rPr>
      </w:pPr>
      <w:r w:rsidRPr="003C6B3E">
        <w:rPr>
          <w:sz w:val="22"/>
          <w:szCs w:val="22"/>
        </w:rPr>
        <w:t xml:space="preserve">For more information about the Ministerial Exemption Instrument please refer to </w:t>
      </w:r>
      <w:hyperlink r:id="rId22" w:history="1">
        <w:r w:rsidRPr="003C6B3E">
          <w:rPr>
            <w:rStyle w:val="Hyperlink"/>
            <w:sz w:val="22"/>
            <w:szCs w:val="22"/>
          </w:rPr>
          <w:t>EX0091</w:t>
        </w:r>
      </w:hyperlink>
    </w:p>
    <w:p w14:paraId="3385651F" w14:textId="0A1F39C5" w:rsidR="0049412A" w:rsidRDefault="0049412A">
      <w:pPr>
        <w:rPr>
          <w:rFonts w:asciiTheme="minorHAnsi" w:hAnsiTheme="minorHAnsi"/>
          <w:b/>
          <w:sz w:val="22"/>
          <w:u w:val="single"/>
        </w:rPr>
      </w:pPr>
    </w:p>
    <w:p w14:paraId="4D7D1A28" w14:textId="1DF0C571" w:rsidR="00F26684" w:rsidRPr="003C6B3E" w:rsidRDefault="00C768D4" w:rsidP="00F26684">
      <w:pPr>
        <w:spacing w:line="264" w:lineRule="auto"/>
        <w:rPr>
          <w:rStyle w:val="Hyperlink"/>
          <w:color w:val="auto"/>
          <w:sz w:val="22"/>
          <w:szCs w:val="22"/>
          <w:u w:val="none"/>
        </w:rPr>
      </w:pPr>
      <w:hyperlink r:id="rId23" w:history="1">
        <w:r w:rsidR="00F26684" w:rsidRPr="00D813FF">
          <w:rPr>
            <w:rStyle w:val="Hyperlink"/>
            <w:sz w:val="22"/>
            <w:szCs w:val="22"/>
          </w:rPr>
          <w:t>Ministerial Exemption Instrument No 1 of 202</w:t>
        </w:r>
        <w:r w:rsidR="007046D0" w:rsidRPr="00D813FF">
          <w:rPr>
            <w:rStyle w:val="Hyperlink"/>
            <w:sz w:val="22"/>
            <w:szCs w:val="22"/>
          </w:rPr>
          <w:t>4</w:t>
        </w:r>
        <w:r w:rsidR="00F26684" w:rsidRPr="00D813FF">
          <w:rPr>
            <w:rStyle w:val="Hyperlink"/>
            <w:sz w:val="22"/>
            <w:szCs w:val="22"/>
          </w:rPr>
          <w:t xml:space="preserve"> </w:t>
        </w:r>
      </w:hyperlink>
      <w:r w:rsidR="00F26684" w:rsidRPr="003C6B3E">
        <w:rPr>
          <w:rStyle w:val="Hyperlink"/>
          <w:color w:val="auto"/>
          <w:sz w:val="22"/>
          <w:szCs w:val="22"/>
          <w:u w:val="none"/>
        </w:rPr>
        <w:t xml:space="preserve"> effective from 2</w:t>
      </w:r>
      <w:r w:rsidR="00DA62E5">
        <w:rPr>
          <w:rStyle w:val="Hyperlink"/>
          <w:color w:val="auto"/>
          <w:sz w:val="22"/>
          <w:szCs w:val="22"/>
          <w:u w:val="none"/>
        </w:rPr>
        <w:t>0</w:t>
      </w:r>
      <w:r w:rsidR="00F26684" w:rsidRPr="003C6B3E">
        <w:rPr>
          <w:rStyle w:val="Hyperlink"/>
          <w:color w:val="auto"/>
          <w:sz w:val="22"/>
          <w:szCs w:val="22"/>
          <w:u w:val="none"/>
        </w:rPr>
        <w:t xml:space="preserve"> December 202</w:t>
      </w:r>
      <w:r w:rsidR="00DA62E5">
        <w:rPr>
          <w:rStyle w:val="Hyperlink"/>
          <w:color w:val="auto"/>
          <w:sz w:val="22"/>
          <w:szCs w:val="22"/>
          <w:u w:val="none"/>
        </w:rPr>
        <w:t>2</w:t>
      </w:r>
      <w:r w:rsidR="00F26684" w:rsidRPr="003C6B3E">
        <w:rPr>
          <w:rStyle w:val="Hyperlink"/>
          <w:color w:val="auto"/>
          <w:sz w:val="22"/>
          <w:szCs w:val="22"/>
          <w:u w:val="none"/>
        </w:rPr>
        <w:t xml:space="preserve"> exempts the following:</w:t>
      </w:r>
    </w:p>
    <w:p w14:paraId="3A7FFD25" w14:textId="77777777" w:rsidR="006E6D8B" w:rsidRDefault="006E6D8B">
      <w:pPr>
        <w:rPr>
          <w:rFonts w:asciiTheme="minorHAnsi" w:hAnsiTheme="minorHAnsi"/>
          <w:b/>
          <w:sz w:val="22"/>
          <w:u w:val="single"/>
        </w:rPr>
      </w:pPr>
    </w:p>
    <w:p w14:paraId="22528829" w14:textId="77777777" w:rsidR="00F26684" w:rsidRPr="00DA62E5" w:rsidRDefault="00F26684" w:rsidP="00F26684">
      <w:pPr>
        <w:pStyle w:val="paragraph"/>
        <w:spacing w:before="0" w:beforeAutospacing="0" w:after="0" w:afterAutospacing="0"/>
        <w:ind w:left="720"/>
        <w:textAlignment w:val="baseline"/>
        <w:rPr>
          <w:rFonts w:asciiTheme="minorHAnsi" w:hAnsiTheme="minorHAnsi" w:cstheme="minorHAnsi"/>
          <w:sz w:val="20"/>
          <w:szCs w:val="20"/>
        </w:rPr>
      </w:pPr>
      <w:r w:rsidRPr="00DA62E5">
        <w:rPr>
          <w:rStyle w:val="normaltextrun"/>
          <w:rFonts w:asciiTheme="minorHAnsi" w:hAnsiTheme="minorHAnsi" w:cstheme="minorHAnsi"/>
          <w:i/>
          <w:iCs/>
          <w:sz w:val="20"/>
          <w:szCs w:val="20"/>
        </w:rPr>
        <w:t>Curtain rods that have a 16 mm outside diameter and a 0.4 mm gauge/wall thickness. They come in powder-coated colours – White, Ivory and Black.</w:t>
      </w:r>
      <w:r w:rsidRPr="00DA62E5">
        <w:rPr>
          <w:rStyle w:val="eop"/>
          <w:rFonts w:asciiTheme="minorHAnsi" w:hAnsiTheme="minorHAnsi" w:cstheme="minorHAnsi"/>
          <w:sz w:val="20"/>
          <w:szCs w:val="20"/>
        </w:rPr>
        <w:t> </w:t>
      </w:r>
    </w:p>
    <w:p w14:paraId="533E4E02" w14:textId="77777777" w:rsidR="00F26684" w:rsidRPr="00DA62E5" w:rsidRDefault="00F26684" w:rsidP="00F26684">
      <w:pPr>
        <w:pStyle w:val="paragraph"/>
        <w:spacing w:before="0" w:beforeAutospacing="0" w:after="0" w:afterAutospacing="0"/>
        <w:ind w:left="720"/>
        <w:textAlignment w:val="baseline"/>
        <w:rPr>
          <w:rFonts w:asciiTheme="minorHAnsi" w:hAnsiTheme="minorHAnsi" w:cstheme="minorHAnsi"/>
          <w:sz w:val="20"/>
          <w:szCs w:val="20"/>
        </w:rPr>
      </w:pPr>
      <w:r w:rsidRPr="00DA62E5">
        <w:rPr>
          <w:rStyle w:val="eop"/>
          <w:rFonts w:asciiTheme="minorHAnsi" w:hAnsiTheme="minorHAnsi" w:cstheme="minorHAnsi"/>
          <w:sz w:val="20"/>
          <w:szCs w:val="20"/>
        </w:rPr>
        <w:t> </w:t>
      </w:r>
    </w:p>
    <w:p w14:paraId="184376A6" w14:textId="77777777" w:rsidR="00F26684" w:rsidRPr="00DA62E5" w:rsidRDefault="00F26684" w:rsidP="00F26684">
      <w:pPr>
        <w:pStyle w:val="paragraph"/>
        <w:spacing w:before="0" w:beforeAutospacing="0" w:after="0" w:afterAutospacing="0"/>
        <w:ind w:left="720"/>
        <w:textAlignment w:val="baseline"/>
        <w:rPr>
          <w:rFonts w:asciiTheme="minorHAnsi" w:hAnsiTheme="minorHAnsi" w:cstheme="minorHAnsi"/>
          <w:sz w:val="20"/>
          <w:szCs w:val="20"/>
        </w:rPr>
      </w:pPr>
      <w:r w:rsidRPr="00DA62E5">
        <w:rPr>
          <w:rStyle w:val="normaltextrun"/>
          <w:rFonts w:asciiTheme="minorHAnsi" w:hAnsiTheme="minorHAnsi" w:cstheme="minorHAnsi"/>
          <w:i/>
          <w:iCs/>
          <w:sz w:val="20"/>
          <w:szCs w:val="20"/>
        </w:rPr>
        <w:t>The curtain rods come in lengths 1metre and 3.5 metres and are individually heat/shrink wrapped and labelled.</w:t>
      </w:r>
      <w:r w:rsidRPr="00DA62E5">
        <w:rPr>
          <w:rStyle w:val="eop"/>
          <w:rFonts w:asciiTheme="minorHAnsi" w:hAnsiTheme="minorHAnsi" w:cstheme="minorHAnsi"/>
          <w:sz w:val="20"/>
          <w:szCs w:val="20"/>
        </w:rPr>
        <w:t> </w:t>
      </w:r>
    </w:p>
    <w:p w14:paraId="6F2B8290" w14:textId="77777777" w:rsidR="00F26684" w:rsidRPr="00DA62E5" w:rsidRDefault="00F26684" w:rsidP="00F26684">
      <w:pPr>
        <w:pStyle w:val="paragraph"/>
        <w:spacing w:before="0" w:beforeAutospacing="0" w:after="0" w:afterAutospacing="0"/>
        <w:ind w:left="720"/>
        <w:textAlignment w:val="baseline"/>
        <w:rPr>
          <w:rFonts w:asciiTheme="minorHAnsi" w:hAnsiTheme="minorHAnsi" w:cstheme="minorHAnsi"/>
          <w:sz w:val="20"/>
          <w:szCs w:val="20"/>
        </w:rPr>
      </w:pPr>
      <w:r w:rsidRPr="00DA62E5">
        <w:rPr>
          <w:rStyle w:val="eop"/>
          <w:rFonts w:asciiTheme="minorHAnsi" w:hAnsiTheme="minorHAnsi" w:cstheme="minorHAnsi"/>
          <w:sz w:val="20"/>
          <w:szCs w:val="20"/>
        </w:rPr>
        <w:t> </w:t>
      </w:r>
    </w:p>
    <w:p w14:paraId="733CBA5B" w14:textId="77777777" w:rsidR="00F26684" w:rsidRPr="00DA62E5" w:rsidRDefault="00F26684" w:rsidP="00F26684">
      <w:pPr>
        <w:pStyle w:val="paragraph"/>
        <w:spacing w:before="0" w:beforeAutospacing="0" w:after="0" w:afterAutospacing="0"/>
        <w:ind w:left="720"/>
        <w:textAlignment w:val="baseline"/>
        <w:rPr>
          <w:rFonts w:asciiTheme="minorHAnsi" w:hAnsiTheme="minorHAnsi" w:cstheme="minorHAnsi"/>
          <w:sz w:val="20"/>
          <w:szCs w:val="20"/>
        </w:rPr>
      </w:pPr>
      <w:r w:rsidRPr="00DA62E5">
        <w:rPr>
          <w:rStyle w:val="normaltextrun"/>
          <w:rFonts w:asciiTheme="minorHAnsi" w:hAnsiTheme="minorHAnsi" w:cstheme="minorHAnsi"/>
          <w:i/>
          <w:iCs/>
          <w:sz w:val="20"/>
          <w:szCs w:val="20"/>
        </w:rPr>
        <w:t>The curtain rods are made of A class hot-rolled strip metal comprising of 0.12% carbon and are made using a roll forming process and a longitudinal welding technique.</w:t>
      </w:r>
      <w:r w:rsidRPr="00DA62E5">
        <w:rPr>
          <w:rStyle w:val="eop"/>
          <w:rFonts w:asciiTheme="minorHAnsi" w:hAnsiTheme="minorHAnsi" w:cstheme="minorHAnsi"/>
          <w:sz w:val="20"/>
          <w:szCs w:val="20"/>
        </w:rPr>
        <w:t> </w:t>
      </w:r>
    </w:p>
    <w:p w14:paraId="286BD365" w14:textId="77777777" w:rsidR="00F26684" w:rsidRDefault="00F26684">
      <w:pPr>
        <w:rPr>
          <w:rFonts w:asciiTheme="minorHAnsi" w:hAnsiTheme="minorHAnsi"/>
          <w:b/>
          <w:sz w:val="22"/>
          <w:u w:val="single"/>
        </w:rPr>
      </w:pPr>
    </w:p>
    <w:p w14:paraId="7B610540" w14:textId="77777777" w:rsidR="00B75791" w:rsidRPr="00EF1380" w:rsidRDefault="00B75791" w:rsidP="00B75791">
      <w:pPr>
        <w:spacing w:line="264" w:lineRule="auto"/>
        <w:rPr>
          <w:b/>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24" w:history="1">
        <w:r w:rsidRPr="00C6779B">
          <w:rPr>
            <w:rStyle w:val="Hyperlink"/>
          </w:rPr>
          <w:t>EX0097</w:t>
        </w:r>
      </w:hyperlink>
    </w:p>
    <w:p w14:paraId="5E7FBCF5" w14:textId="77777777" w:rsidR="00F26684" w:rsidRDefault="00F26684">
      <w:pPr>
        <w:rPr>
          <w:rFonts w:asciiTheme="minorHAnsi" w:hAnsiTheme="minorHAnsi"/>
          <w:b/>
          <w:sz w:val="22"/>
          <w:u w:val="single"/>
        </w:rPr>
      </w:pPr>
    </w:p>
    <w:p w14:paraId="3D7B321E" w14:textId="77777777" w:rsidR="00346C8C" w:rsidRDefault="00346C8C">
      <w:pPr>
        <w:rPr>
          <w:rFonts w:asciiTheme="minorHAnsi" w:hAnsiTheme="minorHAnsi"/>
          <w:b/>
          <w:sz w:val="22"/>
          <w:u w:val="single"/>
        </w:rPr>
      </w:pPr>
    </w:p>
    <w:p w14:paraId="0805828C" w14:textId="77777777" w:rsidR="00346C8C" w:rsidRDefault="00346C8C">
      <w:pPr>
        <w:rPr>
          <w:rFonts w:asciiTheme="minorHAnsi" w:hAnsiTheme="minorHAnsi"/>
          <w:b/>
          <w:sz w:val="22"/>
          <w:u w:val="single"/>
        </w:rPr>
      </w:pPr>
    </w:p>
    <w:p w14:paraId="51D8B884" w14:textId="77777777" w:rsidR="00346C8C" w:rsidRDefault="00346C8C">
      <w:pPr>
        <w:rPr>
          <w:rFonts w:asciiTheme="minorHAnsi" w:hAnsiTheme="minorHAnsi"/>
          <w:b/>
          <w:sz w:val="22"/>
          <w:u w:val="single"/>
        </w:rPr>
      </w:pP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lastRenderedPageBreak/>
        <w:t>Please Note:</w:t>
      </w:r>
    </w:p>
    <w:p w14:paraId="68BAC5BC" w14:textId="77777777" w:rsidR="00333E35" w:rsidRDefault="00333E35" w:rsidP="003C6B3E">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3C6B3E">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3C6B3E">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29091558"/>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87487">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68BAC5C5" w14:textId="35B9DE99" w:rsidR="0049412A" w:rsidRPr="00487487" w:rsidRDefault="00487487" w:rsidP="0049412A">
            <w:pPr>
              <w:jc w:val="center"/>
              <w:rPr>
                <w:rFonts w:cs="Calibri"/>
                <w:color w:val="000000"/>
                <w:sz w:val="22"/>
                <w:szCs w:val="22"/>
              </w:rPr>
            </w:pPr>
            <w:r w:rsidRPr="00487487">
              <w:rPr>
                <w:rFonts w:cs="Calibri"/>
                <w:color w:val="000000"/>
                <w:sz w:val="22"/>
                <w:szCs w:val="22"/>
              </w:rPr>
              <w:t>7306.30.00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68BAC5C6" w14:textId="4F05EAB8" w:rsidR="0049412A" w:rsidRPr="00487487" w:rsidRDefault="00487487" w:rsidP="0049412A">
            <w:pPr>
              <w:jc w:val="center"/>
              <w:rPr>
                <w:rFonts w:cs="Calibri"/>
                <w:color w:val="000000"/>
                <w:sz w:val="22"/>
                <w:szCs w:val="22"/>
              </w:rPr>
            </w:pPr>
            <w:r w:rsidRPr="00487487">
              <w:rPr>
                <w:rFonts w:cs="Calibri"/>
                <w:color w:val="000000"/>
                <w:sz w:val="22"/>
                <w:szCs w:val="22"/>
              </w:rPr>
              <w:t>30</w:t>
            </w:r>
          </w:p>
        </w:tc>
      </w:tr>
      <w:tr w:rsidR="0049412A" w:rsidRPr="00507BCF" w14:paraId="5BE9E321" w14:textId="77777777" w:rsidTr="00407429">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4B22AA8" w14:textId="1C2808BA" w:rsidR="0049412A" w:rsidRPr="00487487" w:rsidRDefault="00487487" w:rsidP="0049412A">
            <w:pPr>
              <w:jc w:val="center"/>
              <w:rPr>
                <w:rFonts w:cs="Calibri"/>
                <w:color w:val="000000"/>
                <w:sz w:val="22"/>
                <w:szCs w:val="22"/>
              </w:rPr>
            </w:pPr>
            <w:r w:rsidRPr="00487487">
              <w:rPr>
                <w:rFonts w:cs="Calibri"/>
                <w:color w:val="000000"/>
                <w:sz w:val="22"/>
                <w:szCs w:val="22"/>
              </w:rPr>
              <w:t>7306.50.00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21B49C5" w14:textId="78000459" w:rsidR="0049412A" w:rsidRPr="00487487" w:rsidRDefault="00487487" w:rsidP="0049412A">
            <w:pPr>
              <w:jc w:val="center"/>
              <w:rPr>
                <w:rFonts w:cs="Calibri"/>
                <w:color w:val="000000"/>
                <w:sz w:val="22"/>
                <w:szCs w:val="22"/>
              </w:rPr>
            </w:pPr>
            <w:r w:rsidRPr="00487487">
              <w:rPr>
                <w:rFonts w:cs="Calibri"/>
                <w:color w:val="000000"/>
                <w:sz w:val="22"/>
                <w:szCs w:val="22"/>
              </w:rPr>
              <w:t>45</w:t>
            </w:r>
          </w:p>
        </w:tc>
      </w:tr>
      <w:tr w:rsidR="0049412A" w:rsidRPr="00507BCF" w14:paraId="1411D717" w14:textId="77777777" w:rsidTr="00407429">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04F613F" w14:textId="2D776281" w:rsidR="0049412A" w:rsidRPr="00487487" w:rsidRDefault="00487487" w:rsidP="0049412A">
            <w:pPr>
              <w:jc w:val="center"/>
              <w:rPr>
                <w:rFonts w:cs="Calibri"/>
                <w:color w:val="000000"/>
                <w:sz w:val="22"/>
                <w:szCs w:val="22"/>
              </w:rPr>
            </w:pPr>
            <w:r w:rsidRPr="00487487">
              <w:rPr>
                <w:rFonts w:cs="Calibri"/>
                <w:color w:val="000000"/>
                <w:sz w:val="22"/>
                <w:szCs w:val="22"/>
              </w:rPr>
              <w:t>7306.61.00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205265A3" w14:textId="10EF983B" w:rsidR="0049412A" w:rsidRPr="00487487" w:rsidRDefault="00487487" w:rsidP="0049412A">
            <w:pPr>
              <w:jc w:val="center"/>
              <w:rPr>
                <w:rFonts w:cs="Calibri"/>
                <w:color w:val="000000"/>
                <w:sz w:val="22"/>
                <w:szCs w:val="22"/>
              </w:rPr>
            </w:pPr>
            <w:r w:rsidRPr="00487487">
              <w:rPr>
                <w:rFonts w:cs="Calibri"/>
                <w:color w:val="000000"/>
                <w:sz w:val="22"/>
                <w:szCs w:val="22"/>
              </w:rPr>
              <w:t>21</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25"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603A5502" w:rsidR="00075815" w:rsidRPr="006F7A4C" w:rsidRDefault="00D32CC1" w:rsidP="006F7A4C">
      <w:pPr>
        <w:pStyle w:val="Heading1"/>
        <w:spacing w:after="240"/>
        <w:rPr>
          <w:sz w:val="28"/>
          <w:szCs w:val="28"/>
        </w:rPr>
      </w:pPr>
      <w:bookmarkStart w:id="21" w:name="_Toc129091559"/>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w:t>
      </w:r>
      <w:r w:rsidR="00A93CCE">
        <w:rPr>
          <w:sz w:val="28"/>
          <w:szCs w:val="28"/>
        </w:rPr>
        <w:t>)</w:t>
      </w:r>
      <w:r w:rsidR="00075815" w:rsidRPr="006F7A4C">
        <w:rPr>
          <w:sz w:val="28"/>
          <w:szCs w:val="28"/>
        </w:rPr>
        <w:t xml:space="preserve"> will an importer have to pay?</w:t>
      </w:r>
      <w:bookmarkEnd w:id="21"/>
      <w:bookmarkEnd w:id="22"/>
    </w:p>
    <w:p w14:paraId="68BAC5CC" w14:textId="0EC565B0"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Pr>
          <w:rFonts w:asciiTheme="minorHAnsi" w:hAnsiTheme="minorHAnsi"/>
          <w:b/>
          <w:sz w:val="22"/>
          <w:u w:val="single"/>
        </w:rPr>
        <w:t>(</w:t>
      </w:r>
      <w:r w:rsidR="00171281">
        <w:rPr>
          <w:rFonts w:asciiTheme="minorHAnsi" w:hAnsiTheme="minorHAnsi"/>
          <w:b/>
          <w:sz w:val="22"/>
          <w:u w:val="single"/>
        </w:rPr>
        <w:t>Ad Valorem</w:t>
      </w:r>
      <w:r>
        <w:rPr>
          <w:rFonts w:asciiTheme="minorHAnsi" w:hAnsiTheme="minorHAnsi"/>
          <w:b/>
          <w:sz w:val="22"/>
          <w:u w:val="single"/>
        </w:rPr>
        <w:t>)</w:t>
      </w:r>
      <w:r w:rsidR="00631B3E">
        <w:rPr>
          <w:rFonts w:asciiTheme="minorHAnsi" w:hAnsiTheme="minorHAnsi"/>
          <w:b/>
          <w:sz w:val="22"/>
          <w:u w:val="single"/>
        </w:rPr>
        <w:t xml:space="preserve"> </w:t>
      </w:r>
    </w:p>
    <w:p w14:paraId="68BAC5CF" w14:textId="67734CCC" w:rsidR="00464B5A" w:rsidRDefault="00171281" w:rsidP="00171281">
      <w:pPr>
        <w:spacing w:before="120" w:after="60" w:line="264" w:lineRule="auto"/>
        <w:jc w:val="both"/>
        <w:rPr>
          <w:rFonts w:cs="Calibri"/>
          <w:color w:val="000000"/>
          <w:sz w:val="22"/>
          <w:szCs w:val="22"/>
        </w:rPr>
      </w:pPr>
      <w:r w:rsidRPr="0A799327">
        <w:rPr>
          <w:rFonts w:cs="Calibri"/>
          <w:color w:val="000000" w:themeColor="text1"/>
          <w:sz w:val="22"/>
          <w:szCs w:val="22"/>
        </w:rPr>
        <w:t>IDD is in the form of an ad valorem measure. The total IDD liability is calculated by multiplying the dumping export price (DXP) by the applicable IDD ad valorem duty rate.</w:t>
      </w:r>
    </w:p>
    <w:p w14:paraId="33E8658D" w14:textId="58C30B5B"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f how to calculate the IDD</w:t>
      </w:r>
      <w:r w:rsidRPr="00D55328">
        <w:rPr>
          <w:b/>
          <w:sz w:val="22"/>
          <w:szCs w:val="22"/>
          <w:u w:val="single"/>
        </w:rPr>
        <w:t xml:space="preserve"> liability</w:t>
      </w:r>
    </w:p>
    <w:p w14:paraId="758C9F8C" w14:textId="678B6859" w:rsidR="00D55328" w:rsidRPr="00D55328" w:rsidRDefault="00CB683F" w:rsidP="00D55328">
      <w:pPr>
        <w:spacing w:before="120" w:line="264" w:lineRule="auto"/>
        <w:jc w:val="both"/>
        <w:rPr>
          <w:rFonts w:asciiTheme="minorHAnsi" w:hAnsiTheme="minorHAnsi"/>
          <w:sz w:val="22"/>
          <w:u w:val="single"/>
        </w:rPr>
      </w:pPr>
      <w:r>
        <w:rPr>
          <w:rFonts w:asciiTheme="minorHAnsi" w:hAnsiTheme="minorHAnsi"/>
          <w:sz w:val="22"/>
          <w:u w:val="single"/>
        </w:rPr>
        <w:t xml:space="preserve">Ad valorem </w:t>
      </w:r>
      <w:r w:rsidR="00D55328" w:rsidRPr="00D55328">
        <w:rPr>
          <w:rFonts w:asciiTheme="minorHAnsi" w:hAnsiTheme="minorHAnsi"/>
          <w:sz w:val="22"/>
          <w:u w:val="single"/>
        </w:rPr>
        <w:t>measure</w:t>
      </w:r>
    </w:p>
    <w:p w14:paraId="2ED1A915" w14:textId="4C30A7CA"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1259B1D5"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DXP = AUD $1,000 (Free-On-Board (FOB), cash) </w:t>
      </w:r>
    </w:p>
    <w:p w14:paraId="30E91ABF"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IDD ad valorem rate = 10% </w:t>
      </w:r>
    </w:p>
    <w:p w14:paraId="05A76981" w14:textId="77777777" w:rsidR="00D30599" w:rsidRPr="00F6462F" w:rsidRDefault="00D55328" w:rsidP="00407429">
      <w:pPr>
        <w:spacing w:before="120" w:line="264" w:lineRule="auto"/>
        <w:jc w:val="both"/>
        <w:rPr>
          <w:rFonts w:asciiTheme="minorHAnsi" w:hAnsiTheme="minorHAnsi"/>
          <w:sz w:val="22"/>
        </w:rPr>
      </w:pPr>
      <w:r w:rsidRPr="00F6462F">
        <w:rPr>
          <w:rFonts w:asciiTheme="minorHAnsi" w:hAnsiTheme="minorHAnsi"/>
          <w:sz w:val="22"/>
        </w:rPr>
        <w:t>Total IDD liability</w:t>
      </w:r>
    </w:p>
    <w:p w14:paraId="19671750" w14:textId="38DC2743" w:rsidR="00D30599" w:rsidRDefault="00D30599" w:rsidP="00407429">
      <w:pPr>
        <w:spacing w:line="264" w:lineRule="auto"/>
        <w:jc w:val="both"/>
        <w:rPr>
          <w:rFonts w:asciiTheme="minorHAnsi" w:hAnsiTheme="minorHAnsi"/>
          <w:sz w:val="22"/>
        </w:rPr>
      </w:pPr>
      <w:r w:rsidRPr="00407429">
        <w:rPr>
          <w:rFonts w:asciiTheme="minorHAnsi" w:hAnsiTheme="minorHAnsi"/>
          <w:sz w:val="22"/>
        </w:rPr>
        <w:t>The DXP ($1,000) multiplied by the IDD ad valorem rate (10%) - $1,000 x 10% = $100</w:t>
      </w:r>
    </w:p>
    <w:p w14:paraId="70DB00A4" w14:textId="1CB48279" w:rsidR="00A93CCE" w:rsidRDefault="00A93CCE" w:rsidP="00407429">
      <w:pPr>
        <w:spacing w:line="264" w:lineRule="auto"/>
        <w:jc w:val="both"/>
        <w:rPr>
          <w:rFonts w:asciiTheme="minorHAnsi" w:hAnsiTheme="minorHAnsi"/>
          <w:sz w:val="22"/>
        </w:rPr>
      </w:pPr>
    </w:p>
    <w:p w14:paraId="34670DEC" w14:textId="77777777" w:rsidR="00A93CCE" w:rsidRPr="00A93CCE" w:rsidRDefault="00A93CCE" w:rsidP="00A93CCE">
      <w:pPr>
        <w:spacing w:line="264" w:lineRule="auto"/>
        <w:jc w:val="both"/>
        <w:rPr>
          <w:rFonts w:asciiTheme="minorHAnsi" w:hAnsiTheme="minorHAnsi"/>
          <w:b/>
          <w:bCs/>
          <w:sz w:val="22"/>
          <w:u w:val="single"/>
        </w:rPr>
      </w:pPr>
      <w:r w:rsidRPr="00A93CCE">
        <w:rPr>
          <w:rFonts w:asciiTheme="minorHAnsi" w:hAnsiTheme="minorHAnsi"/>
          <w:b/>
          <w:bCs/>
          <w:sz w:val="22"/>
          <w:u w:val="single"/>
        </w:rPr>
        <w:t xml:space="preserve">ICD – only ‘all other exporters’ from China </w:t>
      </w:r>
    </w:p>
    <w:p w14:paraId="53FE2F34" w14:textId="708DE34F" w:rsidR="00A93CCE" w:rsidRPr="00407429" w:rsidRDefault="00A93CCE" w:rsidP="00A93CCE">
      <w:pPr>
        <w:spacing w:line="264" w:lineRule="auto"/>
        <w:jc w:val="both"/>
        <w:rPr>
          <w:rFonts w:asciiTheme="minorHAnsi" w:hAnsiTheme="minorHAnsi"/>
          <w:sz w:val="22"/>
        </w:rPr>
      </w:pPr>
      <w:r w:rsidRPr="00A93CCE">
        <w:rPr>
          <w:rFonts w:asciiTheme="minorHAnsi" w:hAnsiTheme="minorHAnsi"/>
          <w:sz w:val="22"/>
        </w:rPr>
        <w:t>The ICD liability is calculated by multiplying the DXP by the ICD ad valorem duty rate.</w:t>
      </w:r>
    </w:p>
    <w:p w14:paraId="3D2146C9" w14:textId="23671134" w:rsidR="00D55328" w:rsidRPr="006F7A4C" w:rsidRDefault="00D55328" w:rsidP="00D55328">
      <w:pPr>
        <w:pStyle w:val="Heading1"/>
        <w:spacing w:after="240"/>
        <w:rPr>
          <w:sz w:val="28"/>
          <w:szCs w:val="28"/>
        </w:rPr>
      </w:pPr>
      <w:bookmarkStart w:id="23" w:name="_Toc129091560"/>
      <w:r>
        <w:rPr>
          <w:sz w:val="28"/>
          <w:szCs w:val="28"/>
        </w:rPr>
        <w:lastRenderedPageBreak/>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3C6B3E">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3C6B3E">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3C6B3E">
      <w:pPr>
        <w:pStyle w:val="ListParagraph"/>
        <w:numPr>
          <w:ilvl w:val="0"/>
          <w:numId w:val="3"/>
        </w:numPr>
      </w:pPr>
      <w:r w:rsidRPr="009172F0">
        <w:t>Invoice terms = CIF, 60 days</w:t>
      </w:r>
    </w:p>
    <w:p w14:paraId="606AA5F4" w14:textId="77777777" w:rsidR="00D55328" w:rsidRPr="009172F0" w:rsidRDefault="00D55328" w:rsidP="003C6B3E">
      <w:pPr>
        <w:pStyle w:val="ListParagraph"/>
        <w:numPr>
          <w:ilvl w:val="0"/>
          <w:numId w:val="3"/>
        </w:numPr>
      </w:pPr>
      <w:r w:rsidRPr="009172F0">
        <w:t>Specified terms = FOB, cash</w:t>
      </w:r>
    </w:p>
    <w:p w14:paraId="766D5CD3" w14:textId="77777777" w:rsidR="00D55328" w:rsidRPr="004D1704" w:rsidRDefault="00D55328" w:rsidP="003C6B3E">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26"/>
          <w:footerReference w:type="first" r:id="rId27"/>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29091561"/>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0300544">
        <w:tc>
          <w:tcPr>
            <w:tcW w:w="15309" w:type="dxa"/>
            <w:vAlign w:val="center"/>
          </w:tcPr>
          <w:p w14:paraId="68BAC5D6" w14:textId="27A5A78E"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6D5EB9">
              <w:rPr>
                <w:rFonts w:asciiTheme="minorHAnsi" w:hAnsiTheme="minorHAnsi"/>
                <w:b/>
                <w:sz w:val="22"/>
              </w:rPr>
              <w:t>China</w:t>
            </w:r>
            <w:r w:rsidR="00300544">
              <w:rPr>
                <w:rFonts w:asciiTheme="minorHAnsi" w:hAnsiTheme="minorHAnsi"/>
                <w:sz w:val="22"/>
              </w:rPr>
              <w:t xml:space="preserve"> </w:t>
            </w:r>
            <w:r w:rsidR="006D5EB9">
              <w:rPr>
                <w:rFonts w:asciiTheme="minorHAnsi" w:hAnsiTheme="minorHAnsi"/>
                <w:sz w:val="22"/>
              </w:rPr>
              <w:t xml:space="preserve">and </w:t>
            </w:r>
            <w:r w:rsidR="006D5EB9" w:rsidRPr="006D5EB9">
              <w:rPr>
                <w:rFonts w:asciiTheme="minorHAnsi" w:hAnsiTheme="minorHAnsi"/>
                <w:b/>
                <w:bCs/>
                <w:sz w:val="22"/>
              </w:rPr>
              <w:t>Korea</w:t>
            </w:r>
            <w:r w:rsidR="006D5EB9">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6D5EB9">
              <w:rPr>
                <w:rFonts w:asciiTheme="minorHAnsi" w:hAnsiTheme="minorHAnsi"/>
                <w:b/>
                <w:sz w:val="22"/>
              </w:rPr>
              <w:t>29</w:t>
            </w:r>
            <w:r w:rsidR="00F66F28">
              <w:rPr>
                <w:rFonts w:asciiTheme="minorHAnsi" w:hAnsiTheme="minorHAnsi"/>
                <w:b/>
                <w:sz w:val="22"/>
              </w:rPr>
              <w:t xml:space="preserve"> September </w:t>
            </w:r>
            <w:r w:rsidR="00300544">
              <w:rPr>
                <w:rFonts w:asciiTheme="minorHAnsi" w:hAnsiTheme="minorHAnsi"/>
                <w:b/>
                <w:sz w:val="22"/>
              </w:rPr>
              <w:t>202</w:t>
            </w:r>
            <w:r w:rsidR="00F66F28">
              <w:rPr>
                <w:rFonts w:asciiTheme="minorHAnsi" w:hAnsiTheme="minorHAnsi"/>
                <w:b/>
                <w:sz w:val="22"/>
              </w:rPr>
              <w:t>1</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4001"/>
              <w:gridCol w:w="1559"/>
              <w:gridCol w:w="1134"/>
              <w:gridCol w:w="1134"/>
              <w:gridCol w:w="1843"/>
              <w:gridCol w:w="1559"/>
              <w:gridCol w:w="1560"/>
              <w:gridCol w:w="1590"/>
            </w:tblGrid>
            <w:tr w:rsidR="006D5EB9" w14:paraId="68BAC5E0" w14:textId="77777777" w:rsidTr="006D5EB9">
              <w:trPr>
                <w:trHeight w:val="765"/>
              </w:trPr>
              <w:tc>
                <w:tcPr>
                  <w:tcW w:w="4001" w:type="dxa"/>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0C246AEF" w14:textId="77777777" w:rsidR="006D5EB9" w:rsidRDefault="006D5EB9" w:rsidP="00F66F28">
                  <w:pPr>
                    <w:rPr>
                      <w:rFonts w:cs="Calibri"/>
                      <w:b/>
                      <w:bCs/>
                      <w:color w:val="000000"/>
                      <w:szCs w:val="20"/>
                    </w:rPr>
                  </w:pPr>
                  <w:r>
                    <w:rPr>
                      <w:rFonts w:cs="Calibri"/>
                      <w:b/>
                      <w:bCs/>
                      <w:color w:val="000000"/>
                      <w:szCs w:val="20"/>
                    </w:rPr>
                    <w:t xml:space="preserve"> Exporter Name</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14:paraId="68BAC5D9" w14:textId="48015C48" w:rsidR="006D5EB9" w:rsidRDefault="006D5EB9" w:rsidP="006D5EB9">
                  <w:pPr>
                    <w:jc w:val="center"/>
                    <w:rPr>
                      <w:rFonts w:cs="Calibri"/>
                      <w:b/>
                      <w:bCs/>
                      <w:color w:val="000000"/>
                      <w:szCs w:val="20"/>
                    </w:rPr>
                  </w:pPr>
                  <w:r>
                    <w:rPr>
                      <w:rFonts w:cs="Calibri"/>
                      <w:b/>
                      <w:bCs/>
                      <w:color w:val="000000"/>
                      <w:szCs w:val="20"/>
                    </w:rPr>
                    <w:t>CCID</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68BAC5DA" w14:textId="30C7D11A" w:rsidR="006D5EB9" w:rsidRDefault="006D5EB9" w:rsidP="00300544">
                  <w:pPr>
                    <w:jc w:val="center"/>
                    <w:rPr>
                      <w:rFonts w:cs="Calibri"/>
                      <w:b/>
                      <w:bCs/>
                      <w:color w:val="000000"/>
                      <w:szCs w:val="20"/>
                    </w:rPr>
                  </w:pPr>
                  <w:r>
                    <w:rPr>
                      <w:rFonts w:cs="Calibri"/>
                      <w:b/>
                      <w:bCs/>
                      <w:color w:val="000000"/>
                      <w:szCs w:val="20"/>
                    </w:rPr>
                    <w:t>DSN</w:t>
                  </w:r>
                </w:p>
              </w:tc>
              <w:tc>
                <w:tcPr>
                  <w:tcW w:w="1134"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B" w14:textId="77777777" w:rsidR="006D5EB9" w:rsidRDefault="006D5EB9" w:rsidP="00300544">
                  <w:pPr>
                    <w:jc w:val="center"/>
                    <w:rPr>
                      <w:rFonts w:cs="Calibri"/>
                      <w:b/>
                      <w:bCs/>
                      <w:color w:val="000000"/>
                      <w:szCs w:val="20"/>
                    </w:rPr>
                  </w:pPr>
                  <w:r>
                    <w:rPr>
                      <w:rFonts w:cs="Calibri"/>
                      <w:b/>
                      <w:bCs/>
                      <w:color w:val="000000"/>
                      <w:szCs w:val="20"/>
                    </w:rPr>
                    <w:t>Measure</w:t>
                  </w:r>
                </w:p>
              </w:tc>
              <w:tc>
                <w:tcPr>
                  <w:tcW w:w="1843"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C" w14:textId="77777777" w:rsidR="006D5EB9" w:rsidRDefault="006D5EB9" w:rsidP="00300544">
                  <w:pPr>
                    <w:jc w:val="center"/>
                    <w:rPr>
                      <w:rFonts w:cs="Calibri"/>
                      <w:b/>
                      <w:bCs/>
                      <w:color w:val="000000"/>
                      <w:szCs w:val="20"/>
                    </w:rPr>
                  </w:pPr>
                  <w:r>
                    <w:rPr>
                      <w:rFonts w:cs="Calibri"/>
                      <w:b/>
                      <w:bCs/>
                      <w:color w:val="000000"/>
                      <w:szCs w:val="20"/>
                    </w:rPr>
                    <w:t>Measure Type</w:t>
                  </w:r>
                </w:p>
              </w:tc>
              <w:tc>
                <w:tcPr>
                  <w:tcW w:w="1559"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D" w14:textId="5C00B4B2" w:rsidR="006D5EB9" w:rsidRDefault="006D5EB9" w:rsidP="00300544">
                  <w:pPr>
                    <w:jc w:val="center"/>
                    <w:rPr>
                      <w:rFonts w:cs="Calibri"/>
                      <w:b/>
                      <w:bCs/>
                      <w:color w:val="000000"/>
                      <w:szCs w:val="20"/>
                    </w:rPr>
                  </w:pPr>
                  <w:r w:rsidRPr="00D42A93">
                    <w:rPr>
                      <w:rFonts w:cs="Calibri"/>
                      <w:b/>
                      <w:bCs/>
                      <w:color w:val="000000"/>
                      <w:szCs w:val="20"/>
                    </w:rPr>
                    <w:t>ICD Ad Valorem Rate</w:t>
                  </w:r>
                </w:p>
              </w:tc>
              <w:tc>
                <w:tcPr>
                  <w:tcW w:w="1560"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22A98201" w14:textId="6E39311D" w:rsidR="006D5EB9" w:rsidRDefault="006D5EB9" w:rsidP="00300544">
                  <w:pPr>
                    <w:jc w:val="center"/>
                    <w:rPr>
                      <w:rFonts w:cs="Calibri"/>
                      <w:b/>
                      <w:bCs/>
                      <w:color w:val="000000"/>
                      <w:szCs w:val="20"/>
                    </w:rPr>
                  </w:pPr>
                  <w:r w:rsidRPr="00D42A93">
                    <w:rPr>
                      <w:rFonts w:cs="Calibri"/>
                      <w:b/>
                      <w:bCs/>
                      <w:color w:val="000000"/>
                      <w:szCs w:val="20"/>
                    </w:rPr>
                    <w:t>IDD Ad Valorem Rate</w:t>
                  </w:r>
                </w:p>
              </w:tc>
              <w:tc>
                <w:tcPr>
                  <w:tcW w:w="1590" w:type="dxa"/>
                  <w:tcBorders>
                    <w:top w:val="single" w:sz="4" w:space="0" w:color="auto"/>
                    <w:left w:val="nil"/>
                    <w:bottom w:val="single" w:sz="4" w:space="0" w:color="auto"/>
                    <w:right w:val="single" w:sz="4" w:space="0" w:color="auto"/>
                  </w:tcBorders>
                  <w:shd w:val="clear" w:color="000000" w:fill="F2F2F2"/>
                  <w:vAlign w:val="center"/>
                </w:tcPr>
                <w:p w14:paraId="68BAC5DF" w14:textId="35775EBB" w:rsidR="006D5EB9" w:rsidRDefault="006D5EB9" w:rsidP="00300544">
                  <w:pPr>
                    <w:jc w:val="center"/>
                    <w:rPr>
                      <w:rFonts w:cs="Calibri"/>
                      <w:b/>
                      <w:bCs/>
                      <w:color w:val="000000"/>
                      <w:szCs w:val="20"/>
                    </w:rPr>
                  </w:pPr>
                  <w:r>
                    <w:rPr>
                      <w:rFonts w:cs="Calibri"/>
                      <w:b/>
                      <w:bCs/>
                      <w:color w:val="000000"/>
                      <w:szCs w:val="20"/>
                    </w:rPr>
                    <w:t>Export Price terms</w:t>
                  </w:r>
                </w:p>
              </w:tc>
            </w:tr>
            <w:tr w:rsidR="00F66F28" w14:paraId="46B2197F" w14:textId="77777777" w:rsidTr="006D5EB9">
              <w:trPr>
                <w:trHeight w:val="765"/>
              </w:trPr>
              <w:tc>
                <w:tcPr>
                  <w:tcW w:w="14380" w:type="dxa"/>
                  <w:gridSpan w:val="8"/>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tcPr>
                <w:p w14:paraId="69D5B5F3" w14:textId="33E25F5C" w:rsidR="00F66F28" w:rsidRPr="00F66F28" w:rsidRDefault="008112CC" w:rsidP="00F66F28">
                  <w:pPr>
                    <w:rPr>
                      <w:rFonts w:cs="Calibri"/>
                      <w:b/>
                      <w:bCs/>
                      <w:color w:val="000000"/>
                      <w:sz w:val="24"/>
                    </w:rPr>
                  </w:pPr>
                  <w:r>
                    <w:rPr>
                      <w:rFonts w:cs="Calibri"/>
                      <w:b/>
                      <w:bCs/>
                      <w:color w:val="000000"/>
                      <w:sz w:val="24"/>
                    </w:rPr>
                    <w:t xml:space="preserve">  </w:t>
                  </w:r>
                  <w:r w:rsidR="006D5EB9">
                    <w:rPr>
                      <w:rFonts w:cs="Calibri"/>
                      <w:b/>
                      <w:bCs/>
                      <w:color w:val="000000"/>
                      <w:sz w:val="24"/>
                    </w:rPr>
                    <w:t>CHINA</w:t>
                  </w:r>
                </w:p>
              </w:tc>
            </w:tr>
            <w:tr w:rsidR="006D5EB9" w14:paraId="0736FF45" w14:textId="77777777" w:rsidTr="006D5EB9">
              <w:trPr>
                <w:trHeight w:val="680"/>
              </w:trPr>
              <w:tc>
                <w:tcPr>
                  <w:tcW w:w="40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82D6D3" w14:textId="7BECEB47" w:rsidR="006D5EB9" w:rsidRPr="006D5EB9" w:rsidRDefault="006D5EB9" w:rsidP="006D5EB9">
                  <w:pPr>
                    <w:ind w:left="156"/>
                    <w:rPr>
                      <w:rFonts w:cs="Calibri"/>
                      <w:color w:val="000000"/>
                      <w:sz w:val="22"/>
                      <w:szCs w:val="22"/>
                    </w:rPr>
                  </w:pPr>
                  <w:r w:rsidRPr="006D5EB9">
                    <w:rPr>
                      <w:rFonts w:cs="Calibri"/>
                      <w:color w:val="000000"/>
                      <w:sz w:val="22"/>
                      <w:szCs w:val="22"/>
                    </w:rPr>
                    <w:t xml:space="preserve">Dalian </w:t>
                  </w:r>
                  <w:proofErr w:type="spellStart"/>
                  <w:r w:rsidRPr="006D5EB9">
                    <w:rPr>
                      <w:rFonts w:cs="Calibri"/>
                      <w:color w:val="000000"/>
                      <w:sz w:val="22"/>
                      <w:szCs w:val="22"/>
                    </w:rPr>
                    <w:t>Steelforce</w:t>
                  </w:r>
                  <w:proofErr w:type="spellEnd"/>
                  <w:r w:rsidRPr="006D5EB9">
                    <w:rPr>
                      <w:rFonts w:cs="Calibri"/>
                      <w:color w:val="000000"/>
                      <w:sz w:val="22"/>
                      <w:szCs w:val="22"/>
                    </w:rPr>
                    <w:t xml:space="preserve"> Hi Tech Co., Ltd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2750C4" w14:textId="4B0B01F2" w:rsidR="006D5EB9" w:rsidRPr="006D5EB9" w:rsidRDefault="006D5EB9" w:rsidP="006D5EB9">
                  <w:pPr>
                    <w:rPr>
                      <w:rFonts w:cs="Calibri"/>
                      <w:color w:val="000000"/>
                      <w:sz w:val="22"/>
                      <w:szCs w:val="22"/>
                    </w:rPr>
                  </w:pPr>
                  <w:r w:rsidRPr="006D5EB9">
                    <w:rPr>
                      <w:rFonts w:cs="Calibri"/>
                      <w:color w:val="000000"/>
                      <w:sz w:val="22"/>
                      <w:szCs w:val="22"/>
                    </w:rPr>
                    <w:t>CCJ9649694M                    CGK7939746E</w:t>
                  </w:r>
                </w:p>
              </w:tc>
              <w:tc>
                <w:tcPr>
                  <w:tcW w:w="1134" w:type="dxa"/>
                  <w:tcBorders>
                    <w:top w:val="single" w:sz="4" w:space="0" w:color="auto"/>
                    <w:left w:val="nil"/>
                    <w:bottom w:val="single" w:sz="4" w:space="0" w:color="auto"/>
                    <w:right w:val="single" w:sz="4" w:space="0" w:color="auto"/>
                  </w:tcBorders>
                  <w:vAlign w:val="center"/>
                </w:tcPr>
                <w:p w14:paraId="1A524E97" w14:textId="00568433" w:rsidR="006D5EB9" w:rsidRPr="006D5EB9" w:rsidRDefault="006D5EB9" w:rsidP="006D5EB9">
                  <w:pPr>
                    <w:jc w:val="center"/>
                    <w:rPr>
                      <w:rFonts w:cs="Calibri"/>
                      <w:color w:val="000000"/>
                      <w:sz w:val="22"/>
                      <w:szCs w:val="22"/>
                    </w:rPr>
                  </w:pPr>
                  <w:r w:rsidRPr="006D5EB9">
                    <w:rPr>
                      <w:rFonts w:cs="Calibri"/>
                      <w:color w:val="000000"/>
                      <w:sz w:val="22"/>
                      <w:szCs w:val="22"/>
                    </w:rPr>
                    <w:t>303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121A3F7E" w:rsidR="006D5EB9" w:rsidRPr="006D5EB9" w:rsidRDefault="006D5EB9" w:rsidP="006D5EB9">
                  <w:pPr>
                    <w:jc w:val="center"/>
                    <w:rPr>
                      <w:rFonts w:cs="Calibri"/>
                      <w:color w:val="000000"/>
                      <w:sz w:val="22"/>
                      <w:szCs w:val="22"/>
                    </w:rPr>
                  </w:pPr>
                  <w:r w:rsidRPr="006D5EB9">
                    <w:rPr>
                      <w:rFonts w:cs="Calibri"/>
                      <w:color w:val="000000"/>
                      <w:sz w:val="22"/>
                      <w:szCs w:val="22"/>
                    </w:rPr>
                    <w:t>IDD</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140289A3" w:rsidR="006D5EB9" w:rsidRPr="006D5EB9" w:rsidRDefault="006D5EB9" w:rsidP="006D5EB9">
                  <w:pPr>
                    <w:jc w:val="center"/>
                    <w:rPr>
                      <w:rFonts w:cs="Calibri"/>
                      <w:color w:val="000000"/>
                      <w:sz w:val="22"/>
                      <w:szCs w:val="22"/>
                    </w:rPr>
                  </w:pPr>
                  <w:r w:rsidRPr="006D5EB9">
                    <w:rPr>
                      <w:rFonts w:cs="Calibri"/>
                      <w:color w:val="000000"/>
                      <w:sz w:val="22"/>
                      <w:szCs w:val="22"/>
                    </w:rPr>
                    <w:t>Ad Valorem</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4066F149" w:rsidR="006D5EB9" w:rsidRPr="006D5EB9" w:rsidRDefault="006D5EB9" w:rsidP="006D5EB9">
                  <w:pPr>
                    <w:jc w:val="center"/>
                    <w:rPr>
                      <w:rFonts w:cs="Calibri"/>
                      <w:color w:val="000000"/>
                      <w:sz w:val="22"/>
                      <w:szCs w:val="22"/>
                    </w:rPr>
                  </w:pPr>
                  <w:r w:rsidRPr="006D5EB9">
                    <w:rPr>
                      <w:rFonts w:cs="Calibri"/>
                      <w:color w:val="000000"/>
                      <w:sz w:val="22"/>
                      <w:szCs w:val="22"/>
                    </w:rPr>
                    <w:t>N/A</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B49048" w14:textId="48435CF6" w:rsidR="006D5EB9" w:rsidRPr="006D5EB9" w:rsidRDefault="006D5EB9" w:rsidP="006D5EB9">
                  <w:pPr>
                    <w:jc w:val="center"/>
                    <w:rPr>
                      <w:rFonts w:cs="Calibri"/>
                      <w:color w:val="000000"/>
                      <w:sz w:val="22"/>
                      <w:szCs w:val="22"/>
                    </w:rPr>
                  </w:pPr>
                  <w:r w:rsidRPr="006D5EB9">
                    <w:rPr>
                      <w:rFonts w:cs="Calibri"/>
                      <w:color w:val="000000"/>
                      <w:sz w:val="22"/>
                      <w:szCs w:val="22"/>
                    </w:rPr>
                    <w:t>2.9%</w:t>
                  </w:r>
                </w:p>
              </w:tc>
              <w:tc>
                <w:tcPr>
                  <w:tcW w:w="1590" w:type="dxa"/>
                  <w:tcBorders>
                    <w:top w:val="single" w:sz="4" w:space="0" w:color="auto"/>
                    <w:left w:val="nil"/>
                    <w:bottom w:val="single" w:sz="4" w:space="0" w:color="auto"/>
                    <w:right w:val="single" w:sz="4" w:space="0" w:color="auto"/>
                  </w:tcBorders>
                  <w:shd w:val="clear" w:color="auto" w:fill="auto"/>
                  <w:vAlign w:val="center"/>
                </w:tcPr>
                <w:p w14:paraId="52439EFC" w14:textId="5B521472" w:rsidR="006D5EB9" w:rsidRPr="006D5EB9" w:rsidRDefault="006D5EB9" w:rsidP="006D5EB9">
                  <w:pPr>
                    <w:jc w:val="center"/>
                    <w:rPr>
                      <w:rFonts w:cs="Calibri"/>
                      <w:color w:val="000000"/>
                      <w:sz w:val="22"/>
                      <w:szCs w:val="22"/>
                    </w:rPr>
                  </w:pPr>
                  <w:r w:rsidRPr="006D5EB9">
                    <w:rPr>
                      <w:rFonts w:cs="Calibri"/>
                      <w:color w:val="000000"/>
                      <w:sz w:val="22"/>
                      <w:szCs w:val="22"/>
                    </w:rPr>
                    <w:t>FOB, 90 days</w:t>
                  </w:r>
                </w:p>
              </w:tc>
            </w:tr>
            <w:tr w:rsidR="006D5EB9" w14:paraId="05A95D0D" w14:textId="77777777" w:rsidTr="006D5EB9">
              <w:trPr>
                <w:trHeight w:val="680"/>
              </w:trPr>
              <w:tc>
                <w:tcPr>
                  <w:tcW w:w="40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C20625" w14:textId="76E73366" w:rsidR="006D5EB9" w:rsidRPr="006D5EB9" w:rsidRDefault="006D5EB9" w:rsidP="006D5EB9">
                  <w:pPr>
                    <w:ind w:left="156"/>
                    <w:rPr>
                      <w:rFonts w:cs="Calibri"/>
                      <w:color w:val="000000"/>
                      <w:sz w:val="22"/>
                      <w:szCs w:val="22"/>
                    </w:rPr>
                  </w:pPr>
                  <w:r w:rsidRPr="006D5EB9">
                    <w:rPr>
                      <w:rFonts w:cs="Calibri"/>
                      <w:color w:val="000000"/>
                      <w:sz w:val="22"/>
                      <w:szCs w:val="22"/>
                    </w:rPr>
                    <w:t xml:space="preserve">Yantai </w:t>
                  </w:r>
                  <w:proofErr w:type="spellStart"/>
                  <w:r w:rsidRPr="006D5EB9">
                    <w:rPr>
                      <w:rFonts w:cs="Calibri"/>
                      <w:color w:val="000000"/>
                      <w:sz w:val="22"/>
                      <w:szCs w:val="22"/>
                    </w:rPr>
                    <w:t>Aoxin</w:t>
                  </w:r>
                  <w:proofErr w:type="spellEnd"/>
                  <w:r w:rsidRPr="006D5EB9">
                    <w:rPr>
                      <w:rFonts w:cs="Calibri"/>
                      <w:color w:val="000000"/>
                      <w:sz w:val="22"/>
                      <w:szCs w:val="22"/>
                    </w:rPr>
                    <w:t xml:space="preserve"> International Trade Co., Ltd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FBEC0C" w14:textId="1EABD607" w:rsidR="006D5EB9" w:rsidRPr="006D5EB9" w:rsidRDefault="006D5EB9" w:rsidP="006D5EB9">
                  <w:pPr>
                    <w:rPr>
                      <w:rFonts w:cs="Calibri"/>
                      <w:color w:val="000000"/>
                      <w:sz w:val="22"/>
                      <w:szCs w:val="22"/>
                    </w:rPr>
                  </w:pPr>
                  <w:r w:rsidRPr="006D5EB9">
                    <w:rPr>
                      <w:rFonts w:cs="Calibri"/>
                      <w:color w:val="000000"/>
                      <w:sz w:val="22"/>
                      <w:szCs w:val="22"/>
                    </w:rPr>
                    <w:t>CFC6364746Y</w:t>
                  </w:r>
                </w:p>
              </w:tc>
              <w:tc>
                <w:tcPr>
                  <w:tcW w:w="1134" w:type="dxa"/>
                  <w:tcBorders>
                    <w:top w:val="single" w:sz="4" w:space="0" w:color="auto"/>
                    <w:left w:val="nil"/>
                    <w:bottom w:val="single" w:sz="4" w:space="0" w:color="auto"/>
                    <w:right w:val="single" w:sz="4" w:space="0" w:color="auto"/>
                  </w:tcBorders>
                  <w:vAlign w:val="center"/>
                </w:tcPr>
                <w:p w14:paraId="0C9B7575" w14:textId="413E9BB1" w:rsidR="006D5EB9" w:rsidRPr="006D5EB9" w:rsidRDefault="006D5EB9" w:rsidP="006D5EB9">
                  <w:pPr>
                    <w:jc w:val="center"/>
                    <w:rPr>
                      <w:rFonts w:cs="Calibri"/>
                      <w:color w:val="000000"/>
                      <w:sz w:val="22"/>
                      <w:szCs w:val="22"/>
                    </w:rPr>
                  </w:pPr>
                  <w:r w:rsidRPr="006D5EB9">
                    <w:rPr>
                      <w:rFonts w:cs="Calibri"/>
                      <w:color w:val="000000"/>
                      <w:sz w:val="22"/>
                      <w:szCs w:val="22"/>
                    </w:rPr>
                    <w:t>304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F5CEF6" w14:textId="19E7A447" w:rsidR="006D5EB9" w:rsidRPr="006D5EB9" w:rsidRDefault="006D5EB9" w:rsidP="006D5EB9">
                  <w:pPr>
                    <w:jc w:val="center"/>
                    <w:rPr>
                      <w:rFonts w:cs="Calibri"/>
                      <w:color w:val="000000"/>
                      <w:sz w:val="22"/>
                      <w:szCs w:val="22"/>
                    </w:rPr>
                  </w:pPr>
                  <w:r w:rsidRPr="006D5EB9">
                    <w:rPr>
                      <w:rFonts w:cs="Calibri"/>
                      <w:color w:val="000000"/>
                      <w:sz w:val="22"/>
                      <w:szCs w:val="22"/>
                    </w:rPr>
                    <w:t>IDD</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119BD1" w14:textId="6695FC80" w:rsidR="006D5EB9" w:rsidRPr="006D5EB9" w:rsidRDefault="006D5EB9" w:rsidP="006D5EB9">
                  <w:pPr>
                    <w:jc w:val="center"/>
                    <w:rPr>
                      <w:rFonts w:cs="Calibri"/>
                      <w:color w:val="000000"/>
                      <w:sz w:val="22"/>
                      <w:szCs w:val="22"/>
                    </w:rPr>
                  </w:pPr>
                  <w:r w:rsidRPr="006D5EB9">
                    <w:rPr>
                      <w:rFonts w:cs="Calibri"/>
                      <w:color w:val="000000"/>
                      <w:sz w:val="22"/>
                      <w:szCs w:val="22"/>
                    </w:rPr>
                    <w:t>Ad Valorem</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9382B6" w14:textId="2304A9FF" w:rsidR="006D5EB9" w:rsidRPr="006D5EB9" w:rsidRDefault="006D5EB9" w:rsidP="006D5EB9">
                  <w:pPr>
                    <w:jc w:val="center"/>
                    <w:rPr>
                      <w:rFonts w:cs="Calibri"/>
                      <w:color w:val="000000"/>
                      <w:sz w:val="22"/>
                      <w:szCs w:val="22"/>
                    </w:rPr>
                  </w:pPr>
                  <w:r w:rsidRPr="006D5EB9">
                    <w:rPr>
                      <w:rFonts w:cs="Calibri"/>
                      <w:color w:val="000000"/>
                      <w:sz w:val="22"/>
                      <w:szCs w:val="22"/>
                    </w:rPr>
                    <w:t>N/A</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8EEC2F" w14:textId="04FA59E8" w:rsidR="006D5EB9" w:rsidRPr="006D5EB9" w:rsidRDefault="006D5EB9" w:rsidP="006D5EB9">
                  <w:pPr>
                    <w:jc w:val="center"/>
                    <w:rPr>
                      <w:rFonts w:cs="Calibri"/>
                      <w:color w:val="000000"/>
                      <w:sz w:val="22"/>
                      <w:szCs w:val="22"/>
                    </w:rPr>
                  </w:pPr>
                  <w:r w:rsidRPr="006D5EB9">
                    <w:rPr>
                      <w:rFonts w:cs="Calibri"/>
                      <w:color w:val="000000"/>
                      <w:sz w:val="22"/>
                      <w:szCs w:val="22"/>
                    </w:rPr>
                    <w:t>19.7%</w:t>
                  </w:r>
                </w:p>
              </w:tc>
              <w:tc>
                <w:tcPr>
                  <w:tcW w:w="1590" w:type="dxa"/>
                  <w:tcBorders>
                    <w:top w:val="single" w:sz="4" w:space="0" w:color="auto"/>
                    <w:left w:val="nil"/>
                    <w:bottom w:val="single" w:sz="4" w:space="0" w:color="auto"/>
                    <w:right w:val="single" w:sz="4" w:space="0" w:color="auto"/>
                  </w:tcBorders>
                  <w:shd w:val="clear" w:color="auto" w:fill="auto"/>
                  <w:vAlign w:val="center"/>
                </w:tcPr>
                <w:p w14:paraId="3F0A353E" w14:textId="1357CA96" w:rsidR="006D5EB9" w:rsidRPr="006D5EB9" w:rsidRDefault="006D5EB9" w:rsidP="006D5EB9">
                  <w:pPr>
                    <w:jc w:val="center"/>
                    <w:rPr>
                      <w:rFonts w:cs="Calibri"/>
                      <w:color w:val="000000"/>
                      <w:sz w:val="22"/>
                      <w:szCs w:val="22"/>
                    </w:rPr>
                  </w:pPr>
                  <w:r w:rsidRPr="006D5EB9">
                    <w:rPr>
                      <w:rFonts w:cs="Calibri"/>
                      <w:color w:val="000000"/>
                      <w:sz w:val="22"/>
                      <w:szCs w:val="22"/>
                    </w:rPr>
                    <w:t>FOB, 90 days</w:t>
                  </w:r>
                </w:p>
              </w:tc>
            </w:tr>
            <w:tr w:rsidR="006D5EB9" w14:paraId="60A1B95D" w14:textId="77777777" w:rsidTr="00346C8C">
              <w:trPr>
                <w:trHeight w:val="680"/>
              </w:trPr>
              <w:tc>
                <w:tcPr>
                  <w:tcW w:w="55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69D1231" w14:textId="44C6FDCC" w:rsidR="006D5EB9" w:rsidRPr="006D5EB9" w:rsidRDefault="006D5EB9" w:rsidP="006D5EB9">
                  <w:pPr>
                    <w:ind w:left="156"/>
                    <w:rPr>
                      <w:rFonts w:cs="Calibri"/>
                      <w:color w:val="000000"/>
                      <w:sz w:val="22"/>
                      <w:szCs w:val="22"/>
                    </w:rPr>
                  </w:pPr>
                  <w:r w:rsidRPr="006D5EB9">
                    <w:rPr>
                      <w:rFonts w:cs="Calibri"/>
                      <w:sz w:val="22"/>
                      <w:szCs w:val="22"/>
                    </w:rPr>
                    <w:t>All Other Exporters</w:t>
                  </w:r>
                </w:p>
              </w:tc>
              <w:tc>
                <w:tcPr>
                  <w:tcW w:w="1134" w:type="dxa"/>
                  <w:tcBorders>
                    <w:top w:val="single" w:sz="4" w:space="0" w:color="auto"/>
                    <w:left w:val="nil"/>
                    <w:bottom w:val="single" w:sz="4" w:space="0" w:color="auto"/>
                    <w:right w:val="single" w:sz="4" w:space="0" w:color="auto"/>
                  </w:tcBorders>
                  <w:vAlign w:val="center"/>
                </w:tcPr>
                <w:p w14:paraId="22CFAF34" w14:textId="21035ACC" w:rsidR="006D5EB9" w:rsidRPr="006D5EB9" w:rsidRDefault="006D5EB9" w:rsidP="006D5EB9">
                  <w:pPr>
                    <w:jc w:val="center"/>
                    <w:rPr>
                      <w:rFonts w:cs="Calibri"/>
                      <w:color w:val="000000"/>
                      <w:sz w:val="22"/>
                      <w:szCs w:val="22"/>
                    </w:rPr>
                  </w:pPr>
                  <w:r w:rsidRPr="006D5EB9">
                    <w:rPr>
                      <w:rFonts w:cs="Calibri"/>
                      <w:color w:val="000000"/>
                      <w:sz w:val="22"/>
                      <w:szCs w:val="22"/>
                    </w:rPr>
                    <w:t>305</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8129B9" w14:textId="18BEF5DD" w:rsidR="006D5EB9" w:rsidRPr="006D5EB9" w:rsidRDefault="006D5EB9" w:rsidP="006D5EB9">
                  <w:pPr>
                    <w:jc w:val="center"/>
                    <w:rPr>
                      <w:rFonts w:cs="Calibri"/>
                      <w:color w:val="000000"/>
                      <w:sz w:val="22"/>
                      <w:szCs w:val="22"/>
                    </w:rPr>
                  </w:pPr>
                  <w:r w:rsidRPr="006D5EB9">
                    <w:rPr>
                      <w:rFonts w:cs="Calibri"/>
                      <w:color w:val="000000"/>
                      <w:sz w:val="22"/>
                      <w:szCs w:val="22"/>
                    </w:rPr>
                    <w:t>IDD &amp; ICD</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2A4ACA" w14:textId="70EAEA23" w:rsidR="006D5EB9" w:rsidRPr="006D5EB9" w:rsidRDefault="006D5EB9" w:rsidP="006D5EB9">
                  <w:pPr>
                    <w:jc w:val="center"/>
                    <w:rPr>
                      <w:rFonts w:cs="Calibri"/>
                      <w:color w:val="000000"/>
                      <w:sz w:val="22"/>
                      <w:szCs w:val="22"/>
                    </w:rPr>
                  </w:pPr>
                  <w:r w:rsidRPr="006D5EB9">
                    <w:rPr>
                      <w:rFonts w:cs="Calibri"/>
                      <w:color w:val="000000"/>
                      <w:sz w:val="22"/>
                      <w:szCs w:val="22"/>
                    </w:rPr>
                    <w:t>Ad Valorem</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840426" w14:textId="7F252C29" w:rsidR="006D5EB9" w:rsidRPr="006D5EB9" w:rsidRDefault="006D5EB9" w:rsidP="006D5EB9">
                  <w:pPr>
                    <w:jc w:val="center"/>
                    <w:rPr>
                      <w:rFonts w:cs="Calibri"/>
                      <w:color w:val="000000"/>
                      <w:sz w:val="22"/>
                      <w:szCs w:val="22"/>
                    </w:rPr>
                  </w:pPr>
                  <w:r w:rsidRPr="006D5EB9">
                    <w:rPr>
                      <w:rFonts w:cs="Calibri"/>
                      <w:color w:val="000000"/>
                      <w:sz w:val="22"/>
                      <w:szCs w:val="22"/>
                    </w:rPr>
                    <w:t>42.7%</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8205CB" w14:textId="501C0D04" w:rsidR="006D5EB9" w:rsidRPr="006D5EB9" w:rsidRDefault="006D5EB9" w:rsidP="006D5EB9">
                  <w:pPr>
                    <w:jc w:val="center"/>
                    <w:rPr>
                      <w:rFonts w:cs="Calibri"/>
                      <w:color w:val="000000"/>
                      <w:sz w:val="22"/>
                      <w:szCs w:val="22"/>
                    </w:rPr>
                  </w:pPr>
                  <w:r w:rsidRPr="006D5EB9">
                    <w:rPr>
                      <w:rFonts w:cs="Calibri"/>
                      <w:color w:val="000000"/>
                      <w:sz w:val="22"/>
                      <w:szCs w:val="22"/>
                    </w:rPr>
                    <w:t>19.7%</w:t>
                  </w:r>
                </w:p>
              </w:tc>
              <w:tc>
                <w:tcPr>
                  <w:tcW w:w="1590" w:type="dxa"/>
                  <w:tcBorders>
                    <w:top w:val="single" w:sz="4" w:space="0" w:color="auto"/>
                    <w:left w:val="nil"/>
                    <w:bottom w:val="single" w:sz="4" w:space="0" w:color="auto"/>
                    <w:right w:val="single" w:sz="4" w:space="0" w:color="auto"/>
                  </w:tcBorders>
                  <w:shd w:val="clear" w:color="auto" w:fill="auto"/>
                  <w:vAlign w:val="center"/>
                </w:tcPr>
                <w:p w14:paraId="7A9FD455" w14:textId="5F2C307D" w:rsidR="006D5EB9" w:rsidRPr="006D5EB9" w:rsidRDefault="006D5EB9" w:rsidP="006D5EB9">
                  <w:pPr>
                    <w:jc w:val="center"/>
                    <w:rPr>
                      <w:rFonts w:cs="Calibri"/>
                      <w:color w:val="000000"/>
                      <w:sz w:val="22"/>
                      <w:szCs w:val="22"/>
                    </w:rPr>
                  </w:pPr>
                  <w:r w:rsidRPr="006D5EB9">
                    <w:rPr>
                      <w:rFonts w:cs="Calibri"/>
                      <w:color w:val="000000"/>
                      <w:sz w:val="22"/>
                      <w:szCs w:val="22"/>
                    </w:rPr>
                    <w:t>FOB, 90 days</w:t>
                  </w:r>
                </w:p>
              </w:tc>
            </w:tr>
            <w:tr w:rsidR="006D5EB9" w:rsidRPr="00F66F28" w14:paraId="4213F59A" w14:textId="77777777">
              <w:trPr>
                <w:trHeight w:val="765"/>
              </w:trPr>
              <w:tc>
                <w:tcPr>
                  <w:tcW w:w="14380" w:type="dxa"/>
                  <w:gridSpan w:val="8"/>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tcPr>
                <w:p w14:paraId="4D835300" w14:textId="73735B0F" w:rsidR="006D5EB9" w:rsidRPr="00F66F28" w:rsidRDefault="006D5EB9" w:rsidP="006D5EB9">
                  <w:pPr>
                    <w:rPr>
                      <w:rFonts w:cs="Calibri"/>
                      <w:b/>
                      <w:bCs/>
                      <w:color w:val="000000"/>
                      <w:sz w:val="24"/>
                    </w:rPr>
                  </w:pPr>
                  <w:r>
                    <w:rPr>
                      <w:rFonts w:cs="Calibri"/>
                      <w:b/>
                      <w:bCs/>
                      <w:color w:val="000000"/>
                      <w:sz w:val="24"/>
                    </w:rPr>
                    <w:t xml:space="preserve">  KOREA</w:t>
                  </w:r>
                </w:p>
              </w:tc>
            </w:tr>
            <w:tr w:rsidR="006D5EB9" w14:paraId="3AAA5F78" w14:textId="77777777" w:rsidTr="00346C8C">
              <w:trPr>
                <w:trHeight w:val="680"/>
              </w:trPr>
              <w:tc>
                <w:tcPr>
                  <w:tcW w:w="55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3907098" w14:textId="29861F83" w:rsidR="006D5EB9" w:rsidRPr="006D5EB9" w:rsidRDefault="006D5EB9" w:rsidP="006D5EB9">
                  <w:pPr>
                    <w:ind w:left="156"/>
                    <w:rPr>
                      <w:rFonts w:cs="Calibri"/>
                      <w:color w:val="000000"/>
                      <w:sz w:val="22"/>
                      <w:szCs w:val="22"/>
                    </w:rPr>
                  </w:pPr>
                  <w:r w:rsidRPr="006D5EB9">
                    <w:rPr>
                      <w:rFonts w:cs="Calibri"/>
                      <w:sz w:val="22"/>
                      <w:szCs w:val="22"/>
                    </w:rPr>
                    <w:t>All Exporters</w:t>
                  </w:r>
                </w:p>
              </w:tc>
              <w:tc>
                <w:tcPr>
                  <w:tcW w:w="1134" w:type="dxa"/>
                  <w:tcBorders>
                    <w:top w:val="single" w:sz="4" w:space="0" w:color="auto"/>
                    <w:left w:val="nil"/>
                    <w:bottom w:val="single" w:sz="4" w:space="0" w:color="auto"/>
                    <w:right w:val="single" w:sz="4" w:space="0" w:color="auto"/>
                  </w:tcBorders>
                  <w:vAlign w:val="center"/>
                </w:tcPr>
                <w:p w14:paraId="673C4F7B" w14:textId="19739A9E" w:rsidR="006D5EB9" w:rsidRPr="006D5EB9" w:rsidRDefault="006D5EB9" w:rsidP="006D5EB9">
                  <w:pPr>
                    <w:jc w:val="center"/>
                    <w:rPr>
                      <w:rFonts w:cs="Calibri"/>
                      <w:color w:val="000000"/>
                      <w:sz w:val="22"/>
                      <w:szCs w:val="22"/>
                    </w:rPr>
                  </w:pPr>
                  <w:r w:rsidRPr="006D5EB9">
                    <w:rPr>
                      <w:rFonts w:cs="Calibri"/>
                      <w:color w:val="000000"/>
                      <w:sz w:val="22"/>
                      <w:szCs w:val="22"/>
                    </w:rPr>
                    <w:t>306</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C220D7" w14:textId="02FF5174" w:rsidR="006D5EB9" w:rsidRPr="006D5EB9" w:rsidRDefault="006D5EB9" w:rsidP="006D5EB9">
                  <w:pPr>
                    <w:jc w:val="center"/>
                    <w:rPr>
                      <w:rFonts w:cs="Calibri"/>
                      <w:color w:val="000000"/>
                      <w:sz w:val="22"/>
                      <w:szCs w:val="22"/>
                    </w:rPr>
                  </w:pPr>
                  <w:r w:rsidRPr="006D5EB9">
                    <w:rPr>
                      <w:rFonts w:cs="Calibri"/>
                      <w:color w:val="000000"/>
                      <w:sz w:val="22"/>
                      <w:szCs w:val="22"/>
                    </w:rPr>
                    <w:t>IDD</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7294F3" w14:textId="17E48F82" w:rsidR="006D5EB9" w:rsidRPr="006D5EB9" w:rsidRDefault="006D5EB9" w:rsidP="006D5EB9">
                  <w:pPr>
                    <w:jc w:val="center"/>
                    <w:rPr>
                      <w:rFonts w:cs="Calibri"/>
                      <w:color w:val="000000"/>
                      <w:sz w:val="22"/>
                      <w:szCs w:val="22"/>
                    </w:rPr>
                  </w:pPr>
                  <w:r w:rsidRPr="006D5EB9">
                    <w:rPr>
                      <w:rFonts w:cs="Calibri"/>
                      <w:color w:val="000000"/>
                      <w:sz w:val="22"/>
                      <w:szCs w:val="22"/>
                    </w:rPr>
                    <w:t>Ad Valorem</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C8F4A3" w14:textId="366222D4" w:rsidR="006D5EB9" w:rsidRPr="006D5EB9" w:rsidRDefault="006D5EB9" w:rsidP="006D5EB9">
                  <w:pPr>
                    <w:jc w:val="center"/>
                    <w:rPr>
                      <w:rFonts w:cs="Calibri"/>
                      <w:color w:val="000000"/>
                      <w:sz w:val="22"/>
                      <w:szCs w:val="22"/>
                    </w:rPr>
                  </w:pPr>
                  <w:r w:rsidRPr="006D5EB9">
                    <w:rPr>
                      <w:rFonts w:cs="Calibri"/>
                      <w:color w:val="000000"/>
                      <w:sz w:val="22"/>
                      <w:szCs w:val="22"/>
                    </w:rPr>
                    <w:t>N/A</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5DDA32" w14:textId="6DDEFD20" w:rsidR="006D5EB9" w:rsidRPr="006D5EB9" w:rsidRDefault="006D5EB9" w:rsidP="006D5EB9">
                  <w:pPr>
                    <w:jc w:val="center"/>
                    <w:rPr>
                      <w:rFonts w:cs="Calibri"/>
                      <w:color w:val="000000"/>
                      <w:sz w:val="22"/>
                      <w:szCs w:val="22"/>
                    </w:rPr>
                  </w:pPr>
                  <w:r w:rsidRPr="006D5EB9">
                    <w:rPr>
                      <w:rFonts w:cs="Calibri"/>
                      <w:color w:val="000000"/>
                      <w:sz w:val="22"/>
                      <w:szCs w:val="22"/>
                    </w:rPr>
                    <w:t>6.2%</w:t>
                  </w:r>
                </w:p>
              </w:tc>
              <w:tc>
                <w:tcPr>
                  <w:tcW w:w="1590" w:type="dxa"/>
                  <w:tcBorders>
                    <w:top w:val="single" w:sz="4" w:space="0" w:color="auto"/>
                    <w:left w:val="nil"/>
                    <w:bottom w:val="single" w:sz="4" w:space="0" w:color="auto"/>
                    <w:right w:val="single" w:sz="4" w:space="0" w:color="auto"/>
                  </w:tcBorders>
                  <w:shd w:val="clear" w:color="auto" w:fill="auto"/>
                  <w:vAlign w:val="center"/>
                </w:tcPr>
                <w:p w14:paraId="328886DB" w14:textId="1EA193DC" w:rsidR="006D5EB9" w:rsidRPr="006D5EB9" w:rsidRDefault="006D5EB9" w:rsidP="006D5EB9">
                  <w:pPr>
                    <w:jc w:val="center"/>
                    <w:rPr>
                      <w:rFonts w:cs="Calibri"/>
                      <w:color w:val="000000"/>
                      <w:sz w:val="22"/>
                      <w:szCs w:val="22"/>
                    </w:rPr>
                  </w:pPr>
                  <w:r w:rsidRPr="006D5EB9">
                    <w:rPr>
                      <w:rFonts w:cs="Calibri"/>
                      <w:color w:val="000000"/>
                      <w:sz w:val="22"/>
                      <w:szCs w:val="22"/>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3FFCDFC" w14:textId="77777777" w:rsidR="00F66F28" w:rsidRPr="00CB6F8B" w:rsidRDefault="00F66F28" w:rsidP="003C6B3E">
            <w:pPr>
              <w:pStyle w:val="ListParagraph"/>
              <w:numPr>
                <w:ilvl w:val="0"/>
                <w:numId w:val="9"/>
              </w:numPr>
            </w:pPr>
            <w:r w:rsidRPr="00CB6F8B">
              <w:t xml:space="preserve">As </w:t>
            </w:r>
            <w:r>
              <w:t>the measure type is ad valorem</w:t>
            </w:r>
            <w:r w:rsidRPr="00CB6F8B">
              <w:t xml:space="preserve"> there are no confidential instructions.  The </w:t>
            </w:r>
            <w:r>
              <w:t xml:space="preserve">applicable </w:t>
            </w:r>
            <w:r w:rsidRPr="00CB6F8B">
              <w:t xml:space="preserve">IDD rate </w:t>
            </w:r>
            <w:r>
              <w:t>is</w:t>
            </w:r>
            <w:r w:rsidRPr="00CB6F8B">
              <w:t xml:space="preserve"> listed </w:t>
            </w:r>
            <w:r>
              <w:t xml:space="preserve">in the table </w:t>
            </w:r>
            <w:r w:rsidRPr="00CB6F8B">
              <w:t>above.</w:t>
            </w:r>
          </w:p>
          <w:p w14:paraId="68BAC633" w14:textId="0184F035" w:rsidR="003C5ECA" w:rsidRDefault="003C5ECA" w:rsidP="00F66F28">
            <w:pPr>
              <w:ind w:left="360"/>
            </w:pPr>
            <w:r>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29091562"/>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28"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3C6B3E">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3C6B3E">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29091563"/>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3C6B3E">
      <w:pPr>
        <w:pStyle w:val="ListParagraph"/>
      </w:pPr>
      <w:proofErr w:type="gramStart"/>
      <w:r w:rsidRPr="009172F0">
        <w:t>DXP;</w:t>
      </w:r>
      <w:proofErr w:type="gramEnd"/>
    </w:p>
    <w:p w14:paraId="47FB3C78" w14:textId="77777777" w:rsidR="00D55328" w:rsidRPr="009172F0" w:rsidRDefault="00D55328" w:rsidP="003C6B3E">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3C6B3E">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3C6B3E">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3C6B3E">
      <w:pPr>
        <w:pStyle w:val="ListParagraph"/>
      </w:pPr>
      <w:r w:rsidRPr="009172F0">
        <w:t xml:space="preserve">Exporter / supplier; and  </w:t>
      </w:r>
    </w:p>
    <w:p w14:paraId="5B2551D8" w14:textId="77777777" w:rsidR="00D55328" w:rsidRPr="00990899" w:rsidRDefault="00D55328" w:rsidP="003C6B3E">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29091564"/>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34B24F01"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A745E5">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0E4F36F3"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3713C1">
        <w:rPr>
          <w:rFonts w:asciiTheme="minorHAnsi" w:hAnsiTheme="minorHAnsi"/>
          <w:b/>
          <w:sz w:val="22"/>
          <w:szCs w:val="22"/>
        </w:rPr>
        <w:t xml:space="preserve">China </w:t>
      </w:r>
      <w:r w:rsidR="003713C1" w:rsidRPr="003713C1">
        <w:rPr>
          <w:rFonts w:asciiTheme="minorHAnsi" w:hAnsiTheme="minorHAnsi"/>
          <w:bCs/>
          <w:sz w:val="22"/>
          <w:szCs w:val="22"/>
        </w:rPr>
        <w:t>and</w:t>
      </w:r>
      <w:r w:rsidR="003713C1">
        <w:rPr>
          <w:rFonts w:asciiTheme="minorHAnsi" w:hAnsiTheme="minorHAnsi"/>
          <w:b/>
          <w:sz w:val="22"/>
          <w:szCs w:val="22"/>
        </w:rPr>
        <w:t xml:space="preserve"> Korea</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346C8C">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4B1842" w:rsidRPr="009B5BB4" w14:paraId="68BAC6B2" w14:textId="77777777" w:rsidTr="00346C8C">
        <w:trPr>
          <w:trHeight w:val="277"/>
          <w:jc w:val="center"/>
        </w:trPr>
        <w:tc>
          <w:tcPr>
            <w:tcW w:w="4855" w:type="dxa"/>
            <w:shd w:val="clear" w:color="auto" w:fill="auto"/>
            <w:vAlign w:val="center"/>
            <w:hideMark/>
          </w:tcPr>
          <w:p w14:paraId="68BAC6B0" w14:textId="451A9E67" w:rsidR="004B1842" w:rsidRPr="0062419B" w:rsidRDefault="004B1842" w:rsidP="004B1842">
            <w:pPr>
              <w:jc w:val="center"/>
              <w:rPr>
                <w:rFonts w:cs="Calibri"/>
                <w:color w:val="000000"/>
                <w:szCs w:val="20"/>
              </w:rPr>
            </w:pPr>
            <w:r w:rsidRPr="00D42A93">
              <w:rPr>
                <w:rFonts w:cs="Calibri"/>
                <w:color w:val="000000"/>
                <w:szCs w:val="20"/>
              </w:rPr>
              <w:t>28 September 2021 – 27 March 2022</w:t>
            </w:r>
          </w:p>
        </w:tc>
        <w:tc>
          <w:tcPr>
            <w:tcW w:w="4855" w:type="dxa"/>
            <w:shd w:val="clear" w:color="auto" w:fill="auto"/>
            <w:vAlign w:val="center"/>
            <w:hideMark/>
          </w:tcPr>
          <w:p w14:paraId="68BAC6B1" w14:textId="720FC506" w:rsidR="004B1842" w:rsidRPr="0062419B" w:rsidRDefault="004B1842" w:rsidP="004B1842">
            <w:pPr>
              <w:jc w:val="center"/>
              <w:rPr>
                <w:rFonts w:cs="Calibri"/>
                <w:color w:val="000000"/>
                <w:szCs w:val="20"/>
              </w:rPr>
            </w:pPr>
            <w:r w:rsidRPr="00D42A93">
              <w:rPr>
                <w:rFonts w:cs="Calibri"/>
                <w:color w:val="000000"/>
                <w:szCs w:val="20"/>
              </w:rPr>
              <w:t xml:space="preserve">28 March 2022 </w:t>
            </w:r>
            <w:proofErr w:type="gramStart"/>
            <w:r w:rsidRPr="00D42A93">
              <w:rPr>
                <w:rFonts w:cs="Calibri"/>
                <w:color w:val="000000"/>
                <w:szCs w:val="20"/>
              </w:rPr>
              <w:t>–  27</w:t>
            </w:r>
            <w:proofErr w:type="gramEnd"/>
            <w:r w:rsidRPr="00D42A93">
              <w:rPr>
                <w:rFonts w:cs="Calibri"/>
                <w:color w:val="000000"/>
                <w:szCs w:val="20"/>
              </w:rPr>
              <w:t xml:space="preserve"> September 2022</w:t>
            </w:r>
          </w:p>
        </w:tc>
      </w:tr>
      <w:tr w:rsidR="004B1842" w:rsidRPr="009B5BB4" w14:paraId="68BAC6B5" w14:textId="77777777" w:rsidTr="00346C8C">
        <w:trPr>
          <w:trHeight w:val="277"/>
          <w:jc w:val="center"/>
        </w:trPr>
        <w:tc>
          <w:tcPr>
            <w:tcW w:w="4855" w:type="dxa"/>
            <w:shd w:val="clear" w:color="auto" w:fill="auto"/>
            <w:vAlign w:val="center"/>
            <w:hideMark/>
          </w:tcPr>
          <w:p w14:paraId="68BAC6B3" w14:textId="2D01FDA5" w:rsidR="004B1842" w:rsidRPr="0062419B" w:rsidRDefault="004B1842" w:rsidP="004B1842">
            <w:pPr>
              <w:jc w:val="center"/>
              <w:rPr>
                <w:rFonts w:cs="Calibri"/>
                <w:color w:val="000000"/>
                <w:szCs w:val="20"/>
              </w:rPr>
            </w:pPr>
            <w:r w:rsidRPr="00D42A93">
              <w:rPr>
                <w:rFonts w:cs="Calibri"/>
                <w:color w:val="000000"/>
                <w:szCs w:val="20"/>
              </w:rPr>
              <w:t>28 March 2022 – 27 September 2022</w:t>
            </w:r>
          </w:p>
        </w:tc>
        <w:tc>
          <w:tcPr>
            <w:tcW w:w="4855" w:type="dxa"/>
            <w:shd w:val="clear" w:color="auto" w:fill="auto"/>
            <w:vAlign w:val="center"/>
            <w:hideMark/>
          </w:tcPr>
          <w:p w14:paraId="68BAC6B4" w14:textId="18A36861" w:rsidR="004B1842" w:rsidRPr="0062419B" w:rsidRDefault="004B1842" w:rsidP="004B1842">
            <w:pPr>
              <w:jc w:val="center"/>
              <w:rPr>
                <w:rFonts w:cs="Calibri"/>
                <w:color w:val="000000"/>
                <w:szCs w:val="20"/>
              </w:rPr>
            </w:pPr>
            <w:r w:rsidRPr="00D42A93">
              <w:rPr>
                <w:rFonts w:cs="Calibri"/>
                <w:color w:val="000000"/>
                <w:szCs w:val="20"/>
              </w:rPr>
              <w:t>28 September 2022 – 27 March 2023</w:t>
            </w:r>
          </w:p>
        </w:tc>
      </w:tr>
      <w:tr w:rsidR="004B1842" w:rsidRPr="009B5BB4" w14:paraId="68BAC6B8" w14:textId="77777777" w:rsidTr="00346C8C">
        <w:trPr>
          <w:trHeight w:val="277"/>
          <w:jc w:val="center"/>
        </w:trPr>
        <w:tc>
          <w:tcPr>
            <w:tcW w:w="4855" w:type="dxa"/>
            <w:shd w:val="clear" w:color="auto" w:fill="auto"/>
            <w:vAlign w:val="center"/>
            <w:hideMark/>
          </w:tcPr>
          <w:p w14:paraId="68BAC6B6" w14:textId="1642AD0A" w:rsidR="004B1842" w:rsidRPr="0062419B" w:rsidRDefault="004B1842" w:rsidP="004B1842">
            <w:pPr>
              <w:jc w:val="center"/>
              <w:rPr>
                <w:rFonts w:cs="Calibri"/>
                <w:color w:val="000000"/>
                <w:szCs w:val="20"/>
              </w:rPr>
            </w:pPr>
            <w:r w:rsidRPr="00D42A93">
              <w:rPr>
                <w:rFonts w:cs="Calibri"/>
                <w:color w:val="000000"/>
                <w:szCs w:val="20"/>
              </w:rPr>
              <w:t>28 September 2022 – 27 March 2023</w:t>
            </w:r>
          </w:p>
        </w:tc>
        <w:tc>
          <w:tcPr>
            <w:tcW w:w="4855" w:type="dxa"/>
            <w:shd w:val="clear" w:color="auto" w:fill="auto"/>
            <w:vAlign w:val="center"/>
            <w:hideMark/>
          </w:tcPr>
          <w:p w14:paraId="68BAC6B7" w14:textId="52C7355E" w:rsidR="004B1842" w:rsidRPr="0062419B" w:rsidRDefault="004B1842" w:rsidP="004B1842">
            <w:pPr>
              <w:jc w:val="center"/>
              <w:rPr>
                <w:rFonts w:cs="Calibri"/>
                <w:color w:val="000000"/>
                <w:szCs w:val="20"/>
              </w:rPr>
            </w:pPr>
            <w:r w:rsidRPr="00D42A93">
              <w:rPr>
                <w:rFonts w:cs="Calibri"/>
                <w:color w:val="000000"/>
                <w:szCs w:val="20"/>
              </w:rPr>
              <w:t>28 March 2023 – 27 September 2023</w:t>
            </w:r>
          </w:p>
        </w:tc>
      </w:tr>
      <w:tr w:rsidR="004B1842" w:rsidRPr="009B5BB4" w14:paraId="68BAC6BB" w14:textId="77777777" w:rsidTr="00346C8C">
        <w:trPr>
          <w:trHeight w:val="277"/>
          <w:jc w:val="center"/>
        </w:trPr>
        <w:tc>
          <w:tcPr>
            <w:tcW w:w="4855" w:type="dxa"/>
            <w:shd w:val="clear" w:color="auto" w:fill="auto"/>
            <w:vAlign w:val="center"/>
            <w:hideMark/>
          </w:tcPr>
          <w:p w14:paraId="68BAC6B9" w14:textId="10A5B893" w:rsidR="004B1842" w:rsidRPr="0062419B" w:rsidRDefault="004B1842" w:rsidP="004B1842">
            <w:pPr>
              <w:jc w:val="center"/>
              <w:rPr>
                <w:rFonts w:cs="Calibri"/>
                <w:color w:val="000000"/>
                <w:szCs w:val="20"/>
              </w:rPr>
            </w:pPr>
            <w:r w:rsidRPr="00D42A93">
              <w:rPr>
                <w:rFonts w:cs="Calibri"/>
                <w:color w:val="000000"/>
                <w:szCs w:val="20"/>
              </w:rPr>
              <w:t xml:space="preserve">28 March 2023 </w:t>
            </w:r>
            <w:proofErr w:type="gramStart"/>
            <w:r w:rsidRPr="00D42A93">
              <w:rPr>
                <w:rFonts w:cs="Calibri"/>
                <w:color w:val="000000"/>
                <w:szCs w:val="20"/>
              </w:rPr>
              <w:t>–  27</w:t>
            </w:r>
            <w:proofErr w:type="gramEnd"/>
            <w:r w:rsidRPr="00D42A93">
              <w:rPr>
                <w:rFonts w:cs="Calibri"/>
                <w:color w:val="000000"/>
                <w:szCs w:val="20"/>
              </w:rPr>
              <w:t xml:space="preserve"> September 2023</w:t>
            </w:r>
          </w:p>
        </w:tc>
        <w:tc>
          <w:tcPr>
            <w:tcW w:w="4855" w:type="dxa"/>
            <w:shd w:val="clear" w:color="auto" w:fill="auto"/>
            <w:vAlign w:val="center"/>
            <w:hideMark/>
          </w:tcPr>
          <w:p w14:paraId="68BAC6BA" w14:textId="527FE659" w:rsidR="004B1842" w:rsidRPr="0062419B" w:rsidRDefault="004B1842" w:rsidP="004B1842">
            <w:pPr>
              <w:jc w:val="center"/>
              <w:rPr>
                <w:rFonts w:cs="Calibri"/>
                <w:color w:val="000000"/>
                <w:szCs w:val="20"/>
              </w:rPr>
            </w:pPr>
            <w:r w:rsidRPr="00D42A93">
              <w:rPr>
                <w:rFonts w:cs="Calibri"/>
                <w:color w:val="000000"/>
                <w:szCs w:val="20"/>
              </w:rPr>
              <w:t>28 September 2023 – 27 March 2024</w:t>
            </w:r>
          </w:p>
        </w:tc>
      </w:tr>
      <w:tr w:rsidR="004B1842" w:rsidRPr="009B5BB4" w14:paraId="68BAC6BE" w14:textId="77777777" w:rsidTr="00346C8C">
        <w:trPr>
          <w:trHeight w:val="277"/>
          <w:jc w:val="center"/>
        </w:trPr>
        <w:tc>
          <w:tcPr>
            <w:tcW w:w="4855" w:type="dxa"/>
            <w:shd w:val="clear" w:color="auto" w:fill="auto"/>
            <w:vAlign w:val="center"/>
            <w:hideMark/>
          </w:tcPr>
          <w:p w14:paraId="68BAC6BC" w14:textId="24BC867A" w:rsidR="004B1842" w:rsidRPr="0062419B" w:rsidRDefault="004B1842" w:rsidP="004B1842">
            <w:pPr>
              <w:jc w:val="center"/>
              <w:rPr>
                <w:rFonts w:cs="Calibri"/>
                <w:color w:val="000000"/>
                <w:szCs w:val="20"/>
              </w:rPr>
            </w:pPr>
            <w:r w:rsidRPr="00D42A93">
              <w:rPr>
                <w:rFonts w:cs="Calibri"/>
                <w:color w:val="000000"/>
                <w:szCs w:val="20"/>
              </w:rPr>
              <w:t>28 September 2023 – 27 March 2024</w:t>
            </w:r>
          </w:p>
        </w:tc>
        <w:tc>
          <w:tcPr>
            <w:tcW w:w="4855" w:type="dxa"/>
            <w:shd w:val="clear" w:color="auto" w:fill="auto"/>
            <w:vAlign w:val="center"/>
            <w:hideMark/>
          </w:tcPr>
          <w:p w14:paraId="68BAC6BD" w14:textId="11B590DC" w:rsidR="004B1842" w:rsidRPr="0062419B" w:rsidRDefault="004B1842" w:rsidP="004B1842">
            <w:pPr>
              <w:jc w:val="center"/>
              <w:rPr>
                <w:rFonts w:cs="Calibri"/>
                <w:color w:val="000000"/>
                <w:szCs w:val="20"/>
              </w:rPr>
            </w:pPr>
            <w:r w:rsidRPr="00D42A93">
              <w:rPr>
                <w:rFonts w:cs="Calibri"/>
                <w:color w:val="000000"/>
                <w:szCs w:val="20"/>
              </w:rPr>
              <w:t>28 March 2024 – 27 September 2024</w:t>
            </w:r>
          </w:p>
        </w:tc>
      </w:tr>
      <w:tr w:rsidR="004B1842" w:rsidRPr="009B5BB4" w14:paraId="68BAC6C1" w14:textId="77777777" w:rsidTr="00346C8C">
        <w:trPr>
          <w:trHeight w:val="277"/>
          <w:jc w:val="center"/>
        </w:trPr>
        <w:tc>
          <w:tcPr>
            <w:tcW w:w="4855" w:type="dxa"/>
            <w:shd w:val="clear" w:color="auto" w:fill="auto"/>
            <w:vAlign w:val="center"/>
            <w:hideMark/>
          </w:tcPr>
          <w:p w14:paraId="68BAC6BF" w14:textId="259FC1F8" w:rsidR="004B1842" w:rsidRPr="0062419B" w:rsidRDefault="004B1842" w:rsidP="004B1842">
            <w:pPr>
              <w:jc w:val="center"/>
              <w:rPr>
                <w:rFonts w:cs="Calibri"/>
                <w:color w:val="000000"/>
                <w:szCs w:val="20"/>
              </w:rPr>
            </w:pPr>
            <w:r w:rsidRPr="00D42A93">
              <w:rPr>
                <w:rFonts w:cs="Calibri"/>
                <w:color w:val="000000"/>
                <w:szCs w:val="20"/>
              </w:rPr>
              <w:t>28 March 2024 – 27 September 2024</w:t>
            </w:r>
          </w:p>
        </w:tc>
        <w:tc>
          <w:tcPr>
            <w:tcW w:w="4855" w:type="dxa"/>
            <w:shd w:val="clear" w:color="auto" w:fill="auto"/>
            <w:vAlign w:val="center"/>
            <w:hideMark/>
          </w:tcPr>
          <w:p w14:paraId="68BAC6C0" w14:textId="611E607F" w:rsidR="004B1842" w:rsidRPr="0062419B" w:rsidRDefault="004B1842" w:rsidP="004B1842">
            <w:pPr>
              <w:jc w:val="center"/>
              <w:rPr>
                <w:rFonts w:cs="Calibri"/>
                <w:color w:val="000000"/>
                <w:szCs w:val="20"/>
              </w:rPr>
            </w:pPr>
            <w:r w:rsidRPr="00D42A93">
              <w:rPr>
                <w:rFonts w:cs="Calibri"/>
                <w:color w:val="000000"/>
                <w:szCs w:val="20"/>
              </w:rPr>
              <w:t>28 September 2024 – 27 March 2025</w:t>
            </w:r>
          </w:p>
        </w:tc>
      </w:tr>
      <w:tr w:rsidR="004B1842" w:rsidRPr="009B5BB4" w14:paraId="68BAC6C4" w14:textId="77777777" w:rsidTr="00346C8C">
        <w:trPr>
          <w:trHeight w:val="277"/>
          <w:jc w:val="center"/>
        </w:trPr>
        <w:tc>
          <w:tcPr>
            <w:tcW w:w="4855" w:type="dxa"/>
            <w:shd w:val="clear" w:color="auto" w:fill="auto"/>
            <w:vAlign w:val="center"/>
            <w:hideMark/>
          </w:tcPr>
          <w:p w14:paraId="68BAC6C2" w14:textId="0427A8F9" w:rsidR="004B1842" w:rsidRPr="0062419B" w:rsidRDefault="004B1842" w:rsidP="004B1842">
            <w:pPr>
              <w:jc w:val="center"/>
              <w:rPr>
                <w:rFonts w:cs="Calibri"/>
                <w:color w:val="000000"/>
                <w:szCs w:val="20"/>
              </w:rPr>
            </w:pPr>
            <w:r w:rsidRPr="00D42A93">
              <w:rPr>
                <w:rFonts w:cs="Calibri"/>
                <w:color w:val="000000"/>
                <w:szCs w:val="20"/>
              </w:rPr>
              <w:t xml:space="preserve">28 September </w:t>
            </w:r>
            <w:proofErr w:type="gramStart"/>
            <w:r w:rsidRPr="00D42A93">
              <w:rPr>
                <w:rFonts w:cs="Calibri"/>
                <w:color w:val="000000"/>
                <w:szCs w:val="20"/>
              </w:rPr>
              <w:t>2024  –</w:t>
            </w:r>
            <w:proofErr w:type="gramEnd"/>
            <w:r w:rsidRPr="00D42A93">
              <w:rPr>
                <w:rFonts w:cs="Calibri"/>
                <w:color w:val="000000"/>
                <w:szCs w:val="20"/>
              </w:rPr>
              <w:t xml:space="preserve">  27 March 2025</w:t>
            </w:r>
          </w:p>
        </w:tc>
        <w:tc>
          <w:tcPr>
            <w:tcW w:w="4855" w:type="dxa"/>
            <w:shd w:val="clear" w:color="auto" w:fill="auto"/>
            <w:vAlign w:val="center"/>
            <w:hideMark/>
          </w:tcPr>
          <w:p w14:paraId="68BAC6C3" w14:textId="4954F461" w:rsidR="004B1842" w:rsidRPr="0062419B" w:rsidRDefault="004B1842" w:rsidP="004B1842">
            <w:pPr>
              <w:jc w:val="center"/>
              <w:rPr>
                <w:rFonts w:cs="Calibri"/>
                <w:color w:val="000000"/>
                <w:szCs w:val="20"/>
              </w:rPr>
            </w:pPr>
            <w:r w:rsidRPr="00D42A93">
              <w:rPr>
                <w:rFonts w:cs="Calibri"/>
                <w:color w:val="000000"/>
                <w:szCs w:val="20"/>
              </w:rPr>
              <w:t>28 March 2025 – 27 September 2025</w:t>
            </w:r>
          </w:p>
        </w:tc>
      </w:tr>
      <w:tr w:rsidR="004B1842" w:rsidRPr="009B5BB4" w14:paraId="68BAC6C7" w14:textId="77777777" w:rsidTr="00346C8C">
        <w:trPr>
          <w:trHeight w:val="277"/>
          <w:jc w:val="center"/>
        </w:trPr>
        <w:tc>
          <w:tcPr>
            <w:tcW w:w="4855" w:type="dxa"/>
            <w:shd w:val="clear" w:color="auto" w:fill="auto"/>
            <w:vAlign w:val="center"/>
            <w:hideMark/>
          </w:tcPr>
          <w:p w14:paraId="68BAC6C5" w14:textId="5AA97D20" w:rsidR="004B1842" w:rsidRPr="0062419B" w:rsidRDefault="004B1842" w:rsidP="004B1842">
            <w:pPr>
              <w:jc w:val="center"/>
              <w:rPr>
                <w:rFonts w:cs="Calibri"/>
                <w:color w:val="000000"/>
                <w:szCs w:val="20"/>
              </w:rPr>
            </w:pPr>
            <w:r w:rsidRPr="00D42A93">
              <w:rPr>
                <w:rFonts w:cs="Calibri"/>
                <w:color w:val="000000"/>
                <w:szCs w:val="20"/>
              </w:rPr>
              <w:t>28 March 2025 – 27 September 2025</w:t>
            </w:r>
          </w:p>
        </w:tc>
        <w:tc>
          <w:tcPr>
            <w:tcW w:w="4855" w:type="dxa"/>
            <w:shd w:val="clear" w:color="auto" w:fill="auto"/>
            <w:vAlign w:val="center"/>
            <w:hideMark/>
          </w:tcPr>
          <w:p w14:paraId="68BAC6C6" w14:textId="2721A633" w:rsidR="004B1842" w:rsidRPr="0062419B" w:rsidRDefault="004B1842" w:rsidP="004B1842">
            <w:pPr>
              <w:jc w:val="center"/>
              <w:rPr>
                <w:rFonts w:cs="Calibri"/>
                <w:color w:val="000000"/>
                <w:szCs w:val="20"/>
              </w:rPr>
            </w:pPr>
            <w:r w:rsidRPr="00D42A93">
              <w:rPr>
                <w:rFonts w:cs="Calibri"/>
                <w:color w:val="000000"/>
                <w:szCs w:val="20"/>
              </w:rPr>
              <w:t>28 September 2025 – 27 March 2026</w:t>
            </w:r>
          </w:p>
        </w:tc>
      </w:tr>
      <w:tr w:rsidR="004B1842" w:rsidRPr="009B5BB4" w14:paraId="68BAC6CA" w14:textId="77777777" w:rsidTr="00346C8C">
        <w:trPr>
          <w:trHeight w:val="277"/>
          <w:jc w:val="center"/>
        </w:trPr>
        <w:tc>
          <w:tcPr>
            <w:tcW w:w="4855" w:type="dxa"/>
            <w:shd w:val="clear" w:color="auto" w:fill="auto"/>
            <w:vAlign w:val="center"/>
            <w:hideMark/>
          </w:tcPr>
          <w:p w14:paraId="68BAC6C8" w14:textId="64A201B1" w:rsidR="004B1842" w:rsidRPr="0062419B" w:rsidRDefault="004B1842" w:rsidP="004B1842">
            <w:pPr>
              <w:jc w:val="center"/>
              <w:rPr>
                <w:rFonts w:cs="Calibri"/>
                <w:color w:val="000000"/>
                <w:szCs w:val="20"/>
              </w:rPr>
            </w:pPr>
            <w:r w:rsidRPr="00D42A93">
              <w:rPr>
                <w:rFonts w:cs="Calibri"/>
                <w:color w:val="000000"/>
                <w:szCs w:val="20"/>
              </w:rPr>
              <w:t>28 September 2025 – 27 March 2026</w:t>
            </w:r>
          </w:p>
        </w:tc>
        <w:tc>
          <w:tcPr>
            <w:tcW w:w="4855" w:type="dxa"/>
            <w:shd w:val="clear" w:color="auto" w:fill="auto"/>
            <w:vAlign w:val="center"/>
            <w:hideMark/>
          </w:tcPr>
          <w:p w14:paraId="68BAC6C9" w14:textId="322D4A99" w:rsidR="004B1842" w:rsidRPr="0062419B" w:rsidRDefault="004B1842" w:rsidP="004B1842">
            <w:pPr>
              <w:jc w:val="center"/>
              <w:rPr>
                <w:rFonts w:cs="Calibri"/>
                <w:color w:val="000000"/>
                <w:szCs w:val="20"/>
              </w:rPr>
            </w:pPr>
            <w:r w:rsidRPr="00D42A93">
              <w:rPr>
                <w:rFonts w:cs="Calibri"/>
                <w:color w:val="000000"/>
                <w:szCs w:val="20"/>
              </w:rPr>
              <w:t>28 March 2026 – 27 September 2026</w:t>
            </w:r>
          </w:p>
        </w:tc>
      </w:tr>
      <w:tr w:rsidR="004B1842" w:rsidRPr="009B5BB4" w14:paraId="68BAC6CD" w14:textId="77777777" w:rsidTr="00346C8C">
        <w:trPr>
          <w:trHeight w:val="277"/>
          <w:jc w:val="center"/>
        </w:trPr>
        <w:tc>
          <w:tcPr>
            <w:tcW w:w="4855" w:type="dxa"/>
            <w:shd w:val="clear" w:color="auto" w:fill="auto"/>
            <w:vAlign w:val="center"/>
            <w:hideMark/>
          </w:tcPr>
          <w:p w14:paraId="68BAC6CB" w14:textId="50E8D0A4" w:rsidR="004B1842" w:rsidRPr="0062419B" w:rsidRDefault="004B1842" w:rsidP="004B1842">
            <w:pPr>
              <w:jc w:val="center"/>
              <w:rPr>
                <w:rFonts w:cs="Calibri"/>
                <w:color w:val="000000"/>
                <w:szCs w:val="20"/>
              </w:rPr>
            </w:pPr>
            <w:r w:rsidRPr="00D42A93">
              <w:rPr>
                <w:rFonts w:cs="Calibri"/>
                <w:color w:val="000000"/>
                <w:szCs w:val="20"/>
              </w:rPr>
              <w:t>28 March 2026 – 28 September 2026</w:t>
            </w:r>
          </w:p>
        </w:tc>
        <w:tc>
          <w:tcPr>
            <w:tcW w:w="4855" w:type="dxa"/>
            <w:shd w:val="clear" w:color="auto" w:fill="auto"/>
            <w:vAlign w:val="center"/>
            <w:hideMark/>
          </w:tcPr>
          <w:p w14:paraId="68BAC6CC" w14:textId="1DB1E9E2" w:rsidR="004B1842" w:rsidRPr="0062419B" w:rsidRDefault="004B1842" w:rsidP="004B1842">
            <w:pPr>
              <w:jc w:val="center"/>
              <w:rPr>
                <w:rFonts w:cs="Calibri"/>
                <w:color w:val="000000"/>
                <w:szCs w:val="20"/>
              </w:rPr>
            </w:pPr>
            <w:r w:rsidRPr="00D42A93">
              <w:rPr>
                <w:rFonts w:cs="Calibri"/>
                <w:color w:val="000000"/>
                <w:szCs w:val="20"/>
              </w:rPr>
              <w:t>29 September 2026 – 27 March 2027</w:t>
            </w:r>
          </w:p>
        </w:tc>
      </w:tr>
    </w:tbl>
    <w:p w14:paraId="68BAC6CE" w14:textId="2843F356" w:rsidR="003F2C42" w:rsidRDefault="00A945BE" w:rsidP="00E4346B">
      <w:pPr>
        <w:spacing w:before="60" w:line="264" w:lineRule="auto"/>
        <w:jc w:val="both"/>
        <w:rPr>
          <w:rFonts w:cs="Calibri"/>
          <w:sz w:val="22"/>
          <w:szCs w:val="22"/>
        </w:rPr>
      </w:pPr>
      <w:r>
        <w:rPr>
          <w:rFonts w:cs="Calibri"/>
          <w:sz w:val="22"/>
          <w:szCs w:val="22"/>
        </w:rPr>
        <w:t xml:space="preserve">*Applications must be received by the commission as per </w:t>
      </w:r>
      <w:hyperlink r:id="rId29" w:history="1">
        <w:r>
          <w:rPr>
            <w:rStyle w:val="Hyperlink"/>
            <w:rFonts w:cs="Calibri"/>
            <w:sz w:val="22"/>
            <w:szCs w:val="22"/>
          </w:rPr>
          <w:t>Anti-Dumping Notice 2024/075</w:t>
        </w:r>
      </w:hyperlink>
      <w:r>
        <w:rPr>
          <w:rFonts w:cs="Calibri"/>
          <w:sz w:val="22"/>
          <w:szCs w:val="22"/>
        </w:rPr>
        <w:t>.</w:t>
      </w:r>
    </w:p>
    <w:p w14:paraId="459EE3C6" w14:textId="77777777" w:rsidR="00A945BE" w:rsidRDefault="00A945BE"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30"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75BE2B63" w:rsidR="009A007D" w:rsidRPr="00601DD5" w:rsidRDefault="000B3B0F" w:rsidP="0062419B">
      <w:pPr>
        <w:pStyle w:val="Heading1"/>
        <w:rPr>
          <w:sz w:val="28"/>
          <w:szCs w:val="28"/>
        </w:rPr>
      </w:pPr>
      <w:bookmarkStart w:id="30" w:name="_Toc129091565"/>
      <w:r w:rsidRPr="0062419B">
        <w:rPr>
          <w:sz w:val="28"/>
          <w:szCs w:val="28"/>
        </w:rPr>
        <w:t>1</w:t>
      </w:r>
      <w:r w:rsidR="00D55328" w:rsidRPr="0062419B">
        <w:rPr>
          <w:sz w:val="28"/>
          <w:szCs w:val="28"/>
        </w:rPr>
        <w:t>0</w:t>
      </w:r>
      <w:r w:rsidRPr="0062419B">
        <w:rPr>
          <w:sz w:val="28"/>
          <w:szCs w:val="28"/>
        </w:rPr>
        <w:t xml:space="preserve">. </w:t>
      </w:r>
      <w:r w:rsidR="002A020B" w:rsidRPr="00601DD5">
        <w:rPr>
          <w:sz w:val="28"/>
          <w:szCs w:val="28"/>
        </w:rPr>
        <w:t>DCR changes including links to key reports and notices for measures on P</w:t>
      </w:r>
      <w:r w:rsidR="004B1842" w:rsidRPr="00601DD5">
        <w:rPr>
          <w:sz w:val="28"/>
          <w:szCs w:val="28"/>
        </w:rPr>
        <w:t xml:space="preserve">recision </w:t>
      </w:r>
      <w:r w:rsidR="002A020B" w:rsidRPr="00601DD5">
        <w:rPr>
          <w:sz w:val="28"/>
          <w:szCs w:val="28"/>
        </w:rPr>
        <w:t>P</w:t>
      </w:r>
      <w:r w:rsidR="004B1842" w:rsidRPr="00601DD5">
        <w:rPr>
          <w:sz w:val="28"/>
          <w:szCs w:val="28"/>
        </w:rPr>
        <w:t xml:space="preserve">ipe and </w:t>
      </w:r>
      <w:r w:rsidR="002A020B" w:rsidRPr="00601DD5">
        <w:rPr>
          <w:sz w:val="28"/>
          <w:szCs w:val="28"/>
        </w:rPr>
        <w:t>T</w:t>
      </w:r>
      <w:r w:rsidR="004B1842" w:rsidRPr="00601DD5">
        <w:rPr>
          <w:sz w:val="28"/>
          <w:szCs w:val="28"/>
        </w:rPr>
        <w:t xml:space="preserve">ube </w:t>
      </w:r>
      <w:r w:rsidR="002A020B" w:rsidRPr="00601DD5">
        <w:rPr>
          <w:sz w:val="28"/>
          <w:szCs w:val="28"/>
        </w:rPr>
        <w:t>S</w:t>
      </w:r>
      <w:r w:rsidR="004B1842" w:rsidRPr="00601DD5">
        <w:rPr>
          <w:sz w:val="28"/>
          <w:szCs w:val="28"/>
        </w:rPr>
        <w:t>teel</w:t>
      </w:r>
      <w:r w:rsidR="00176D31" w:rsidRPr="00601DD5">
        <w:rPr>
          <w:sz w:val="28"/>
          <w:szCs w:val="28"/>
        </w:rPr>
        <w:t>?</w:t>
      </w:r>
      <w:bookmarkEnd w:id="30"/>
    </w:p>
    <w:p w14:paraId="661A33CF" w14:textId="77777777" w:rsidR="004B1842" w:rsidRDefault="004B1842" w:rsidP="004B1842">
      <w:pPr>
        <w:autoSpaceDE w:val="0"/>
        <w:autoSpaceDN w:val="0"/>
        <w:adjustRightInd w:val="0"/>
        <w:spacing w:line="264" w:lineRule="auto"/>
        <w:rPr>
          <w:rFonts w:cs="Calibri,Bold"/>
          <w:bCs/>
          <w:color w:val="000000"/>
          <w:sz w:val="22"/>
          <w:szCs w:val="22"/>
        </w:rPr>
      </w:pPr>
    </w:p>
    <w:tbl>
      <w:tblPr>
        <w:tblStyle w:val="TableGrid"/>
        <w:tblW w:w="9918" w:type="dxa"/>
        <w:tblLayout w:type="fixed"/>
        <w:tblLook w:val="04A0" w:firstRow="1" w:lastRow="0" w:firstColumn="1" w:lastColumn="0" w:noHBand="0" w:noVBand="1"/>
      </w:tblPr>
      <w:tblGrid>
        <w:gridCol w:w="1304"/>
        <w:gridCol w:w="5354"/>
        <w:gridCol w:w="2126"/>
        <w:gridCol w:w="1134"/>
      </w:tblGrid>
      <w:tr w:rsidR="004B1842" w14:paraId="43DAE06D" w14:textId="77777777">
        <w:trPr>
          <w:trHeight w:val="283"/>
        </w:trPr>
        <w:tc>
          <w:tcPr>
            <w:tcW w:w="1304" w:type="dxa"/>
            <w:shd w:val="clear" w:color="auto" w:fill="F2F2F2" w:themeFill="background1" w:themeFillShade="F2"/>
          </w:tcPr>
          <w:p w14:paraId="164271BB" w14:textId="77777777" w:rsidR="004B1842" w:rsidRDefault="004B1842">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354" w:type="dxa"/>
            <w:shd w:val="clear" w:color="auto" w:fill="F2F2F2" w:themeFill="background1" w:themeFillShade="F2"/>
          </w:tcPr>
          <w:p w14:paraId="0E11CB22" w14:textId="77777777" w:rsidR="004B1842" w:rsidRDefault="004B1842">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2126" w:type="dxa"/>
            <w:shd w:val="clear" w:color="auto" w:fill="F2F2F2" w:themeFill="background1" w:themeFillShade="F2"/>
          </w:tcPr>
          <w:p w14:paraId="5BAA93AB" w14:textId="77777777" w:rsidR="004B1842" w:rsidRDefault="004B1842">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34" w:type="dxa"/>
            <w:shd w:val="clear" w:color="auto" w:fill="F2F2F2" w:themeFill="background1" w:themeFillShade="F2"/>
          </w:tcPr>
          <w:p w14:paraId="39EFE96D" w14:textId="77777777" w:rsidR="004B1842" w:rsidRDefault="004B1842">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4B1842" w14:paraId="23F4E00C" w14:textId="77777777">
        <w:trPr>
          <w:trHeight w:val="594"/>
        </w:trPr>
        <w:tc>
          <w:tcPr>
            <w:tcW w:w="1304" w:type="dxa"/>
          </w:tcPr>
          <w:p w14:paraId="3EE089AB" w14:textId="77777777" w:rsidR="004B1842" w:rsidRPr="00C043FA" w:rsidRDefault="004B1842">
            <w:pPr>
              <w:autoSpaceDE w:val="0"/>
              <w:autoSpaceDN w:val="0"/>
              <w:adjustRightInd w:val="0"/>
              <w:spacing w:line="264" w:lineRule="auto"/>
              <w:rPr>
                <w:rFonts w:cs="Calibri,Bold"/>
                <w:bCs/>
                <w:color w:val="000000"/>
                <w:szCs w:val="20"/>
              </w:rPr>
            </w:pPr>
            <w:r>
              <w:rPr>
                <w:rFonts w:cs="Calibri,Bold"/>
                <w:bCs/>
                <w:color w:val="000000"/>
                <w:szCs w:val="20"/>
              </w:rPr>
              <w:t>28 Sep</w:t>
            </w:r>
            <w:r w:rsidRPr="00C043FA">
              <w:rPr>
                <w:rFonts w:cs="Calibri,Bold"/>
                <w:bCs/>
                <w:color w:val="000000"/>
                <w:szCs w:val="20"/>
              </w:rPr>
              <w:t xml:space="preserve"> 20</w:t>
            </w:r>
            <w:r>
              <w:rPr>
                <w:rFonts w:cs="Calibri,Bold"/>
                <w:bCs/>
                <w:color w:val="000000"/>
                <w:szCs w:val="20"/>
              </w:rPr>
              <w:t>21</w:t>
            </w:r>
          </w:p>
        </w:tc>
        <w:tc>
          <w:tcPr>
            <w:tcW w:w="5354" w:type="dxa"/>
          </w:tcPr>
          <w:p w14:paraId="470E3751" w14:textId="77777777" w:rsidR="004B1842" w:rsidRPr="00C043FA" w:rsidRDefault="004B1842">
            <w:pPr>
              <w:autoSpaceDE w:val="0"/>
              <w:autoSpaceDN w:val="0"/>
              <w:adjustRightInd w:val="0"/>
              <w:spacing w:line="264" w:lineRule="auto"/>
              <w:rPr>
                <w:rFonts w:cs="Calibri,Bold"/>
                <w:bCs/>
                <w:color w:val="000000"/>
                <w:szCs w:val="20"/>
              </w:rPr>
            </w:pPr>
            <w:r w:rsidRPr="00C043FA">
              <w:rPr>
                <w:rFonts w:cs="Calibri,Bold"/>
                <w:bCs/>
                <w:color w:val="000000"/>
                <w:szCs w:val="20"/>
              </w:rPr>
              <w:t>Measur</w:t>
            </w:r>
            <w:r>
              <w:rPr>
                <w:rFonts w:cs="Calibri,Bold"/>
                <w:bCs/>
                <w:color w:val="000000"/>
                <w:szCs w:val="20"/>
              </w:rPr>
              <w:t>es imposed on China and Korea</w:t>
            </w:r>
          </w:p>
        </w:tc>
        <w:tc>
          <w:tcPr>
            <w:tcW w:w="2126" w:type="dxa"/>
          </w:tcPr>
          <w:p w14:paraId="076D023C" w14:textId="77777777" w:rsidR="004B1842" w:rsidRPr="008A56B2" w:rsidRDefault="004B1842">
            <w:pPr>
              <w:autoSpaceDE w:val="0"/>
              <w:autoSpaceDN w:val="0"/>
              <w:adjustRightInd w:val="0"/>
              <w:spacing w:line="264" w:lineRule="auto"/>
              <w:rPr>
                <w:rFonts w:asciiTheme="minorHAnsi" w:hAnsiTheme="minorHAnsi"/>
                <w:szCs w:val="20"/>
              </w:rPr>
            </w:pPr>
            <w:r w:rsidRPr="00B87E58">
              <w:rPr>
                <w:rFonts w:asciiTheme="minorHAnsi" w:hAnsiTheme="minorHAnsi"/>
                <w:szCs w:val="20"/>
              </w:rPr>
              <w:t xml:space="preserve">Final Report </w:t>
            </w:r>
            <w:hyperlink r:id="rId31" w:history="1">
              <w:r w:rsidRPr="00656D6B">
                <w:rPr>
                  <w:rStyle w:val="Hyperlink"/>
                  <w:rFonts w:asciiTheme="minorHAnsi" w:hAnsiTheme="minorHAnsi"/>
                  <w:szCs w:val="20"/>
                </w:rPr>
                <w:t xml:space="preserve">REP </w:t>
              </w:r>
              <w:r>
                <w:rPr>
                  <w:rStyle w:val="Hyperlink"/>
                  <w:rFonts w:asciiTheme="minorHAnsi" w:hAnsiTheme="minorHAnsi"/>
                  <w:szCs w:val="20"/>
                </w:rPr>
                <w:t>550</w:t>
              </w:r>
            </w:hyperlink>
          </w:p>
        </w:tc>
        <w:tc>
          <w:tcPr>
            <w:tcW w:w="1134" w:type="dxa"/>
          </w:tcPr>
          <w:p w14:paraId="7BFB692C" w14:textId="77777777" w:rsidR="004B1842" w:rsidRDefault="00C768D4">
            <w:pPr>
              <w:rPr>
                <w:rFonts w:cs="Calibri"/>
                <w:color w:val="000000"/>
                <w:szCs w:val="20"/>
              </w:rPr>
            </w:pPr>
            <w:hyperlink r:id="rId32" w:history="1">
              <w:r w:rsidR="004B1842" w:rsidRPr="007911AF">
                <w:rPr>
                  <w:rStyle w:val="Hyperlink"/>
                  <w:rFonts w:cs="Calibri"/>
                  <w:szCs w:val="20"/>
                </w:rPr>
                <w:t>2021/109</w:t>
              </w:r>
            </w:hyperlink>
          </w:p>
          <w:p w14:paraId="76FEB1B8" w14:textId="77777777" w:rsidR="004B1842" w:rsidRDefault="00C768D4">
            <w:pPr>
              <w:autoSpaceDE w:val="0"/>
              <w:autoSpaceDN w:val="0"/>
              <w:adjustRightInd w:val="0"/>
              <w:spacing w:line="264" w:lineRule="auto"/>
              <w:rPr>
                <w:rStyle w:val="Hyperlink"/>
                <w:rFonts w:asciiTheme="minorHAnsi" w:hAnsiTheme="minorHAnsi"/>
                <w:szCs w:val="20"/>
              </w:rPr>
            </w:pPr>
            <w:hyperlink r:id="rId33" w:history="1">
              <w:r w:rsidR="004B1842" w:rsidRPr="007911AF">
                <w:rPr>
                  <w:rStyle w:val="Hyperlink"/>
                  <w:rFonts w:cs="Calibri"/>
                  <w:szCs w:val="20"/>
                </w:rPr>
                <w:t>2021/110</w:t>
              </w:r>
            </w:hyperlink>
          </w:p>
        </w:tc>
      </w:tr>
      <w:tr w:rsidR="004B1842" w14:paraId="5661077C" w14:textId="77777777">
        <w:trPr>
          <w:trHeight w:val="439"/>
        </w:trPr>
        <w:tc>
          <w:tcPr>
            <w:tcW w:w="1304" w:type="dxa"/>
          </w:tcPr>
          <w:p w14:paraId="0443FE1C" w14:textId="77777777" w:rsidR="004B1842" w:rsidRDefault="004B1842">
            <w:pPr>
              <w:autoSpaceDE w:val="0"/>
              <w:autoSpaceDN w:val="0"/>
              <w:adjustRightInd w:val="0"/>
              <w:spacing w:line="264" w:lineRule="auto"/>
              <w:rPr>
                <w:rFonts w:cs="Calibri,Bold"/>
                <w:bCs/>
                <w:color w:val="000000"/>
                <w:szCs w:val="20"/>
              </w:rPr>
            </w:pPr>
            <w:r>
              <w:rPr>
                <w:rFonts w:cs="Calibri,Bold"/>
                <w:bCs/>
                <w:color w:val="000000"/>
                <w:szCs w:val="20"/>
              </w:rPr>
              <w:t>9 Aug 2022</w:t>
            </w:r>
          </w:p>
        </w:tc>
        <w:tc>
          <w:tcPr>
            <w:tcW w:w="5354" w:type="dxa"/>
          </w:tcPr>
          <w:p w14:paraId="3F78322B" w14:textId="77777777" w:rsidR="004B1842" w:rsidRPr="00C043FA" w:rsidRDefault="004B1842">
            <w:pPr>
              <w:autoSpaceDE w:val="0"/>
              <w:autoSpaceDN w:val="0"/>
              <w:adjustRightInd w:val="0"/>
              <w:spacing w:line="264" w:lineRule="auto"/>
              <w:rPr>
                <w:rFonts w:cs="Calibri,Bold"/>
                <w:bCs/>
                <w:color w:val="000000"/>
                <w:szCs w:val="20"/>
              </w:rPr>
            </w:pPr>
            <w:r>
              <w:rPr>
                <w:rFonts w:cs="Calibri,Bold"/>
                <w:bCs/>
                <w:color w:val="000000"/>
                <w:szCs w:val="20"/>
              </w:rPr>
              <w:t>Certain goods exempted from measures following Exemption Inquiry</w:t>
            </w:r>
          </w:p>
        </w:tc>
        <w:tc>
          <w:tcPr>
            <w:tcW w:w="2126" w:type="dxa"/>
          </w:tcPr>
          <w:p w14:paraId="012965BB" w14:textId="77777777" w:rsidR="004B1842" w:rsidRPr="00B87E58" w:rsidRDefault="004B1842">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34" w:history="1">
              <w:r w:rsidRPr="00DF286F">
                <w:rPr>
                  <w:rStyle w:val="Hyperlink"/>
                  <w:rFonts w:asciiTheme="minorHAnsi" w:hAnsiTheme="minorHAnsi"/>
                  <w:szCs w:val="20"/>
                </w:rPr>
                <w:t>EX0086</w:t>
              </w:r>
            </w:hyperlink>
          </w:p>
        </w:tc>
        <w:tc>
          <w:tcPr>
            <w:tcW w:w="1134" w:type="dxa"/>
          </w:tcPr>
          <w:p w14:paraId="2C305CB3" w14:textId="77777777" w:rsidR="004B1842" w:rsidRDefault="00C768D4">
            <w:pPr>
              <w:autoSpaceDE w:val="0"/>
              <w:autoSpaceDN w:val="0"/>
              <w:adjustRightInd w:val="0"/>
              <w:spacing w:line="264" w:lineRule="auto"/>
              <w:rPr>
                <w:rStyle w:val="Hyperlink"/>
                <w:rFonts w:asciiTheme="minorHAnsi" w:hAnsiTheme="minorHAnsi"/>
                <w:szCs w:val="20"/>
              </w:rPr>
            </w:pPr>
            <w:hyperlink r:id="rId35" w:history="1">
              <w:r w:rsidR="004B1842" w:rsidRPr="00DF286F">
                <w:rPr>
                  <w:rStyle w:val="Hyperlink"/>
                  <w:rFonts w:asciiTheme="minorHAnsi" w:hAnsiTheme="minorHAnsi"/>
                  <w:szCs w:val="20"/>
                </w:rPr>
                <w:t>2022/066</w:t>
              </w:r>
            </w:hyperlink>
          </w:p>
        </w:tc>
      </w:tr>
    </w:tbl>
    <w:p w14:paraId="6368F7D3" w14:textId="77777777" w:rsidR="004B1842" w:rsidRDefault="004B1842" w:rsidP="004B1842">
      <w:pPr>
        <w:autoSpaceDE w:val="0"/>
        <w:autoSpaceDN w:val="0"/>
        <w:adjustRightInd w:val="0"/>
        <w:spacing w:line="264" w:lineRule="auto"/>
        <w:rPr>
          <w:rFonts w:cs="Calibri,Bold"/>
          <w:bCs/>
          <w:color w:val="000000"/>
          <w:sz w:val="22"/>
          <w:szCs w:val="22"/>
        </w:rPr>
      </w:pPr>
    </w:p>
    <w:p w14:paraId="23020F87" w14:textId="77777777" w:rsidR="008112CC" w:rsidRDefault="008112CC" w:rsidP="004B1842">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8995" w14:textId="77777777" w:rsidR="00694044" w:rsidRDefault="00694044">
      <w:r>
        <w:separator/>
      </w:r>
    </w:p>
  </w:endnote>
  <w:endnote w:type="continuationSeparator" w:id="0">
    <w:p w14:paraId="53314B65" w14:textId="77777777" w:rsidR="00694044" w:rsidRDefault="00694044">
      <w:r>
        <w:continuationSeparator/>
      </w:r>
    </w:p>
  </w:endnote>
  <w:endnote w:type="continuationNotice" w:id="1">
    <w:p w14:paraId="46004B00" w14:textId="77777777" w:rsidR="00694044" w:rsidRDefault="00694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2">
    <w:altName w:val="Calibri"/>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C9C5" w14:textId="77777777" w:rsidR="00694044" w:rsidRDefault="00694044">
      <w:r>
        <w:separator/>
      </w:r>
    </w:p>
  </w:footnote>
  <w:footnote w:type="continuationSeparator" w:id="0">
    <w:p w14:paraId="6ABD89AD" w14:textId="77777777" w:rsidR="00694044" w:rsidRDefault="00694044">
      <w:r>
        <w:continuationSeparator/>
      </w:r>
    </w:p>
  </w:footnote>
  <w:footnote w:type="continuationNotice" w:id="1">
    <w:p w14:paraId="3236FB54" w14:textId="77777777" w:rsidR="00694044" w:rsidRDefault="00694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227540">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B86811"/>
    <w:multiLevelType w:val="hybridMultilevel"/>
    <w:tmpl w:val="E77C1D8E"/>
    <w:lvl w:ilvl="0" w:tplc="43B01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6"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9"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584D96"/>
    <w:multiLevelType w:val="hybridMultilevel"/>
    <w:tmpl w:val="F912E4C2"/>
    <w:lvl w:ilvl="0" w:tplc="6F2ED7B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7F65CC"/>
    <w:multiLevelType w:val="hybridMultilevel"/>
    <w:tmpl w:val="1C765DE6"/>
    <w:lvl w:ilvl="0" w:tplc="3DB4A02A">
      <w:start w:val="1"/>
      <w:numFmt w:val="lowerLetter"/>
      <w:lvlText w:val="(%1)"/>
      <w:lvlJc w:val="left"/>
      <w:pPr>
        <w:ind w:left="1332" w:hanging="360"/>
      </w:pPr>
      <w:rPr>
        <w:rFonts w:hint="default"/>
      </w:r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0"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78A07529"/>
    <w:multiLevelType w:val="hybridMultilevel"/>
    <w:tmpl w:val="D1A2E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302882779">
    <w:abstractNumId w:val="1"/>
  </w:num>
  <w:num w:numId="2" w16cid:durableId="2041737482">
    <w:abstractNumId w:val="15"/>
  </w:num>
  <w:num w:numId="3" w16cid:durableId="802038334">
    <w:abstractNumId w:val="7"/>
  </w:num>
  <w:num w:numId="4" w16cid:durableId="1368260649">
    <w:abstractNumId w:val="13"/>
  </w:num>
  <w:num w:numId="5" w16cid:durableId="459299834">
    <w:abstractNumId w:val="18"/>
  </w:num>
  <w:num w:numId="6" w16cid:durableId="1081607804">
    <w:abstractNumId w:val="8"/>
  </w:num>
  <w:num w:numId="7" w16cid:durableId="1797210983">
    <w:abstractNumId w:val="2"/>
  </w:num>
  <w:num w:numId="8" w16cid:durableId="629673832">
    <w:abstractNumId w:val="4"/>
  </w:num>
  <w:num w:numId="9" w16cid:durableId="353113391">
    <w:abstractNumId w:val="12"/>
  </w:num>
  <w:num w:numId="10" w16cid:durableId="1879582341">
    <w:abstractNumId w:val="2"/>
    <w:lvlOverride w:ilvl="0">
      <w:startOverride w:val="1"/>
    </w:lvlOverride>
  </w:num>
  <w:num w:numId="11" w16cid:durableId="1058018945">
    <w:abstractNumId w:val="16"/>
  </w:num>
  <w:num w:numId="12" w16cid:durableId="1367750811">
    <w:abstractNumId w:val="9"/>
  </w:num>
  <w:num w:numId="13" w16cid:durableId="9455126">
    <w:abstractNumId w:val="0"/>
  </w:num>
  <w:num w:numId="14" w16cid:durableId="1252275748">
    <w:abstractNumId w:val="5"/>
  </w:num>
  <w:num w:numId="15" w16cid:durableId="1133016887">
    <w:abstractNumId w:val="11"/>
  </w:num>
  <w:num w:numId="16" w16cid:durableId="1682513554">
    <w:abstractNumId w:val="20"/>
  </w:num>
  <w:num w:numId="17" w16cid:durableId="1633049498">
    <w:abstractNumId w:val="22"/>
  </w:num>
  <w:num w:numId="18" w16cid:durableId="719207611">
    <w:abstractNumId w:val="10"/>
  </w:num>
  <w:num w:numId="19" w16cid:durableId="165288665">
    <w:abstractNumId w:val="6"/>
  </w:num>
  <w:num w:numId="20" w16cid:durableId="1963076889">
    <w:abstractNumId w:val="14"/>
  </w:num>
  <w:num w:numId="21" w16cid:durableId="1489133536">
    <w:abstractNumId w:val="17"/>
  </w:num>
  <w:num w:numId="22" w16cid:durableId="1560165096">
    <w:abstractNumId w:val="21"/>
  </w:num>
  <w:num w:numId="23" w16cid:durableId="465272305">
    <w:abstractNumId w:val="3"/>
  </w:num>
  <w:num w:numId="24" w16cid:durableId="146900556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7186"/>
    <w:rsid w:val="00010C8D"/>
    <w:rsid w:val="00010C9F"/>
    <w:rsid w:val="00013004"/>
    <w:rsid w:val="00016EF0"/>
    <w:rsid w:val="00023A02"/>
    <w:rsid w:val="00023B6F"/>
    <w:rsid w:val="00024130"/>
    <w:rsid w:val="00027DEF"/>
    <w:rsid w:val="0003049E"/>
    <w:rsid w:val="000306F7"/>
    <w:rsid w:val="00031BD6"/>
    <w:rsid w:val="00032274"/>
    <w:rsid w:val="000323B2"/>
    <w:rsid w:val="00035BFC"/>
    <w:rsid w:val="000375D1"/>
    <w:rsid w:val="0004147B"/>
    <w:rsid w:val="00041A60"/>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45A7"/>
    <w:rsid w:val="00075815"/>
    <w:rsid w:val="0007591B"/>
    <w:rsid w:val="000770FA"/>
    <w:rsid w:val="00082018"/>
    <w:rsid w:val="000829E7"/>
    <w:rsid w:val="0008325C"/>
    <w:rsid w:val="00083614"/>
    <w:rsid w:val="00083AE9"/>
    <w:rsid w:val="00083E46"/>
    <w:rsid w:val="00092BEA"/>
    <w:rsid w:val="000932D8"/>
    <w:rsid w:val="000936CF"/>
    <w:rsid w:val="00093902"/>
    <w:rsid w:val="00094B9C"/>
    <w:rsid w:val="00096AAC"/>
    <w:rsid w:val="000975D5"/>
    <w:rsid w:val="000977F7"/>
    <w:rsid w:val="000A1CE8"/>
    <w:rsid w:val="000A1E8D"/>
    <w:rsid w:val="000A207D"/>
    <w:rsid w:val="000A2FDF"/>
    <w:rsid w:val="000A3C02"/>
    <w:rsid w:val="000A5650"/>
    <w:rsid w:val="000A5822"/>
    <w:rsid w:val="000B0EAE"/>
    <w:rsid w:val="000B138A"/>
    <w:rsid w:val="000B1585"/>
    <w:rsid w:val="000B1C06"/>
    <w:rsid w:val="000B234D"/>
    <w:rsid w:val="000B3B0F"/>
    <w:rsid w:val="000B5F20"/>
    <w:rsid w:val="000B693B"/>
    <w:rsid w:val="000B745B"/>
    <w:rsid w:val="000C0E0F"/>
    <w:rsid w:val="000C2394"/>
    <w:rsid w:val="000C41C3"/>
    <w:rsid w:val="000C57EC"/>
    <w:rsid w:val="000D105F"/>
    <w:rsid w:val="000D3D2B"/>
    <w:rsid w:val="000D49AD"/>
    <w:rsid w:val="000D4C8F"/>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4B09"/>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5AB3"/>
    <w:rsid w:val="001B7B3D"/>
    <w:rsid w:val="001C2F5C"/>
    <w:rsid w:val="001C34C2"/>
    <w:rsid w:val="001C62A9"/>
    <w:rsid w:val="001C6E32"/>
    <w:rsid w:val="001C7A6C"/>
    <w:rsid w:val="001D3988"/>
    <w:rsid w:val="001D5348"/>
    <w:rsid w:val="001D5442"/>
    <w:rsid w:val="001D60E7"/>
    <w:rsid w:val="001D7A0C"/>
    <w:rsid w:val="001E1630"/>
    <w:rsid w:val="001E29A8"/>
    <w:rsid w:val="001E50A2"/>
    <w:rsid w:val="001E6181"/>
    <w:rsid w:val="001E77EB"/>
    <w:rsid w:val="001F1D5F"/>
    <w:rsid w:val="001F3FF5"/>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27540"/>
    <w:rsid w:val="00231211"/>
    <w:rsid w:val="00232C24"/>
    <w:rsid w:val="00234FCF"/>
    <w:rsid w:val="0023632C"/>
    <w:rsid w:val="00237331"/>
    <w:rsid w:val="00237434"/>
    <w:rsid w:val="002401E7"/>
    <w:rsid w:val="002409ED"/>
    <w:rsid w:val="002439D0"/>
    <w:rsid w:val="00246EFA"/>
    <w:rsid w:val="00250624"/>
    <w:rsid w:val="0025132F"/>
    <w:rsid w:val="002542D6"/>
    <w:rsid w:val="00255DAF"/>
    <w:rsid w:val="00256D4C"/>
    <w:rsid w:val="00264326"/>
    <w:rsid w:val="00265870"/>
    <w:rsid w:val="00267E85"/>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020B"/>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5CD6"/>
    <w:rsid w:val="002D710C"/>
    <w:rsid w:val="002D7E2A"/>
    <w:rsid w:val="002E290B"/>
    <w:rsid w:val="002E4966"/>
    <w:rsid w:val="002E52BE"/>
    <w:rsid w:val="002E5E5D"/>
    <w:rsid w:val="002E749C"/>
    <w:rsid w:val="002E7CC8"/>
    <w:rsid w:val="002F1652"/>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6E61"/>
    <w:rsid w:val="00331ED0"/>
    <w:rsid w:val="00333E35"/>
    <w:rsid w:val="003341AE"/>
    <w:rsid w:val="00335C76"/>
    <w:rsid w:val="00336B77"/>
    <w:rsid w:val="0033752A"/>
    <w:rsid w:val="003413AB"/>
    <w:rsid w:val="003442D4"/>
    <w:rsid w:val="00345AEC"/>
    <w:rsid w:val="00346C8C"/>
    <w:rsid w:val="003475E8"/>
    <w:rsid w:val="00350068"/>
    <w:rsid w:val="0035446A"/>
    <w:rsid w:val="00356D37"/>
    <w:rsid w:val="003575AA"/>
    <w:rsid w:val="003578F1"/>
    <w:rsid w:val="0036337C"/>
    <w:rsid w:val="0036361F"/>
    <w:rsid w:val="00363BFA"/>
    <w:rsid w:val="00365590"/>
    <w:rsid w:val="0037057B"/>
    <w:rsid w:val="003713C1"/>
    <w:rsid w:val="00373840"/>
    <w:rsid w:val="003748E3"/>
    <w:rsid w:val="00374A0D"/>
    <w:rsid w:val="00375147"/>
    <w:rsid w:val="0037569B"/>
    <w:rsid w:val="0038451B"/>
    <w:rsid w:val="00385073"/>
    <w:rsid w:val="00385D86"/>
    <w:rsid w:val="00386EDE"/>
    <w:rsid w:val="00392F02"/>
    <w:rsid w:val="00393236"/>
    <w:rsid w:val="003938CE"/>
    <w:rsid w:val="00393F82"/>
    <w:rsid w:val="00396948"/>
    <w:rsid w:val="00396C14"/>
    <w:rsid w:val="003978F0"/>
    <w:rsid w:val="003A3C25"/>
    <w:rsid w:val="003B24B9"/>
    <w:rsid w:val="003B4540"/>
    <w:rsid w:val="003B4CA2"/>
    <w:rsid w:val="003B640E"/>
    <w:rsid w:val="003B65A4"/>
    <w:rsid w:val="003C215C"/>
    <w:rsid w:val="003C2E68"/>
    <w:rsid w:val="003C53B7"/>
    <w:rsid w:val="003C5ECA"/>
    <w:rsid w:val="003C6201"/>
    <w:rsid w:val="003C6B3E"/>
    <w:rsid w:val="003C6CBD"/>
    <w:rsid w:val="003C738C"/>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27342"/>
    <w:rsid w:val="004274F0"/>
    <w:rsid w:val="00427561"/>
    <w:rsid w:val="00430945"/>
    <w:rsid w:val="00431CCB"/>
    <w:rsid w:val="0043479E"/>
    <w:rsid w:val="0044587D"/>
    <w:rsid w:val="004500CC"/>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493F"/>
    <w:rsid w:val="0047503E"/>
    <w:rsid w:val="004762A7"/>
    <w:rsid w:val="004800B7"/>
    <w:rsid w:val="00480E44"/>
    <w:rsid w:val="00482ADC"/>
    <w:rsid w:val="00482F80"/>
    <w:rsid w:val="00483518"/>
    <w:rsid w:val="00485B49"/>
    <w:rsid w:val="00486713"/>
    <w:rsid w:val="00487487"/>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1842"/>
    <w:rsid w:val="004B22FC"/>
    <w:rsid w:val="004B3AE0"/>
    <w:rsid w:val="004B529B"/>
    <w:rsid w:val="004B5F77"/>
    <w:rsid w:val="004B6A82"/>
    <w:rsid w:val="004C1EA2"/>
    <w:rsid w:val="004C4CBC"/>
    <w:rsid w:val="004C5F11"/>
    <w:rsid w:val="004C6B64"/>
    <w:rsid w:val="004C7F2D"/>
    <w:rsid w:val="004D02BD"/>
    <w:rsid w:val="004D054E"/>
    <w:rsid w:val="004D1704"/>
    <w:rsid w:val="004D1D8F"/>
    <w:rsid w:val="004D22DC"/>
    <w:rsid w:val="004D292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44BF"/>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1D57"/>
    <w:rsid w:val="00522610"/>
    <w:rsid w:val="00522EBB"/>
    <w:rsid w:val="00526529"/>
    <w:rsid w:val="00530083"/>
    <w:rsid w:val="00533960"/>
    <w:rsid w:val="00535153"/>
    <w:rsid w:val="00535C73"/>
    <w:rsid w:val="00540E6B"/>
    <w:rsid w:val="005421A7"/>
    <w:rsid w:val="005458EF"/>
    <w:rsid w:val="00545B6C"/>
    <w:rsid w:val="00545E2F"/>
    <w:rsid w:val="00547E49"/>
    <w:rsid w:val="00550BA1"/>
    <w:rsid w:val="00552A7D"/>
    <w:rsid w:val="005542E7"/>
    <w:rsid w:val="00557370"/>
    <w:rsid w:val="005579E0"/>
    <w:rsid w:val="005605D5"/>
    <w:rsid w:val="0056269E"/>
    <w:rsid w:val="00564FA0"/>
    <w:rsid w:val="0056715B"/>
    <w:rsid w:val="00570DE1"/>
    <w:rsid w:val="00571937"/>
    <w:rsid w:val="00571D05"/>
    <w:rsid w:val="00571E09"/>
    <w:rsid w:val="00573098"/>
    <w:rsid w:val="00573BD7"/>
    <w:rsid w:val="005770D1"/>
    <w:rsid w:val="00581D69"/>
    <w:rsid w:val="00582B92"/>
    <w:rsid w:val="00590034"/>
    <w:rsid w:val="0059602A"/>
    <w:rsid w:val="00596AD4"/>
    <w:rsid w:val="005A2E82"/>
    <w:rsid w:val="005A43E1"/>
    <w:rsid w:val="005A5046"/>
    <w:rsid w:val="005A6364"/>
    <w:rsid w:val="005A7BE2"/>
    <w:rsid w:val="005B2CA7"/>
    <w:rsid w:val="005B6661"/>
    <w:rsid w:val="005C0E47"/>
    <w:rsid w:val="005C1FAE"/>
    <w:rsid w:val="005C3C27"/>
    <w:rsid w:val="005C438D"/>
    <w:rsid w:val="005C5D11"/>
    <w:rsid w:val="005C6555"/>
    <w:rsid w:val="005C71F6"/>
    <w:rsid w:val="005C75EF"/>
    <w:rsid w:val="005D3193"/>
    <w:rsid w:val="005D68F9"/>
    <w:rsid w:val="005D6D6A"/>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1DD5"/>
    <w:rsid w:val="006034CB"/>
    <w:rsid w:val="00604B17"/>
    <w:rsid w:val="00604C25"/>
    <w:rsid w:val="00605E50"/>
    <w:rsid w:val="00606A82"/>
    <w:rsid w:val="00610650"/>
    <w:rsid w:val="00612966"/>
    <w:rsid w:val="00612AAB"/>
    <w:rsid w:val="00612B89"/>
    <w:rsid w:val="00615C30"/>
    <w:rsid w:val="00617D82"/>
    <w:rsid w:val="0062419B"/>
    <w:rsid w:val="00624E45"/>
    <w:rsid w:val="00627BB0"/>
    <w:rsid w:val="006305BC"/>
    <w:rsid w:val="00631B3E"/>
    <w:rsid w:val="00633312"/>
    <w:rsid w:val="00633A3C"/>
    <w:rsid w:val="00635B62"/>
    <w:rsid w:val="00642958"/>
    <w:rsid w:val="00644B13"/>
    <w:rsid w:val="00647AF5"/>
    <w:rsid w:val="006501B7"/>
    <w:rsid w:val="00651727"/>
    <w:rsid w:val="00651B94"/>
    <w:rsid w:val="00652CC0"/>
    <w:rsid w:val="00654F40"/>
    <w:rsid w:val="00656537"/>
    <w:rsid w:val="00657D7B"/>
    <w:rsid w:val="00657E2C"/>
    <w:rsid w:val="00661285"/>
    <w:rsid w:val="00664EF2"/>
    <w:rsid w:val="00667FBB"/>
    <w:rsid w:val="00671579"/>
    <w:rsid w:val="00672440"/>
    <w:rsid w:val="00673DCE"/>
    <w:rsid w:val="00675970"/>
    <w:rsid w:val="00677A88"/>
    <w:rsid w:val="006823EF"/>
    <w:rsid w:val="006838CE"/>
    <w:rsid w:val="006843CD"/>
    <w:rsid w:val="006843D1"/>
    <w:rsid w:val="006866D3"/>
    <w:rsid w:val="00686E6C"/>
    <w:rsid w:val="00690506"/>
    <w:rsid w:val="00690CB0"/>
    <w:rsid w:val="0069149C"/>
    <w:rsid w:val="006919C0"/>
    <w:rsid w:val="006921D2"/>
    <w:rsid w:val="006926F2"/>
    <w:rsid w:val="00692883"/>
    <w:rsid w:val="00694044"/>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D35EA"/>
    <w:rsid w:val="006D44A4"/>
    <w:rsid w:val="006D598D"/>
    <w:rsid w:val="006D5EB9"/>
    <w:rsid w:val="006E2408"/>
    <w:rsid w:val="006E31CF"/>
    <w:rsid w:val="006E3463"/>
    <w:rsid w:val="006E4730"/>
    <w:rsid w:val="006E4C8C"/>
    <w:rsid w:val="006E5DE4"/>
    <w:rsid w:val="006E6D8B"/>
    <w:rsid w:val="006E6E89"/>
    <w:rsid w:val="006F0248"/>
    <w:rsid w:val="006F6C4F"/>
    <w:rsid w:val="006F7A4C"/>
    <w:rsid w:val="007046D0"/>
    <w:rsid w:val="00705F8A"/>
    <w:rsid w:val="00710F27"/>
    <w:rsid w:val="00711C17"/>
    <w:rsid w:val="00716A7A"/>
    <w:rsid w:val="007170BC"/>
    <w:rsid w:val="007179B1"/>
    <w:rsid w:val="00717D43"/>
    <w:rsid w:val="00720FAA"/>
    <w:rsid w:val="007216C3"/>
    <w:rsid w:val="007222EA"/>
    <w:rsid w:val="00723E25"/>
    <w:rsid w:val="00724845"/>
    <w:rsid w:val="00724969"/>
    <w:rsid w:val="00725D11"/>
    <w:rsid w:val="00726368"/>
    <w:rsid w:val="00726404"/>
    <w:rsid w:val="00731E03"/>
    <w:rsid w:val="007337F5"/>
    <w:rsid w:val="00733B9B"/>
    <w:rsid w:val="00734C2E"/>
    <w:rsid w:val="00736A77"/>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37F6"/>
    <w:rsid w:val="007A472D"/>
    <w:rsid w:val="007A4983"/>
    <w:rsid w:val="007A60AE"/>
    <w:rsid w:val="007A689C"/>
    <w:rsid w:val="007A79EF"/>
    <w:rsid w:val="007B2988"/>
    <w:rsid w:val="007B396E"/>
    <w:rsid w:val="007B3D32"/>
    <w:rsid w:val="007B40C1"/>
    <w:rsid w:val="007B4604"/>
    <w:rsid w:val="007B4CDE"/>
    <w:rsid w:val="007B668E"/>
    <w:rsid w:val="007C09A4"/>
    <w:rsid w:val="007C126E"/>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6FC5"/>
    <w:rsid w:val="0080703B"/>
    <w:rsid w:val="0080782D"/>
    <w:rsid w:val="008107F3"/>
    <w:rsid w:val="008112CC"/>
    <w:rsid w:val="0081269A"/>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65F9"/>
    <w:rsid w:val="008479D7"/>
    <w:rsid w:val="00852538"/>
    <w:rsid w:val="008560B2"/>
    <w:rsid w:val="00864883"/>
    <w:rsid w:val="00866702"/>
    <w:rsid w:val="00867320"/>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30D5"/>
    <w:rsid w:val="008D49FB"/>
    <w:rsid w:val="008D545E"/>
    <w:rsid w:val="008D6291"/>
    <w:rsid w:val="008D6638"/>
    <w:rsid w:val="008D6D3A"/>
    <w:rsid w:val="008D73FB"/>
    <w:rsid w:val="008D7D1B"/>
    <w:rsid w:val="008E0C0B"/>
    <w:rsid w:val="008E10D8"/>
    <w:rsid w:val="008E2229"/>
    <w:rsid w:val="008E2AC3"/>
    <w:rsid w:val="008E314C"/>
    <w:rsid w:val="008E6FB0"/>
    <w:rsid w:val="008E705A"/>
    <w:rsid w:val="008F0CAB"/>
    <w:rsid w:val="008F106C"/>
    <w:rsid w:val="008F1A9B"/>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39DE"/>
    <w:rsid w:val="00915A33"/>
    <w:rsid w:val="00916936"/>
    <w:rsid w:val="009172F0"/>
    <w:rsid w:val="009173CD"/>
    <w:rsid w:val="0092146F"/>
    <w:rsid w:val="009222B3"/>
    <w:rsid w:val="00923107"/>
    <w:rsid w:val="0092367C"/>
    <w:rsid w:val="009240BC"/>
    <w:rsid w:val="009244A5"/>
    <w:rsid w:val="009257EC"/>
    <w:rsid w:val="0092605C"/>
    <w:rsid w:val="009261C8"/>
    <w:rsid w:val="00930221"/>
    <w:rsid w:val="009305C3"/>
    <w:rsid w:val="009309E8"/>
    <w:rsid w:val="00930C3E"/>
    <w:rsid w:val="00930C47"/>
    <w:rsid w:val="00935064"/>
    <w:rsid w:val="00935285"/>
    <w:rsid w:val="009366AF"/>
    <w:rsid w:val="00940272"/>
    <w:rsid w:val="00942483"/>
    <w:rsid w:val="00943EDC"/>
    <w:rsid w:val="009446D7"/>
    <w:rsid w:val="009534E8"/>
    <w:rsid w:val="009548C8"/>
    <w:rsid w:val="00955247"/>
    <w:rsid w:val="00955CAD"/>
    <w:rsid w:val="00957039"/>
    <w:rsid w:val="009650DC"/>
    <w:rsid w:val="00965B3F"/>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6CE6"/>
    <w:rsid w:val="00A2433B"/>
    <w:rsid w:val="00A246BB"/>
    <w:rsid w:val="00A26300"/>
    <w:rsid w:val="00A27993"/>
    <w:rsid w:val="00A34200"/>
    <w:rsid w:val="00A35025"/>
    <w:rsid w:val="00A3624F"/>
    <w:rsid w:val="00A40597"/>
    <w:rsid w:val="00A428F3"/>
    <w:rsid w:val="00A440AE"/>
    <w:rsid w:val="00A44182"/>
    <w:rsid w:val="00A46820"/>
    <w:rsid w:val="00A47575"/>
    <w:rsid w:val="00A54461"/>
    <w:rsid w:val="00A54B41"/>
    <w:rsid w:val="00A54BD7"/>
    <w:rsid w:val="00A55DF6"/>
    <w:rsid w:val="00A6108E"/>
    <w:rsid w:val="00A6158C"/>
    <w:rsid w:val="00A618AF"/>
    <w:rsid w:val="00A65B22"/>
    <w:rsid w:val="00A672CD"/>
    <w:rsid w:val="00A722CB"/>
    <w:rsid w:val="00A72B02"/>
    <w:rsid w:val="00A735B9"/>
    <w:rsid w:val="00A745E5"/>
    <w:rsid w:val="00A751C4"/>
    <w:rsid w:val="00A759A6"/>
    <w:rsid w:val="00A76712"/>
    <w:rsid w:val="00A81D14"/>
    <w:rsid w:val="00A82240"/>
    <w:rsid w:val="00A829D8"/>
    <w:rsid w:val="00A83293"/>
    <w:rsid w:val="00A86070"/>
    <w:rsid w:val="00A86BD2"/>
    <w:rsid w:val="00A93CCE"/>
    <w:rsid w:val="00A945BE"/>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0AA"/>
    <w:rsid w:val="00AC7804"/>
    <w:rsid w:val="00AC7DA7"/>
    <w:rsid w:val="00AC7FDE"/>
    <w:rsid w:val="00AD3ECF"/>
    <w:rsid w:val="00AD5716"/>
    <w:rsid w:val="00AD5784"/>
    <w:rsid w:val="00AD5D68"/>
    <w:rsid w:val="00AE32C1"/>
    <w:rsid w:val="00AE3AF7"/>
    <w:rsid w:val="00AE523F"/>
    <w:rsid w:val="00AE626B"/>
    <w:rsid w:val="00AF0114"/>
    <w:rsid w:val="00AF02EC"/>
    <w:rsid w:val="00AF04DF"/>
    <w:rsid w:val="00AF0AB8"/>
    <w:rsid w:val="00AF131E"/>
    <w:rsid w:val="00AF1FB4"/>
    <w:rsid w:val="00AF2351"/>
    <w:rsid w:val="00AF7F25"/>
    <w:rsid w:val="00B03537"/>
    <w:rsid w:val="00B03F57"/>
    <w:rsid w:val="00B04DBF"/>
    <w:rsid w:val="00B06FB0"/>
    <w:rsid w:val="00B10C6B"/>
    <w:rsid w:val="00B10CD8"/>
    <w:rsid w:val="00B11FB2"/>
    <w:rsid w:val="00B1323C"/>
    <w:rsid w:val="00B1525D"/>
    <w:rsid w:val="00B162FB"/>
    <w:rsid w:val="00B24CFC"/>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5433"/>
    <w:rsid w:val="00B623E5"/>
    <w:rsid w:val="00B66367"/>
    <w:rsid w:val="00B6697C"/>
    <w:rsid w:val="00B66E08"/>
    <w:rsid w:val="00B70823"/>
    <w:rsid w:val="00B70E86"/>
    <w:rsid w:val="00B72452"/>
    <w:rsid w:val="00B73BE7"/>
    <w:rsid w:val="00B746EF"/>
    <w:rsid w:val="00B747A3"/>
    <w:rsid w:val="00B75301"/>
    <w:rsid w:val="00B75791"/>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3E47"/>
    <w:rsid w:val="00BD4690"/>
    <w:rsid w:val="00BD5B8D"/>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273A"/>
    <w:rsid w:val="00C03658"/>
    <w:rsid w:val="00C03BB1"/>
    <w:rsid w:val="00C03F67"/>
    <w:rsid w:val="00C043FA"/>
    <w:rsid w:val="00C055CA"/>
    <w:rsid w:val="00C05C27"/>
    <w:rsid w:val="00C06AE3"/>
    <w:rsid w:val="00C114E1"/>
    <w:rsid w:val="00C118EC"/>
    <w:rsid w:val="00C12775"/>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6779B"/>
    <w:rsid w:val="00C71BED"/>
    <w:rsid w:val="00C71E23"/>
    <w:rsid w:val="00C729AD"/>
    <w:rsid w:val="00C72AB8"/>
    <w:rsid w:val="00C7373E"/>
    <w:rsid w:val="00C76E4D"/>
    <w:rsid w:val="00C7755A"/>
    <w:rsid w:val="00C77CA7"/>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5292"/>
    <w:rsid w:val="00D25319"/>
    <w:rsid w:val="00D26133"/>
    <w:rsid w:val="00D30599"/>
    <w:rsid w:val="00D31FC1"/>
    <w:rsid w:val="00D32CC1"/>
    <w:rsid w:val="00D34198"/>
    <w:rsid w:val="00D35F6F"/>
    <w:rsid w:val="00D36918"/>
    <w:rsid w:val="00D408F4"/>
    <w:rsid w:val="00D45B83"/>
    <w:rsid w:val="00D465B4"/>
    <w:rsid w:val="00D46EAF"/>
    <w:rsid w:val="00D5069F"/>
    <w:rsid w:val="00D533A4"/>
    <w:rsid w:val="00D55328"/>
    <w:rsid w:val="00D564EF"/>
    <w:rsid w:val="00D61A9A"/>
    <w:rsid w:val="00D62B06"/>
    <w:rsid w:val="00D634BB"/>
    <w:rsid w:val="00D635E0"/>
    <w:rsid w:val="00D641E8"/>
    <w:rsid w:val="00D64E6E"/>
    <w:rsid w:val="00D71927"/>
    <w:rsid w:val="00D71E4D"/>
    <w:rsid w:val="00D762EF"/>
    <w:rsid w:val="00D7663F"/>
    <w:rsid w:val="00D77BE5"/>
    <w:rsid w:val="00D813FF"/>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62E5"/>
    <w:rsid w:val="00DA71BD"/>
    <w:rsid w:val="00DB1AAC"/>
    <w:rsid w:val="00DB2BAE"/>
    <w:rsid w:val="00DB47FB"/>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F1D35"/>
    <w:rsid w:val="00DF26D5"/>
    <w:rsid w:val="00DF2829"/>
    <w:rsid w:val="00DF4DFC"/>
    <w:rsid w:val="00E02AC6"/>
    <w:rsid w:val="00E050C4"/>
    <w:rsid w:val="00E05D98"/>
    <w:rsid w:val="00E0674E"/>
    <w:rsid w:val="00E12D0B"/>
    <w:rsid w:val="00E12FA5"/>
    <w:rsid w:val="00E14A7B"/>
    <w:rsid w:val="00E15814"/>
    <w:rsid w:val="00E20F95"/>
    <w:rsid w:val="00E219A3"/>
    <w:rsid w:val="00E239CD"/>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4692"/>
    <w:rsid w:val="00E75BF3"/>
    <w:rsid w:val="00E80289"/>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0C1"/>
    <w:rsid w:val="00EA6E7C"/>
    <w:rsid w:val="00EB1C77"/>
    <w:rsid w:val="00EB1EB3"/>
    <w:rsid w:val="00EB4BF3"/>
    <w:rsid w:val="00EB6B20"/>
    <w:rsid w:val="00EC156F"/>
    <w:rsid w:val="00EC1FEE"/>
    <w:rsid w:val="00EC2291"/>
    <w:rsid w:val="00EC2295"/>
    <w:rsid w:val="00EC401D"/>
    <w:rsid w:val="00ED1D78"/>
    <w:rsid w:val="00ED41DE"/>
    <w:rsid w:val="00EE0341"/>
    <w:rsid w:val="00EE1E27"/>
    <w:rsid w:val="00EE5258"/>
    <w:rsid w:val="00EE6022"/>
    <w:rsid w:val="00EE7A4E"/>
    <w:rsid w:val="00EF1380"/>
    <w:rsid w:val="00EF3D82"/>
    <w:rsid w:val="00EF4067"/>
    <w:rsid w:val="00EF4617"/>
    <w:rsid w:val="00EF6AFA"/>
    <w:rsid w:val="00F02274"/>
    <w:rsid w:val="00F03168"/>
    <w:rsid w:val="00F040CD"/>
    <w:rsid w:val="00F04E8E"/>
    <w:rsid w:val="00F07B4D"/>
    <w:rsid w:val="00F1217F"/>
    <w:rsid w:val="00F17E08"/>
    <w:rsid w:val="00F231AB"/>
    <w:rsid w:val="00F248D2"/>
    <w:rsid w:val="00F26684"/>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7A94"/>
    <w:rsid w:val="00F90101"/>
    <w:rsid w:val="00F901DC"/>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4AFC"/>
    <w:rsid w:val="00FE68EF"/>
    <w:rsid w:val="00FE6A80"/>
    <w:rsid w:val="00FE6C83"/>
    <w:rsid w:val="00FE6F66"/>
    <w:rsid w:val="00FF350C"/>
    <w:rsid w:val="00FF3C6B"/>
    <w:rsid w:val="00FF4158"/>
    <w:rsid w:val="0A799327"/>
    <w:rsid w:val="20306ABD"/>
    <w:rsid w:val="40ACBEC3"/>
    <w:rsid w:val="4937E1E5"/>
    <w:rsid w:val="6A616F75"/>
    <w:rsid w:val="6D7D34B8"/>
    <w:rsid w:val="702C8E0F"/>
    <w:rsid w:val="7691CE41"/>
    <w:rsid w:val="77695709"/>
    <w:rsid w:val="7E8F66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AB8B0938-DF38-42A0-BF3D-20DDFFFD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3C6B3E"/>
    <w:pPr>
      <w:numPr>
        <w:numId w:val="21"/>
      </w:numPr>
      <w:tabs>
        <w:tab w:val="left" w:pos="3975"/>
      </w:tabs>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4B1842"/>
    <w:rPr>
      <w:color w:val="605E5C"/>
      <w:shd w:val="clear" w:color="auto" w:fill="E1DFDD"/>
    </w:rPr>
  </w:style>
  <w:style w:type="paragraph" w:customStyle="1" w:styleId="paragraph">
    <w:name w:val="paragraph"/>
    <w:basedOn w:val="Normal"/>
    <w:rsid w:val="00F26684"/>
    <w:pPr>
      <w:spacing w:before="100" w:beforeAutospacing="1" w:after="100" w:afterAutospacing="1"/>
    </w:pPr>
    <w:rPr>
      <w:rFonts w:ascii="Times New Roman" w:hAnsi="Times New Roman" w:cs="Times New Roman"/>
      <w:sz w:val="24"/>
    </w:rPr>
  </w:style>
  <w:style w:type="character" w:customStyle="1" w:styleId="normaltextrun">
    <w:name w:val="normaltextrun"/>
    <w:basedOn w:val="DefaultParagraphFont"/>
    <w:rsid w:val="00F26684"/>
  </w:style>
  <w:style w:type="character" w:customStyle="1" w:styleId="eop">
    <w:name w:val="eop"/>
    <w:basedOn w:val="DefaultParagraphFont"/>
    <w:rsid w:val="00F2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42451048">
      <w:bodyDiv w:val="1"/>
      <w:marLeft w:val="0"/>
      <w:marRight w:val="0"/>
      <w:marTop w:val="0"/>
      <w:marBottom w:val="0"/>
      <w:divBdr>
        <w:top w:val="none" w:sz="0" w:space="0" w:color="auto"/>
        <w:left w:val="none" w:sz="0" w:space="0" w:color="auto"/>
        <w:bottom w:val="none" w:sz="0" w:space="0" w:color="auto"/>
        <w:right w:val="none" w:sz="0" w:space="0" w:color="auto"/>
      </w:divBdr>
      <w:divsChild>
        <w:div w:id="90051997">
          <w:marLeft w:val="0"/>
          <w:marRight w:val="0"/>
          <w:marTop w:val="0"/>
          <w:marBottom w:val="0"/>
          <w:divBdr>
            <w:top w:val="none" w:sz="0" w:space="0" w:color="auto"/>
            <w:left w:val="none" w:sz="0" w:space="0" w:color="auto"/>
            <w:bottom w:val="none" w:sz="0" w:space="0" w:color="auto"/>
            <w:right w:val="none" w:sz="0" w:space="0" w:color="auto"/>
          </w:divBdr>
        </w:div>
        <w:div w:id="150098617">
          <w:marLeft w:val="0"/>
          <w:marRight w:val="0"/>
          <w:marTop w:val="0"/>
          <w:marBottom w:val="0"/>
          <w:divBdr>
            <w:top w:val="none" w:sz="0" w:space="0" w:color="auto"/>
            <w:left w:val="none" w:sz="0" w:space="0" w:color="auto"/>
            <w:bottom w:val="none" w:sz="0" w:space="0" w:color="auto"/>
            <w:right w:val="none" w:sz="0" w:space="0" w:color="auto"/>
          </w:divBdr>
        </w:div>
        <w:div w:id="710420429">
          <w:marLeft w:val="0"/>
          <w:marRight w:val="0"/>
          <w:marTop w:val="0"/>
          <w:marBottom w:val="0"/>
          <w:divBdr>
            <w:top w:val="none" w:sz="0" w:space="0" w:color="auto"/>
            <w:left w:val="none" w:sz="0" w:space="0" w:color="auto"/>
            <w:bottom w:val="none" w:sz="0" w:space="0" w:color="auto"/>
            <w:right w:val="none" w:sz="0" w:space="0" w:color="auto"/>
          </w:divBdr>
        </w:div>
        <w:div w:id="833104679">
          <w:marLeft w:val="0"/>
          <w:marRight w:val="0"/>
          <w:marTop w:val="0"/>
          <w:marBottom w:val="0"/>
          <w:divBdr>
            <w:top w:val="none" w:sz="0" w:space="0" w:color="auto"/>
            <w:left w:val="none" w:sz="0" w:space="0" w:color="auto"/>
            <w:bottom w:val="none" w:sz="0" w:space="0" w:color="auto"/>
            <w:right w:val="none" w:sz="0" w:space="0" w:color="auto"/>
          </w:divBdr>
        </w:div>
        <w:div w:id="2138376214">
          <w:marLeft w:val="0"/>
          <w:marRight w:val="0"/>
          <w:marTop w:val="0"/>
          <w:marBottom w:val="0"/>
          <w:divBdr>
            <w:top w:val="none" w:sz="0" w:space="0" w:color="auto"/>
            <w:left w:val="none" w:sz="0" w:space="0" w:color="auto"/>
            <w:bottom w:val="none" w:sz="0" w:space="0" w:color="auto"/>
            <w:right w:val="none" w:sz="0" w:space="0" w:color="auto"/>
          </w:divBdr>
        </w:div>
      </w:divsChild>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sites/default/files/adc/public-record/550_-_073_notice_adn_-_adn_2021-110_-_findings_in_relation_to_a_subsidastion_investigation.pdf" TargetMode="External"/><Relationship Id="rId18" Type="http://schemas.openxmlformats.org/officeDocument/2006/relationships/hyperlink" Target="https://www.industry.gov.au/regulations-and-standards/anti-dumping-and-countervailing-system/anti-dumping-commission-current-cases/ex0086" TargetMode="External"/><Relationship Id="rId26" Type="http://schemas.openxmlformats.org/officeDocument/2006/relationships/header" Target="header1.xml"/><Relationship Id="rId21" Type="http://schemas.openxmlformats.org/officeDocument/2006/relationships/hyperlink" Target="https://www.industry.gov.au/sites/default/files/adc/public-record/ex0091_-_007_-_other_-_signed_instrument_ex0091.pdf" TargetMode="External"/><Relationship Id="rId34" Type="http://schemas.openxmlformats.org/officeDocument/2006/relationships/hyperlink" Target="https://www.industry.gov.au/sites/default/files/adc/public-record/004_-_ex0086_-_final_report_-_ex0086.pdf"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550_-_072_-_notice_adn_-_adn_2021-109_-_findings_in_relation_to_a_dumping_investigation.pdf" TargetMode="External"/><Relationship Id="rId17" Type="http://schemas.openxmlformats.org/officeDocument/2006/relationships/hyperlink" Target="https://www.industry.gov.au/sites/default/files/adc/public-record/005_-_ex0086_-_ministerial_exemption_instrument_no._1_of_2022.pdf" TargetMode="External"/><Relationship Id="rId25" Type="http://schemas.openxmlformats.org/officeDocument/2006/relationships/hyperlink" Target="https://www.abf.gov.au/importing-exporting-and-manufacturing/tariff-classification/current-tariff" TargetMode="External"/><Relationship Id="rId33" Type="http://schemas.openxmlformats.org/officeDocument/2006/relationships/hyperlink" Target="https://www.industry.gov.au/sites/default/files/adc/public-record/550_-_073_notice_adn_-_adn_2021-110_-_findings_in_relation_to_a_subsidastion_investigation.pdf" TargetMode="External"/><Relationship Id="rId2" Type="http://schemas.openxmlformats.org/officeDocument/2006/relationships/customXml" Target="../customXml/item2.xml"/><Relationship Id="rId16" Type="http://schemas.openxmlformats.org/officeDocument/2006/relationships/hyperlink" Target="https://www.industry.gov.au/sites/default/files/adc/public-record/550_-_076_-_other_-_ministerial_exemption_instrument_-_no.4_of_2021.pdf" TargetMode="External"/><Relationship Id="rId20" Type="http://schemas.openxmlformats.org/officeDocument/2006/relationships/hyperlink" Target="https://www.industry.gov.au/anti-dumping-commission/archive-cases-and-electronic-public-record-epr/ex0090" TargetMode="External"/><Relationship Id="rId29"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anti-dumping-commission/current-cases-and-electronic-public-record-epr/ex0097" TargetMode="External"/><Relationship Id="rId32" Type="http://schemas.openxmlformats.org/officeDocument/2006/relationships/hyperlink" Target="https://www.industry.gov.au/sites/default/files/adc/public-record/550_-_072_-_notice_adn_-_adn_2021-109_-_findings_in_relation_to_a_dumping_investigation.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dustry.gov.au/data-and-publications/anti-dumping-commission-current-cases" TargetMode="External"/><Relationship Id="rId23" Type="http://schemas.openxmlformats.org/officeDocument/2006/relationships/hyperlink" Target="https://www.industry.gov.au/sites/default/files/adc/public-record/2024-05/ex0097_-5_-_exemption_instrument_no_1_of_2024.pdf" TargetMode="External"/><Relationship Id="rId28" Type="http://schemas.openxmlformats.org/officeDocument/2006/relationships/hyperlink" Target="mailto:clientsupport@adcommission.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dustry.gov.au/sites/default/files/adc/public-record/ex0090_-_007_-_other_-_signed_instrument_ex0090.pdf" TargetMode="External"/><Relationship Id="rId31" Type="http://schemas.openxmlformats.org/officeDocument/2006/relationships/hyperlink" Target="https://www.industry.gov.au/sites/default/files/adc/public-record/550_-_071_-_report_-_rep_55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550_-_072_-_notice_adn_-_adn_2021-109_-_findings_in_relation_to_a_dumping_investigation.pdf" TargetMode="External"/><Relationship Id="rId22" Type="http://schemas.openxmlformats.org/officeDocument/2006/relationships/hyperlink" Target="https://www.industry.gov.au/anti-dumping-commission/archive-cases-and-electronic-public-record-epr/ex0091" TargetMode="External"/><Relationship Id="rId27" Type="http://schemas.openxmlformats.org/officeDocument/2006/relationships/footer" Target="footer1.xml"/><Relationship Id="rId30" Type="http://schemas.openxmlformats.org/officeDocument/2006/relationships/hyperlink" Target="https://www.industry.gov.au/regulations-and-standards/anti-dumping-and-countervailing-system/importers-and-exporters-in-the-anti-dumping-system" TargetMode="External"/><Relationship Id="rId35" Type="http://schemas.openxmlformats.org/officeDocument/2006/relationships/hyperlink" Target="https://www.industry.gov.au/sites/default/files/adc/public-record/006_-_ex0086_-_adn_2022-_-_findings_of_exemption_inquiry.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2.xml><?xml version="1.0" encoding="utf-8"?>
<ds:datastoreItem xmlns:ds="http://schemas.openxmlformats.org/officeDocument/2006/customXml" ds:itemID="{B4A2C9EC-644F-4233-8BFF-8A5C78D4CB19}">
  <ds:schemaRefs>
    <ds:schemaRef ds:uri="http://schemas.openxmlformats.org/officeDocument/2006/bibliography"/>
  </ds:schemaRefs>
</ds:datastoreItem>
</file>

<file path=customXml/itemProps3.xml><?xml version="1.0" encoding="utf-8"?>
<ds:datastoreItem xmlns:ds="http://schemas.openxmlformats.org/officeDocument/2006/customXml" ds:itemID="{84330652-BF28-479F-99A9-0D8779D8A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4238B-670A-4C7A-B9F9-AB8E5A132889}">
  <ds:schemaRefs>
    <ds:schemaRef ds:uri="http://purl.org/dc/terms/"/>
    <ds:schemaRef ds:uri="http://www.w3.org/XML/1998/namespace"/>
    <ds:schemaRef ds:uri="772b126d-104a-4cd6-9891-7ab7df372f6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41b5a84-ad2a-4cba-b1bf-e95f12732401"/>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2818</Words>
  <Characters>16068</Characters>
  <Application>Microsoft Office Word</Application>
  <DocSecurity>0</DocSecurity>
  <Lines>133</Lines>
  <Paragraphs>37</Paragraphs>
  <ScaleCrop>false</ScaleCrop>
  <Company>Australian Customs Service</Company>
  <LinksUpToDate>false</LinksUpToDate>
  <CharactersWithSpaces>18849</CharactersWithSpaces>
  <SharedDoc>false</SharedDoc>
  <HLinks>
    <vt:vector size="192" baseType="variant">
      <vt:variant>
        <vt:i4>65615</vt:i4>
      </vt:variant>
      <vt:variant>
        <vt:i4>126</vt:i4>
      </vt:variant>
      <vt:variant>
        <vt:i4>0</vt:i4>
      </vt:variant>
      <vt:variant>
        <vt:i4>5</vt:i4>
      </vt:variant>
      <vt:variant>
        <vt:lpwstr>https://www.industry.gov.au/sites/default/files/adc/public-record/006_-_ex0086_-_adn_2022-_-_findings_of_exemption_inquiry.pdf</vt:lpwstr>
      </vt:variant>
      <vt:variant>
        <vt:lpwstr/>
      </vt:variant>
      <vt:variant>
        <vt:i4>2359301</vt:i4>
      </vt:variant>
      <vt:variant>
        <vt:i4>123</vt:i4>
      </vt:variant>
      <vt:variant>
        <vt:i4>0</vt:i4>
      </vt:variant>
      <vt:variant>
        <vt:i4>5</vt:i4>
      </vt:variant>
      <vt:variant>
        <vt:lpwstr>https://www.industry.gov.au/sites/default/files/adc/public-record/004_-_ex0086_-_final_report_-_ex0086.pdf</vt:lpwstr>
      </vt:variant>
      <vt:variant>
        <vt:lpwstr/>
      </vt:variant>
      <vt:variant>
        <vt:i4>393322</vt:i4>
      </vt:variant>
      <vt:variant>
        <vt:i4>120</vt:i4>
      </vt:variant>
      <vt:variant>
        <vt:i4>0</vt:i4>
      </vt:variant>
      <vt:variant>
        <vt:i4>5</vt:i4>
      </vt:variant>
      <vt:variant>
        <vt:lpwstr>https://www.industry.gov.au/sites/default/files/adc/public-record/550_-_073_notice_adn_-_adn_2021-110_-_findings_in_relation_to_a_subsidastion_investigation.pdf</vt:lpwstr>
      </vt:variant>
      <vt:variant>
        <vt:lpwstr/>
      </vt:variant>
      <vt:variant>
        <vt:i4>4587599</vt:i4>
      </vt:variant>
      <vt:variant>
        <vt:i4>117</vt:i4>
      </vt:variant>
      <vt:variant>
        <vt:i4>0</vt:i4>
      </vt:variant>
      <vt:variant>
        <vt:i4>5</vt:i4>
      </vt:variant>
      <vt:variant>
        <vt:lpwstr>https://www.industry.gov.au/sites/default/files/adc/public-record/550_-_072_-_notice_adn_-_adn_2021-109_-_findings_in_relation_to_a_dumping_investigation.pdf</vt:lpwstr>
      </vt:variant>
      <vt:variant>
        <vt:lpwstr/>
      </vt:variant>
      <vt:variant>
        <vt:i4>8061011</vt:i4>
      </vt:variant>
      <vt:variant>
        <vt:i4>114</vt:i4>
      </vt:variant>
      <vt:variant>
        <vt:i4>0</vt:i4>
      </vt:variant>
      <vt:variant>
        <vt:i4>5</vt:i4>
      </vt:variant>
      <vt:variant>
        <vt:lpwstr>https://www.industry.gov.au/sites/default/files/adc/public-record/550_-_071_-_report_-_rep_550.pdf</vt:lpwstr>
      </vt:variant>
      <vt:variant>
        <vt:lpwstr/>
      </vt:variant>
      <vt:variant>
        <vt:i4>8323181</vt:i4>
      </vt:variant>
      <vt:variant>
        <vt:i4>111</vt:i4>
      </vt:variant>
      <vt:variant>
        <vt:i4>0</vt:i4>
      </vt:variant>
      <vt:variant>
        <vt:i4>5</vt:i4>
      </vt:variant>
      <vt:variant>
        <vt:lpwstr>https://www.industry.gov.au/regulations-and-standards/anti-dumping-and-countervailing-system/importers-and-exporters-in-the-anti-dumping-system</vt:lpwstr>
      </vt:variant>
      <vt:variant>
        <vt:lpwstr/>
      </vt:variant>
      <vt:variant>
        <vt:i4>786504</vt:i4>
      </vt:variant>
      <vt:variant>
        <vt:i4>108</vt:i4>
      </vt:variant>
      <vt:variant>
        <vt:i4>0</vt:i4>
      </vt:variant>
      <vt:variant>
        <vt:i4>5</vt:i4>
      </vt:variant>
      <vt:variant>
        <vt:lpwstr>https://www.industry.gov.au/sites/default/files/adc/public-record/2024-10/adn_2024-075_-_new_forms_and_manner_of_lodging_and_withdrawing_applications_staff_duty_hours_for_the_purpose_of_receiving_applications.pdf</vt:lpwstr>
      </vt:variant>
      <vt:variant>
        <vt:lpwstr/>
      </vt:variant>
      <vt:variant>
        <vt:i4>1966178</vt:i4>
      </vt:variant>
      <vt:variant>
        <vt:i4>105</vt:i4>
      </vt:variant>
      <vt:variant>
        <vt:i4>0</vt:i4>
      </vt:variant>
      <vt:variant>
        <vt:i4>5</vt:i4>
      </vt:variant>
      <vt:variant>
        <vt:lpwstr>mailto:clientsupport@adcommission.gov.au</vt:lpwstr>
      </vt:variant>
      <vt:variant>
        <vt:lpwstr/>
      </vt:variant>
      <vt:variant>
        <vt:i4>1048606</vt:i4>
      </vt:variant>
      <vt:variant>
        <vt:i4>102</vt:i4>
      </vt:variant>
      <vt:variant>
        <vt:i4>0</vt:i4>
      </vt:variant>
      <vt:variant>
        <vt:i4>5</vt:i4>
      </vt:variant>
      <vt:variant>
        <vt:lpwstr>https://www.abf.gov.au/importing-exporting-and-manufacturing/tariff-classification/current-tariff</vt:lpwstr>
      </vt:variant>
      <vt:variant>
        <vt:lpwstr/>
      </vt:variant>
      <vt:variant>
        <vt:i4>4718660</vt:i4>
      </vt:variant>
      <vt:variant>
        <vt:i4>99</vt:i4>
      </vt:variant>
      <vt:variant>
        <vt:i4>0</vt:i4>
      </vt:variant>
      <vt:variant>
        <vt:i4>5</vt:i4>
      </vt:variant>
      <vt:variant>
        <vt:lpwstr>https://www.industry.gov.au/anti-dumping-commission/current-cases-and-electronic-public-record-epr/ex0097</vt:lpwstr>
      </vt:variant>
      <vt:variant>
        <vt:lpwstr/>
      </vt:variant>
      <vt:variant>
        <vt:i4>2031624</vt:i4>
      </vt:variant>
      <vt:variant>
        <vt:i4>96</vt:i4>
      </vt:variant>
      <vt:variant>
        <vt:i4>0</vt:i4>
      </vt:variant>
      <vt:variant>
        <vt:i4>5</vt:i4>
      </vt:variant>
      <vt:variant>
        <vt:lpwstr>https://www.industry.gov.au/sites/default/files/adc/public-record/2024-05/ex0097_-5_-_exemption_instrument_no_1_of_2024.pdf</vt:lpwstr>
      </vt:variant>
      <vt:variant>
        <vt:lpwstr/>
      </vt:variant>
      <vt:variant>
        <vt:i4>5046346</vt:i4>
      </vt:variant>
      <vt:variant>
        <vt:i4>93</vt:i4>
      </vt:variant>
      <vt:variant>
        <vt:i4>0</vt:i4>
      </vt:variant>
      <vt:variant>
        <vt:i4>5</vt:i4>
      </vt:variant>
      <vt:variant>
        <vt:lpwstr>https://www.industry.gov.au/anti-dumping-commission/archive-cases-and-electronic-public-record-epr/ex0091</vt:lpwstr>
      </vt:variant>
      <vt:variant>
        <vt:lpwstr/>
      </vt:variant>
      <vt:variant>
        <vt:i4>7012465</vt:i4>
      </vt:variant>
      <vt:variant>
        <vt:i4>90</vt:i4>
      </vt:variant>
      <vt:variant>
        <vt:i4>0</vt:i4>
      </vt:variant>
      <vt:variant>
        <vt:i4>5</vt:i4>
      </vt:variant>
      <vt:variant>
        <vt:lpwstr>https://www.industry.gov.au/sites/default/files/adc/public-record/ex0091_-_007_-_other_-_signed_instrument_ex0091.pdf</vt:lpwstr>
      </vt:variant>
      <vt:variant>
        <vt:lpwstr/>
      </vt:variant>
      <vt:variant>
        <vt:i4>5046346</vt:i4>
      </vt:variant>
      <vt:variant>
        <vt:i4>87</vt:i4>
      </vt:variant>
      <vt:variant>
        <vt:i4>0</vt:i4>
      </vt:variant>
      <vt:variant>
        <vt:i4>5</vt:i4>
      </vt:variant>
      <vt:variant>
        <vt:lpwstr>https://www.industry.gov.au/anti-dumping-commission/archive-cases-and-electronic-public-record-epr/ex0090</vt:lpwstr>
      </vt:variant>
      <vt:variant>
        <vt:lpwstr/>
      </vt:variant>
      <vt:variant>
        <vt:i4>6946928</vt:i4>
      </vt:variant>
      <vt:variant>
        <vt:i4>84</vt:i4>
      </vt:variant>
      <vt:variant>
        <vt:i4>0</vt:i4>
      </vt:variant>
      <vt:variant>
        <vt:i4>5</vt:i4>
      </vt:variant>
      <vt:variant>
        <vt:lpwstr>https://www.industry.gov.au/sites/default/files/adc/public-record/ex0090_-_007_-_other_-_signed_instrument_ex0090.pdf</vt:lpwstr>
      </vt:variant>
      <vt:variant>
        <vt:lpwstr/>
      </vt:variant>
      <vt:variant>
        <vt:i4>1310790</vt:i4>
      </vt:variant>
      <vt:variant>
        <vt:i4>81</vt:i4>
      </vt:variant>
      <vt:variant>
        <vt:i4>0</vt:i4>
      </vt:variant>
      <vt:variant>
        <vt:i4>5</vt:i4>
      </vt:variant>
      <vt:variant>
        <vt:lpwstr>https://www.industry.gov.au/regulations-and-standards/anti-dumping-and-countervailing-system/anti-dumping-commission-current-cases/ex0086</vt:lpwstr>
      </vt:variant>
      <vt:variant>
        <vt:lpwstr/>
      </vt:variant>
      <vt:variant>
        <vt:i4>4718595</vt:i4>
      </vt:variant>
      <vt:variant>
        <vt:i4>78</vt:i4>
      </vt:variant>
      <vt:variant>
        <vt:i4>0</vt:i4>
      </vt:variant>
      <vt:variant>
        <vt:i4>5</vt:i4>
      </vt:variant>
      <vt:variant>
        <vt:lpwstr>https://www.industry.gov.au/sites/default/files/adc/public-record/005_-_ex0086_-_ministerial_exemption_instrument_no._1_of_2022.pdf</vt:lpwstr>
      </vt:variant>
      <vt:variant>
        <vt:lpwstr/>
      </vt:variant>
      <vt:variant>
        <vt:i4>2162735</vt:i4>
      </vt:variant>
      <vt:variant>
        <vt:i4>75</vt:i4>
      </vt:variant>
      <vt:variant>
        <vt:i4>0</vt:i4>
      </vt:variant>
      <vt:variant>
        <vt:i4>5</vt:i4>
      </vt:variant>
      <vt:variant>
        <vt:lpwstr>https://www.industry.gov.au/sites/default/files/adc/public-record/550_-_076_-_other_-_ministerial_exemption_instrument_-_no.4_of_2021.pdf</vt:lpwstr>
      </vt:variant>
      <vt:variant>
        <vt:lpwstr/>
      </vt:variant>
      <vt:variant>
        <vt:i4>2097186</vt:i4>
      </vt:variant>
      <vt:variant>
        <vt:i4>72</vt:i4>
      </vt:variant>
      <vt:variant>
        <vt:i4>0</vt:i4>
      </vt:variant>
      <vt:variant>
        <vt:i4>5</vt:i4>
      </vt:variant>
      <vt:variant>
        <vt:lpwstr>https://www.industry.gov.au/data-and-publications/anti-dumping-commission-current-cases</vt:lpwstr>
      </vt:variant>
      <vt:variant>
        <vt:lpwstr/>
      </vt:variant>
      <vt:variant>
        <vt:i4>1179700</vt:i4>
      </vt:variant>
      <vt:variant>
        <vt:i4>65</vt:i4>
      </vt:variant>
      <vt:variant>
        <vt:i4>0</vt:i4>
      </vt:variant>
      <vt:variant>
        <vt:i4>5</vt:i4>
      </vt:variant>
      <vt:variant>
        <vt:lpwstr/>
      </vt:variant>
      <vt:variant>
        <vt:lpwstr>_Toc129091565</vt:lpwstr>
      </vt:variant>
      <vt:variant>
        <vt:i4>1179700</vt:i4>
      </vt:variant>
      <vt:variant>
        <vt:i4>59</vt:i4>
      </vt:variant>
      <vt:variant>
        <vt:i4>0</vt:i4>
      </vt:variant>
      <vt:variant>
        <vt:i4>5</vt:i4>
      </vt:variant>
      <vt:variant>
        <vt:lpwstr/>
      </vt:variant>
      <vt:variant>
        <vt:lpwstr>_Toc129091564</vt:lpwstr>
      </vt:variant>
      <vt:variant>
        <vt:i4>1179700</vt:i4>
      </vt:variant>
      <vt:variant>
        <vt:i4>53</vt:i4>
      </vt:variant>
      <vt:variant>
        <vt:i4>0</vt:i4>
      </vt:variant>
      <vt:variant>
        <vt:i4>5</vt:i4>
      </vt:variant>
      <vt:variant>
        <vt:lpwstr/>
      </vt:variant>
      <vt:variant>
        <vt:lpwstr>_Toc129091563</vt:lpwstr>
      </vt:variant>
      <vt:variant>
        <vt:i4>1179700</vt:i4>
      </vt:variant>
      <vt:variant>
        <vt:i4>47</vt:i4>
      </vt:variant>
      <vt:variant>
        <vt:i4>0</vt:i4>
      </vt:variant>
      <vt:variant>
        <vt:i4>5</vt:i4>
      </vt:variant>
      <vt:variant>
        <vt:lpwstr/>
      </vt:variant>
      <vt:variant>
        <vt:lpwstr>_Toc129091562</vt:lpwstr>
      </vt:variant>
      <vt:variant>
        <vt:i4>1179700</vt:i4>
      </vt:variant>
      <vt:variant>
        <vt:i4>41</vt:i4>
      </vt:variant>
      <vt:variant>
        <vt:i4>0</vt:i4>
      </vt:variant>
      <vt:variant>
        <vt:i4>5</vt:i4>
      </vt:variant>
      <vt:variant>
        <vt:lpwstr/>
      </vt:variant>
      <vt:variant>
        <vt:lpwstr>_Toc129091561</vt:lpwstr>
      </vt:variant>
      <vt:variant>
        <vt:i4>1179700</vt:i4>
      </vt:variant>
      <vt:variant>
        <vt:i4>35</vt:i4>
      </vt:variant>
      <vt:variant>
        <vt:i4>0</vt:i4>
      </vt:variant>
      <vt:variant>
        <vt:i4>5</vt:i4>
      </vt:variant>
      <vt:variant>
        <vt:lpwstr/>
      </vt:variant>
      <vt:variant>
        <vt:lpwstr>_Toc129091560</vt:lpwstr>
      </vt:variant>
      <vt:variant>
        <vt:i4>1114164</vt:i4>
      </vt:variant>
      <vt:variant>
        <vt:i4>29</vt:i4>
      </vt:variant>
      <vt:variant>
        <vt:i4>0</vt:i4>
      </vt:variant>
      <vt:variant>
        <vt:i4>5</vt:i4>
      </vt:variant>
      <vt:variant>
        <vt:lpwstr/>
      </vt:variant>
      <vt:variant>
        <vt:lpwstr>_Toc129091559</vt:lpwstr>
      </vt:variant>
      <vt:variant>
        <vt:i4>1114164</vt:i4>
      </vt:variant>
      <vt:variant>
        <vt:i4>23</vt:i4>
      </vt:variant>
      <vt:variant>
        <vt:i4>0</vt:i4>
      </vt:variant>
      <vt:variant>
        <vt:i4>5</vt:i4>
      </vt:variant>
      <vt:variant>
        <vt:lpwstr/>
      </vt:variant>
      <vt:variant>
        <vt:lpwstr>_Toc129091558</vt:lpwstr>
      </vt:variant>
      <vt:variant>
        <vt:i4>1114164</vt:i4>
      </vt:variant>
      <vt:variant>
        <vt:i4>17</vt:i4>
      </vt:variant>
      <vt:variant>
        <vt:i4>0</vt:i4>
      </vt:variant>
      <vt:variant>
        <vt:i4>5</vt:i4>
      </vt:variant>
      <vt:variant>
        <vt:lpwstr/>
      </vt:variant>
      <vt:variant>
        <vt:lpwstr>_Toc129091557</vt:lpwstr>
      </vt:variant>
      <vt:variant>
        <vt:i4>1114164</vt:i4>
      </vt:variant>
      <vt:variant>
        <vt:i4>11</vt:i4>
      </vt:variant>
      <vt:variant>
        <vt:i4>0</vt:i4>
      </vt:variant>
      <vt:variant>
        <vt:i4>5</vt:i4>
      </vt:variant>
      <vt:variant>
        <vt:lpwstr/>
      </vt:variant>
      <vt:variant>
        <vt:lpwstr>_Toc129091556</vt:lpwstr>
      </vt:variant>
      <vt:variant>
        <vt:i4>4587599</vt:i4>
      </vt:variant>
      <vt:variant>
        <vt:i4>6</vt:i4>
      </vt:variant>
      <vt:variant>
        <vt:i4>0</vt:i4>
      </vt:variant>
      <vt:variant>
        <vt:i4>5</vt:i4>
      </vt:variant>
      <vt:variant>
        <vt:lpwstr>https://www.industry.gov.au/sites/default/files/adc/public-record/550_-_072_-_notice_adn_-_adn_2021-109_-_findings_in_relation_to_a_dumping_investigation.pdf</vt:lpwstr>
      </vt:variant>
      <vt:variant>
        <vt:lpwstr/>
      </vt:variant>
      <vt:variant>
        <vt:i4>393322</vt:i4>
      </vt:variant>
      <vt:variant>
        <vt:i4>3</vt:i4>
      </vt:variant>
      <vt:variant>
        <vt:i4>0</vt:i4>
      </vt:variant>
      <vt:variant>
        <vt:i4>5</vt:i4>
      </vt:variant>
      <vt:variant>
        <vt:lpwstr>https://www.industry.gov.au/sites/default/files/adc/public-record/550_-_073_notice_adn_-_adn_2021-110_-_findings_in_relation_to_a_subsidastion_investigation.pdf</vt:lpwstr>
      </vt:variant>
      <vt:variant>
        <vt:lpwstr/>
      </vt:variant>
      <vt:variant>
        <vt:i4>4587599</vt:i4>
      </vt:variant>
      <vt:variant>
        <vt:i4>0</vt:i4>
      </vt:variant>
      <vt:variant>
        <vt:i4>0</vt:i4>
      </vt:variant>
      <vt:variant>
        <vt:i4>5</vt:i4>
      </vt:variant>
      <vt:variant>
        <vt:lpwstr>https://www.industry.gov.au/sites/default/files/adc/public-record/550_-_072_-_notice_adn_-_adn_2021-109_-_findings_in_relation_to_a_dumping_investigation.pdf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Precision Pipe and Tube Steel</dc:title>
  <dc:subject/>
  <dc:creator>C8rjc</dc:creator>
  <cp:keywords/>
  <cp:lastModifiedBy>Green, Kilan</cp:lastModifiedBy>
  <cp:revision>2</cp:revision>
  <cp:lastPrinted>2024-10-29T05:53:00Z</cp:lastPrinted>
  <dcterms:created xsi:type="dcterms:W3CDTF">2025-04-30T05:41:00Z</dcterms:created>
  <dcterms:modified xsi:type="dcterms:W3CDTF">2025-04-30T05:41:00Z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3189;#Precision Pipe and Tube Steel|6630d8d8-6566-494b-b632-857003086c81</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3d9f10f0-64a4-4fac-9d09-423f3fea1b24</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