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68D44067" w:rsidR="004D054E" w:rsidRDefault="00690506" w:rsidP="00596AD4">
      <w:pPr>
        <w:jc w:val="center"/>
        <w:rPr>
          <w:rFonts w:cs="Calibri"/>
          <w:b/>
          <w:bCs/>
          <w:sz w:val="24"/>
        </w:rPr>
      </w:pPr>
      <w:r>
        <w:rPr>
          <w:rFonts w:cs="Calibri"/>
          <w:b/>
          <w:bCs/>
          <w:sz w:val="44"/>
          <w:szCs w:val="44"/>
        </w:rPr>
        <w:t>Clear Float Glass</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41"/>
        <w:gridCol w:w="1146"/>
        <w:gridCol w:w="1985"/>
        <w:gridCol w:w="1984"/>
        <w:gridCol w:w="2054"/>
      </w:tblGrid>
      <w:tr w:rsidR="009709AA" w:rsidRPr="009709AA" w14:paraId="68BAC54D" w14:textId="77777777" w:rsidTr="684C4788">
        <w:trPr>
          <w:trHeight w:val="797"/>
        </w:trPr>
        <w:tc>
          <w:tcPr>
            <w:tcW w:w="2241"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46"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1985"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1984"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54"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596AD4" w:rsidRPr="009709AA" w14:paraId="68BAC584" w14:textId="77777777" w:rsidTr="684C4788">
        <w:trPr>
          <w:trHeight w:val="478"/>
        </w:trPr>
        <w:tc>
          <w:tcPr>
            <w:tcW w:w="2241" w:type="dxa"/>
            <w:shd w:val="clear" w:color="auto" w:fill="auto"/>
            <w:vAlign w:val="center"/>
          </w:tcPr>
          <w:p w14:paraId="68BAC57F" w14:textId="388CE6A1" w:rsidR="00596AD4" w:rsidRPr="00110351" w:rsidRDefault="00690506" w:rsidP="00596AD4">
            <w:pPr>
              <w:rPr>
                <w:rFonts w:cs="Calibri"/>
                <w:b/>
                <w:bCs/>
                <w:color w:val="000000"/>
                <w:sz w:val="22"/>
                <w:szCs w:val="22"/>
              </w:rPr>
            </w:pPr>
            <w:r>
              <w:rPr>
                <w:rFonts w:cs="Calibri"/>
                <w:b/>
                <w:bCs/>
                <w:color w:val="000000"/>
                <w:sz w:val="22"/>
                <w:szCs w:val="22"/>
              </w:rPr>
              <w:t>INDONESIA</w:t>
            </w:r>
          </w:p>
        </w:tc>
        <w:tc>
          <w:tcPr>
            <w:tcW w:w="1146" w:type="dxa"/>
            <w:shd w:val="clear" w:color="auto" w:fill="auto"/>
            <w:noWrap/>
            <w:vAlign w:val="center"/>
          </w:tcPr>
          <w:p w14:paraId="68BAC580" w14:textId="256C20BE" w:rsidR="00596AD4" w:rsidRPr="00110351" w:rsidRDefault="00596AD4" w:rsidP="00596AD4">
            <w:pPr>
              <w:rPr>
                <w:rFonts w:cs="Calibri"/>
                <w:b/>
                <w:bCs/>
                <w:color w:val="000000"/>
                <w:sz w:val="22"/>
                <w:szCs w:val="22"/>
              </w:rPr>
            </w:pPr>
            <w:r w:rsidRPr="00110351">
              <w:rPr>
                <w:rFonts w:cs="Calibri"/>
                <w:b/>
                <w:bCs/>
                <w:color w:val="000000"/>
                <w:sz w:val="22"/>
                <w:szCs w:val="22"/>
              </w:rPr>
              <w:t>IDD</w:t>
            </w:r>
          </w:p>
        </w:tc>
        <w:tc>
          <w:tcPr>
            <w:tcW w:w="1985" w:type="dxa"/>
            <w:shd w:val="clear" w:color="auto" w:fill="auto"/>
            <w:vAlign w:val="center"/>
          </w:tcPr>
          <w:p w14:paraId="68BAC581" w14:textId="7B5A52DC" w:rsidR="00596AD4" w:rsidRPr="00110351" w:rsidRDefault="00690506" w:rsidP="00110351">
            <w:pPr>
              <w:rPr>
                <w:rFonts w:cs="Calibri"/>
                <w:color w:val="000000"/>
                <w:sz w:val="22"/>
                <w:szCs w:val="22"/>
              </w:rPr>
            </w:pPr>
            <w:r w:rsidRPr="684C4788">
              <w:rPr>
                <w:rFonts w:cs="Calibri"/>
                <w:color w:val="000000" w:themeColor="text1"/>
                <w:sz w:val="22"/>
                <w:szCs w:val="22"/>
              </w:rPr>
              <w:t>1</w:t>
            </w:r>
            <w:r w:rsidR="61EAF235" w:rsidRPr="684C4788">
              <w:rPr>
                <w:rFonts w:cs="Calibri"/>
                <w:color w:val="000000" w:themeColor="text1"/>
                <w:sz w:val="22"/>
                <w:szCs w:val="22"/>
              </w:rPr>
              <w:t>7</w:t>
            </w:r>
            <w:r w:rsidRPr="684C4788">
              <w:rPr>
                <w:rFonts w:cs="Calibri"/>
                <w:color w:val="000000" w:themeColor="text1"/>
                <w:sz w:val="22"/>
                <w:szCs w:val="22"/>
              </w:rPr>
              <w:t>-October-2011</w:t>
            </w:r>
          </w:p>
        </w:tc>
        <w:tc>
          <w:tcPr>
            <w:tcW w:w="1984" w:type="dxa"/>
            <w:shd w:val="clear" w:color="auto" w:fill="auto"/>
            <w:vAlign w:val="center"/>
          </w:tcPr>
          <w:p w14:paraId="68BAC582" w14:textId="7CDED8A9" w:rsidR="00596AD4" w:rsidRPr="00110351" w:rsidRDefault="00690506" w:rsidP="00110351">
            <w:pPr>
              <w:rPr>
                <w:rFonts w:cs="Calibri"/>
                <w:color w:val="000000"/>
                <w:sz w:val="22"/>
                <w:szCs w:val="22"/>
              </w:rPr>
            </w:pPr>
            <w:r>
              <w:rPr>
                <w:rFonts w:cs="Calibri"/>
                <w:color w:val="000000"/>
                <w:sz w:val="22"/>
                <w:szCs w:val="22"/>
              </w:rPr>
              <w:t>17-October-2026</w:t>
            </w:r>
          </w:p>
        </w:tc>
        <w:tc>
          <w:tcPr>
            <w:tcW w:w="2054" w:type="dxa"/>
            <w:shd w:val="clear" w:color="auto" w:fill="auto"/>
            <w:vAlign w:val="center"/>
          </w:tcPr>
          <w:p w14:paraId="68BAC583" w14:textId="043F7D2B" w:rsidR="00596AD4" w:rsidRPr="00110351" w:rsidRDefault="001C1A66" w:rsidP="00110351">
            <w:pPr>
              <w:rPr>
                <w:rFonts w:cs="Calibri"/>
                <w:color w:val="000000"/>
                <w:sz w:val="22"/>
                <w:szCs w:val="22"/>
              </w:rPr>
            </w:pPr>
            <w:hyperlink r:id="rId12" w:history="1">
              <w:r w:rsidR="00423409" w:rsidRPr="00423409">
                <w:rPr>
                  <w:rStyle w:val="Hyperlink"/>
                  <w:rFonts w:cs="Calibri"/>
                  <w:sz w:val="22"/>
                  <w:szCs w:val="20"/>
                </w:rPr>
                <w:t>2021/116</w:t>
              </w:r>
            </w:hyperlink>
          </w:p>
        </w:tc>
      </w:tr>
    </w:tbl>
    <w:p w14:paraId="68BAC585" w14:textId="77777777" w:rsidR="009709AA" w:rsidRDefault="009709AA" w:rsidP="00E4346B">
      <w:pPr>
        <w:jc w:val="both"/>
        <w:rPr>
          <w:rFonts w:cs="Calibri"/>
          <w:b/>
          <w:bCs/>
          <w:sz w:val="24"/>
        </w:rPr>
      </w:pPr>
    </w:p>
    <w:p w14:paraId="3A49D0FF" w14:textId="1CC785EB" w:rsidR="009709AA" w:rsidRDefault="29F485F5" w:rsidP="505DE583">
      <w:pPr>
        <w:jc w:val="both"/>
      </w:pPr>
      <w:r w:rsidRPr="508AB939">
        <w:rPr>
          <w:rFonts w:eastAsia="Calibri" w:cs="Calibri"/>
          <w:color w:val="000000" w:themeColor="text1"/>
          <w:sz w:val="16"/>
          <w:szCs w:val="16"/>
        </w:rPr>
        <w:t>T</w:t>
      </w:r>
      <w:r w:rsidR="13F19854" w:rsidRPr="508AB939">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340E9565" w:rsidR="009709AA" w:rsidRDefault="009709AA" w:rsidP="505DE583">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6949B826" w14:textId="3EE31184" w:rsidR="00AB4571"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3630202" w:history="1">
        <w:r w:rsidR="00AB4571" w:rsidRPr="004166AD">
          <w:rPr>
            <w:rStyle w:val="Hyperlink"/>
          </w:rPr>
          <w:t>1. What is the function of the Dumping Commodity Register (DCR)?</w:t>
        </w:r>
        <w:r w:rsidR="00AB4571">
          <w:rPr>
            <w:webHidden/>
          </w:rPr>
          <w:tab/>
        </w:r>
        <w:r w:rsidR="00AB4571">
          <w:rPr>
            <w:webHidden/>
          </w:rPr>
          <w:fldChar w:fldCharType="begin"/>
        </w:r>
        <w:r w:rsidR="00AB4571">
          <w:rPr>
            <w:webHidden/>
          </w:rPr>
          <w:instrText xml:space="preserve"> PAGEREF _Toc123630202 \h </w:instrText>
        </w:r>
        <w:r w:rsidR="00AB4571">
          <w:rPr>
            <w:webHidden/>
          </w:rPr>
        </w:r>
        <w:r w:rsidR="00AB4571">
          <w:rPr>
            <w:webHidden/>
          </w:rPr>
          <w:fldChar w:fldCharType="separate"/>
        </w:r>
        <w:r w:rsidR="009A0A5E">
          <w:rPr>
            <w:webHidden/>
          </w:rPr>
          <w:t>3</w:t>
        </w:r>
        <w:r w:rsidR="00AB4571">
          <w:rPr>
            <w:webHidden/>
          </w:rPr>
          <w:fldChar w:fldCharType="end"/>
        </w:r>
      </w:hyperlink>
    </w:p>
    <w:p w14:paraId="4C2A879C" w14:textId="16D95D9B" w:rsidR="00AB4571" w:rsidRDefault="001C1A66">
      <w:pPr>
        <w:pStyle w:val="TOC1"/>
        <w:rPr>
          <w:rFonts w:asciiTheme="minorHAnsi" w:eastAsiaTheme="minorEastAsia" w:hAnsiTheme="minorHAnsi" w:cstheme="minorBidi"/>
          <w:i w:val="0"/>
          <w:sz w:val="22"/>
          <w:szCs w:val="22"/>
        </w:rPr>
      </w:pPr>
      <w:hyperlink w:anchor="_Toc123630203" w:history="1">
        <w:r w:rsidR="00AB4571" w:rsidRPr="004166AD">
          <w:rPr>
            <w:rStyle w:val="Hyperlink"/>
          </w:rPr>
          <w:t>2. What types of clear float glass are subject to anti-dumping measures?</w:t>
        </w:r>
        <w:r w:rsidR="00AB4571">
          <w:rPr>
            <w:webHidden/>
          </w:rPr>
          <w:tab/>
        </w:r>
        <w:r w:rsidR="00AB4571">
          <w:rPr>
            <w:webHidden/>
          </w:rPr>
          <w:fldChar w:fldCharType="begin"/>
        </w:r>
        <w:r w:rsidR="00AB4571">
          <w:rPr>
            <w:webHidden/>
          </w:rPr>
          <w:instrText xml:space="preserve"> PAGEREF _Toc123630203 \h </w:instrText>
        </w:r>
        <w:r w:rsidR="00AB4571">
          <w:rPr>
            <w:webHidden/>
          </w:rPr>
        </w:r>
        <w:r w:rsidR="00AB4571">
          <w:rPr>
            <w:webHidden/>
          </w:rPr>
          <w:fldChar w:fldCharType="separate"/>
        </w:r>
        <w:r w:rsidR="009A0A5E">
          <w:rPr>
            <w:webHidden/>
          </w:rPr>
          <w:t>3</w:t>
        </w:r>
        <w:r w:rsidR="00AB4571">
          <w:rPr>
            <w:webHidden/>
          </w:rPr>
          <w:fldChar w:fldCharType="end"/>
        </w:r>
      </w:hyperlink>
    </w:p>
    <w:p w14:paraId="16A1448A" w14:textId="1DE93E75" w:rsidR="00AB4571" w:rsidRDefault="001C1A66">
      <w:pPr>
        <w:pStyle w:val="TOC1"/>
        <w:rPr>
          <w:rFonts w:asciiTheme="minorHAnsi" w:eastAsiaTheme="minorEastAsia" w:hAnsiTheme="minorHAnsi" w:cstheme="minorBidi"/>
          <w:i w:val="0"/>
          <w:sz w:val="22"/>
          <w:szCs w:val="22"/>
        </w:rPr>
      </w:pPr>
      <w:hyperlink w:anchor="_Toc123630204" w:history="1">
        <w:r w:rsidR="00AB4571" w:rsidRPr="004166AD">
          <w:rPr>
            <w:rStyle w:val="Hyperlink"/>
          </w:rPr>
          <w:t>3. What tariff classifications and statistical codes are covered by the anti-dumping measures?</w:t>
        </w:r>
        <w:r w:rsidR="00AB4571">
          <w:rPr>
            <w:webHidden/>
          </w:rPr>
          <w:tab/>
        </w:r>
        <w:r w:rsidR="00AB4571">
          <w:rPr>
            <w:webHidden/>
          </w:rPr>
          <w:fldChar w:fldCharType="begin"/>
        </w:r>
        <w:r w:rsidR="00AB4571">
          <w:rPr>
            <w:webHidden/>
          </w:rPr>
          <w:instrText xml:space="preserve"> PAGEREF _Toc123630204 \h </w:instrText>
        </w:r>
        <w:r w:rsidR="00AB4571">
          <w:rPr>
            <w:webHidden/>
          </w:rPr>
        </w:r>
        <w:r w:rsidR="00AB4571">
          <w:rPr>
            <w:webHidden/>
          </w:rPr>
          <w:fldChar w:fldCharType="separate"/>
        </w:r>
        <w:r w:rsidR="009A0A5E">
          <w:rPr>
            <w:webHidden/>
          </w:rPr>
          <w:t>4</w:t>
        </w:r>
        <w:r w:rsidR="00AB4571">
          <w:rPr>
            <w:webHidden/>
          </w:rPr>
          <w:fldChar w:fldCharType="end"/>
        </w:r>
      </w:hyperlink>
    </w:p>
    <w:p w14:paraId="43CF25F1" w14:textId="6261B128" w:rsidR="00AB4571" w:rsidRDefault="001C1A66">
      <w:pPr>
        <w:pStyle w:val="TOC1"/>
        <w:rPr>
          <w:rFonts w:asciiTheme="minorHAnsi" w:eastAsiaTheme="minorEastAsia" w:hAnsiTheme="minorHAnsi" w:cstheme="minorBidi"/>
          <w:i w:val="0"/>
          <w:sz w:val="22"/>
          <w:szCs w:val="22"/>
        </w:rPr>
      </w:pPr>
      <w:hyperlink w:anchor="_Toc123630205" w:history="1">
        <w:r w:rsidR="00AB4571" w:rsidRPr="004166AD">
          <w:rPr>
            <w:rStyle w:val="Hyperlink"/>
          </w:rPr>
          <w:t>4. How much Interim Dumping Duty (IDD will an importer have to pay?</w:t>
        </w:r>
        <w:r w:rsidR="00AB4571">
          <w:rPr>
            <w:webHidden/>
          </w:rPr>
          <w:tab/>
        </w:r>
        <w:r w:rsidR="00AB4571">
          <w:rPr>
            <w:webHidden/>
          </w:rPr>
          <w:fldChar w:fldCharType="begin"/>
        </w:r>
        <w:r w:rsidR="00AB4571">
          <w:rPr>
            <w:webHidden/>
          </w:rPr>
          <w:instrText xml:space="preserve"> PAGEREF _Toc123630205 \h </w:instrText>
        </w:r>
        <w:r w:rsidR="00AB4571">
          <w:rPr>
            <w:webHidden/>
          </w:rPr>
        </w:r>
        <w:r w:rsidR="00AB4571">
          <w:rPr>
            <w:webHidden/>
          </w:rPr>
          <w:fldChar w:fldCharType="separate"/>
        </w:r>
        <w:r w:rsidR="009A0A5E">
          <w:rPr>
            <w:webHidden/>
          </w:rPr>
          <w:t>4</w:t>
        </w:r>
        <w:r w:rsidR="00AB4571">
          <w:rPr>
            <w:webHidden/>
          </w:rPr>
          <w:fldChar w:fldCharType="end"/>
        </w:r>
      </w:hyperlink>
    </w:p>
    <w:p w14:paraId="7CEF7726" w14:textId="2CA64531" w:rsidR="00AB4571" w:rsidRDefault="001C1A66">
      <w:pPr>
        <w:pStyle w:val="TOC1"/>
        <w:rPr>
          <w:rFonts w:asciiTheme="minorHAnsi" w:eastAsiaTheme="minorEastAsia" w:hAnsiTheme="minorHAnsi" w:cstheme="minorBidi"/>
          <w:i w:val="0"/>
          <w:sz w:val="22"/>
          <w:szCs w:val="22"/>
        </w:rPr>
      </w:pPr>
      <w:hyperlink w:anchor="_Toc123630206" w:history="1">
        <w:r w:rsidR="00AB4571" w:rsidRPr="004166AD">
          <w:rPr>
            <w:rStyle w:val="Hyperlink"/>
          </w:rPr>
          <w:t>5. What is the dumping export price (DXP) and how do I calculate it?</w:t>
        </w:r>
        <w:r w:rsidR="00AB4571">
          <w:rPr>
            <w:webHidden/>
          </w:rPr>
          <w:tab/>
        </w:r>
        <w:r w:rsidR="00AB4571">
          <w:rPr>
            <w:webHidden/>
          </w:rPr>
          <w:fldChar w:fldCharType="begin"/>
        </w:r>
        <w:r w:rsidR="00AB4571">
          <w:rPr>
            <w:webHidden/>
          </w:rPr>
          <w:instrText xml:space="preserve"> PAGEREF _Toc123630206 \h </w:instrText>
        </w:r>
        <w:r w:rsidR="00AB4571">
          <w:rPr>
            <w:webHidden/>
          </w:rPr>
        </w:r>
        <w:r w:rsidR="00AB4571">
          <w:rPr>
            <w:webHidden/>
          </w:rPr>
          <w:fldChar w:fldCharType="separate"/>
        </w:r>
        <w:r w:rsidR="009A0A5E">
          <w:rPr>
            <w:webHidden/>
          </w:rPr>
          <w:t>5</w:t>
        </w:r>
        <w:r w:rsidR="00AB4571">
          <w:rPr>
            <w:webHidden/>
          </w:rPr>
          <w:fldChar w:fldCharType="end"/>
        </w:r>
      </w:hyperlink>
    </w:p>
    <w:p w14:paraId="09BADC87" w14:textId="37C62736" w:rsidR="00AB4571" w:rsidRDefault="001C1A66">
      <w:pPr>
        <w:pStyle w:val="TOC1"/>
        <w:rPr>
          <w:rFonts w:asciiTheme="minorHAnsi" w:eastAsiaTheme="minorEastAsia" w:hAnsiTheme="minorHAnsi" w:cstheme="minorBidi"/>
          <w:i w:val="0"/>
          <w:sz w:val="22"/>
          <w:szCs w:val="22"/>
        </w:rPr>
      </w:pPr>
      <w:hyperlink w:anchor="_Toc123630207" w:history="1">
        <w:r w:rsidR="00AB4571" w:rsidRPr="004166AD">
          <w:rPr>
            <w:rStyle w:val="Hyperlink"/>
          </w:rPr>
          <w:t>6. What Dumping Specification Number (DSN) do I use and what are the rates for my exporter?</w:t>
        </w:r>
        <w:r w:rsidR="00AB4571">
          <w:rPr>
            <w:webHidden/>
          </w:rPr>
          <w:tab/>
        </w:r>
        <w:r w:rsidR="00AB4571">
          <w:rPr>
            <w:webHidden/>
          </w:rPr>
          <w:fldChar w:fldCharType="begin"/>
        </w:r>
        <w:r w:rsidR="00AB4571">
          <w:rPr>
            <w:webHidden/>
          </w:rPr>
          <w:instrText xml:space="preserve"> PAGEREF _Toc123630207 \h </w:instrText>
        </w:r>
        <w:r w:rsidR="00AB4571">
          <w:rPr>
            <w:webHidden/>
          </w:rPr>
        </w:r>
        <w:r w:rsidR="00AB4571">
          <w:rPr>
            <w:webHidden/>
          </w:rPr>
          <w:fldChar w:fldCharType="separate"/>
        </w:r>
        <w:r w:rsidR="009A0A5E">
          <w:rPr>
            <w:webHidden/>
          </w:rPr>
          <w:t>6</w:t>
        </w:r>
        <w:r w:rsidR="00AB4571">
          <w:rPr>
            <w:webHidden/>
          </w:rPr>
          <w:fldChar w:fldCharType="end"/>
        </w:r>
      </w:hyperlink>
    </w:p>
    <w:p w14:paraId="60AAD3EC" w14:textId="3CEAF127" w:rsidR="00AB4571" w:rsidRDefault="001C1A66">
      <w:pPr>
        <w:pStyle w:val="TOC1"/>
        <w:rPr>
          <w:rFonts w:asciiTheme="minorHAnsi" w:eastAsiaTheme="minorEastAsia" w:hAnsiTheme="minorHAnsi" w:cstheme="minorBidi"/>
          <w:i w:val="0"/>
          <w:sz w:val="22"/>
          <w:szCs w:val="22"/>
        </w:rPr>
      </w:pPr>
      <w:hyperlink w:anchor="_Toc123630208" w:history="1">
        <w:r w:rsidR="00AB4571" w:rsidRPr="004166AD">
          <w:rPr>
            <w:rStyle w:val="Hyperlink"/>
          </w:rPr>
          <w:t>7. How do I find out the confidential rate and ascertained export price for my exporter?</w:t>
        </w:r>
        <w:r w:rsidR="00AB4571">
          <w:rPr>
            <w:webHidden/>
          </w:rPr>
          <w:tab/>
        </w:r>
        <w:r w:rsidR="00AB4571">
          <w:rPr>
            <w:webHidden/>
          </w:rPr>
          <w:fldChar w:fldCharType="begin"/>
        </w:r>
        <w:r w:rsidR="00AB4571">
          <w:rPr>
            <w:webHidden/>
          </w:rPr>
          <w:instrText xml:space="preserve"> PAGEREF _Toc123630208 \h </w:instrText>
        </w:r>
        <w:r w:rsidR="00AB4571">
          <w:rPr>
            <w:webHidden/>
          </w:rPr>
        </w:r>
        <w:r w:rsidR="00AB4571">
          <w:rPr>
            <w:webHidden/>
          </w:rPr>
          <w:fldChar w:fldCharType="separate"/>
        </w:r>
        <w:r w:rsidR="009A0A5E">
          <w:rPr>
            <w:webHidden/>
          </w:rPr>
          <w:t>7</w:t>
        </w:r>
        <w:r w:rsidR="00AB4571">
          <w:rPr>
            <w:webHidden/>
          </w:rPr>
          <w:fldChar w:fldCharType="end"/>
        </w:r>
      </w:hyperlink>
    </w:p>
    <w:p w14:paraId="1490FD5F" w14:textId="4D49512D" w:rsidR="00AB4571" w:rsidRDefault="001C1A66">
      <w:pPr>
        <w:pStyle w:val="TOC1"/>
        <w:rPr>
          <w:rFonts w:asciiTheme="minorHAnsi" w:eastAsiaTheme="minorEastAsia" w:hAnsiTheme="minorHAnsi" w:cstheme="minorBidi"/>
          <w:i w:val="0"/>
          <w:sz w:val="22"/>
          <w:szCs w:val="22"/>
        </w:rPr>
      </w:pPr>
      <w:hyperlink w:anchor="_Toc123630209" w:history="1">
        <w:r w:rsidR="00AB4571" w:rsidRPr="004166AD">
          <w:rPr>
            <w:rStyle w:val="Hyperlink"/>
          </w:rPr>
          <w:t>8. What information is needed to complete an import declaration for goods subject to measures?</w:t>
        </w:r>
        <w:r w:rsidR="00AB4571">
          <w:rPr>
            <w:webHidden/>
          </w:rPr>
          <w:tab/>
        </w:r>
        <w:r w:rsidR="00AB4571">
          <w:rPr>
            <w:webHidden/>
          </w:rPr>
          <w:fldChar w:fldCharType="begin"/>
        </w:r>
        <w:r w:rsidR="00AB4571">
          <w:rPr>
            <w:webHidden/>
          </w:rPr>
          <w:instrText xml:space="preserve"> PAGEREF _Toc123630209 \h </w:instrText>
        </w:r>
        <w:r w:rsidR="00AB4571">
          <w:rPr>
            <w:webHidden/>
          </w:rPr>
        </w:r>
        <w:r w:rsidR="00AB4571">
          <w:rPr>
            <w:webHidden/>
          </w:rPr>
          <w:fldChar w:fldCharType="separate"/>
        </w:r>
        <w:r w:rsidR="009A0A5E">
          <w:rPr>
            <w:webHidden/>
          </w:rPr>
          <w:t>7</w:t>
        </w:r>
        <w:r w:rsidR="00AB4571">
          <w:rPr>
            <w:webHidden/>
          </w:rPr>
          <w:fldChar w:fldCharType="end"/>
        </w:r>
      </w:hyperlink>
    </w:p>
    <w:p w14:paraId="1954E9ED" w14:textId="18A9CDE8" w:rsidR="00AB4571" w:rsidRDefault="001C1A66">
      <w:pPr>
        <w:pStyle w:val="TOC1"/>
        <w:rPr>
          <w:rFonts w:asciiTheme="minorHAnsi" w:eastAsiaTheme="minorEastAsia" w:hAnsiTheme="minorHAnsi" w:cstheme="minorBidi"/>
          <w:i w:val="0"/>
          <w:sz w:val="22"/>
          <w:szCs w:val="22"/>
        </w:rPr>
      </w:pPr>
      <w:hyperlink w:anchor="_Toc123630210" w:history="1">
        <w:r w:rsidR="00AB4571" w:rsidRPr="004166AD">
          <w:rPr>
            <w:rStyle w:val="Hyperlink"/>
          </w:rPr>
          <w:t>9. What are the duty assessment importation and application period dates?</w:t>
        </w:r>
        <w:r w:rsidR="00AB4571">
          <w:rPr>
            <w:webHidden/>
          </w:rPr>
          <w:tab/>
        </w:r>
        <w:r w:rsidR="00AB4571">
          <w:rPr>
            <w:webHidden/>
          </w:rPr>
          <w:fldChar w:fldCharType="begin"/>
        </w:r>
        <w:r w:rsidR="00AB4571">
          <w:rPr>
            <w:webHidden/>
          </w:rPr>
          <w:instrText xml:space="preserve"> PAGEREF _Toc123630210 \h </w:instrText>
        </w:r>
        <w:r w:rsidR="00AB4571">
          <w:rPr>
            <w:webHidden/>
          </w:rPr>
        </w:r>
        <w:r w:rsidR="00AB4571">
          <w:rPr>
            <w:webHidden/>
          </w:rPr>
          <w:fldChar w:fldCharType="separate"/>
        </w:r>
        <w:r w:rsidR="009A0A5E">
          <w:rPr>
            <w:webHidden/>
          </w:rPr>
          <w:t>7</w:t>
        </w:r>
        <w:r w:rsidR="00AB4571">
          <w:rPr>
            <w:webHidden/>
          </w:rPr>
          <w:fldChar w:fldCharType="end"/>
        </w:r>
      </w:hyperlink>
    </w:p>
    <w:p w14:paraId="699ED65A" w14:textId="32C5DF46" w:rsidR="00AB4571" w:rsidRDefault="001C1A66">
      <w:pPr>
        <w:pStyle w:val="TOC1"/>
        <w:rPr>
          <w:rFonts w:asciiTheme="minorHAnsi" w:eastAsiaTheme="minorEastAsia" w:hAnsiTheme="minorHAnsi" w:cstheme="minorBidi"/>
          <w:i w:val="0"/>
          <w:sz w:val="22"/>
          <w:szCs w:val="22"/>
        </w:rPr>
      </w:pPr>
      <w:hyperlink w:anchor="_Toc123630211" w:history="1">
        <w:r w:rsidR="00AB4571" w:rsidRPr="004166AD">
          <w:rPr>
            <w:rStyle w:val="Hyperlink"/>
          </w:rPr>
          <w:t xml:space="preserve">10. </w:t>
        </w:r>
        <w:r w:rsidR="004A5268" w:rsidRPr="004A5268">
          <w:rPr>
            <w:rStyle w:val="Hyperlink"/>
          </w:rPr>
          <w:t>DCR changes including links to key reports and notices for measures on hollow structural sections?</w:t>
        </w:r>
        <w:r w:rsidR="00AB4571">
          <w:rPr>
            <w:webHidden/>
          </w:rPr>
          <w:tab/>
        </w:r>
        <w:r w:rsidR="00AB4571">
          <w:rPr>
            <w:webHidden/>
          </w:rPr>
          <w:fldChar w:fldCharType="begin"/>
        </w:r>
        <w:r w:rsidR="00AB4571">
          <w:rPr>
            <w:webHidden/>
          </w:rPr>
          <w:instrText xml:space="preserve"> PAGEREF _Toc123630211 \h </w:instrText>
        </w:r>
        <w:r w:rsidR="00AB4571">
          <w:rPr>
            <w:webHidden/>
          </w:rPr>
        </w:r>
        <w:r w:rsidR="00AB4571">
          <w:rPr>
            <w:webHidden/>
          </w:rPr>
          <w:fldChar w:fldCharType="separate"/>
        </w:r>
        <w:r w:rsidR="009A0A5E">
          <w:rPr>
            <w:webHidden/>
          </w:rPr>
          <w:t>8</w:t>
        </w:r>
        <w:r w:rsidR="00AB4571">
          <w:rPr>
            <w:webHidden/>
          </w:rPr>
          <w:fldChar w:fldCharType="end"/>
        </w:r>
      </w:hyperlink>
    </w:p>
    <w:p w14:paraId="68BAC59C" w14:textId="77777777" w:rsidR="00321AA9" w:rsidRPr="00533960" w:rsidRDefault="003C7BFF" w:rsidP="00495274">
      <w:pPr>
        <w:pStyle w:val="TOC1"/>
        <w:rPr>
          <w:rFonts w:asciiTheme="minorHAnsi" w:eastAsiaTheme="minorEastAsia" w:hAnsiTheme="minorHAnsi"/>
          <w:sz w:val="22"/>
          <w:szCs w:val="22"/>
        </w:rPr>
      </w:pPr>
      <w:r>
        <w:rPr>
          <w:highlight w:val="yellow"/>
        </w:rPr>
        <w:fldChar w:fldCharType="end"/>
      </w:r>
    </w:p>
    <w:p w14:paraId="68BAC59E" w14:textId="77777777" w:rsidR="009A3781" w:rsidRDefault="009A3781" w:rsidP="00E4346B">
      <w:pPr>
        <w:jc w:val="both"/>
      </w:pPr>
    </w:p>
    <w:p w14:paraId="0670E924" w14:textId="77777777" w:rsidR="00844234" w:rsidRDefault="00844234" w:rsidP="00E4346B">
      <w:pPr>
        <w:jc w:val="both"/>
      </w:pPr>
    </w:p>
    <w:p w14:paraId="62AB99DA" w14:textId="77777777" w:rsidR="00844234" w:rsidRDefault="00844234" w:rsidP="00E4346B">
      <w:pPr>
        <w:jc w:val="both"/>
      </w:pPr>
    </w:p>
    <w:p w14:paraId="0C0E3C8F" w14:textId="77777777" w:rsidR="00844234" w:rsidRDefault="00844234" w:rsidP="00E4346B">
      <w:pPr>
        <w:jc w:val="both"/>
      </w:pPr>
    </w:p>
    <w:p w14:paraId="42F99641" w14:textId="77777777" w:rsidR="00844234" w:rsidRDefault="00844234" w:rsidP="00E4346B">
      <w:pPr>
        <w:jc w:val="both"/>
      </w:pPr>
    </w:p>
    <w:p w14:paraId="11E1C443" w14:textId="77777777" w:rsidR="00844234" w:rsidRDefault="00844234" w:rsidP="00E4346B">
      <w:pPr>
        <w:jc w:val="both"/>
      </w:pPr>
    </w:p>
    <w:p w14:paraId="47D82090" w14:textId="77777777" w:rsidR="00844234" w:rsidRDefault="00844234" w:rsidP="00E4346B">
      <w:pPr>
        <w:jc w:val="both"/>
      </w:pPr>
    </w:p>
    <w:p w14:paraId="695115D3" w14:textId="77777777" w:rsidR="00844234" w:rsidRDefault="00844234" w:rsidP="00E4346B">
      <w:pPr>
        <w:jc w:val="both"/>
      </w:pPr>
    </w:p>
    <w:p w14:paraId="68BAC59F" w14:textId="77777777" w:rsidR="009A3781" w:rsidRDefault="009A3781" w:rsidP="00E4346B">
      <w:pPr>
        <w:jc w:val="both"/>
      </w:pPr>
    </w:p>
    <w:p w14:paraId="68BAC5A0" w14:textId="77777777" w:rsidR="009A3781" w:rsidRDefault="009A3781" w:rsidP="00E4346B">
      <w:pPr>
        <w:jc w:val="both"/>
      </w:pPr>
    </w:p>
    <w:p w14:paraId="68BAC5A1" w14:textId="77777777" w:rsidR="009A3781" w:rsidRDefault="009A3781" w:rsidP="00E4346B">
      <w:pPr>
        <w:jc w:val="both"/>
      </w:pPr>
    </w:p>
    <w:p w14:paraId="68BAC5A2" w14:textId="77777777" w:rsidR="009A3781" w:rsidRDefault="009A3781" w:rsidP="00E4346B">
      <w:pPr>
        <w:jc w:val="both"/>
      </w:pPr>
    </w:p>
    <w:p w14:paraId="68BAC5A3" w14:textId="77777777" w:rsidR="009A3781" w:rsidRDefault="009A3781" w:rsidP="00E4346B">
      <w:pPr>
        <w:jc w:val="both"/>
      </w:pPr>
    </w:p>
    <w:p w14:paraId="68BAC5A4" w14:textId="77777777" w:rsidR="009A3781" w:rsidRDefault="009A3781" w:rsidP="00E4346B">
      <w:pPr>
        <w:jc w:val="both"/>
      </w:pPr>
    </w:p>
    <w:p w14:paraId="68BAC5A5" w14:textId="77777777" w:rsidR="009A3781" w:rsidRDefault="009A3781" w:rsidP="00E4346B">
      <w:pPr>
        <w:jc w:val="both"/>
      </w:pPr>
    </w:p>
    <w:p w14:paraId="68BAC5A6" w14:textId="77777777" w:rsidR="009A3781" w:rsidRDefault="009A3781" w:rsidP="00E4346B">
      <w:pPr>
        <w:jc w:val="both"/>
      </w:pPr>
    </w:p>
    <w:p w14:paraId="68BAC5A7" w14:textId="77777777" w:rsidR="009A3781" w:rsidRDefault="009A3781" w:rsidP="00E4346B">
      <w:pPr>
        <w:jc w:val="both"/>
      </w:pPr>
    </w:p>
    <w:p w14:paraId="68BAC5A8" w14:textId="77777777" w:rsidR="009A3781" w:rsidRDefault="009A3781" w:rsidP="00E4346B">
      <w:pPr>
        <w:jc w:val="both"/>
      </w:pPr>
    </w:p>
    <w:p w14:paraId="68BAC5A9" w14:textId="77777777" w:rsidR="009A3781" w:rsidRDefault="009A3781" w:rsidP="00E4346B">
      <w:pPr>
        <w:jc w:val="both"/>
      </w:pPr>
    </w:p>
    <w:p w14:paraId="68BAC5AA" w14:textId="77777777" w:rsidR="009A3781" w:rsidRDefault="009A3781" w:rsidP="00E4346B">
      <w:pPr>
        <w:jc w:val="both"/>
      </w:pPr>
    </w:p>
    <w:p w14:paraId="68BAC5AB" w14:textId="77777777" w:rsidR="009A3781" w:rsidRDefault="009A3781" w:rsidP="00E4346B">
      <w:pPr>
        <w:jc w:val="both"/>
      </w:pPr>
    </w:p>
    <w:p w14:paraId="68BAC5AC" w14:textId="77777777" w:rsidR="009A3781" w:rsidRDefault="009A3781" w:rsidP="00E4346B">
      <w:pPr>
        <w:jc w:val="both"/>
      </w:pPr>
    </w:p>
    <w:p w14:paraId="68BAC5AD" w14:textId="77777777" w:rsidR="009A3781" w:rsidRDefault="009A3781" w:rsidP="00E4346B">
      <w:pPr>
        <w:jc w:val="both"/>
      </w:pPr>
    </w:p>
    <w:p w14:paraId="68BAC5B0" w14:textId="5DF025EE" w:rsidR="007970C2" w:rsidRPr="006F7A4C" w:rsidRDefault="00082018" w:rsidP="006F7A4C">
      <w:pPr>
        <w:pStyle w:val="Heading1"/>
        <w:spacing w:after="240"/>
        <w:rPr>
          <w:sz w:val="28"/>
          <w:szCs w:val="28"/>
        </w:rPr>
      </w:pPr>
      <w:bookmarkStart w:id="17" w:name="_Toc111821177"/>
      <w:bookmarkStart w:id="18" w:name="_Toc123630202"/>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2537BE6C" w:rsidR="000F70AE" w:rsidRPr="006F7A4C" w:rsidRDefault="00D32CC1" w:rsidP="006F7A4C">
      <w:pPr>
        <w:pStyle w:val="Heading1"/>
        <w:spacing w:after="240"/>
        <w:rPr>
          <w:sz w:val="28"/>
          <w:szCs w:val="28"/>
        </w:rPr>
      </w:pPr>
      <w:bookmarkStart w:id="19" w:name="_Toc123630203"/>
      <w:r w:rsidRPr="006F7A4C">
        <w:rPr>
          <w:sz w:val="28"/>
          <w:szCs w:val="28"/>
        </w:rPr>
        <w:t>2</w:t>
      </w:r>
      <w:r w:rsidR="00E54A69" w:rsidRPr="006F7A4C">
        <w:rPr>
          <w:sz w:val="28"/>
          <w:szCs w:val="28"/>
        </w:rPr>
        <w:t xml:space="preserve">. </w:t>
      </w:r>
      <w:r w:rsidR="000F70AE" w:rsidRPr="006F7A4C">
        <w:rPr>
          <w:sz w:val="28"/>
          <w:szCs w:val="28"/>
        </w:rPr>
        <w:t xml:space="preserve">What types of </w:t>
      </w:r>
      <w:r w:rsidR="004D054E">
        <w:rPr>
          <w:sz w:val="28"/>
          <w:szCs w:val="28"/>
        </w:rPr>
        <w:t>c</w:t>
      </w:r>
      <w:r w:rsidR="00DA0997">
        <w:rPr>
          <w:sz w:val="28"/>
          <w:szCs w:val="28"/>
        </w:rPr>
        <w:t>lear float glass</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1D745DA4" w14:textId="6D1B6F63" w:rsidR="00A83293" w:rsidRPr="00A83293" w:rsidRDefault="00DA0997" w:rsidP="00DA0997">
      <w:pPr>
        <w:tabs>
          <w:tab w:val="left" w:pos="3975"/>
        </w:tabs>
        <w:spacing w:before="120"/>
        <w:rPr>
          <w:sz w:val="22"/>
          <w:szCs w:val="22"/>
        </w:rPr>
      </w:pPr>
      <w:r w:rsidRPr="00DA0997">
        <w:rPr>
          <w:sz w:val="22"/>
          <w:szCs w:val="22"/>
        </w:rPr>
        <w:t>Clear Float Glass in nominal thicknesses of 3 to 12 mm, with the following characteristics</w:t>
      </w:r>
      <w:r w:rsidR="00A83293" w:rsidRPr="00A83293">
        <w:rPr>
          <w:sz w:val="22"/>
          <w:szCs w:val="22"/>
        </w:rPr>
        <w:t>:</w:t>
      </w:r>
    </w:p>
    <w:p w14:paraId="09A9250A" w14:textId="0CC30DA4" w:rsidR="00A83293" w:rsidRDefault="00DA0997" w:rsidP="00DA0997">
      <w:pPr>
        <w:pStyle w:val="ListParagraph"/>
        <w:numPr>
          <w:ilvl w:val="0"/>
          <w:numId w:val="14"/>
        </w:numPr>
        <w:ind w:left="1168" w:hanging="357"/>
      </w:pPr>
      <w:r>
        <w:t>transparent</w:t>
      </w:r>
      <w:r w:rsidR="00A83293">
        <w:t>:</w:t>
      </w:r>
    </w:p>
    <w:p w14:paraId="47021C14" w14:textId="2D99322D" w:rsidR="00A83293" w:rsidRDefault="00DA0997" w:rsidP="00DA0997">
      <w:pPr>
        <w:pStyle w:val="ListParagraph"/>
        <w:numPr>
          <w:ilvl w:val="0"/>
          <w:numId w:val="14"/>
        </w:numPr>
        <w:spacing w:before="0"/>
        <w:ind w:left="1168" w:hanging="357"/>
      </w:pPr>
      <w:r>
        <w:t>flat</w:t>
      </w:r>
      <w:r w:rsidR="00A83293">
        <w:t>; and</w:t>
      </w:r>
    </w:p>
    <w:p w14:paraId="7FA43439" w14:textId="05BA4397" w:rsidR="00A83293" w:rsidRDefault="00DA0997" w:rsidP="00DA0997">
      <w:pPr>
        <w:pStyle w:val="ListParagraph"/>
        <w:numPr>
          <w:ilvl w:val="0"/>
          <w:numId w:val="14"/>
        </w:numPr>
        <w:spacing w:before="0"/>
        <w:ind w:left="1168" w:hanging="357"/>
      </w:pPr>
      <w:r>
        <w:t>rectangular or square in shape</w:t>
      </w:r>
      <w:r w:rsidR="00A83293">
        <w:t>.</w:t>
      </w:r>
    </w:p>
    <w:p w14:paraId="2A1AF4A9" w14:textId="77777777" w:rsidR="00DA0997" w:rsidRDefault="00DA0997" w:rsidP="00EF1380">
      <w:pPr>
        <w:spacing w:before="120" w:line="264" w:lineRule="auto"/>
        <w:rPr>
          <w:rFonts w:asciiTheme="minorHAnsi" w:hAnsiTheme="minorHAnsi"/>
          <w:b/>
          <w:sz w:val="22"/>
          <w:szCs w:val="22"/>
        </w:rPr>
      </w:pPr>
      <w:r w:rsidRPr="00DA0997">
        <w:rPr>
          <w:rFonts w:asciiTheme="minorHAnsi" w:hAnsiTheme="minorHAnsi"/>
          <w:b/>
          <w:sz w:val="22"/>
          <w:szCs w:val="22"/>
        </w:rPr>
        <w:t>Sizes</w:t>
      </w:r>
    </w:p>
    <w:p w14:paraId="152C6BDD" w14:textId="304597C1" w:rsidR="0005437F" w:rsidRPr="0005437F" w:rsidRDefault="0005437F" w:rsidP="00EF1380">
      <w:pPr>
        <w:spacing w:before="120" w:line="264" w:lineRule="auto"/>
        <w:rPr>
          <w:rFonts w:asciiTheme="minorHAnsi" w:hAnsiTheme="minorHAnsi"/>
          <w:sz w:val="22"/>
          <w:szCs w:val="22"/>
        </w:rPr>
      </w:pPr>
      <w:r w:rsidRPr="0005437F">
        <w:rPr>
          <w:rFonts w:asciiTheme="minorHAnsi" w:hAnsiTheme="minorHAnsi"/>
          <w:sz w:val="22"/>
          <w:szCs w:val="22"/>
        </w:rPr>
        <w:t>The Australian Industry Standard nominal thicknesses and thickness tolerances apply and are listed in the table below:</w:t>
      </w:r>
    </w:p>
    <w:tbl>
      <w:tblPr>
        <w:tblStyle w:val="TableGrid"/>
        <w:tblW w:w="0" w:type="auto"/>
        <w:jc w:val="center"/>
        <w:tblLayout w:type="fixed"/>
        <w:tblLook w:val="0600" w:firstRow="0" w:lastRow="0" w:firstColumn="0" w:lastColumn="0" w:noHBand="1" w:noVBand="1"/>
      </w:tblPr>
      <w:tblGrid>
        <w:gridCol w:w="2410"/>
        <w:gridCol w:w="2041"/>
        <w:gridCol w:w="1984"/>
      </w:tblGrid>
      <w:tr w:rsidR="00DA0997" w:rsidRPr="0023695C" w14:paraId="779BFC11" w14:textId="77777777" w:rsidTr="00844234">
        <w:trPr>
          <w:trHeight w:val="283"/>
          <w:jc w:val="center"/>
        </w:trPr>
        <w:tc>
          <w:tcPr>
            <w:tcW w:w="2410" w:type="dxa"/>
            <w:vMerge w:val="restart"/>
          </w:tcPr>
          <w:p w14:paraId="0092ADEE" w14:textId="77777777" w:rsidR="00DA0997" w:rsidRPr="0023695C" w:rsidRDefault="00DA0997">
            <w:pPr>
              <w:rPr>
                <w:rFonts w:asciiTheme="minorHAnsi" w:hAnsiTheme="minorHAnsi"/>
                <w:b/>
                <w:sz w:val="22"/>
                <w:szCs w:val="22"/>
              </w:rPr>
            </w:pPr>
            <w:r w:rsidRPr="0023695C">
              <w:rPr>
                <w:rFonts w:asciiTheme="minorHAnsi" w:hAnsiTheme="minorHAnsi"/>
                <w:b/>
                <w:sz w:val="22"/>
                <w:szCs w:val="22"/>
              </w:rPr>
              <w:t>Nominal thicknesses (mm)</w:t>
            </w:r>
          </w:p>
        </w:tc>
        <w:tc>
          <w:tcPr>
            <w:tcW w:w="4025" w:type="dxa"/>
            <w:gridSpan w:val="2"/>
          </w:tcPr>
          <w:p w14:paraId="16272AA7" w14:textId="77777777" w:rsidR="00DA0997" w:rsidRPr="0023695C" w:rsidRDefault="00DA0997">
            <w:pPr>
              <w:rPr>
                <w:rFonts w:asciiTheme="minorHAnsi" w:hAnsiTheme="minorHAnsi"/>
                <w:b/>
                <w:sz w:val="22"/>
                <w:szCs w:val="22"/>
              </w:rPr>
            </w:pPr>
            <w:r w:rsidRPr="0023695C">
              <w:rPr>
                <w:rFonts w:asciiTheme="minorHAnsi" w:hAnsiTheme="minorHAnsi"/>
                <w:b/>
                <w:sz w:val="22"/>
                <w:szCs w:val="22"/>
              </w:rPr>
              <w:t>Acceptable Tolerance (mm)</w:t>
            </w:r>
          </w:p>
        </w:tc>
      </w:tr>
      <w:tr w:rsidR="00DA0997" w:rsidRPr="0023695C" w14:paraId="714AEA7E" w14:textId="77777777" w:rsidTr="00844234">
        <w:trPr>
          <w:trHeight w:val="283"/>
          <w:jc w:val="center"/>
        </w:trPr>
        <w:tc>
          <w:tcPr>
            <w:tcW w:w="2410" w:type="dxa"/>
            <w:vMerge/>
          </w:tcPr>
          <w:p w14:paraId="362214BF" w14:textId="77777777" w:rsidR="00DA0997" w:rsidRPr="0023695C" w:rsidRDefault="00DA0997">
            <w:pPr>
              <w:rPr>
                <w:rFonts w:asciiTheme="minorHAnsi" w:hAnsiTheme="minorHAnsi"/>
                <w:sz w:val="22"/>
                <w:szCs w:val="22"/>
              </w:rPr>
            </w:pPr>
          </w:p>
        </w:tc>
        <w:tc>
          <w:tcPr>
            <w:tcW w:w="2041" w:type="dxa"/>
          </w:tcPr>
          <w:p w14:paraId="5482A94B" w14:textId="77777777" w:rsidR="00DA0997" w:rsidRPr="0023695C" w:rsidRDefault="00DA0997">
            <w:pPr>
              <w:rPr>
                <w:rFonts w:asciiTheme="minorHAnsi" w:hAnsiTheme="minorHAnsi"/>
                <w:b/>
                <w:sz w:val="22"/>
                <w:szCs w:val="22"/>
              </w:rPr>
            </w:pPr>
            <w:r w:rsidRPr="0023695C">
              <w:rPr>
                <w:rFonts w:asciiTheme="minorHAnsi" w:hAnsiTheme="minorHAnsi"/>
                <w:b/>
                <w:sz w:val="22"/>
                <w:szCs w:val="22"/>
              </w:rPr>
              <w:t>Minimum</w:t>
            </w:r>
          </w:p>
        </w:tc>
        <w:tc>
          <w:tcPr>
            <w:tcW w:w="1984" w:type="dxa"/>
          </w:tcPr>
          <w:p w14:paraId="33A58E25" w14:textId="77777777" w:rsidR="00DA0997" w:rsidRPr="0023695C" w:rsidRDefault="00DA0997">
            <w:pPr>
              <w:rPr>
                <w:rFonts w:asciiTheme="minorHAnsi" w:hAnsiTheme="minorHAnsi"/>
                <w:b/>
                <w:sz w:val="22"/>
                <w:szCs w:val="22"/>
              </w:rPr>
            </w:pPr>
            <w:r w:rsidRPr="0023695C">
              <w:rPr>
                <w:rFonts w:asciiTheme="minorHAnsi" w:hAnsiTheme="minorHAnsi"/>
                <w:b/>
                <w:sz w:val="22"/>
                <w:szCs w:val="22"/>
              </w:rPr>
              <w:t>Maximum</w:t>
            </w:r>
          </w:p>
        </w:tc>
      </w:tr>
      <w:tr w:rsidR="00DA0997" w:rsidRPr="0023695C" w14:paraId="2675CD9B" w14:textId="77777777" w:rsidTr="00844234">
        <w:trPr>
          <w:trHeight w:val="283"/>
          <w:jc w:val="center"/>
        </w:trPr>
        <w:tc>
          <w:tcPr>
            <w:tcW w:w="2410" w:type="dxa"/>
            <w:vAlign w:val="center"/>
          </w:tcPr>
          <w:p w14:paraId="6212E7CC" w14:textId="77777777" w:rsidR="00DA0997" w:rsidRPr="0023695C" w:rsidRDefault="00DA0997">
            <w:pPr>
              <w:rPr>
                <w:rFonts w:asciiTheme="minorHAnsi" w:hAnsiTheme="minorHAnsi"/>
                <w:sz w:val="22"/>
                <w:szCs w:val="22"/>
              </w:rPr>
            </w:pPr>
            <w:r w:rsidRPr="0023695C">
              <w:rPr>
                <w:rFonts w:asciiTheme="minorHAnsi" w:hAnsiTheme="minorHAnsi"/>
                <w:sz w:val="22"/>
                <w:szCs w:val="22"/>
              </w:rPr>
              <w:t>3</w:t>
            </w:r>
          </w:p>
        </w:tc>
        <w:tc>
          <w:tcPr>
            <w:tcW w:w="2041" w:type="dxa"/>
            <w:vAlign w:val="center"/>
          </w:tcPr>
          <w:p w14:paraId="0A53590D" w14:textId="77777777" w:rsidR="00DA0997" w:rsidRPr="0023695C" w:rsidRDefault="00DA0997">
            <w:pPr>
              <w:rPr>
                <w:rFonts w:asciiTheme="minorHAnsi" w:hAnsiTheme="minorHAnsi"/>
                <w:sz w:val="22"/>
                <w:szCs w:val="22"/>
              </w:rPr>
            </w:pPr>
            <w:r w:rsidRPr="0023695C">
              <w:rPr>
                <w:rFonts w:asciiTheme="minorHAnsi" w:hAnsiTheme="minorHAnsi"/>
                <w:sz w:val="22"/>
                <w:szCs w:val="22"/>
              </w:rPr>
              <w:t>2.80</w:t>
            </w:r>
          </w:p>
        </w:tc>
        <w:tc>
          <w:tcPr>
            <w:tcW w:w="1984" w:type="dxa"/>
            <w:vAlign w:val="center"/>
          </w:tcPr>
          <w:p w14:paraId="3A8BF654" w14:textId="77777777" w:rsidR="00DA0997" w:rsidRPr="0023695C" w:rsidRDefault="00DA0997">
            <w:pPr>
              <w:rPr>
                <w:rFonts w:asciiTheme="minorHAnsi" w:hAnsiTheme="minorHAnsi"/>
                <w:sz w:val="22"/>
                <w:szCs w:val="22"/>
              </w:rPr>
            </w:pPr>
            <w:r w:rsidRPr="0023695C">
              <w:rPr>
                <w:rFonts w:asciiTheme="minorHAnsi" w:hAnsiTheme="minorHAnsi"/>
                <w:sz w:val="22"/>
                <w:szCs w:val="22"/>
              </w:rPr>
              <w:t>3.50</w:t>
            </w:r>
          </w:p>
        </w:tc>
      </w:tr>
      <w:tr w:rsidR="00DA0997" w:rsidRPr="0023695C" w14:paraId="2B1FFA74" w14:textId="77777777" w:rsidTr="00844234">
        <w:trPr>
          <w:trHeight w:val="283"/>
          <w:jc w:val="center"/>
        </w:trPr>
        <w:tc>
          <w:tcPr>
            <w:tcW w:w="2410" w:type="dxa"/>
            <w:vAlign w:val="center"/>
          </w:tcPr>
          <w:p w14:paraId="105D8C07" w14:textId="77777777" w:rsidR="00DA0997" w:rsidRPr="0023695C" w:rsidRDefault="00DA0997">
            <w:pPr>
              <w:rPr>
                <w:rFonts w:asciiTheme="minorHAnsi" w:hAnsiTheme="minorHAnsi"/>
                <w:sz w:val="22"/>
                <w:szCs w:val="22"/>
              </w:rPr>
            </w:pPr>
            <w:r w:rsidRPr="0023695C">
              <w:rPr>
                <w:rFonts w:asciiTheme="minorHAnsi" w:hAnsiTheme="minorHAnsi"/>
                <w:sz w:val="22"/>
                <w:szCs w:val="22"/>
              </w:rPr>
              <w:t>4</w:t>
            </w:r>
          </w:p>
        </w:tc>
        <w:tc>
          <w:tcPr>
            <w:tcW w:w="2041" w:type="dxa"/>
            <w:vAlign w:val="center"/>
          </w:tcPr>
          <w:p w14:paraId="6FD19E6A" w14:textId="77777777" w:rsidR="00DA0997" w:rsidRPr="0023695C" w:rsidRDefault="00DA0997">
            <w:pPr>
              <w:rPr>
                <w:rFonts w:asciiTheme="minorHAnsi" w:hAnsiTheme="minorHAnsi"/>
                <w:sz w:val="22"/>
                <w:szCs w:val="22"/>
              </w:rPr>
            </w:pPr>
            <w:r w:rsidRPr="0023695C">
              <w:rPr>
                <w:rFonts w:asciiTheme="minorHAnsi" w:hAnsiTheme="minorHAnsi"/>
                <w:sz w:val="22"/>
                <w:szCs w:val="22"/>
              </w:rPr>
              <w:t>3.51</w:t>
            </w:r>
          </w:p>
        </w:tc>
        <w:tc>
          <w:tcPr>
            <w:tcW w:w="1984" w:type="dxa"/>
            <w:vAlign w:val="center"/>
          </w:tcPr>
          <w:p w14:paraId="57B73959" w14:textId="77777777" w:rsidR="00DA0997" w:rsidRPr="0023695C" w:rsidRDefault="00DA0997">
            <w:pPr>
              <w:rPr>
                <w:rFonts w:asciiTheme="minorHAnsi" w:hAnsiTheme="minorHAnsi"/>
                <w:sz w:val="22"/>
                <w:szCs w:val="22"/>
              </w:rPr>
            </w:pPr>
            <w:r w:rsidRPr="0023695C">
              <w:rPr>
                <w:rFonts w:asciiTheme="minorHAnsi" w:hAnsiTheme="minorHAnsi"/>
                <w:sz w:val="22"/>
                <w:szCs w:val="22"/>
              </w:rPr>
              <w:t>4.50</w:t>
            </w:r>
          </w:p>
        </w:tc>
      </w:tr>
      <w:tr w:rsidR="00DA0997" w:rsidRPr="0023695C" w14:paraId="6082086A" w14:textId="77777777" w:rsidTr="00844234">
        <w:trPr>
          <w:trHeight w:val="283"/>
          <w:jc w:val="center"/>
        </w:trPr>
        <w:tc>
          <w:tcPr>
            <w:tcW w:w="2410" w:type="dxa"/>
            <w:vAlign w:val="center"/>
          </w:tcPr>
          <w:p w14:paraId="04D7F5EE" w14:textId="77777777" w:rsidR="00DA0997" w:rsidRPr="0023695C" w:rsidRDefault="00DA0997">
            <w:pPr>
              <w:rPr>
                <w:rFonts w:asciiTheme="minorHAnsi" w:hAnsiTheme="minorHAnsi"/>
                <w:sz w:val="22"/>
                <w:szCs w:val="22"/>
              </w:rPr>
            </w:pPr>
            <w:r w:rsidRPr="0023695C">
              <w:rPr>
                <w:rFonts w:asciiTheme="minorHAnsi" w:hAnsiTheme="minorHAnsi"/>
                <w:sz w:val="22"/>
                <w:szCs w:val="22"/>
              </w:rPr>
              <w:t>5</w:t>
            </w:r>
          </w:p>
        </w:tc>
        <w:tc>
          <w:tcPr>
            <w:tcW w:w="2041" w:type="dxa"/>
            <w:vAlign w:val="center"/>
          </w:tcPr>
          <w:p w14:paraId="6C02715E" w14:textId="77777777" w:rsidR="00DA0997" w:rsidRPr="0023695C" w:rsidRDefault="00DA0997">
            <w:pPr>
              <w:rPr>
                <w:rFonts w:asciiTheme="minorHAnsi" w:hAnsiTheme="minorHAnsi"/>
                <w:sz w:val="22"/>
                <w:szCs w:val="22"/>
              </w:rPr>
            </w:pPr>
            <w:r w:rsidRPr="0023695C">
              <w:rPr>
                <w:rFonts w:asciiTheme="minorHAnsi" w:hAnsiTheme="minorHAnsi"/>
                <w:sz w:val="22"/>
                <w:szCs w:val="22"/>
              </w:rPr>
              <w:t>4.51</w:t>
            </w:r>
          </w:p>
        </w:tc>
        <w:tc>
          <w:tcPr>
            <w:tcW w:w="1984" w:type="dxa"/>
            <w:vAlign w:val="center"/>
          </w:tcPr>
          <w:p w14:paraId="34C40F0C" w14:textId="77777777" w:rsidR="00DA0997" w:rsidRPr="0023695C" w:rsidRDefault="00DA0997">
            <w:pPr>
              <w:rPr>
                <w:rFonts w:asciiTheme="minorHAnsi" w:hAnsiTheme="minorHAnsi"/>
                <w:sz w:val="22"/>
                <w:szCs w:val="22"/>
              </w:rPr>
            </w:pPr>
            <w:r w:rsidRPr="0023695C">
              <w:rPr>
                <w:rFonts w:asciiTheme="minorHAnsi" w:hAnsiTheme="minorHAnsi"/>
                <w:sz w:val="22"/>
                <w:szCs w:val="22"/>
              </w:rPr>
              <w:t>5.50</w:t>
            </w:r>
          </w:p>
        </w:tc>
      </w:tr>
      <w:tr w:rsidR="00DA0997" w:rsidRPr="0023695C" w14:paraId="7DD4D39F" w14:textId="77777777" w:rsidTr="00844234">
        <w:trPr>
          <w:trHeight w:val="283"/>
          <w:jc w:val="center"/>
        </w:trPr>
        <w:tc>
          <w:tcPr>
            <w:tcW w:w="2410" w:type="dxa"/>
            <w:vAlign w:val="center"/>
          </w:tcPr>
          <w:p w14:paraId="7789A82A" w14:textId="77777777" w:rsidR="00DA0997" w:rsidRPr="0023695C" w:rsidRDefault="00DA0997">
            <w:pPr>
              <w:rPr>
                <w:rFonts w:asciiTheme="minorHAnsi" w:hAnsiTheme="minorHAnsi"/>
                <w:sz w:val="22"/>
                <w:szCs w:val="22"/>
              </w:rPr>
            </w:pPr>
            <w:r w:rsidRPr="0023695C">
              <w:rPr>
                <w:rFonts w:asciiTheme="minorHAnsi" w:hAnsiTheme="minorHAnsi"/>
                <w:sz w:val="22"/>
                <w:szCs w:val="22"/>
              </w:rPr>
              <w:t>6</w:t>
            </w:r>
          </w:p>
        </w:tc>
        <w:tc>
          <w:tcPr>
            <w:tcW w:w="2041" w:type="dxa"/>
            <w:vAlign w:val="center"/>
          </w:tcPr>
          <w:p w14:paraId="77055568" w14:textId="77777777" w:rsidR="00DA0997" w:rsidRPr="0023695C" w:rsidRDefault="00DA0997">
            <w:pPr>
              <w:rPr>
                <w:rFonts w:asciiTheme="minorHAnsi" w:hAnsiTheme="minorHAnsi"/>
                <w:sz w:val="22"/>
                <w:szCs w:val="22"/>
              </w:rPr>
            </w:pPr>
            <w:r w:rsidRPr="0023695C">
              <w:rPr>
                <w:rFonts w:asciiTheme="minorHAnsi" w:hAnsiTheme="minorHAnsi"/>
                <w:sz w:val="22"/>
                <w:szCs w:val="22"/>
              </w:rPr>
              <w:t>5.51</w:t>
            </w:r>
          </w:p>
        </w:tc>
        <w:tc>
          <w:tcPr>
            <w:tcW w:w="1984" w:type="dxa"/>
            <w:vAlign w:val="center"/>
          </w:tcPr>
          <w:p w14:paraId="22AA6441" w14:textId="77777777" w:rsidR="00DA0997" w:rsidRPr="0023695C" w:rsidRDefault="00DA0997">
            <w:pPr>
              <w:rPr>
                <w:rFonts w:asciiTheme="minorHAnsi" w:hAnsiTheme="minorHAnsi"/>
                <w:sz w:val="22"/>
                <w:szCs w:val="22"/>
              </w:rPr>
            </w:pPr>
            <w:r w:rsidRPr="0023695C">
              <w:rPr>
                <w:rFonts w:asciiTheme="minorHAnsi" w:hAnsiTheme="minorHAnsi"/>
                <w:sz w:val="22"/>
                <w:szCs w:val="22"/>
              </w:rPr>
              <w:t>7.00</w:t>
            </w:r>
          </w:p>
        </w:tc>
      </w:tr>
      <w:tr w:rsidR="00DA0997" w:rsidRPr="0023695C" w14:paraId="5298AD0F" w14:textId="77777777" w:rsidTr="00844234">
        <w:trPr>
          <w:trHeight w:val="283"/>
          <w:jc w:val="center"/>
        </w:trPr>
        <w:tc>
          <w:tcPr>
            <w:tcW w:w="2410" w:type="dxa"/>
            <w:vAlign w:val="center"/>
          </w:tcPr>
          <w:p w14:paraId="68C77BF0" w14:textId="77777777" w:rsidR="00DA0997" w:rsidRPr="0023695C" w:rsidRDefault="00DA0997">
            <w:pPr>
              <w:rPr>
                <w:rFonts w:asciiTheme="minorHAnsi" w:hAnsiTheme="minorHAnsi"/>
                <w:sz w:val="22"/>
                <w:szCs w:val="22"/>
              </w:rPr>
            </w:pPr>
            <w:r w:rsidRPr="0023695C">
              <w:rPr>
                <w:rFonts w:asciiTheme="minorHAnsi" w:hAnsiTheme="minorHAnsi"/>
                <w:sz w:val="22"/>
                <w:szCs w:val="22"/>
              </w:rPr>
              <w:t>8</w:t>
            </w:r>
          </w:p>
        </w:tc>
        <w:tc>
          <w:tcPr>
            <w:tcW w:w="2041" w:type="dxa"/>
            <w:vAlign w:val="center"/>
          </w:tcPr>
          <w:p w14:paraId="47EA85B9" w14:textId="77777777" w:rsidR="00DA0997" w:rsidRPr="0023695C" w:rsidRDefault="00DA0997">
            <w:pPr>
              <w:rPr>
                <w:rFonts w:asciiTheme="minorHAnsi" w:hAnsiTheme="minorHAnsi"/>
                <w:sz w:val="22"/>
                <w:szCs w:val="22"/>
              </w:rPr>
            </w:pPr>
            <w:r w:rsidRPr="0023695C">
              <w:rPr>
                <w:rFonts w:asciiTheme="minorHAnsi" w:hAnsiTheme="minorHAnsi"/>
                <w:sz w:val="22"/>
                <w:szCs w:val="22"/>
              </w:rPr>
              <w:t>7.01</w:t>
            </w:r>
          </w:p>
        </w:tc>
        <w:tc>
          <w:tcPr>
            <w:tcW w:w="1984" w:type="dxa"/>
            <w:vAlign w:val="center"/>
          </w:tcPr>
          <w:p w14:paraId="0B18D464" w14:textId="77777777" w:rsidR="00DA0997" w:rsidRPr="0023695C" w:rsidRDefault="00DA0997">
            <w:pPr>
              <w:rPr>
                <w:rFonts w:asciiTheme="minorHAnsi" w:hAnsiTheme="minorHAnsi"/>
                <w:sz w:val="22"/>
                <w:szCs w:val="22"/>
              </w:rPr>
            </w:pPr>
            <w:r w:rsidRPr="0023695C">
              <w:rPr>
                <w:rFonts w:asciiTheme="minorHAnsi" w:hAnsiTheme="minorHAnsi"/>
                <w:sz w:val="22"/>
                <w:szCs w:val="22"/>
              </w:rPr>
              <w:t>9.00</w:t>
            </w:r>
          </w:p>
        </w:tc>
      </w:tr>
      <w:tr w:rsidR="00DA0997" w:rsidRPr="0023695C" w14:paraId="5B8B44AB" w14:textId="77777777" w:rsidTr="00844234">
        <w:trPr>
          <w:trHeight w:val="283"/>
          <w:jc w:val="center"/>
        </w:trPr>
        <w:tc>
          <w:tcPr>
            <w:tcW w:w="2410" w:type="dxa"/>
            <w:vAlign w:val="center"/>
          </w:tcPr>
          <w:p w14:paraId="46340326" w14:textId="77777777" w:rsidR="00DA0997" w:rsidRPr="0023695C" w:rsidRDefault="00DA0997">
            <w:pPr>
              <w:rPr>
                <w:rFonts w:asciiTheme="minorHAnsi" w:hAnsiTheme="minorHAnsi"/>
                <w:sz w:val="22"/>
                <w:szCs w:val="22"/>
              </w:rPr>
            </w:pPr>
            <w:r w:rsidRPr="0023695C">
              <w:rPr>
                <w:rFonts w:asciiTheme="minorHAnsi" w:hAnsiTheme="minorHAnsi"/>
                <w:sz w:val="22"/>
                <w:szCs w:val="22"/>
              </w:rPr>
              <w:t>10</w:t>
            </w:r>
          </w:p>
        </w:tc>
        <w:tc>
          <w:tcPr>
            <w:tcW w:w="2041" w:type="dxa"/>
            <w:vAlign w:val="center"/>
          </w:tcPr>
          <w:p w14:paraId="54699575" w14:textId="77777777" w:rsidR="00DA0997" w:rsidRPr="0023695C" w:rsidRDefault="00DA0997">
            <w:pPr>
              <w:rPr>
                <w:rFonts w:asciiTheme="minorHAnsi" w:hAnsiTheme="minorHAnsi"/>
                <w:sz w:val="22"/>
                <w:szCs w:val="22"/>
              </w:rPr>
            </w:pPr>
            <w:r w:rsidRPr="0023695C">
              <w:rPr>
                <w:rFonts w:asciiTheme="minorHAnsi" w:hAnsiTheme="minorHAnsi"/>
                <w:sz w:val="22"/>
                <w:szCs w:val="22"/>
              </w:rPr>
              <w:t>9.01</w:t>
            </w:r>
          </w:p>
        </w:tc>
        <w:tc>
          <w:tcPr>
            <w:tcW w:w="1984" w:type="dxa"/>
            <w:vAlign w:val="center"/>
          </w:tcPr>
          <w:p w14:paraId="71977C5F" w14:textId="77777777" w:rsidR="00DA0997" w:rsidRPr="0023695C" w:rsidRDefault="00DA0997">
            <w:pPr>
              <w:rPr>
                <w:rFonts w:asciiTheme="minorHAnsi" w:hAnsiTheme="minorHAnsi"/>
                <w:sz w:val="22"/>
                <w:szCs w:val="22"/>
              </w:rPr>
            </w:pPr>
            <w:r w:rsidRPr="0023695C">
              <w:rPr>
                <w:rFonts w:asciiTheme="minorHAnsi" w:hAnsiTheme="minorHAnsi"/>
                <w:sz w:val="22"/>
                <w:szCs w:val="22"/>
              </w:rPr>
              <w:t>11.00</w:t>
            </w:r>
          </w:p>
        </w:tc>
      </w:tr>
      <w:tr w:rsidR="00DA0997" w:rsidRPr="0023695C" w14:paraId="1F0B2F61" w14:textId="77777777" w:rsidTr="00844234">
        <w:trPr>
          <w:trHeight w:val="283"/>
          <w:jc w:val="center"/>
        </w:trPr>
        <w:tc>
          <w:tcPr>
            <w:tcW w:w="2410" w:type="dxa"/>
            <w:tcBorders>
              <w:bottom w:val="single" w:sz="4" w:space="0" w:color="auto"/>
            </w:tcBorders>
            <w:vAlign w:val="center"/>
          </w:tcPr>
          <w:p w14:paraId="08D62D37" w14:textId="77777777" w:rsidR="00DA0997" w:rsidRPr="0023695C" w:rsidRDefault="00DA0997">
            <w:pPr>
              <w:rPr>
                <w:rFonts w:asciiTheme="minorHAnsi" w:hAnsiTheme="minorHAnsi"/>
                <w:sz w:val="22"/>
                <w:szCs w:val="22"/>
              </w:rPr>
            </w:pPr>
            <w:r w:rsidRPr="0023695C">
              <w:rPr>
                <w:rFonts w:asciiTheme="minorHAnsi" w:hAnsiTheme="minorHAnsi"/>
                <w:sz w:val="22"/>
                <w:szCs w:val="22"/>
              </w:rPr>
              <w:t>12</w:t>
            </w:r>
          </w:p>
        </w:tc>
        <w:tc>
          <w:tcPr>
            <w:tcW w:w="2041" w:type="dxa"/>
            <w:tcBorders>
              <w:bottom w:val="single" w:sz="4" w:space="0" w:color="auto"/>
            </w:tcBorders>
            <w:vAlign w:val="center"/>
          </w:tcPr>
          <w:p w14:paraId="1B914956" w14:textId="77777777" w:rsidR="00DA0997" w:rsidRPr="0023695C" w:rsidRDefault="00DA0997">
            <w:pPr>
              <w:rPr>
                <w:rFonts w:asciiTheme="minorHAnsi" w:hAnsiTheme="minorHAnsi"/>
                <w:sz w:val="22"/>
                <w:szCs w:val="22"/>
              </w:rPr>
            </w:pPr>
            <w:r w:rsidRPr="0023695C">
              <w:rPr>
                <w:rFonts w:asciiTheme="minorHAnsi" w:hAnsiTheme="minorHAnsi"/>
                <w:sz w:val="22"/>
                <w:szCs w:val="22"/>
              </w:rPr>
              <w:t>11.01</w:t>
            </w:r>
          </w:p>
        </w:tc>
        <w:tc>
          <w:tcPr>
            <w:tcW w:w="1984" w:type="dxa"/>
            <w:tcBorders>
              <w:bottom w:val="single" w:sz="4" w:space="0" w:color="auto"/>
            </w:tcBorders>
            <w:vAlign w:val="center"/>
          </w:tcPr>
          <w:p w14:paraId="2FB71E1E" w14:textId="77777777" w:rsidR="00DA0997" w:rsidRPr="0023695C" w:rsidRDefault="00DA0997">
            <w:pPr>
              <w:rPr>
                <w:rFonts w:asciiTheme="minorHAnsi" w:hAnsiTheme="minorHAnsi"/>
                <w:sz w:val="22"/>
                <w:szCs w:val="22"/>
              </w:rPr>
            </w:pPr>
            <w:r w:rsidRPr="0023695C">
              <w:rPr>
                <w:rFonts w:asciiTheme="minorHAnsi" w:hAnsiTheme="minorHAnsi"/>
                <w:sz w:val="22"/>
                <w:szCs w:val="22"/>
              </w:rPr>
              <w:t>12.30</w:t>
            </w:r>
          </w:p>
        </w:tc>
      </w:tr>
    </w:tbl>
    <w:p w14:paraId="7B78D909" w14:textId="77777777" w:rsidR="00DA0997" w:rsidRDefault="00DA0997" w:rsidP="00DA0997">
      <w:pPr>
        <w:spacing w:before="240" w:line="264" w:lineRule="auto"/>
        <w:rPr>
          <w:rFonts w:cs="Calibri"/>
          <w:sz w:val="22"/>
          <w:szCs w:val="22"/>
        </w:rPr>
      </w:pPr>
      <w:r w:rsidRPr="009D1337">
        <w:rPr>
          <w:rFonts w:cs="Calibri"/>
          <w:sz w:val="22"/>
          <w:szCs w:val="22"/>
        </w:rPr>
        <w:t>Glass with the f</w:t>
      </w:r>
      <w:r>
        <w:rPr>
          <w:rFonts w:cs="Calibri"/>
          <w:sz w:val="22"/>
          <w:szCs w:val="22"/>
        </w:rPr>
        <w:t>o</w:t>
      </w:r>
      <w:r w:rsidRPr="009D1337">
        <w:rPr>
          <w:rFonts w:cs="Calibri"/>
          <w:sz w:val="22"/>
          <w:szCs w:val="22"/>
        </w:rPr>
        <w:t>llowing characteristics</w:t>
      </w:r>
      <w:r>
        <w:rPr>
          <w:rFonts w:cs="Calibri"/>
          <w:sz w:val="22"/>
          <w:szCs w:val="22"/>
        </w:rPr>
        <w:t xml:space="preserve"> </w:t>
      </w:r>
      <w:proofErr w:type="gramStart"/>
      <w:r>
        <w:rPr>
          <w:rFonts w:cs="Calibri"/>
          <w:sz w:val="22"/>
          <w:szCs w:val="22"/>
        </w:rPr>
        <w:t>are</w:t>
      </w:r>
      <w:proofErr w:type="gramEnd"/>
      <w:r>
        <w:rPr>
          <w:rFonts w:cs="Calibri"/>
          <w:sz w:val="22"/>
          <w:szCs w:val="22"/>
        </w:rPr>
        <w:t xml:space="preserve"> </w:t>
      </w:r>
      <w:r w:rsidRPr="00D73450">
        <w:rPr>
          <w:rFonts w:cs="Calibri"/>
          <w:b/>
          <w:i/>
          <w:sz w:val="22"/>
          <w:szCs w:val="22"/>
        </w:rPr>
        <w:t>excluded</w:t>
      </w:r>
      <w:r>
        <w:rPr>
          <w:rFonts w:cs="Calibri"/>
          <w:sz w:val="22"/>
          <w:szCs w:val="22"/>
        </w:rPr>
        <w:t xml:space="preserve"> from the measures (exemption type “GOODS” applies):</w:t>
      </w:r>
    </w:p>
    <w:p w14:paraId="7E1336E0" w14:textId="77777777" w:rsidR="003F3FDB" w:rsidRPr="003F3FDB" w:rsidRDefault="003F3FDB" w:rsidP="003F3FDB">
      <w:pPr>
        <w:pStyle w:val="ListParagraph"/>
        <w:numPr>
          <w:ilvl w:val="0"/>
          <w:numId w:val="16"/>
        </w:numPr>
        <w:spacing w:before="0"/>
        <w:ind w:left="777" w:hanging="357"/>
        <w:rPr>
          <w:b/>
        </w:rPr>
      </w:pPr>
      <w:r w:rsidRPr="00D73450">
        <w:t xml:space="preserve">coated, coloured, tinted or </w:t>
      </w:r>
      <w:proofErr w:type="gramStart"/>
      <w:r w:rsidRPr="00D73450">
        <w:t>opaque</w:t>
      </w:r>
      <w:r>
        <w:t>;</w:t>
      </w:r>
      <w:proofErr w:type="gramEnd"/>
    </w:p>
    <w:p w14:paraId="27BEB4EC" w14:textId="77777777" w:rsidR="003F3FDB" w:rsidRPr="003F3FDB" w:rsidRDefault="003F3FDB" w:rsidP="003F3FDB">
      <w:pPr>
        <w:pStyle w:val="ListParagraph"/>
        <w:numPr>
          <w:ilvl w:val="0"/>
          <w:numId w:val="16"/>
        </w:numPr>
        <w:spacing w:before="0"/>
        <w:ind w:left="777" w:hanging="357"/>
        <w:rPr>
          <w:b/>
        </w:rPr>
      </w:pPr>
      <w:r w:rsidRPr="00D73450">
        <w:t xml:space="preserve">absorbent, reflective or non-reflective </w:t>
      </w:r>
      <w:proofErr w:type="gramStart"/>
      <w:r w:rsidRPr="00D73450">
        <w:t>layer</w:t>
      </w:r>
      <w:r>
        <w:t>;</w:t>
      </w:r>
      <w:proofErr w:type="gramEnd"/>
    </w:p>
    <w:p w14:paraId="6C0EEF00" w14:textId="77777777" w:rsidR="003F3FDB" w:rsidRPr="003F3FDB" w:rsidRDefault="003F3FDB" w:rsidP="003F3FDB">
      <w:pPr>
        <w:pStyle w:val="ListParagraph"/>
        <w:numPr>
          <w:ilvl w:val="0"/>
          <w:numId w:val="16"/>
        </w:numPr>
        <w:spacing w:before="0"/>
        <w:ind w:left="777" w:hanging="357"/>
        <w:rPr>
          <w:b/>
        </w:rPr>
      </w:pPr>
      <w:proofErr w:type="gramStart"/>
      <w:r>
        <w:t>wired;</w:t>
      </w:r>
      <w:proofErr w:type="gramEnd"/>
    </w:p>
    <w:p w14:paraId="68D9BB1B" w14:textId="77777777" w:rsidR="003F3FDB" w:rsidRPr="003F3FDB" w:rsidRDefault="003F3FDB" w:rsidP="003F3FDB">
      <w:pPr>
        <w:pStyle w:val="ListParagraph"/>
        <w:numPr>
          <w:ilvl w:val="0"/>
          <w:numId w:val="16"/>
        </w:numPr>
        <w:spacing w:before="0"/>
        <w:ind w:left="777" w:hanging="357"/>
        <w:rPr>
          <w:b/>
        </w:rPr>
      </w:pPr>
      <w:r w:rsidRPr="00D73450">
        <w:t xml:space="preserve">bent, edge-worked, engraved, drilled, enamelled or otherwise </w:t>
      </w:r>
      <w:proofErr w:type="gramStart"/>
      <w:r w:rsidRPr="00D73450">
        <w:t>worked</w:t>
      </w:r>
      <w:r>
        <w:t>;</w:t>
      </w:r>
      <w:proofErr w:type="gramEnd"/>
    </w:p>
    <w:p w14:paraId="0F2072BB" w14:textId="77777777" w:rsidR="003F3FDB" w:rsidRPr="003F3FDB" w:rsidRDefault="003F3FDB" w:rsidP="003F3FDB">
      <w:pPr>
        <w:pStyle w:val="ListParagraph"/>
        <w:numPr>
          <w:ilvl w:val="0"/>
          <w:numId w:val="16"/>
        </w:numPr>
        <w:spacing w:before="0"/>
        <w:ind w:left="777" w:hanging="357"/>
        <w:rPr>
          <w:b/>
        </w:rPr>
      </w:pPr>
      <w:r>
        <w:t xml:space="preserve">framed or fitted with other </w:t>
      </w:r>
      <w:proofErr w:type="gramStart"/>
      <w:r>
        <w:t>materials;</w:t>
      </w:r>
      <w:proofErr w:type="gramEnd"/>
    </w:p>
    <w:p w14:paraId="6F05FCC6" w14:textId="77777777" w:rsidR="003F3FDB" w:rsidRPr="003F3FDB" w:rsidRDefault="003F3FDB" w:rsidP="003F3FDB">
      <w:pPr>
        <w:pStyle w:val="ListParagraph"/>
        <w:numPr>
          <w:ilvl w:val="0"/>
          <w:numId w:val="16"/>
        </w:numPr>
        <w:spacing w:before="0"/>
        <w:ind w:left="777" w:hanging="357"/>
        <w:rPr>
          <w:b/>
        </w:rPr>
      </w:pPr>
      <w:r w:rsidRPr="00D73450">
        <w:t xml:space="preserve">toughened (tempered) or </w:t>
      </w:r>
      <w:proofErr w:type="gramStart"/>
      <w:r w:rsidRPr="00D73450">
        <w:t>laminated</w:t>
      </w:r>
      <w:r>
        <w:t>;</w:t>
      </w:r>
      <w:proofErr w:type="gramEnd"/>
    </w:p>
    <w:p w14:paraId="653337A3" w14:textId="77777777" w:rsidR="003F3FDB" w:rsidRPr="003F3FDB" w:rsidRDefault="003F3FDB" w:rsidP="003F3FDB">
      <w:pPr>
        <w:pStyle w:val="ListParagraph"/>
        <w:numPr>
          <w:ilvl w:val="0"/>
          <w:numId w:val="16"/>
        </w:numPr>
        <w:spacing w:before="0"/>
        <w:ind w:left="777" w:hanging="357"/>
        <w:rPr>
          <w:b/>
        </w:rPr>
      </w:pPr>
      <w:r>
        <w:lastRenderedPageBreak/>
        <w:t>acid etched; or</w:t>
      </w:r>
    </w:p>
    <w:p w14:paraId="7D1B4CEB" w14:textId="51A69A35" w:rsidR="00EF1380" w:rsidRPr="00EF1380" w:rsidRDefault="003F3FDB" w:rsidP="003F3FDB">
      <w:pPr>
        <w:pStyle w:val="ListParagraph"/>
        <w:numPr>
          <w:ilvl w:val="0"/>
          <w:numId w:val="16"/>
        </w:numPr>
        <w:spacing w:before="0"/>
        <w:ind w:left="777" w:hanging="357"/>
        <w:rPr>
          <w:b/>
        </w:rPr>
      </w:pPr>
      <w:r>
        <w:t>low iron.</w:t>
      </w:r>
      <w:r w:rsidR="00EF1380" w:rsidRPr="00345BF3">
        <w:t xml:space="preserve"> </w:t>
      </w:r>
    </w:p>
    <w:p w14:paraId="18B75C8F" w14:textId="285AA344" w:rsidR="00404D24" w:rsidRDefault="00404D24" w:rsidP="00EF1380">
      <w:pPr>
        <w:tabs>
          <w:tab w:val="left" w:pos="3975"/>
        </w:tabs>
        <w:rPr>
          <w:b/>
        </w:rPr>
      </w:pPr>
    </w:p>
    <w:p w14:paraId="4C937114" w14:textId="77777777" w:rsidR="003F3FDB" w:rsidRPr="00173AE5" w:rsidRDefault="00EF1380" w:rsidP="003F3FDB">
      <w:pPr>
        <w:spacing w:line="264" w:lineRule="auto"/>
        <w:rPr>
          <w:rFonts w:asciiTheme="minorHAnsi" w:hAnsiTheme="minorHAnsi"/>
          <w:b/>
          <w:sz w:val="22"/>
          <w:u w:val="single"/>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w:t>
      </w:r>
      <w:r w:rsidR="003F3FDB" w:rsidRPr="000D0F6A">
        <w:rPr>
          <w:rFonts w:asciiTheme="minorHAnsi" w:hAnsiTheme="minorHAnsi"/>
          <w:sz w:val="22"/>
        </w:rPr>
        <w:t>Report</w:t>
      </w:r>
      <w:r w:rsidR="003F3FDB">
        <w:rPr>
          <w:rFonts w:asciiTheme="minorHAnsi" w:hAnsiTheme="minorHAnsi"/>
          <w:sz w:val="22"/>
        </w:rPr>
        <w:t xml:space="preserve"> </w:t>
      </w:r>
      <w:hyperlink r:id="rId14" w:history="1">
        <w:r w:rsidR="003F3FDB" w:rsidRPr="000D0F6A">
          <w:rPr>
            <w:rStyle w:val="Hyperlink"/>
            <w:rFonts w:asciiTheme="minorHAnsi" w:hAnsiTheme="minorHAnsi"/>
            <w:sz w:val="22"/>
          </w:rPr>
          <w:t xml:space="preserve">REP </w:t>
        </w:r>
        <w:r w:rsidR="003F3FDB">
          <w:rPr>
            <w:rStyle w:val="Hyperlink"/>
            <w:rFonts w:asciiTheme="minorHAnsi" w:hAnsiTheme="minorHAnsi"/>
            <w:sz w:val="22"/>
          </w:rPr>
          <w:t>575</w:t>
        </w:r>
      </w:hyperlink>
      <w:r w:rsidR="003F3FDB" w:rsidRPr="0017368F">
        <w:rPr>
          <w:rFonts w:asciiTheme="minorHAnsi" w:hAnsiTheme="minorHAnsi"/>
          <w:sz w:val="22"/>
        </w:rPr>
        <w:t>.</w:t>
      </w: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4831A213" w:rsidR="009A3781" w:rsidRPr="006F7A4C" w:rsidRDefault="00D32CC1" w:rsidP="006F7A4C">
      <w:pPr>
        <w:pStyle w:val="Heading1"/>
        <w:rPr>
          <w:sz w:val="28"/>
          <w:szCs w:val="28"/>
        </w:rPr>
      </w:pPr>
      <w:bookmarkStart w:id="20" w:name="_Toc123630204"/>
      <w:r w:rsidRPr="006F7A4C">
        <w:rPr>
          <w:sz w:val="28"/>
          <w:szCs w:val="28"/>
        </w:rPr>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6096" w:type="dxa"/>
        <w:jc w:val="center"/>
        <w:tblLook w:val="04A0" w:firstRow="1" w:lastRow="0" w:firstColumn="1" w:lastColumn="0" w:noHBand="0" w:noVBand="1"/>
      </w:tblPr>
      <w:tblGrid>
        <w:gridCol w:w="3400"/>
        <w:gridCol w:w="2696"/>
      </w:tblGrid>
      <w:tr w:rsidR="00464B5A" w:rsidRPr="00507BCF" w14:paraId="68BAC5C4" w14:textId="77777777" w:rsidTr="00431080">
        <w:trPr>
          <w:trHeight w:val="283"/>
          <w:jc w:val="center"/>
        </w:trPr>
        <w:tc>
          <w:tcPr>
            <w:tcW w:w="3400"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31080">
        <w:trPr>
          <w:trHeight w:val="113"/>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3DF6187A" w:rsidR="0049412A" w:rsidRPr="0049412A" w:rsidRDefault="00431080" w:rsidP="00431080">
            <w:pPr>
              <w:jc w:val="center"/>
              <w:rPr>
                <w:rFonts w:cs="Calibri"/>
                <w:color w:val="000000"/>
                <w:sz w:val="22"/>
                <w:szCs w:val="22"/>
              </w:rPr>
            </w:pPr>
            <w:r>
              <w:rPr>
                <w:rFonts w:cs="Calibri"/>
                <w:color w:val="000000"/>
                <w:sz w:val="22"/>
                <w:szCs w:val="22"/>
              </w:rPr>
              <w:t>7005.29.00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6ABCAC5F" w:rsidR="0049412A" w:rsidRPr="0049412A" w:rsidRDefault="00431080" w:rsidP="0049412A">
            <w:pPr>
              <w:jc w:val="center"/>
              <w:rPr>
                <w:rFonts w:cs="Calibri"/>
                <w:color w:val="000000"/>
                <w:sz w:val="22"/>
                <w:szCs w:val="22"/>
              </w:rPr>
            </w:pPr>
            <w:r>
              <w:rPr>
                <w:rFonts w:cs="Calibri"/>
                <w:color w:val="000000"/>
                <w:sz w:val="22"/>
                <w:szCs w:val="22"/>
              </w:rPr>
              <w:t>03, 04, 05, 06, 09</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5"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23630205"/>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68BAC5CC" w14:textId="0EC565B0"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171281">
        <w:rPr>
          <w:rFonts w:asciiTheme="minorHAnsi" w:hAnsiTheme="minorHAnsi"/>
          <w:b/>
          <w:sz w:val="22"/>
          <w:u w:val="single"/>
        </w:rPr>
        <w:t>Ad Valorem</w:t>
      </w:r>
      <w:r>
        <w:rPr>
          <w:rFonts w:asciiTheme="minorHAnsi" w:hAnsiTheme="minorHAnsi"/>
          <w:b/>
          <w:sz w:val="22"/>
          <w:u w:val="single"/>
        </w:rPr>
        <w:t>)</w:t>
      </w:r>
      <w:r w:rsidR="00631B3E">
        <w:rPr>
          <w:rFonts w:asciiTheme="minorHAnsi" w:hAnsiTheme="minorHAnsi"/>
          <w:b/>
          <w:sz w:val="22"/>
          <w:u w:val="single"/>
        </w:rPr>
        <w:t xml:space="preserve"> </w:t>
      </w:r>
    </w:p>
    <w:p w14:paraId="68BAC5CF" w14:textId="6C2C9AD5" w:rsidR="00464B5A" w:rsidRDefault="00171281" w:rsidP="00171281">
      <w:pPr>
        <w:spacing w:before="120" w:after="60" w:line="264" w:lineRule="auto"/>
        <w:jc w:val="both"/>
        <w:rPr>
          <w:rFonts w:cs="Calibri"/>
          <w:color w:val="000000"/>
          <w:sz w:val="22"/>
          <w:szCs w:val="22"/>
        </w:rPr>
      </w:pPr>
      <w:r w:rsidRPr="3CB2BCC9">
        <w:rPr>
          <w:rFonts w:cs="Calibri"/>
          <w:color w:val="000000" w:themeColor="text1"/>
          <w:sz w:val="22"/>
          <w:szCs w:val="22"/>
        </w:rPr>
        <w:t xml:space="preserve">IDD is in the form of an ad valorem </w:t>
      </w:r>
      <w:r w:rsidR="004E055A" w:rsidRPr="3CB2BCC9">
        <w:rPr>
          <w:rFonts w:cs="Calibri"/>
          <w:color w:val="000000" w:themeColor="text1"/>
          <w:sz w:val="22"/>
          <w:szCs w:val="22"/>
        </w:rPr>
        <w:t>rate</w:t>
      </w:r>
      <w:r w:rsidRPr="3CB2BCC9">
        <w:rPr>
          <w:rFonts w:cs="Calibri"/>
          <w:color w:val="000000" w:themeColor="text1"/>
          <w:sz w:val="22"/>
          <w:szCs w:val="22"/>
        </w:rPr>
        <w:t>. The total IDD liability is calculated by multiplying the dumping export price (DXP) by the applicable IDD ad valorem duty rate.</w:t>
      </w:r>
    </w:p>
    <w:p w14:paraId="0A2C8D4E" w14:textId="7BB3AFB9" w:rsidR="3CB2BCC9" w:rsidRDefault="3CB2BCC9" w:rsidP="3CB2BCC9">
      <w:pPr>
        <w:spacing w:before="120"/>
        <w:jc w:val="both"/>
        <w:rPr>
          <w:b/>
          <w:bCs/>
          <w:sz w:val="22"/>
          <w:szCs w:val="22"/>
          <w:u w:val="single"/>
        </w:rPr>
      </w:pP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lastRenderedPageBreak/>
        <w:t>Total IDD liability</w:t>
      </w:r>
    </w:p>
    <w:p w14:paraId="19671750" w14:textId="7A3D7A11" w:rsidR="00D30599" w:rsidRPr="0040742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3D2146C9" w14:textId="23671134" w:rsidR="00D55328" w:rsidRPr="006F7A4C" w:rsidRDefault="00D55328" w:rsidP="00D55328">
      <w:pPr>
        <w:pStyle w:val="Heading1"/>
        <w:spacing w:after="240"/>
        <w:rPr>
          <w:sz w:val="28"/>
          <w:szCs w:val="28"/>
        </w:rPr>
      </w:pPr>
      <w:bookmarkStart w:id="23" w:name="_Toc123630206"/>
      <w:r>
        <w:rPr>
          <w:sz w:val="28"/>
          <w:szCs w:val="28"/>
        </w:rPr>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6"/>
          <w:footerReference w:type="first" r:id="rId17"/>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23630207"/>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0300544">
        <w:tc>
          <w:tcPr>
            <w:tcW w:w="15309" w:type="dxa"/>
            <w:vAlign w:val="center"/>
          </w:tcPr>
          <w:p w14:paraId="68BAC5D6" w14:textId="360A9513"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4E055A">
              <w:rPr>
                <w:rFonts w:asciiTheme="minorHAnsi" w:hAnsiTheme="minorHAnsi"/>
                <w:b/>
                <w:sz w:val="22"/>
              </w:rPr>
              <w:t>Indonesia</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4E055A">
              <w:rPr>
                <w:rFonts w:asciiTheme="minorHAnsi" w:hAnsiTheme="minorHAnsi"/>
                <w:b/>
                <w:sz w:val="22"/>
              </w:rPr>
              <w:t>18 October</w:t>
            </w:r>
            <w:r w:rsidR="00F66F28">
              <w:rPr>
                <w:rFonts w:asciiTheme="minorHAnsi" w:hAnsiTheme="minorHAnsi"/>
                <w:b/>
                <w:sz w:val="22"/>
              </w:rPr>
              <w:t xml:space="preserve"> </w:t>
            </w:r>
            <w:r w:rsidR="00300544">
              <w:rPr>
                <w:rFonts w:asciiTheme="minorHAnsi" w:hAnsiTheme="minorHAnsi"/>
                <w:b/>
                <w:sz w:val="22"/>
              </w:rPr>
              <w:t>202</w:t>
            </w:r>
            <w:r w:rsidR="00F66F28">
              <w:rPr>
                <w:rFonts w:asciiTheme="minorHAnsi" w:hAnsiTheme="minorHAnsi"/>
                <w:b/>
                <w:sz w:val="22"/>
              </w:rPr>
              <w:t>1</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2952"/>
              <w:gridCol w:w="2953"/>
              <w:gridCol w:w="1701"/>
              <w:gridCol w:w="1087"/>
              <w:gridCol w:w="1471"/>
              <w:gridCol w:w="1304"/>
              <w:gridCol w:w="2912"/>
            </w:tblGrid>
            <w:tr w:rsidR="00FC3157" w14:paraId="68BAC5E0" w14:textId="77777777">
              <w:trPr>
                <w:trHeight w:val="765"/>
              </w:trPr>
              <w:tc>
                <w:tcPr>
                  <w:tcW w:w="2952"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57BBD02E" w14:textId="77777777" w:rsidR="00FC3157" w:rsidRDefault="00FC3157" w:rsidP="00F66F28">
                  <w:pPr>
                    <w:rPr>
                      <w:rFonts w:cs="Calibri"/>
                      <w:b/>
                      <w:bCs/>
                      <w:color w:val="000000"/>
                      <w:szCs w:val="20"/>
                    </w:rPr>
                  </w:pPr>
                  <w:r>
                    <w:rPr>
                      <w:rFonts w:cs="Calibri"/>
                      <w:b/>
                      <w:bCs/>
                      <w:color w:val="000000"/>
                      <w:szCs w:val="20"/>
                    </w:rPr>
                    <w:t xml:space="preserve"> Exporter Name</w:t>
                  </w:r>
                </w:p>
              </w:tc>
              <w:tc>
                <w:tcPr>
                  <w:tcW w:w="2953" w:type="dxa"/>
                  <w:tcBorders>
                    <w:top w:val="single" w:sz="4" w:space="0" w:color="auto"/>
                    <w:left w:val="single" w:sz="4" w:space="0" w:color="auto"/>
                    <w:bottom w:val="single" w:sz="4" w:space="0" w:color="auto"/>
                    <w:right w:val="single" w:sz="4" w:space="0" w:color="auto"/>
                  </w:tcBorders>
                  <w:shd w:val="clear" w:color="000000" w:fill="F2F2F2"/>
                  <w:vAlign w:val="center"/>
                </w:tcPr>
                <w:p w14:paraId="68BAC5D9" w14:textId="7F673454" w:rsidR="00FC3157" w:rsidRDefault="00FC3157" w:rsidP="00F66F28">
                  <w:pPr>
                    <w:rPr>
                      <w:rFonts w:cs="Calibri"/>
                      <w:b/>
                      <w:bCs/>
                      <w:color w:val="000000"/>
                      <w:szCs w:val="20"/>
                    </w:rPr>
                  </w:pPr>
                  <w:r>
                    <w:rPr>
                      <w:rFonts w:cs="Calibri"/>
                      <w:b/>
                      <w:bCs/>
                      <w:color w:val="000000"/>
                      <w:szCs w:val="20"/>
                    </w:rPr>
                    <w:t>CCID</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68BAC5DA" w14:textId="30C7D11A" w:rsidR="00FC3157" w:rsidRDefault="00FC3157" w:rsidP="00300544">
                  <w:pPr>
                    <w:jc w:val="center"/>
                    <w:rPr>
                      <w:rFonts w:cs="Calibri"/>
                      <w:b/>
                      <w:bCs/>
                      <w:color w:val="000000"/>
                      <w:szCs w:val="20"/>
                    </w:rPr>
                  </w:pPr>
                  <w:r>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B" w14:textId="77777777" w:rsidR="00FC3157" w:rsidRDefault="00FC3157" w:rsidP="00300544">
                  <w:pPr>
                    <w:jc w:val="center"/>
                    <w:rPr>
                      <w:rFonts w:cs="Calibri"/>
                      <w:b/>
                      <w:bCs/>
                      <w:color w:val="000000"/>
                      <w:szCs w:val="20"/>
                    </w:rPr>
                  </w:pPr>
                  <w:r>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C" w14:textId="77777777" w:rsidR="00FC3157" w:rsidRDefault="00FC3157" w:rsidP="00300544">
                  <w:pPr>
                    <w:jc w:val="center"/>
                    <w:rPr>
                      <w:rFonts w:cs="Calibri"/>
                      <w:b/>
                      <w:bCs/>
                      <w:color w:val="000000"/>
                      <w:szCs w:val="20"/>
                    </w:rPr>
                  </w:pPr>
                  <w:r>
                    <w:rPr>
                      <w:rFonts w:cs="Calibri"/>
                      <w:b/>
                      <w:bCs/>
                      <w:color w:val="000000"/>
                      <w:szCs w:val="20"/>
                    </w:rPr>
                    <w:t>Measure Type</w:t>
                  </w:r>
                </w:p>
              </w:tc>
              <w:tc>
                <w:tcPr>
                  <w:tcW w:w="1304"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D" w14:textId="77777777" w:rsidR="00FC3157" w:rsidRDefault="00FC3157" w:rsidP="00300544">
                  <w:pPr>
                    <w:jc w:val="center"/>
                    <w:rPr>
                      <w:rFonts w:cs="Calibri"/>
                      <w:b/>
                      <w:bCs/>
                      <w:color w:val="000000"/>
                      <w:szCs w:val="20"/>
                    </w:rPr>
                  </w:pPr>
                  <w:r>
                    <w:rPr>
                      <w:rFonts w:cs="Calibri"/>
                      <w:b/>
                      <w:bCs/>
                      <w:color w:val="000000"/>
                      <w:szCs w:val="20"/>
                    </w:rPr>
                    <w:t>Effective Rate of Duty</w:t>
                  </w:r>
                </w:p>
              </w:tc>
              <w:tc>
                <w:tcPr>
                  <w:tcW w:w="2912"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F" w14:textId="77777777" w:rsidR="00FC3157" w:rsidRDefault="00FC3157" w:rsidP="00300544">
                  <w:pPr>
                    <w:jc w:val="center"/>
                    <w:rPr>
                      <w:rFonts w:cs="Calibri"/>
                      <w:b/>
                      <w:bCs/>
                      <w:color w:val="000000"/>
                      <w:szCs w:val="20"/>
                    </w:rPr>
                  </w:pPr>
                  <w:r>
                    <w:rPr>
                      <w:rFonts w:cs="Calibri"/>
                      <w:b/>
                      <w:bCs/>
                      <w:color w:val="000000"/>
                      <w:szCs w:val="20"/>
                    </w:rPr>
                    <w:t>Export Price terms</w:t>
                  </w:r>
                </w:p>
              </w:tc>
            </w:tr>
            <w:tr w:rsidR="00F66F28" w14:paraId="46B2197F" w14:textId="77777777" w:rsidTr="00FC3157">
              <w:trPr>
                <w:trHeight w:val="765"/>
              </w:trPr>
              <w:tc>
                <w:tcPr>
                  <w:tcW w:w="14380" w:type="dxa"/>
                  <w:gridSpan w:val="7"/>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tcPr>
                <w:p w14:paraId="69D5B5F3" w14:textId="29042CF0" w:rsidR="00F66F28" w:rsidRPr="00F66F28" w:rsidRDefault="008112CC" w:rsidP="00F66F28">
                  <w:pPr>
                    <w:rPr>
                      <w:rFonts w:cs="Calibri"/>
                      <w:b/>
                      <w:bCs/>
                      <w:color w:val="000000"/>
                      <w:sz w:val="24"/>
                    </w:rPr>
                  </w:pPr>
                  <w:r>
                    <w:rPr>
                      <w:rFonts w:cs="Calibri"/>
                      <w:b/>
                      <w:bCs/>
                      <w:color w:val="000000"/>
                      <w:sz w:val="24"/>
                    </w:rPr>
                    <w:t xml:space="preserve">  </w:t>
                  </w:r>
                  <w:r w:rsidR="00FC3157">
                    <w:rPr>
                      <w:rFonts w:cs="Calibri"/>
                      <w:b/>
                      <w:bCs/>
                      <w:color w:val="000000"/>
                      <w:sz w:val="24"/>
                    </w:rPr>
                    <w:t>INDONESIA</w:t>
                  </w:r>
                </w:p>
              </w:tc>
            </w:tr>
            <w:tr w:rsidR="00FC3157" w14:paraId="0736FF45" w14:textId="77777777">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7B89966" w14:textId="0DDE2C73" w:rsidR="00FC3157" w:rsidRPr="0051390E" w:rsidRDefault="00FC3157" w:rsidP="00AF02EC">
                  <w:pPr>
                    <w:ind w:left="156"/>
                    <w:rPr>
                      <w:rFonts w:cs="Calibri"/>
                      <w:color w:val="000000"/>
                      <w:szCs w:val="20"/>
                    </w:rPr>
                  </w:pPr>
                  <w:r>
                    <w:rPr>
                      <w:rFonts w:cs="Calibri"/>
                      <w:color w:val="000000"/>
                      <w:szCs w:val="20"/>
                    </w:rPr>
                    <w:t xml:space="preserve">PT </w:t>
                  </w:r>
                  <w:proofErr w:type="spellStart"/>
                  <w:r>
                    <w:rPr>
                      <w:rFonts w:cs="Calibri"/>
                      <w:color w:val="000000"/>
                      <w:szCs w:val="20"/>
                    </w:rPr>
                    <w:t>Muliaglass</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780EDDC9" w14:textId="77777777" w:rsidR="00FC3157" w:rsidRPr="00FC3157" w:rsidRDefault="00FC3157" w:rsidP="00FC3157">
                  <w:pPr>
                    <w:ind w:left="156"/>
                    <w:rPr>
                      <w:rFonts w:cs="Calibri"/>
                      <w:color w:val="000000"/>
                      <w:szCs w:val="20"/>
                    </w:rPr>
                  </w:pPr>
                  <w:r w:rsidRPr="00FC3157">
                    <w:rPr>
                      <w:rFonts w:cs="Calibri"/>
                      <w:color w:val="000000"/>
                      <w:szCs w:val="20"/>
                    </w:rPr>
                    <w:t>CCC4436493T</w:t>
                  </w:r>
                </w:p>
                <w:p w14:paraId="6D5F593C" w14:textId="77777777" w:rsidR="00FC3157" w:rsidRPr="00FC3157" w:rsidRDefault="00FC3157" w:rsidP="00FC3157">
                  <w:pPr>
                    <w:ind w:left="156"/>
                    <w:rPr>
                      <w:rFonts w:cs="Calibri"/>
                      <w:color w:val="000000"/>
                      <w:szCs w:val="20"/>
                    </w:rPr>
                  </w:pPr>
                  <w:r w:rsidRPr="00FC3157">
                    <w:rPr>
                      <w:rFonts w:cs="Calibri"/>
                      <w:color w:val="000000"/>
                      <w:szCs w:val="20"/>
                    </w:rPr>
                    <w:t>CCG4976793N</w:t>
                  </w:r>
                </w:p>
                <w:p w14:paraId="7DEF553E" w14:textId="77777777" w:rsidR="00FC3157" w:rsidRPr="00FC3157" w:rsidRDefault="00FC3157" w:rsidP="00FC3157">
                  <w:pPr>
                    <w:ind w:left="156"/>
                    <w:rPr>
                      <w:rFonts w:cs="Calibri"/>
                      <w:color w:val="000000"/>
                      <w:szCs w:val="20"/>
                    </w:rPr>
                  </w:pPr>
                  <w:r w:rsidRPr="00FC3157">
                    <w:rPr>
                      <w:rFonts w:cs="Calibri"/>
                      <w:color w:val="000000"/>
                      <w:szCs w:val="20"/>
                    </w:rPr>
                    <w:t>CCG9943373M</w:t>
                  </w:r>
                </w:p>
                <w:p w14:paraId="61A634DE" w14:textId="77777777" w:rsidR="00FC3157" w:rsidRPr="00FC3157" w:rsidRDefault="00FC3157" w:rsidP="00FC3157">
                  <w:pPr>
                    <w:ind w:left="156"/>
                    <w:rPr>
                      <w:rFonts w:cs="Calibri"/>
                      <w:color w:val="000000"/>
                      <w:szCs w:val="20"/>
                    </w:rPr>
                  </w:pPr>
                  <w:r w:rsidRPr="00FC3157">
                    <w:rPr>
                      <w:rFonts w:cs="Calibri"/>
                      <w:color w:val="000000"/>
                      <w:szCs w:val="20"/>
                    </w:rPr>
                    <w:t>CEE6333646C</w:t>
                  </w:r>
                </w:p>
                <w:p w14:paraId="4047008A" w14:textId="77777777" w:rsidR="00FC3157" w:rsidRPr="00FC3157" w:rsidRDefault="00FC3157" w:rsidP="00FC3157">
                  <w:pPr>
                    <w:ind w:left="156"/>
                    <w:rPr>
                      <w:rFonts w:cs="Calibri"/>
                      <w:color w:val="000000"/>
                      <w:szCs w:val="20"/>
                    </w:rPr>
                  </w:pPr>
                  <w:r w:rsidRPr="00FC3157">
                    <w:rPr>
                      <w:rFonts w:cs="Calibri"/>
                      <w:color w:val="000000"/>
                      <w:szCs w:val="20"/>
                    </w:rPr>
                    <w:t>CEF4766696X</w:t>
                  </w:r>
                </w:p>
                <w:p w14:paraId="7EEC8A71" w14:textId="77777777" w:rsidR="00FC3157" w:rsidRPr="00FC3157" w:rsidRDefault="00FC3157" w:rsidP="00FC3157">
                  <w:pPr>
                    <w:ind w:left="156"/>
                    <w:rPr>
                      <w:rFonts w:cs="Calibri"/>
                      <w:color w:val="000000"/>
                      <w:szCs w:val="20"/>
                    </w:rPr>
                  </w:pPr>
                  <w:r w:rsidRPr="00FC3157">
                    <w:rPr>
                      <w:rFonts w:cs="Calibri"/>
                      <w:color w:val="000000"/>
                      <w:szCs w:val="20"/>
                    </w:rPr>
                    <w:t>CCE9763963N</w:t>
                  </w:r>
                </w:p>
                <w:p w14:paraId="538808DC" w14:textId="77777777" w:rsidR="00FC3157" w:rsidRPr="00FC3157" w:rsidRDefault="00FC3157" w:rsidP="00FC3157">
                  <w:pPr>
                    <w:ind w:left="156"/>
                    <w:rPr>
                      <w:rFonts w:cs="Calibri"/>
                      <w:color w:val="000000"/>
                      <w:szCs w:val="20"/>
                    </w:rPr>
                  </w:pPr>
                  <w:r w:rsidRPr="00FC3157">
                    <w:rPr>
                      <w:rFonts w:cs="Calibri"/>
                      <w:color w:val="000000"/>
                      <w:szCs w:val="20"/>
                    </w:rPr>
                    <w:t>CCC7446794W</w:t>
                  </w:r>
                </w:p>
                <w:p w14:paraId="572750C4" w14:textId="24C8CAD9" w:rsidR="00FC3157" w:rsidRPr="0051390E" w:rsidRDefault="00FC3157" w:rsidP="00FC3157">
                  <w:pPr>
                    <w:ind w:left="156"/>
                    <w:rPr>
                      <w:rFonts w:cs="Calibri"/>
                      <w:color w:val="000000"/>
                      <w:szCs w:val="20"/>
                    </w:rPr>
                  </w:pPr>
                  <w:r w:rsidRPr="00FC3157">
                    <w:rPr>
                      <w:rFonts w:cs="Calibri"/>
                      <w:color w:val="000000"/>
                      <w:szCs w:val="20"/>
                    </w:rPr>
                    <w:t>CCR7474334Y</w:t>
                  </w:r>
                </w:p>
              </w:tc>
              <w:tc>
                <w:tcPr>
                  <w:tcW w:w="8475" w:type="dxa"/>
                  <w:gridSpan w:val="5"/>
                  <w:tcBorders>
                    <w:top w:val="single" w:sz="4" w:space="0" w:color="auto"/>
                    <w:left w:val="nil"/>
                    <w:bottom w:val="single" w:sz="4" w:space="0" w:color="auto"/>
                    <w:right w:val="single" w:sz="4" w:space="0" w:color="auto"/>
                  </w:tcBorders>
                  <w:vAlign w:val="center"/>
                </w:tcPr>
                <w:p w14:paraId="52439EFC" w14:textId="75166C08" w:rsidR="00FC3157" w:rsidRPr="0051390E" w:rsidRDefault="00FC3157" w:rsidP="00FC3157">
                  <w:pPr>
                    <w:jc w:val="center"/>
                    <w:rPr>
                      <w:rFonts w:cs="Calibri"/>
                      <w:color w:val="000000"/>
                      <w:szCs w:val="20"/>
                    </w:rPr>
                  </w:pPr>
                  <w:r>
                    <w:rPr>
                      <w:rFonts w:cs="Calibri"/>
                      <w:color w:val="000000"/>
                      <w:szCs w:val="20"/>
                    </w:rPr>
                    <w:t>EXEMPT</w:t>
                  </w:r>
                </w:p>
              </w:tc>
            </w:tr>
            <w:tr w:rsidR="00FC3157" w14:paraId="31CC62A1" w14:textId="77777777">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225016" w14:textId="7FF7FB13" w:rsidR="00FC3157" w:rsidRPr="0051390E" w:rsidRDefault="00FC3157" w:rsidP="00AF02EC">
                  <w:pPr>
                    <w:ind w:left="156"/>
                    <w:rPr>
                      <w:rFonts w:cs="Calibri"/>
                      <w:color w:val="000000"/>
                      <w:szCs w:val="20"/>
                    </w:rPr>
                  </w:pPr>
                  <w:r w:rsidRPr="00CB6F8B">
                    <w:rPr>
                      <w:rFonts w:cs="Calibri"/>
                      <w:color w:val="000000"/>
                      <w:szCs w:val="20"/>
                    </w:rPr>
                    <w:t xml:space="preserve">PT </w:t>
                  </w:r>
                  <w:proofErr w:type="spellStart"/>
                  <w:r w:rsidRPr="00CB6F8B">
                    <w:rPr>
                      <w:rFonts w:cs="Calibri"/>
                      <w:color w:val="000000"/>
                      <w:szCs w:val="20"/>
                    </w:rPr>
                    <w:t>Asahimas</w:t>
                  </w:r>
                  <w:proofErr w:type="spellEnd"/>
                  <w:r w:rsidRPr="00CB6F8B">
                    <w:rPr>
                      <w:rFonts w:cs="Calibri"/>
                      <w:color w:val="000000"/>
                      <w:szCs w:val="20"/>
                    </w:rPr>
                    <w:t xml:space="preserve"> Flat Glass TBK</w:t>
                  </w:r>
                  <w:r w:rsidRPr="00CB6F8B">
                    <w:rPr>
                      <w:rFonts w:cs="Calibri"/>
                      <w:color w:val="000000"/>
                      <w:szCs w:val="20"/>
                    </w:rPr>
                    <w:br/>
                    <w:t xml:space="preserve">   supplied directly or through:</w:t>
                  </w:r>
                  <w:r w:rsidRPr="00CB6F8B">
                    <w:rPr>
                      <w:rFonts w:cs="Calibri"/>
                      <w:color w:val="000000"/>
                      <w:szCs w:val="20"/>
                    </w:rPr>
                    <w:br/>
                    <w:t>AGC Asia Pacific Pte Ltd</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68771B4" w14:textId="77777777" w:rsidR="00FC3157" w:rsidRPr="00FC3157" w:rsidRDefault="00FC3157" w:rsidP="00FC3157">
                  <w:pPr>
                    <w:ind w:left="156"/>
                    <w:rPr>
                      <w:rFonts w:cs="Calibri"/>
                      <w:color w:val="000000"/>
                      <w:szCs w:val="20"/>
                    </w:rPr>
                  </w:pPr>
                  <w:r w:rsidRPr="00FC3157">
                    <w:rPr>
                      <w:rFonts w:cs="Calibri"/>
                      <w:color w:val="000000"/>
                      <w:szCs w:val="20"/>
                    </w:rPr>
                    <w:t>CCC4949649P</w:t>
                  </w:r>
                </w:p>
                <w:p w14:paraId="0521E6D4" w14:textId="77777777" w:rsidR="00FC3157" w:rsidRPr="00FC3157" w:rsidRDefault="00FC3157" w:rsidP="00FC3157">
                  <w:pPr>
                    <w:ind w:left="156"/>
                    <w:rPr>
                      <w:rFonts w:cs="Calibri"/>
                      <w:color w:val="000000"/>
                      <w:szCs w:val="20"/>
                    </w:rPr>
                  </w:pPr>
                  <w:r w:rsidRPr="00FC3157">
                    <w:rPr>
                      <w:rFonts w:cs="Calibri"/>
                      <w:color w:val="000000"/>
                      <w:szCs w:val="20"/>
                    </w:rPr>
                    <w:t>CCC9494496A</w:t>
                  </w:r>
                </w:p>
                <w:p w14:paraId="00A0FDBB" w14:textId="77777777" w:rsidR="00FC3157" w:rsidRPr="00FC3157" w:rsidRDefault="00FC3157" w:rsidP="00FC3157">
                  <w:pPr>
                    <w:ind w:left="156"/>
                    <w:rPr>
                      <w:rFonts w:cs="Calibri"/>
                      <w:color w:val="000000"/>
                      <w:szCs w:val="20"/>
                    </w:rPr>
                  </w:pPr>
                  <w:r w:rsidRPr="00FC3157">
                    <w:rPr>
                      <w:rFonts w:cs="Calibri"/>
                      <w:color w:val="000000"/>
                      <w:szCs w:val="20"/>
                    </w:rPr>
                    <w:t>CCE3994943F</w:t>
                  </w:r>
                </w:p>
                <w:p w14:paraId="3B329094" w14:textId="77777777" w:rsidR="00FC3157" w:rsidRPr="00FC3157" w:rsidRDefault="00FC3157" w:rsidP="00FC3157">
                  <w:pPr>
                    <w:ind w:left="156"/>
                    <w:rPr>
                      <w:rFonts w:cs="Calibri"/>
                      <w:color w:val="000000"/>
                      <w:szCs w:val="20"/>
                    </w:rPr>
                  </w:pPr>
                  <w:r w:rsidRPr="00FC3157">
                    <w:rPr>
                      <w:rFonts w:cs="Calibri"/>
                      <w:color w:val="000000"/>
                      <w:szCs w:val="20"/>
                    </w:rPr>
                    <w:t>CCG4449667N</w:t>
                  </w:r>
                </w:p>
                <w:p w14:paraId="1DE14699" w14:textId="77777777" w:rsidR="00FC3157" w:rsidRPr="00FC3157" w:rsidRDefault="00FC3157" w:rsidP="00FC3157">
                  <w:pPr>
                    <w:ind w:left="156"/>
                    <w:rPr>
                      <w:rFonts w:cs="Calibri"/>
                      <w:color w:val="000000"/>
                      <w:szCs w:val="20"/>
                    </w:rPr>
                  </w:pPr>
                  <w:r w:rsidRPr="00FC3157">
                    <w:rPr>
                      <w:rFonts w:cs="Calibri"/>
                      <w:color w:val="000000"/>
                      <w:szCs w:val="20"/>
                    </w:rPr>
                    <w:t>CCH7446994L</w:t>
                  </w:r>
                </w:p>
                <w:p w14:paraId="29D8C5C7" w14:textId="665E2FCD" w:rsidR="00FC3157" w:rsidRPr="0051390E" w:rsidRDefault="00FC3157" w:rsidP="00FC3157">
                  <w:pPr>
                    <w:ind w:left="156"/>
                    <w:rPr>
                      <w:rFonts w:cs="Calibri"/>
                      <w:color w:val="000000"/>
                      <w:szCs w:val="20"/>
                    </w:rPr>
                  </w:pPr>
                  <w:r w:rsidRPr="00FC3157">
                    <w:rPr>
                      <w:rFonts w:cs="Calibri"/>
                      <w:color w:val="000000"/>
                      <w:szCs w:val="20"/>
                    </w:rPr>
                    <w:t>CEF6679334X</w:t>
                  </w:r>
                </w:p>
              </w:tc>
              <w:tc>
                <w:tcPr>
                  <w:tcW w:w="1701" w:type="dxa"/>
                  <w:tcBorders>
                    <w:top w:val="single" w:sz="4" w:space="0" w:color="auto"/>
                    <w:left w:val="nil"/>
                    <w:bottom w:val="single" w:sz="4" w:space="0" w:color="auto"/>
                    <w:right w:val="single" w:sz="4" w:space="0" w:color="auto"/>
                  </w:tcBorders>
                  <w:vAlign w:val="center"/>
                </w:tcPr>
                <w:p w14:paraId="7C283064" w14:textId="041ECDE2" w:rsidR="00FC3157" w:rsidRDefault="00FC3157" w:rsidP="00F66F28">
                  <w:pPr>
                    <w:jc w:val="center"/>
                    <w:rPr>
                      <w:rFonts w:cs="Calibri"/>
                      <w:color w:val="000000"/>
                      <w:szCs w:val="20"/>
                    </w:rPr>
                  </w:pPr>
                  <w:r>
                    <w:rPr>
                      <w:rFonts w:cs="Calibri"/>
                      <w:color w:val="000000"/>
                      <w:szCs w:val="20"/>
                    </w:rPr>
                    <w:t>136</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CD57483" w14:textId="2CCCFF57" w:rsidR="00FC3157" w:rsidRPr="0051390E" w:rsidRDefault="00FC3157" w:rsidP="00C77CA7">
                  <w:pPr>
                    <w:jc w:val="center"/>
                    <w:rPr>
                      <w:rFonts w:cs="Calibri"/>
                      <w:color w:val="000000"/>
                      <w:szCs w:val="20"/>
                    </w:rPr>
                  </w:pPr>
                  <w:r>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E39158" w14:textId="4F6C74D6" w:rsidR="00FC3157" w:rsidRDefault="00FC3157" w:rsidP="00C77CA7">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4BA8F3" w14:textId="0ECB137B" w:rsidR="00FC3157" w:rsidRDefault="00FC3157" w:rsidP="00FC3157">
                  <w:pPr>
                    <w:jc w:val="center"/>
                    <w:rPr>
                      <w:rFonts w:cs="Calibri"/>
                      <w:color w:val="000000"/>
                      <w:szCs w:val="20"/>
                    </w:rPr>
                  </w:pPr>
                  <w:r>
                    <w:rPr>
                      <w:rFonts w:cs="Calibri"/>
                      <w:color w:val="000000"/>
                      <w:szCs w:val="20"/>
                    </w:rPr>
                    <w:t>15.3%</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9D2CCC" w14:textId="1FB71214" w:rsidR="00FC3157" w:rsidRDefault="00FC3157" w:rsidP="00FC3157">
                  <w:pPr>
                    <w:jc w:val="center"/>
                    <w:rPr>
                      <w:rFonts w:cs="Calibri"/>
                      <w:color w:val="000000"/>
                      <w:szCs w:val="20"/>
                    </w:rPr>
                  </w:pPr>
                  <w:r>
                    <w:rPr>
                      <w:rFonts w:cs="Calibri"/>
                      <w:color w:val="000000"/>
                      <w:szCs w:val="20"/>
                    </w:rPr>
                    <w:t>FOB, cash</w:t>
                  </w:r>
                </w:p>
              </w:tc>
            </w:tr>
            <w:tr w:rsidR="00FC3157" w14:paraId="1F92F64E" w14:textId="77777777" w:rsidTr="00FC3157">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2F586D" w14:textId="1B203ABF" w:rsidR="00FC3157" w:rsidRPr="0051390E" w:rsidRDefault="00FC3157" w:rsidP="00FC3157">
                  <w:pPr>
                    <w:ind w:left="156"/>
                    <w:rPr>
                      <w:rFonts w:cs="Calibri"/>
                      <w:color w:val="000000"/>
                      <w:szCs w:val="20"/>
                    </w:rPr>
                  </w:pPr>
                  <w:r w:rsidRPr="0051390E">
                    <w:rPr>
                      <w:rFonts w:cs="Calibri"/>
                      <w:color w:val="000000"/>
                      <w:szCs w:val="20"/>
                    </w:rPr>
                    <w:t>All Other Exporters</w:t>
                  </w:r>
                </w:p>
              </w:tc>
              <w:tc>
                <w:tcPr>
                  <w:tcW w:w="1701" w:type="dxa"/>
                  <w:tcBorders>
                    <w:top w:val="single" w:sz="4" w:space="0" w:color="auto"/>
                    <w:left w:val="nil"/>
                    <w:bottom w:val="single" w:sz="4" w:space="0" w:color="auto"/>
                    <w:right w:val="single" w:sz="4" w:space="0" w:color="auto"/>
                  </w:tcBorders>
                  <w:vAlign w:val="center"/>
                </w:tcPr>
                <w:p w14:paraId="275FFC81" w14:textId="3E7A7C9D" w:rsidR="00FC3157" w:rsidRDefault="00FC3157" w:rsidP="00FC3157">
                  <w:pPr>
                    <w:jc w:val="center"/>
                    <w:rPr>
                      <w:rFonts w:cs="Calibri"/>
                      <w:color w:val="000000"/>
                      <w:szCs w:val="20"/>
                    </w:rPr>
                  </w:pPr>
                  <w:r>
                    <w:rPr>
                      <w:rFonts w:cs="Calibri"/>
                      <w:color w:val="000000"/>
                      <w:szCs w:val="20"/>
                    </w:rPr>
                    <w:t>137</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66AF77" w14:textId="7C0B7AF5" w:rsidR="00FC3157" w:rsidRPr="0051390E" w:rsidRDefault="00FC3157" w:rsidP="00FC3157">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663077" w14:textId="5F7906BB" w:rsidR="00FC3157" w:rsidRDefault="00FC3157" w:rsidP="00FC3157">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5DFC9B" w14:textId="1BE5CBE3" w:rsidR="00FC3157" w:rsidRDefault="0005437F" w:rsidP="00FC3157">
                  <w:pPr>
                    <w:jc w:val="center"/>
                    <w:rPr>
                      <w:rFonts w:cs="Calibri"/>
                      <w:color w:val="000000"/>
                      <w:szCs w:val="20"/>
                    </w:rPr>
                  </w:pPr>
                  <w:r>
                    <w:rPr>
                      <w:rFonts w:cs="Calibri"/>
                      <w:color w:val="000000"/>
                      <w:szCs w:val="20"/>
                    </w:rPr>
                    <w:t>28</w:t>
                  </w:r>
                  <w:r w:rsidR="00FC3157">
                    <w:rPr>
                      <w:rFonts w:cs="Calibri"/>
                      <w:color w:val="000000"/>
                      <w:szCs w:val="20"/>
                    </w:rPr>
                    <w:t>.3%</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B082B3" w14:textId="582601D6" w:rsidR="00FC3157" w:rsidRDefault="00FC3157" w:rsidP="00FC3157">
                  <w:pPr>
                    <w:jc w:val="center"/>
                    <w:rPr>
                      <w:rFonts w:cs="Calibri"/>
                      <w:color w:val="000000"/>
                      <w:szCs w:val="20"/>
                    </w:rPr>
                  </w:pPr>
                  <w:r>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3FFCDFC" w14:textId="77777777" w:rsidR="00F66F28" w:rsidRPr="00CB6F8B" w:rsidRDefault="00F66F28" w:rsidP="00F66F28">
            <w:pPr>
              <w:pStyle w:val="ListParagraph"/>
              <w:numPr>
                <w:ilvl w:val="0"/>
                <w:numId w:val="9"/>
              </w:numPr>
              <w:spacing w:before="0"/>
            </w:pPr>
            <w:r w:rsidRPr="00CB6F8B">
              <w:t xml:space="preserve">As </w:t>
            </w:r>
            <w:r>
              <w:t>the measure type is ad valorem</w:t>
            </w:r>
            <w:r w:rsidRPr="00CB6F8B">
              <w:t xml:space="preserve"> there are no confidential instructions.  The </w:t>
            </w:r>
            <w:r>
              <w:t xml:space="preserve">applicable </w:t>
            </w:r>
            <w:r w:rsidRPr="00CB6F8B">
              <w:t xml:space="preserve">IDD rate </w:t>
            </w:r>
            <w:r>
              <w:t>is</w:t>
            </w:r>
            <w:r w:rsidRPr="00CB6F8B">
              <w:t xml:space="preserve"> listed </w:t>
            </w:r>
            <w:r>
              <w:t xml:space="preserve">in the table </w:t>
            </w:r>
            <w:r w:rsidRPr="00CB6F8B">
              <w:t>above.</w:t>
            </w:r>
          </w:p>
          <w:p w14:paraId="68BAC633" w14:textId="0184F035" w:rsidR="003C5ECA" w:rsidRDefault="003C5ECA" w:rsidP="00F66F28">
            <w:pPr>
              <w:ind w:left="360"/>
            </w:pPr>
            <w:r>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23630208"/>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8"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23630209"/>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23630210"/>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569BBD7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613790">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6AAA36AE"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FC3157">
        <w:rPr>
          <w:rFonts w:asciiTheme="minorHAnsi" w:hAnsiTheme="minorHAnsi"/>
          <w:b/>
          <w:sz w:val="22"/>
          <w:szCs w:val="22"/>
        </w:rPr>
        <w:t>Indonesia</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356D4D">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FC3157" w:rsidRPr="009B5BB4" w14:paraId="68BAC6B2" w14:textId="77777777" w:rsidTr="00356D4D">
        <w:trPr>
          <w:trHeight w:val="277"/>
          <w:jc w:val="center"/>
        </w:trPr>
        <w:tc>
          <w:tcPr>
            <w:tcW w:w="4855" w:type="dxa"/>
            <w:shd w:val="clear" w:color="auto" w:fill="auto"/>
            <w:vAlign w:val="center"/>
            <w:hideMark/>
          </w:tcPr>
          <w:p w14:paraId="68BAC6B0" w14:textId="0531D761" w:rsidR="00FC3157" w:rsidRPr="0062419B" w:rsidRDefault="00FC3157" w:rsidP="00FC3157">
            <w:pPr>
              <w:jc w:val="center"/>
              <w:rPr>
                <w:rFonts w:cs="Calibri"/>
                <w:color w:val="000000"/>
                <w:szCs w:val="20"/>
              </w:rPr>
            </w:pPr>
            <w:r w:rsidRPr="00670018">
              <w:rPr>
                <w:rFonts w:cs="Calibri"/>
                <w:color w:val="000000"/>
                <w:szCs w:val="20"/>
              </w:rPr>
              <w:t>17 October 2020 – 16 April 2021</w:t>
            </w:r>
          </w:p>
        </w:tc>
        <w:tc>
          <w:tcPr>
            <w:tcW w:w="4855" w:type="dxa"/>
            <w:shd w:val="clear" w:color="auto" w:fill="auto"/>
            <w:vAlign w:val="center"/>
            <w:hideMark/>
          </w:tcPr>
          <w:p w14:paraId="68BAC6B1" w14:textId="496A06CA" w:rsidR="00FC3157" w:rsidRPr="0062419B" w:rsidRDefault="00FC3157" w:rsidP="00FC3157">
            <w:pPr>
              <w:jc w:val="center"/>
              <w:rPr>
                <w:rFonts w:cs="Calibri"/>
                <w:color w:val="000000"/>
                <w:szCs w:val="20"/>
              </w:rPr>
            </w:pPr>
            <w:r w:rsidRPr="00670018">
              <w:rPr>
                <w:rFonts w:cs="Calibri"/>
                <w:color w:val="000000"/>
                <w:szCs w:val="20"/>
              </w:rPr>
              <w:t>17 April 2021 – 16 October 2021</w:t>
            </w:r>
          </w:p>
        </w:tc>
      </w:tr>
      <w:tr w:rsidR="00FC3157" w:rsidRPr="009B5BB4" w14:paraId="68BAC6B5" w14:textId="77777777" w:rsidTr="00356D4D">
        <w:trPr>
          <w:trHeight w:val="277"/>
          <w:jc w:val="center"/>
        </w:trPr>
        <w:tc>
          <w:tcPr>
            <w:tcW w:w="4855" w:type="dxa"/>
            <w:shd w:val="clear" w:color="auto" w:fill="auto"/>
            <w:vAlign w:val="center"/>
            <w:hideMark/>
          </w:tcPr>
          <w:p w14:paraId="68BAC6B3" w14:textId="437F66F8" w:rsidR="00FC3157" w:rsidRPr="0062419B" w:rsidRDefault="00FC3157" w:rsidP="00FC3157">
            <w:pPr>
              <w:jc w:val="center"/>
              <w:rPr>
                <w:rFonts w:cs="Calibri"/>
                <w:color w:val="000000"/>
                <w:szCs w:val="20"/>
              </w:rPr>
            </w:pPr>
            <w:r w:rsidRPr="00670018">
              <w:rPr>
                <w:rFonts w:cs="Calibri"/>
                <w:color w:val="000000"/>
                <w:szCs w:val="20"/>
              </w:rPr>
              <w:t>17 April 2021 – 16 October 2021</w:t>
            </w:r>
          </w:p>
        </w:tc>
        <w:tc>
          <w:tcPr>
            <w:tcW w:w="4855" w:type="dxa"/>
            <w:shd w:val="clear" w:color="auto" w:fill="auto"/>
            <w:vAlign w:val="center"/>
            <w:hideMark/>
          </w:tcPr>
          <w:p w14:paraId="68BAC6B4" w14:textId="0DD2AA24" w:rsidR="00FC3157" w:rsidRPr="0062419B" w:rsidRDefault="00FC3157" w:rsidP="00FC3157">
            <w:pPr>
              <w:jc w:val="center"/>
              <w:rPr>
                <w:rFonts w:cs="Calibri"/>
                <w:color w:val="000000"/>
                <w:szCs w:val="20"/>
              </w:rPr>
            </w:pPr>
            <w:r w:rsidRPr="00670018">
              <w:rPr>
                <w:rFonts w:cs="Calibri"/>
                <w:color w:val="000000"/>
                <w:szCs w:val="20"/>
              </w:rPr>
              <w:t>17 October 2021 – 16 April 2022</w:t>
            </w:r>
          </w:p>
        </w:tc>
      </w:tr>
      <w:tr w:rsidR="00FC3157" w:rsidRPr="009B5BB4" w14:paraId="68BAC6B8" w14:textId="77777777" w:rsidTr="00356D4D">
        <w:trPr>
          <w:trHeight w:val="277"/>
          <w:jc w:val="center"/>
        </w:trPr>
        <w:tc>
          <w:tcPr>
            <w:tcW w:w="4855" w:type="dxa"/>
            <w:shd w:val="clear" w:color="auto" w:fill="auto"/>
            <w:vAlign w:val="center"/>
            <w:hideMark/>
          </w:tcPr>
          <w:p w14:paraId="68BAC6B6" w14:textId="58DAC37F" w:rsidR="00FC3157" w:rsidRPr="0062419B" w:rsidRDefault="00FC3157" w:rsidP="00FC3157">
            <w:pPr>
              <w:jc w:val="center"/>
              <w:rPr>
                <w:rFonts w:cs="Calibri"/>
                <w:color w:val="000000"/>
                <w:szCs w:val="20"/>
              </w:rPr>
            </w:pPr>
            <w:r w:rsidRPr="00670018">
              <w:rPr>
                <w:rFonts w:cs="Calibri"/>
                <w:color w:val="000000"/>
                <w:szCs w:val="20"/>
              </w:rPr>
              <w:t>17 October 2021 – 16 April 2022</w:t>
            </w:r>
          </w:p>
        </w:tc>
        <w:tc>
          <w:tcPr>
            <w:tcW w:w="4855" w:type="dxa"/>
            <w:shd w:val="clear" w:color="auto" w:fill="auto"/>
            <w:vAlign w:val="center"/>
            <w:hideMark/>
          </w:tcPr>
          <w:p w14:paraId="68BAC6B7" w14:textId="77063C89" w:rsidR="00FC3157" w:rsidRPr="0062419B" w:rsidRDefault="00FC3157" w:rsidP="00FC3157">
            <w:pPr>
              <w:jc w:val="center"/>
              <w:rPr>
                <w:rFonts w:cs="Calibri"/>
                <w:color w:val="000000"/>
                <w:szCs w:val="20"/>
              </w:rPr>
            </w:pPr>
            <w:r w:rsidRPr="00670018">
              <w:rPr>
                <w:rFonts w:cs="Calibri"/>
                <w:color w:val="000000"/>
                <w:szCs w:val="20"/>
              </w:rPr>
              <w:t>17 April 2022 – 16 October 2022</w:t>
            </w:r>
          </w:p>
        </w:tc>
      </w:tr>
      <w:tr w:rsidR="00FC3157" w:rsidRPr="009B5BB4" w14:paraId="68BAC6BB" w14:textId="77777777" w:rsidTr="00356D4D">
        <w:trPr>
          <w:trHeight w:val="277"/>
          <w:jc w:val="center"/>
        </w:trPr>
        <w:tc>
          <w:tcPr>
            <w:tcW w:w="4855" w:type="dxa"/>
            <w:shd w:val="clear" w:color="auto" w:fill="auto"/>
            <w:vAlign w:val="center"/>
            <w:hideMark/>
          </w:tcPr>
          <w:p w14:paraId="68BAC6B9" w14:textId="435340ED" w:rsidR="00FC3157" w:rsidRPr="0062419B" w:rsidRDefault="00FC3157" w:rsidP="00FC3157">
            <w:pPr>
              <w:jc w:val="center"/>
              <w:rPr>
                <w:rFonts w:cs="Calibri"/>
                <w:color w:val="000000"/>
                <w:szCs w:val="20"/>
              </w:rPr>
            </w:pPr>
            <w:r w:rsidRPr="00670018">
              <w:rPr>
                <w:rFonts w:cs="Calibri"/>
                <w:color w:val="000000"/>
                <w:szCs w:val="20"/>
              </w:rPr>
              <w:t>17 April 2022 – 16 October 2022</w:t>
            </w:r>
          </w:p>
        </w:tc>
        <w:tc>
          <w:tcPr>
            <w:tcW w:w="4855" w:type="dxa"/>
            <w:shd w:val="clear" w:color="auto" w:fill="auto"/>
            <w:vAlign w:val="center"/>
            <w:hideMark/>
          </w:tcPr>
          <w:p w14:paraId="68BAC6BA" w14:textId="3DDFDE55" w:rsidR="00FC3157" w:rsidRPr="0062419B" w:rsidRDefault="00FC3157" w:rsidP="00FC3157">
            <w:pPr>
              <w:jc w:val="center"/>
              <w:rPr>
                <w:rFonts w:cs="Calibri"/>
                <w:color w:val="000000"/>
                <w:szCs w:val="20"/>
              </w:rPr>
            </w:pPr>
            <w:r w:rsidRPr="00670018">
              <w:rPr>
                <w:rFonts w:cs="Calibri"/>
                <w:color w:val="000000"/>
                <w:szCs w:val="20"/>
              </w:rPr>
              <w:t>17 October 2022 – 16 April 2023</w:t>
            </w:r>
          </w:p>
        </w:tc>
      </w:tr>
      <w:tr w:rsidR="00FC3157" w:rsidRPr="009B5BB4" w14:paraId="68BAC6BE" w14:textId="77777777" w:rsidTr="00356D4D">
        <w:trPr>
          <w:trHeight w:val="277"/>
          <w:jc w:val="center"/>
        </w:trPr>
        <w:tc>
          <w:tcPr>
            <w:tcW w:w="4855" w:type="dxa"/>
            <w:shd w:val="clear" w:color="auto" w:fill="auto"/>
            <w:vAlign w:val="center"/>
            <w:hideMark/>
          </w:tcPr>
          <w:p w14:paraId="68BAC6BC" w14:textId="3C0FFFC7" w:rsidR="00FC3157" w:rsidRPr="0062419B" w:rsidRDefault="00FC3157" w:rsidP="00FC3157">
            <w:pPr>
              <w:jc w:val="center"/>
              <w:rPr>
                <w:rFonts w:cs="Calibri"/>
                <w:color w:val="000000"/>
                <w:szCs w:val="20"/>
              </w:rPr>
            </w:pPr>
            <w:r w:rsidRPr="00670018">
              <w:rPr>
                <w:rFonts w:cs="Calibri"/>
                <w:color w:val="000000"/>
                <w:szCs w:val="20"/>
              </w:rPr>
              <w:t>17 October 2022 – 16 April 2023</w:t>
            </w:r>
          </w:p>
        </w:tc>
        <w:tc>
          <w:tcPr>
            <w:tcW w:w="4855" w:type="dxa"/>
            <w:shd w:val="clear" w:color="auto" w:fill="auto"/>
            <w:vAlign w:val="center"/>
            <w:hideMark/>
          </w:tcPr>
          <w:p w14:paraId="68BAC6BD" w14:textId="05FE3345" w:rsidR="00FC3157" w:rsidRPr="0062419B" w:rsidRDefault="00FC3157" w:rsidP="00FC3157">
            <w:pPr>
              <w:jc w:val="center"/>
              <w:rPr>
                <w:rFonts w:cs="Calibri"/>
                <w:color w:val="000000"/>
                <w:szCs w:val="20"/>
              </w:rPr>
            </w:pPr>
            <w:r w:rsidRPr="00670018">
              <w:rPr>
                <w:rFonts w:cs="Calibri"/>
                <w:color w:val="000000"/>
                <w:szCs w:val="20"/>
              </w:rPr>
              <w:t>17 April 2023 – 16 October 2023</w:t>
            </w:r>
          </w:p>
        </w:tc>
      </w:tr>
      <w:tr w:rsidR="00FC3157" w:rsidRPr="009B5BB4" w14:paraId="68BAC6C1" w14:textId="77777777" w:rsidTr="00356D4D">
        <w:trPr>
          <w:trHeight w:val="277"/>
          <w:jc w:val="center"/>
        </w:trPr>
        <w:tc>
          <w:tcPr>
            <w:tcW w:w="4855" w:type="dxa"/>
            <w:shd w:val="clear" w:color="auto" w:fill="auto"/>
            <w:vAlign w:val="center"/>
            <w:hideMark/>
          </w:tcPr>
          <w:p w14:paraId="68BAC6BF" w14:textId="4DE57463" w:rsidR="00FC3157" w:rsidRPr="0062419B" w:rsidRDefault="00FC3157" w:rsidP="00FC3157">
            <w:pPr>
              <w:jc w:val="center"/>
              <w:rPr>
                <w:rFonts w:cs="Calibri"/>
                <w:color w:val="000000"/>
                <w:szCs w:val="20"/>
              </w:rPr>
            </w:pPr>
            <w:r w:rsidRPr="00670018">
              <w:rPr>
                <w:rFonts w:cs="Calibri"/>
                <w:color w:val="000000"/>
                <w:szCs w:val="20"/>
              </w:rPr>
              <w:t>17 April 2023 – 16 October 2023</w:t>
            </w:r>
          </w:p>
        </w:tc>
        <w:tc>
          <w:tcPr>
            <w:tcW w:w="4855" w:type="dxa"/>
            <w:shd w:val="clear" w:color="auto" w:fill="auto"/>
            <w:vAlign w:val="center"/>
            <w:hideMark/>
          </w:tcPr>
          <w:p w14:paraId="68BAC6C0" w14:textId="2E6D3B93" w:rsidR="00FC3157" w:rsidRPr="0062419B" w:rsidRDefault="00FC3157" w:rsidP="00FC3157">
            <w:pPr>
              <w:jc w:val="center"/>
              <w:rPr>
                <w:rFonts w:cs="Calibri"/>
                <w:color w:val="000000"/>
                <w:szCs w:val="20"/>
              </w:rPr>
            </w:pPr>
            <w:r w:rsidRPr="00670018">
              <w:rPr>
                <w:rFonts w:cs="Calibri"/>
                <w:color w:val="000000"/>
                <w:szCs w:val="20"/>
              </w:rPr>
              <w:t>17 October 2023 – 16 April 2024</w:t>
            </w:r>
          </w:p>
        </w:tc>
      </w:tr>
      <w:tr w:rsidR="00FC3157" w:rsidRPr="009B5BB4" w14:paraId="68BAC6C4" w14:textId="77777777" w:rsidTr="00356D4D">
        <w:trPr>
          <w:trHeight w:val="277"/>
          <w:jc w:val="center"/>
        </w:trPr>
        <w:tc>
          <w:tcPr>
            <w:tcW w:w="4855" w:type="dxa"/>
            <w:shd w:val="clear" w:color="auto" w:fill="auto"/>
            <w:vAlign w:val="center"/>
            <w:hideMark/>
          </w:tcPr>
          <w:p w14:paraId="68BAC6C2" w14:textId="4043BA2A" w:rsidR="00FC3157" w:rsidRPr="0062419B" w:rsidRDefault="00FC3157" w:rsidP="00FC3157">
            <w:pPr>
              <w:jc w:val="center"/>
              <w:rPr>
                <w:rFonts w:cs="Calibri"/>
                <w:color w:val="000000"/>
                <w:szCs w:val="20"/>
              </w:rPr>
            </w:pPr>
            <w:r w:rsidRPr="00670018">
              <w:rPr>
                <w:rFonts w:cs="Calibri"/>
                <w:color w:val="000000"/>
                <w:szCs w:val="20"/>
              </w:rPr>
              <w:t>17 October 2023 – 16 April 2024</w:t>
            </w:r>
          </w:p>
        </w:tc>
        <w:tc>
          <w:tcPr>
            <w:tcW w:w="4855" w:type="dxa"/>
            <w:shd w:val="clear" w:color="auto" w:fill="auto"/>
            <w:vAlign w:val="center"/>
            <w:hideMark/>
          </w:tcPr>
          <w:p w14:paraId="68BAC6C3" w14:textId="01A666EB" w:rsidR="00FC3157" w:rsidRPr="0062419B" w:rsidRDefault="00FC3157" w:rsidP="00FC3157">
            <w:pPr>
              <w:jc w:val="center"/>
              <w:rPr>
                <w:rFonts w:cs="Calibri"/>
                <w:color w:val="000000"/>
                <w:szCs w:val="20"/>
              </w:rPr>
            </w:pPr>
            <w:r w:rsidRPr="00670018">
              <w:rPr>
                <w:rFonts w:cs="Calibri"/>
                <w:color w:val="000000"/>
                <w:szCs w:val="20"/>
              </w:rPr>
              <w:t>17 April 2024 – 16 October 2024</w:t>
            </w:r>
          </w:p>
        </w:tc>
      </w:tr>
      <w:tr w:rsidR="00FC3157" w:rsidRPr="009B5BB4" w14:paraId="68BAC6C7" w14:textId="77777777" w:rsidTr="00356D4D">
        <w:trPr>
          <w:trHeight w:val="277"/>
          <w:jc w:val="center"/>
        </w:trPr>
        <w:tc>
          <w:tcPr>
            <w:tcW w:w="4855" w:type="dxa"/>
            <w:shd w:val="clear" w:color="auto" w:fill="auto"/>
            <w:vAlign w:val="center"/>
            <w:hideMark/>
          </w:tcPr>
          <w:p w14:paraId="68BAC6C5" w14:textId="54AA9801" w:rsidR="00FC3157" w:rsidRPr="0062419B" w:rsidRDefault="00FC3157" w:rsidP="00FC3157">
            <w:pPr>
              <w:jc w:val="center"/>
              <w:rPr>
                <w:rFonts w:cs="Calibri"/>
                <w:color w:val="000000"/>
                <w:szCs w:val="20"/>
              </w:rPr>
            </w:pPr>
            <w:r w:rsidRPr="00670018">
              <w:rPr>
                <w:rFonts w:cs="Calibri"/>
                <w:color w:val="000000"/>
                <w:szCs w:val="20"/>
              </w:rPr>
              <w:t>17 April 2024 – 16 October 2024</w:t>
            </w:r>
          </w:p>
        </w:tc>
        <w:tc>
          <w:tcPr>
            <w:tcW w:w="4855" w:type="dxa"/>
            <w:shd w:val="clear" w:color="auto" w:fill="auto"/>
            <w:vAlign w:val="center"/>
            <w:hideMark/>
          </w:tcPr>
          <w:p w14:paraId="68BAC6C6" w14:textId="34F366A7" w:rsidR="00FC3157" w:rsidRPr="0062419B" w:rsidRDefault="00FC3157" w:rsidP="00FC3157">
            <w:pPr>
              <w:jc w:val="center"/>
              <w:rPr>
                <w:rFonts w:cs="Calibri"/>
                <w:color w:val="000000"/>
                <w:szCs w:val="20"/>
              </w:rPr>
            </w:pPr>
            <w:r w:rsidRPr="00670018">
              <w:rPr>
                <w:rFonts w:cs="Calibri"/>
                <w:color w:val="000000"/>
                <w:szCs w:val="20"/>
              </w:rPr>
              <w:t>17 October 2024 – 16 April 2025</w:t>
            </w:r>
          </w:p>
        </w:tc>
      </w:tr>
      <w:tr w:rsidR="00FC3157" w:rsidRPr="009B5BB4" w14:paraId="68BAC6CA" w14:textId="77777777" w:rsidTr="00356D4D">
        <w:trPr>
          <w:trHeight w:val="277"/>
          <w:jc w:val="center"/>
        </w:trPr>
        <w:tc>
          <w:tcPr>
            <w:tcW w:w="4855" w:type="dxa"/>
            <w:shd w:val="clear" w:color="auto" w:fill="auto"/>
            <w:vAlign w:val="center"/>
            <w:hideMark/>
          </w:tcPr>
          <w:p w14:paraId="68BAC6C8" w14:textId="75B42C98" w:rsidR="00FC3157" w:rsidRPr="0062419B" w:rsidRDefault="00FC3157" w:rsidP="00FC3157">
            <w:pPr>
              <w:jc w:val="center"/>
              <w:rPr>
                <w:rFonts w:cs="Calibri"/>
                <w:color w:val="000000"/>
                <w:szCs w:val="20"/>
              </w:rPr>
            </w:pPr>
            <w:r w:rsidRPr="00670018">
              <w:rPr>
                <w:rFonts w:cs="Calibri"/>
                <w:color w:val="000000"/>
                <w:szCs w:val="20"/>
              </w:rPr>
              <w:t>17 October 2024 – 16 April 2025</w:t>
            </w:r>
          </w:p>
        </w:tc>
        <w:tc>
          <w:tcPr>
            <w:tcW w:w="4855" w:type="dxa"/>
            <w:shd w:val="clear" w:color="auto" w:fill="auto"/>
            <w:vAlign w:val="center"/>
            <w:hideMark/>
          </w:tcPr>
          <w:p w14:paraId="68BAC6C9" w14:textId="09DDD4E2" w:rsidR="00FC3157" w:rsidRPr="0062419B" w:rsidRDefault="00FC3157" w:rsidP="00FC3157">
            <w:pPr>
              <w:jc w:val="center"/>
              <w:rPr>
                <w:rFonts w:cs="Calibri"/>
                <w:color w:val="000000"/>
                <w:szCs w:val="20"/>
              </w:rPr>
            </w:pPr>
            <w:r w:rsidRPr="00670018">
              <w:rPr>
                <w:rFonts w:cs="Calibri"/>
                <w:color w:val="000000"/>
                <w:szCs w:val="20"/>
              </w:rPr>
              <w:t>17 April 2025 – 16 October 2025</w:t>
            </w:r>
          </w:p>
        </w:tc>
      </w:tr>
      <w:tr w:rsidR="00FC3157" w:rsidRPr="009B5BB4" w14:paraId="68BAC6CD" w14:textId="77777777" w:rsidTr="00356D4D">
        <w:trPr>
          <w:trHeight w:val="277"/>
          <w:jc w:val="center"/>
        </w:trPr>
        <w:tc>
          <w:tcPr>
            <w:tcW w:w="4855" w:type="dxa"/>
            <w:shd w:val="clear" w:color="auto" w:fill="auto"/>
            <w:vAlign w:val="center"/>
            <w:hideMark/>
          </w:tcPr>
          <w:p w14:paraId="68BAC6CB" w14:textId="12EA5B78" w:rsidR="00FC3157" w:rsidRPr="0062419B" w:rsidRDefault="00FC3157" w:rsidP="00FC3157">
            <w:pPr>
              <w:jc w:val="center"/>
              <w:rPr>
                <w:rFonts w:cs="Calibri"/>
                <w:color w:val="000000"/>
                <w:szCs w:val="20"/>
              </w:rPr>
            </w:pPr>
            <w:r w:rsidRPr="00670018">
              <w:rPr>
                <w:rFonts w:cs="Calibri"/>
                <w:color w:val="000000"/>
                <w:szCs w:val="20"/>
              </w:rPr>
              <w:t>17 April 2025 – 16 October 2025</w:t>
            </w:r>
          </w:p>
        </w:tc>
        <w:tc>
          <w:tcPr>
            <w:tcW w:w="4855" w:type="dxa"/>
            <w:shd w:val="clear" w:color="auto" w:fill="auto"/>
            <w:vAlign w:val="center"/>
            <w:hideMark/>
          </w:tcPr>
          <w:p w14:paraId="68BAC6CC" w14:textId="49E64D1D" w:rsidR="00FC3157" w:rsidRPr="0062419B" w:rsidRDefault="00FC3157" w:rsidP="00FC3157">
            <w:pPr>
              <w:jc w:val="center"/>
              <w:rPr>
                <w:rFonts w:cs="Calibri"/>
                <w:color w:val="000000"/>
                <w:szCs w:val="20"/>
              </w:rPr>
            </w:pPr>
            <w:r w:rsidRPr="00670018">
              <w:rPr>
                <w:rFonts w:cs="Calibri"/>
                <w:color w:val="000000"/>
                <w:szCs w:val="20"/>
              </w:rPr>
              <w:t>17 October 2025 – 16 April 2026</w:t>
            </w:r>
          </w:p>
        </w:tc>
      </w:tr>
      <w:tr w:rsidR="00FC3157" w:rsidRPr="009B5BB4" w14:paraId="4F9652A7" w14:textId="77777777" w:rsidTr="00356D4D">
        <w:trPr>
          <w:trHeight w:val="277"/>
          <w:jc w:val="center"/>
        </w:trPr>
        <w:tc>
          <w:tcPr>
            <w:tcW w:w="4855" w:type="dxa"/>
            <w:shd w:val="clear" w:color="auto" w:fill="auto"/>
            <w:vAlign w:val="center"/>
          </w:tcPr>
          <w:p w14:paraId="582DF500" w14:textId="7C667F92" w:rsidR="00FC3157" w:rsidRPr="0062419B" w:rsidRDefault="00FC3157" w:rsidP="00FC3157">
            <w:pPr>
              <w:jc w:val="center"/>
              <w:rPr>
                <w:rFonts w:cs="Calibri"/>
                <w:color w:val="000000"/>
                <w:szCs w:val="20"/>
              </w:rPr>
            </w:pPr>
            <w:r w:rsidRPr="00670018">
              <w:rPr>
                <w:rFonts w:cs="Calibri"/>
                <w:color w:val="000000"/>
                <w:szCs w:val="20"/>
              </w:rPr>
              <w:t>17 October 2025 – 16 April 2026</w:t>
            </w:r>
          </w:p>
        </w:tc>
        <w:tc>
          <w:tcPr>
            <w:tcW w:w="4855" w:type="dxa"/>
            <w:shd w:val="clear" w:color="auto" w:fill="auto"/>
            <w:vAlign w:val="center"/>
          </w:tcPr>
          <w:p w14:paraId="761CF2AA" w14:textId="3D44F19E" w:rsidR="00FC3157" w:rsidRPr="0062419B" w:rsidRDefault="00FC3157" w:rsidP="00FC3157">
            <w:pPr>
              <w:jc w:val="center"/>
              <w:rPr>
                <w:rFonts w:cs="Calibri"/>
                <w:color w:val="000000"/>
                <w:szCs w:val="20"/>
              </w:rPr>
            </w:pPr>
            <w:r w:rsidRPr="00670018">
              <w:rPr>
                <w:rFonts w:cs="Calibri"/>
                <w:color w:val="000000"/>
                <w:szCs w:val="20"/>
              </w:rPr>
              <w:t>17 April 2026 – 16 October 2026</w:t>
            </w:r>
          </w:p>
        </w:tc>
      </w:tr>
      <w:tr w:rsidR="00FC3157" w:rsidRPr="009B5BB4" w14:paraId="16DC3C6D" w14:textId="77777777" w:rsidTr="00356D4D">
        <w:trPr>
          <w:trHeight w:val="277"/>
          <w:jc w:val="center"/>
        </w:trPr>
        <w:tc>
          <w:tcPr>
            <w:tcW w:w="4855" w:type="dxa"/>
            <w:shd w:val="clear" w:color="auto" w:fill="auto"/>
            <w:vAlign w:val="center"/>
          </w:tcPr>
          <w:p w14:paraId="76F68295" w14:textId="346D6596" w:rsidR="00FC3157" w:rsidRPr="0062419B" w:rsidRDefault="00FC3157" w:rsidP="00FC3157">
            <w:pPr>
              <w:jc w:val="center"/>
              <w:rPr>
                <w:rFonts w:cs="Calibri"/>
                <w:color w:val="000000"/>
                <w:szCs w:val="20"/>
              </w:rPr>
            </w:pPr>
            <w:r w:rsidRPr="00670018">
              <w:rPr>
                <w:rFonts w:cs="Calibri"/>
                <w:color w:val="000000"/>
                <w:szCs w:val="20"/>
              </w:rPr>
              <w:t>17 April 2026 – 16 October 2026</w:t>
            </w:r>
          </w:p>
        </w:tc>
        <w:tc>
          <w:tcPr>
            <w:tcW w:w="4855" w:type="dxa"/>
            <w:shd w:val="clear" w:color="auto" w:fill="auto"/>
            <w:vAlign w:val="center"/>
          </w:tcPr>
          <w:p w14:paraId="69FC808B" w14:textId="7A7286DD" w:rsidR="00FC3157" w:rsidRPr="0062419B" w:rsidRDefault="00FC3157" w:rsidP="00FC3157">
            <w:pPr>
              <w:jc w:val="center"/>
              <w:rPr>
                <w:rFonts w:cs="Calibri"/>
                <w:color w:val="000000"/>
                <w:szCs w:val="20"/>
              </w:rPr>
            </w:pPr>
            <w:r w:rsidRPr="00670018">
              <w:rPr>
                <w:rFonts w:cs="Calibri"/>
                <w:color w:val="000000"/>
                <w:szCs w:val="20"/>
              </w:rPr>
              <w:t>17 October 2026 – 16 April 2027</w:t>
            </w:r>
          </w:p>
        </w:tc>
      </w:tr>
      <w:tr w:rsidR="0005437F" w:rsidRPr="009B5BB4" w14:paraId="66D35483" w14:textId="77777777" w:rsidTr="00356D4D">
        <w:trPr>
          <w:trHeight w:val="277"/>
          <w:jc w:val="center"/>
        </w:trPr>
        <w:tc>
          <w:tcPr>
            <w:tcW w:w="4855" w:type="dxa"/>
            <w:shd w:val="clear" w:color="auto" w:fill="auto"/>
            <w:vAlign w:val="center"/>
          </w:tcPr>
          <w:p w14:paraId="3766A099" w14:textId="76E8B087" w:rsidR="0005437F" w:rsidRPr="00670018" w:rsidRDefault="0005437F" w:rsidP="0005437F">
            <w:pPr>
              <w:jc w:val="center"/>
              <w:rPr>
                <w:rFonts w:cs="Calibri"/>
                <w:color w:val="000000"/>
                <w:szCs w:val="20"/>
              </w:rPr>
            </w:pPr>
            <w:r w:rsidRPr="00670018">
              <w:rPr>
                <w:rFonts w:cs="Calibri"/>
                <w:color w:val="000000"/>
                <w:szCs w:val="20"/>
              </w:rPr>
              <w:t>17 October 202</w:t>
            </w:r>
            <w:r>
              <w:rPr>
                <w:rFonts w:cs="Calibri"/>
                <w:color w:val="000000"/>
                <w:szCs w:val="20"/>
              </w:rPr>
              <w:t>6</w:t>
            </w:r>
            <w:r w:rsidRPr="00670018">
              <w:rPr>
                <w:rFonts w:cs="Calibri"/>
                <w:color w:val="000000"/>
                <w:szCs w:val="20"/>
              </w:rPr>
              <w:t xml:space="preserve"> – 16 April 202</w:t>
            </w:r>
            <w:r>
              <w:rPr>
                <w:rFonts w:cs="Calibri"/>
                <w:color w:val="000000"/>
                <w:szCs w:val="20"/>
              </w:rPr>
              <w:t>7</w:t>
            </w:r>
          </w:p>
        </w:tc>
        <w:tc>
          <w:tcPr>
            <w:tcW w:w="4855" w:type="dxa"/>
            <w:shd w:val="clear" w:color="auto" w:fill="auto"/>
            <w:vAlign w:val="center"/>
          </w:tcPr>
          <w:p w14:paraId="772BCFE4" w14:textId="3226E4BA" w:rsidR="0005437F" w:rsidRPr="00670018" w:rsidRDefault="0005437F" w:rsidP="0005437F">
            <w:pPr>
              <w:jc w:val="center"/>
              <w:rPr>
                <w:rFonts w:cs="Calibri"/>
                <w:color w:val="000000"/>
                <w:szCs w:val="20"/>
              </w:rPr>
            </w:pPr>
            <w:r w:rsidRPr="00670018">
              <w:rPr>
                <w:rFonts w:cs="Calibri"/>
                <w:color w:val="000000"/>
                <w:szCs w:val="20"/>
              </w:rPr>
              <w:t>1</w:t>
            </w:r>
            <w:r>
              <w:rPr>
                <w:rFonts w:cs="Calibri"/>
                <w:color w:val="000000"/>
                <w:szCs w:val="20"/>
              </w:rPr>
              <w:t>7 April 2027</w:t>
            </w:r>
            <w:r w:rsidRPr="00670018">
              <w:rPr>
                <w:rFonts w:cs="Calibri"/>
                <w:color w:val="000000"/>
                <w:szCs w:val="20"/>
              </w:rPr>
              <w:t xml:space="preserve"> – 16 October 202</w:t>
            </w:r>
            <w:r>
              <w:rPr>
                <w:rFonts w:cs="Calibri"/>
                <w:color w:val="000000"/>
                <w:szCs w:val="20"/>
              </w:rPr>
              <w:t>7</w:t>
            </w:r>
          </w:p>
        </w:tc>
      </w:tr>
    </w:tbl>
    <w:p w14:paraId="68BAC6CE" w14:textId="43A3C6F0" w:rsidR="003F2C42" w:rsidRDefault="00EC3FB9"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19" w:history="1">
        <w:r>
          <w:rPr>
            <w:rStyle w:val="Hyperlink"/>
            <w:rFonts w:cs="Calibri"/>
            <w:sz w:val="22"/>
            <w:szCs w:val="22"/>
          </w:rPr>
          <w:t>Anti-Dumping Notice 2024/075</w:t>
        </w:r>
      </w:hyperlink>
      <w:r>
        <w:rPr>
          <w:rFonts w:cs="Calibri"/>
          <w:sz w:val="22"/>
          <w:szCs w:val="22"/>
        </w:rPr>
        <w:t>.</w:t>
      </w:r>
    </w:p>
    <w:p w14:paraId="1CD6B883" w14:textId="77777777" w:rsidR="00221841" w:rsidRDefault="00221841"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0"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55FBC0D5" w:rsidR="009A007D" w:rsidRPr="0062419B" w:rsidRDefault="000B3B0F" w:rsidP="0062419B">
      <w:pPr>
        <w:pStyle w:val="Heading1"/>
        <w:rPr>
          <w:sz w:val="28"/>
          <w:szCs w:val="28"/>
        </w:rPr>
      </w:pPr>
      <w:bookmarkStart w:id="30" w:name="_Toc123630211"/>
      <w:r w:rsidRPr="0062419B">
        <w:rPr>
          <w:sz w:val="28"/>
          <w:szCs w:val="28"/>
        </w:rPr>
        <w:t>1</w:t>
      </w:r>
      <w:r w:rsidR="00D55328" w:rsidRPr="0062419B">
        <w:rPr>
          <w:sz w:val="28"/>
          <w:szCs w:val="28"/>
        </w:rPr>
        <w:t>0</w:t>
      </w:r>
      <w:r w:rsidRPr="0062419B">
        <w:rPr>
          <w:sz w:val="28"/>
          <w:szCs w:val="28"/>
        </w:rPr>
        <w:t xml:space="preserve">. </w:t>
      </w:r>
      <w:bookmarkEnd w:id="30"/>
      <w:r w:rsidR="004A5268">
        <w:rPr>
          <w:sz w:val="28"/>
          <w:szCs w:val="28"/>
        </w:rPr>
        <w:t xml:space="preserve">DCR changes including links to </w:t>
      </w:r>
      <w:r w:rsidR="004A5268" w:rsidRPr="0062419B">
        <w:rPr>
          <w:sz w:val="28"/>
          <w:szCs w:val="28"/>
        </w:rPr>
        <w:t xml:space="preserve">key reports and notices </w:t>
      </w:r>
      <w:r w:rsidR="004A5268">
        <w:rPr>
          <w:sz w:val="28"/>
          <w:szCs w:val="28"/>
        </w:rPr>
        <w:t xml:space="preserve">for </w:t>
      </w:r>
      <w:r w:rsidR="004A5268" w:rsidRPr="0062419B">
        <w:rPr>
          <w:sz w:val="28"/>
          <w:szCs w:val="28"/>
        </w:rPr>
        <w:t xml:space="preserve">measures on </w:t>
      </w:r>
      <w:r w:rsidR="004A5268">
        <w:rPr>
          <w:sz w:val="28"/>
          <w:szCs w:val="28"/>
        </w:rPr>
        <w:t>hollow structural sections</w:t>
      </w:r>
      <w:r w:rsidR="004A5268" w:rsidRPr="0062419B">
        <w:rPr>
          <w:sz w:val="28"/>
          <w:szCs w:val="28"/>
        </w:rPr>
        <w:t>?</w:t>
      </w:r>
    </w:p>
    <w:p w14:paraId="68BAC779" w14:textId="77777777" w:rsidR="0007591B" w:rsidRDefault="0007591B" w:rsidP="00E4346B">
      <w:pPr>
        <w:autoSpaceDE w:val="0"/>
        <w:autoSpaceDN w:val="0"/>
        <w:adjustRightInd w:val="0"/>
        <w:spacing w:line="264" w:lineRule="auto"/>
        <w:jc w:val="both"/>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212"/>
        <w:gridCol w:w="2280"/>
        <w:gridCol w:w="1122"/>
      </w:tblGrid>
      <w:tr w:rsidR="00FC3157" w14:paraId="67BB9012" w14:textId="77777777" w:rsidTr="64015E55">
        <w:trPr>
          <w:trHeight w:val="283"/>
        </w:trPr>
        <w:tc>
          <w:tcPr>
            <w:tcW w:w="1304" w:type="dxa"/>
            <w:shd w:val="clear" w:color="auto" w:fill="F2F2F2" w:themeFill="background1" w:themeFillShade="F2"/>
          </w:tcPr>
          <w:p w14:paraId="2BECAE02" w14:textId="77777777" w:rsidR="00FC3157" w:rsidRDefault="00FC3157">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212" w:type="dxa"/>
            <w:shd w:val="clear" w:color="auto" w:fill="F2F2F2" w:themeFill="background1" w:themeFillShade="F2"/>
          </w:tcPr>
          <w:p w14:paraId="31DC5BAB" w14:textId="77777777" w:rsidR="00FC3157" w:rsidRDefault="00FC3157">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2280" w:type="dxa"/>
            <w:shd w:val="clear" w:color="auto" w:fill="F2F2F2" w:themeFill="background1" w:themeFillShade="F2"/>
          </w:tcPr>
          <w:p w14:paraId="6DB579E6" w14:textId="77777777" w:rsidR="00FC3157" w:rsidRDefault="00FC3157">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122" w:type="dxa"/>
            <w:shd w:val="clear" w:color="auto" w:fill="F2F2F2" w:themeFill="background1" w:themeFillShade="F2"/>
          </w:tcPr>
          <w:p w14:paraId="66125108" w14:textId="77777777" w:rsidR="00FC3157" w:rsidRDefault="00FC3157">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FC3157" w14:paraId="192FD107" w14:textId="77777777" w:rsidTr="64015E55">
        <w:trPr>
          <w:trHeight w:val="283"/>
        </w:trPr>
        <w:tc>
          <w:tcPr>
            <w:tcW w:w="1304" w:type="dxa"/>
          </w:tcPr>
          <w:p w14:paraId="2192FF86" w14:textId="77777777" w:rsidR="00FC3157" w:rsidRDefault="00FC3157">
            <w:pPr>
              <w:autoSpaceDE w:val="0"/>
              <w:autoSpaceDN w:val="0"/>
              <w:adjustRightInd w:val="0"/>
              <w:spacing w:line="264" w:lineRule="auto"/>
              <w:rPr>
                <w:rFonts w:cs="Calibri,Bold"/>
                <w:bCs/>
                <w:color w:val="000000"/>
                <w:sz w:val="22"/>
                <w:szCs w:val="22"/>
              </w:rPr>
            </w:pPr>
            <w:r>
              <w:rPr>
                <w:rFonts w:cs="Calibri,Bold"/>
                <w:bCs/>
                <w:color w:val="000000"/>
                <w:szCs w:val="20"/>
              </w:rPr>
              <w:t>17</w:t>
            </w:r>
            <w:r w:rsidRPr="00C043FA">
              <w:rPr>
                <w:rFonts w:cs="Calibri,Bold"/>
                <w:bCs/>
                <w:color w:val="000000"/>
                <w:szCs w:val="20"/>
              </w:rPr>
              <w:t xml:space="preserve"> </w:t>
            </w:r>
            <w:r>
              <w:rPr>
                <w:rFonts w:cs="Calibri,Bold"/>
                <w:bCs/>
                <w:color w:val="000000"/>
                <w:szCs w:val="20"/>
              </w:rPr>
              <w:t>Oct</w:t>
            </w:r>
            <w:r w:rsidRPr="00C043FA">
              <w:rPr>
                <w:rFonts w:cs="Calibri,Bold"/>
                <w:bCs/>
                <w:color w:val="000000"/>
                <w:szCs w:val="20"/>
              </w:rPr>
              <w:t xml:space="preserve"> 201</w:t>
            </w:r>
            <w:r>
              <w:rPr>
                <w:rFonts w:cs="Calibri,Bold"/>
                <w:bCs/>
                <w:color w:val="000000"/>
                <w:szCs w:val="20"/>
              </w:rPr>
              <w:t>1</w:t>
            </w:r>
          </w:p>
        </w:tc>
        <w:tc>
          <w:tcPr>
            <w:tcW w:w="5212" w:type="dxa"/>
          </w:tcPr>
          <w:p w14:paraId="1F616A42" w14:textId="77777777" w:rsidR="00FC3157" w:rsidRDefault="00FC3157">
            <w:pPr>
              <w:autoSpaceDE w:val="0"/>
              <w:autoSpaceDN w:val="0"/>
              <w:adjustRightInd w:val="0"/>
              <w:spacing w:line="264" w:lineRule="auto"/>
              <w:rPr>
                <w:rFonts w:cs="Calibri,Bold"/>
                <w:bCs/>
                <w:color w:val="000000"/>
                <w:sz w:val="22"/>
                <w:szCs w:val="22"/>
              </w:rPr>
            </w:pPr>
            <w:r w:rsidRPr="00C043FA">
              <w:rPr>
                <w:rFonts w:cs="Calibri,Bold"/>
                <w:bCs/>
                <w:color w:val="000000"/>
                <w:szCs w:val="20"/>
              </w:rPr>
              <w:t>Measur</w:t>
            </w:r>
            <w:r>
              <w:rPr>
                <w:rFonts w:cs="Calibri,Bold"/>
                <w:bCs/>
                <w:color w:val="000000"/>
                <w:szCs w:val="20"/>
              </w:rPr>
              <w:t xml:space="preserve">es imposed on China, Indonesia </w:t>
            </w:r>
            <w:r w:rsidRPr="00C043FA">
              <w:rPr>
                <w:rFonts w:cs="Calibri,Bold"/>
                <w:bCs/>
                <w:color w:val="000000"/>
                <w:szCs w:val="20"/>
              </w:rPr>
              <w:t>and Thailand</w:t>
            </w:r>
          </w:p>
        </w:tc>
        <w:tc>
          <w:tcPr>
            <w:tcW w:w="2280" w:type="dxa"/>
          </w:tcPr>
          <w:p w14:paraId="773630C1" w14:textId="77777777" w:rsidR="00FC3157" w:rsidRDefault="00FC3157">
            <w:pPr>
              <w:autoSpaceDE w:val="0"/>
              <w:autoSpaceDN w:val="0"/>
              <w:adjustRightInd w:val="0"/>
              <w:spacing w:line="264" w:lineRule="auto"/>
              <w:rPr>
                <w:rFonts w:cs="Calibri,Bold"/>
                <w:bCs/>
                <w:color w:val="000000"/>
                <w:sz w:val="22"/>
                <w:szCs w:val="22"/>
              </w:rPr>
            </w:pPr>
            <w:r w:rsidRPr="00C043FA">
              <w:rPr>
                <w:rFonts w:asciiTheme="minorHAnsi" w:hAnsiTheme="minorHAnsi"/>
                <w:szCs w:val="20"/>
              </w:rPr>
              <w:t xml:space="preserve">Final Report </w:t>
            </w:r>
            <w:hyperlink r:id="rId21" w:history="1">
              <w:r w:rsidRPr="00C043FA">
                <w:rPr>
                  <w:rStyle w:val="Hyperlink"/>
                  <w:rFonts w:asciiTheme="minorHAnsi" w:hAnsiTheme="minorHAnsi"/>
                  <w:szCs w:val="20"/>
                </w:rPr>
                <w:t xml:space="preserve">REP </w:t>
              </w:r>
              <w:r>
                <w:rPr>
                  <w:rStyle w:val="Hyperlink"/>
                  <w:rFonts w:asciiTheme="minorHAnsi" w:hAnsiTheme="minorHAnsi"/>
                  <w:szCs w:val="20"/>
                </w:rPr>
                <w:t>159C</w:t>
              </w:r>
            </w:hyperlink>
          </w:p>
        </w:tc>
        <w:tc>
          <w:tcPr>
            <w:tcW w:w="1122" w:type="dxa"/>
          </w:tcPr>
          <w:p w14:paraId="74F94097" w14:textId="77777777" w:rsidR="00FC3157" w:rsidRDefault="00FC3157">
            <w:pPr>
              <w:autoSpaceDE w:val="0"/>
              <w:autoSpaceDN w:val="0"/>
              <w:adjustRightInd w:val="0"/>
              <w:spacing w:line="264" w:lineRule="auto"/>
              <w:rPr>
                <w:rFonts w:cs="Calibri,Bold"/>
                <w:bCs/>
                <w:color w:val="000000"/>
                <w:sz w:val="22"/>
                <w:szCs w:val="22"/>
              </w:rPr>
            </w:pPr>
          </w:p>
        </w:tc>
      </w:tr>
      <w:tr w:rsidR="00FC3157" w14:paraId="20501D28" w14:textId="77777777" w:rsidTr="64015E55">
        <w:trPr>
          <w:trHeight w:val="283"/>
        </w:trPr>
        <w:tc>
          <w:tcPr>
            <w:tcW w:w="1304" w:type="dxa"/>
          </w:tcPr>
          <w:p w14:paraId="5A72A9DF" w14:textId="77777777" w:rsidR="00FC3157" w:rsidRDefault="00FC3157">
            <w:pPr>
              <w:autoSpaceDE w:val="0"/>
              <w:autoSpaceDN w:val="0"/>
              <w:adjustRightInd w:val="0"/>
              <w:spacing w:line="264" w:lineRule="auto"/>
              <w:rPr>
                <w:rFonts w:cs="Calibri,Bold"/>
                <w:bCs/>
                <w:color w:val="000000"/>
                <w:sz w:val="22"/>
                <w:szCs w:val="22"/>
              </w:rPr>
            </w:pPr>
            <w:r>
              <w:rPr>
                <w:rFonts w:cs="Calibri,Bold"/>
                <w:bCs/>
                <w:color w:val="000000"/>
                <w:szCs w:val="20"/>
              </w:rPr>
              <w:t>8 Sep</w:t>
            </w:r>
            <w:r w:rsidRPr="00C043FA">
              <w:rPr>
                <w:rFonts w:cs="Calibri,Bold"/>
                <w:bCs/>
                <w:color w:val="000000"/>
                <w:szCs w:val="20"/>
              </w:rPr>
              <w:t xml:space="preserve"> 20</w:t>
            </w:r>
            <w:r>
              <w:rPr>
                <w:rFonts w:cs="Calibri,Bold"/>
                <w:bCs/>
                <w:color w:val="000000"/>
                <w:szCs w:val="20"/>
              </w:rPr>
              <w:t>16</w:t>
            </w:r>
          </w:p>
        </w:tc>
        <w:tc>
          <w:tcPr>
            <w:tcW w:w="5212" w:type="dxa"/>
          </w:tcPr>
          <w:p w14:paraId="7BEBAFEB" w14:textId="77777777" w:rsidR="00FC3157" w:rsidRDefault="00FC3157">
            <w:pPr>
              <w:autoSpaceDE w:val="0"/>
              <w:autoSpaceDN w:val="0"/>
              <w:adjustRightInd w:val="0"/>
              <w:spacing w:line="264" w:lineRule="auto"/>
              <w:rPr>
                <w:rFonts w:cs="Calibri,Bold"/>
                <w:bCs/>
                <w:color w:val="000000"/>
                <w:sz w:val="22"/>
                <w:szCs w:val="22"/>
              </w:rPr>
            </w:pPr>
            <w:r w:rsidRPr="00C043FA">
              <w:rPr>
                <w:rFonts w:cs="Calibri,Bold"/>
                <w:bCs/>
                <w:color w:val="000000"/>
                <w:szCs w:val="20"/>
              </w:rPr>
              <w:t>Continuation o</w:t>
            </w:r>
            <w:r>
              <w:rPr>
                <w:rFonts w:cs="Calibri,Bold"/>
                <w:bCs/>
                <w:color w:val="000000"/>
                <w:szCs w:val="20"/>
              </w:rPr>
              <w:t xml:space="preserve">f Measures on China, Indonesia </w:t>
            </w:r>
            <w:r w:rsidRPr="00C043FA">
              <w:rPr>
                <w:rFonts w:cs="Calibri,Bold"/>
                <w:bCs/>
                <w:color w:val="000000"/>
                <w:szCs w:val="20"/>
              </w:rPr>
              <w:t>and Thailand</w:t>
            </w:r>
          </w:p>
        </w:tc>
        <w:tc>
          <w:tcPr>
            <w:tcW w:w="2280" w:type="dxa"/>
          </w:tcPr>
          <w:p w14:paraId="1BC8B765" w14:textId="77777777" w:rsidR="00FC3157" w:rsidRPr="00B87E58" w:rsidRDefault="00FC3157">
            <w:pPr>
              <w:autoSpaceDE w:val="0"/>
              <w:autoSpaceDN w:val="0"/>
              <w:adjustRightInd w:val="0"/>
              <w:spacing w:line="264" w:lineRule="auto"/>
              <w:rPr>
                <w:rFonts w:cs="Calibri,Bold"/>
                <w:bCs/>
                <w:color w:val="000000"/>
                <w:szCs w:val="20"/>
              </w:rPr>
            </w:pPr>
            <w:r w:rsidRPr="00B87E58">
              <w:rPr>
                <w:rFonts w:asciiTheme="minorHAnsi" w:hAnsiTheme="minorHAnsi"/>
                <w:szCs w:val="20"/>
              </w:rPr>
              <w:t xml:space="preserve">Final Report </w:t>
            </w:r>
            <w:hyperlink r:id="rId22" w:history="1">
              <w:r w:rsidRPr="00B87E58">
                <w:rPr>
                  <w:rStyle w:val="Hyperlink"/>
                  <w:rFonts w:asciiTheme="minorHAnsi" w:hAnsiTheme="minorHAnsi"/>
                  <w:szCs w:val="20"/>
                </w:rPr>
                <w:t>REP 335</w:t>
              </w:r>
            </w:hyperlink>
          </w:p>
        </w:tc>
        <w:tc>
          <w:tcPr>
            <w:tcW w:w="1122" w:type="dxa"/>
          </w:tcPr>
          <w:p w14:paraId="7E305C41" w14:textId="77777777" w:rsidR="00FC3157" w:rsidRDefault="001C1A66">
            <w:pPr>
              <w:autoSpaceDE w:val="0"/>
              <w:autoSpaceDN w:val="0"/>
              <w:adjustRightInd w:val="0"/>
              <w:spacing w:line="264" w:lineRule="auto"/>
              <w:rPr>
                <w:rFonts w:cs="Calibri,Bold"/>
                <w:bCs/>
                <w:color w:val="000000"/>
                <w:sz w:val="22"/>
                <w:szCs w:val="22"/>
              </w:rPr>
            </w:pPr>
            <w:hyperlink r:id="rId23" w:history="1">
              <w:r w:rsidR="00FC3157" w:rsidRPr="00C043FA">
                <w:rPr>
                  <w:rStyle w:val="Hyperlink"/>
                  <w:rFonts w:asciiTheme="minorHAnsi" w:hAnsiTheme="minorHAnsi"/>
                  <w:szCs w:val="20"/>
                </w:rPr>
                <w:t>201</w:t>
              </w:r>
              <w:r w:rsidR="00FC3157">
                <w:rPr>
                  <w:rStyle w:val="Hyperlink"/>
                  <w:rFonts w:asciiTheme="minorHAnsi" w:hAnsiTheme="minorHAnsi"/>
                  <w:szCs w:val="20"/>
                </w:rPr>
                <w:t>6</w:t>
              </w:r>
              <w:r w:rsidR="00FC3157" w:rsidRPr="00C043FA">
                <w:rPr>
                  <w:rStyle w:val="Hyperlink"/>
                  <w:rFonts w:asciiTheme="minorHAnsi" w:hAnsiTheme="minorHAnsi"/>
                  <w:szCs w:val="20"/>
                </w:rPr>
                <w:t>/</w:t>
              </w:r>
              <w:r w:rsidR="00FC3157">
                <w:rPr>
                  <w:rStyle w:val="Hyperlink"/>
                  <w:rFonts w:asciiTheme="minorHAnsi" w:hAnsiTheme="minorHAnsi"/>
                  <w:szCs w:val="20"/>
                </w:rPr>
                <w:t>85</w:t>
              </w:r>
            </w:hyperlink>
          </w:p>
        </w:tc>
      </w:tr>
      <w:tr w:rsidR="00FC3157" w:rsidRPr="00B87E58" w14:paraId="6515AB0A" w14:textId="77777777" w:rsidTr="64015E55">
        <w:trPr>
          <w:trHeight w:val="283"/>
        </w:trPr>
        <w:tc>
          <w:tcPr>
            <w:tcW w:w="1304" w:type="dxa"/>
          </w:tcPr>
          <w:p w14:paraId="3C7B3E9B" w14:textId="77777777" w:rsidR="00FC3157" w:rsidRDefault="00FC3157">
            <w:pPr>
              <w:autoSpaceDE w:val="0"/>
              <w:autoSpaceDN w:val="0"/>
              <w:adjustRightInd w:val="0"/>
              <w:spacing w:line="264" w:lineRule="auto"/>
              <w:rPr>
                <w:rFonts w:cs="Calibri,Bold"/>
                <w:bCs/>
                <w:color w:val="000000"/>
                <w:szCs w:val="20"/>
              </w:rPr>
            </w:pPr>
            <w:r>
              <w:rPr>
                <w:rFonts w:cs="Calibri,Bold"/>
                <w:bCs/>
                <w:color w:val="000000"/>
                <w:szCs w:val="20"/>
              </w:rPr>
              <w:t>7 Mar 2019</w:t>
            </w:r>
          </w:p>
        </w:tc>
        <w:tc>
          <w:tcPr>
            <w:tcW w:w="5212" w:type="dxa"/>
          </w:tcPr>
          <w:p w14:paraId="5F1D8730" w14:textId="4415D907" w:rsidR="00FC3157" w:rsidRPr="00C043FA" w:rsidRDefault="3AA92BFD">
            <w:pPr>
              <w:autoSpaceDE w:val="0"/>
              <w:autoSpaceDN w:val="0"/>
              <w:adjustRightInd w:val="0"/>
              <w:spacing w:line="264" w:lineRule="auto"/>
              <w:rPr>
                <w:rFonts w:cs="Calibri,Bold"/>
                <w:color w:val="000000"/>
              </w:rPr>
            </w:pPr>
            <w:r w:rsidRPr="3CB2BCC9">
              <w:rPr>
                <w:rFonts w:cs="Calibri,Bold"/>
                <w:color w:val="000000" w:themeColor="text1"/>
              </w:rPr>
              <w:t>Additional</w:t>
            </w:r>
            <w:r w:rsidR="00FC3157" w:rsidRPr="3CB2BCC9">
              <w:rPr>
                <w:rFonts w:cs="Calibri,Bold"/>
                <w:color w:val="000000" w:themeColor="text1"/>
              </w:rPr>
              <w:t xml:space="preserve"> Tariff code added on Thailand following Anti-Circumvention Inquiry</w:t>
            </w:r>
          </w:p>
        </w:tc>
        <w:tc>
          <w:tcPr>
            <w:tcW w:w="2280" w:type="dxa"/>
          </w:tcPr>
          <w:p w14:paraId="0AD83633" w14:textId="77777777" w:rsidR="00FC3157" w:rsidRPr="00B87E58" w:rsidRDefault="00FC3157">
            <w:pPr>
              <w:autoSpaceDE w:val="0"/>
              <w:autoSpaceDN w:val="0"/>
              <w:adjustRightInd w:val="0"/>
              <w:spacing w:line="264" w:lineRule="auto"/>
              <w:rPr>
                <w:rFonts w:asciiTheme="minorHAnsi" w:hAnsiTheme="minorHAnsi"/>
                <w:szCs w:val="20"/>
              </w:rPr>
            </w:pPr>
            <w:r w:rsidRPr="00B87E58">
              <w:rPr>
                <w:rFonts w:asciiTheme="minorHAnsi" w:hAnsiTheme="minorHAnsi"/>
                <w:szCs w:val="20"/>
              </w:rPr>
              <w:t xml:space="preserve">Final Report </w:t>
            </w:r>
            <w:hyperlink r:id="rId24" w:history="1">
              <w:r w:rsidRPr="00B87E58">
                <w:rPr>
                  <w:rStyle w:val="Hyperlink"/>
                  <w:rFonts w:asciiTheme="minorHAnsi" w:hAnsiTheme="minorHAnsi"/>
                  <w:szCs w:val="20"/>
                </w:rPr>
                <w:t>REP 479</w:t>
              </w:r>
            </w:hyperlink>
          </w:p>
        </w:tc>
        <w:tc>
          <w:tcPr>
            <w:tcW w:w="1122" w:type="dxa"/>
          </w:tcPr>
          <w:p w14:paraId="23A3FC60" w14:textId="4BCD55DD" w:rsidR="00FC3157" w:rsidRPr="00B87E58" w:rsidRDefault="001C1A66">
            <w:pPr>
              <w:autoSpaceDE w:val="0"/>
              <w:autoSpaceDN w:val="0"/>
              <w:adjustRightInd w:val="0"/>
              <w:spacing w:line="264" w:lineRule="auto"/>
              <w:rPr>
                <w:rStyle w:val="Hyperlink"/>
                <w:rFonts w:asciiTheme="minorHAnsi" w:hAnsiTheme="minorHAnsi"/>
                <w:szCs w:val="20"/>
              </w:rPr>
            </w:pPr>
            <w:hyperlink r:id="rId25" w:history="1">
              <w:r w:rsidR="00FC3157" w:rsidRPr="00B87E58">
                <w:rPr>
                  <w:rStyle w:val="Hyperlink"/>
                  <w:rFonts w:asciiTheme="minorHAnsi" w:hAnsiTheme="minorHAnsi"/>
                  <w:szCs w:val="20"/>
                </w:rPr>
                <w:t>2019/19</w:t>
              </w:r>
            </w:hyperlink>
          </w:p>
        </w:tc>
      </w:tr>
      <w:tr w:rsidR="00FC3157" w:rsidRPr="002E4DD7" w14:paraId="750214F3" w14:textId="77777777" w:rsidTr="64015E55">
        <w:trPr>
          <w:trHeight w:val="283"/>
        </w:trPr>
        <w:tc>
          <w:tcPr>
            <w:tcW w:w="1304" w:type="dxa"/>
          </w:tcPr>
          <w:p w14:paraId="0B4F995E" w14:textId="77777777" w:rsidR="00FC3157" w:rsidRDefault="00FC3157">
            <w:pPr>
              <w:autoSpaceDE w:val="0"/>
              <w:autoSpaceDN w:val="0"/>
              <w:adjustRightInd w:val="0"/>
              <w:spacing w:line="264" w:lineRule="auto"/>
              <w:rPr>
                <w:rFonts w:cs="Calibri,Bold"/>
                <w:bCs/>
                <w:color w:val="000000"/>
                <w:sz w:val="22"/>
                <w:szCs w:val="22"/>
              </w:rPr>
            </w:pPr>
            <w:r>
              <w:rPr>
                <w:rFonts w:cs="Calibri,Bold"/>
                <w:bCs/>
                <w:color w:val="000000"/>
                <w:szCs w:val="20"/>
              </w:rPr>
              <w:t>7</w:t>
            </w:r>
            <w:r w:rsidRPr="00C043FA">
              <w:rPr>
                <w:rFonts w:cs="Calibri,Bold"/>
                <w:bCs/>
                <w:color w:val="000000"/>
                <w:szCs w:val="20"/>
              </w:rPr>
              <w:t xml:space="preserve"> </w:t>
            </w:r>
            <w:r>
              <w:rPr>
                <w:rFonts w:cs="Calibri,Bold"/>
                <w:bCs/>
                <w:color w:val="000000"/>
                <w:szCs w:val="20"/>
              </w:rPr>
              <w:t>Oct</w:t>
            </w:r>
            <w:r w:rsidRPr="00C043FA">
              <w:rPr>
                <w:rFonts w:cs="Calibri,Bold"/>
                <w:bCs/>
                <w:color w:val="000000"/>
                <w:szCs w:val="20"/>
              </w:rPr>
              <w:t xml:space="preserve"> 2021</w:t>
            </w:r>
          </w:p>
        </w:tc>
        <w:tc>
          <w:tcPr>
            <w:tcW w:w="5212" w:type="dxa"/>
          </w:tcPr>
          <w:p w14:paraId="07BB72DC" w14:textId="77777777" w:rsidR="00FC3157" w:rsidRDefault="00FC3157">
            <w:pPr>
              <w:autoSpaceDE w:val="0"/>
              <w:autoSpaceDN w:val="0"/>
              <w:adjustRightInd w:val="0"/>
              <w:spacing w:line="264" w:lineRule="auto"/>
              <w:rPr>
                <w:rFonts w:cs="Calibri,Bold"/>
                <w:bCs/>
                <w:color w:val="000000"/>
                <w:szCs w:val="20"/>
              </w:rPr>
            </w:pPr>
            <w:r w:rsidRPr="00C043FA">
              <w:rPr>
                <w:rFonts w:cs="Calibri,Bold"/>
                <w:bCs/>
                <w:color w:val="000000"/>
                <w:szCs w:val="20"/>
              </w:rPr>
              <w:t>Continuation of Measures on Indonesia</w:t>
            </w:r>
            <w:r>
              <w:rPr>
                <w:rFonts w:cs="Calibri,Bold"/>
                <w:bCs/>
                <w:color w:val="000000"/>
                <w:szCs w:val="20"/>
              </w:rPr>
              <w:t xml:space="preserve">. </w:t>
            </w:r>
          </w:p>
          <w:p w14:paraId="3D320EE1" w14:textId="77777777" w:rsidR="00FC3157" w:rsidRDefault="00FC3157">
            <w:pPr>
              <w:autoSpaceDE w:val="0"/>
              <w:autoSpaceDN w:val="0"/>
              <w:adjustRightInd w:val="0"/>
              <w:spacing w:line="264" w:lineRule="auto"/>
              <w:rPr>
                <w:rFonts w:cs="Calibri,Bold"/>
                <w:bCs/>
                <w:color w:val="000000"/>
                <w:sz w:val="22"/>
                <w:szCs w:val="22"/>
              </w:rPr>
            </w:pPr>
            <w:r>
              <w:rPr>
                <w:rFonts w:cs="Calibri,Bold"/>
                <w:bCs/>
                <w:color w:val="000000"/>
                <w:szCs w:val="20"/>
              </w:rPr>
              <w:t xml:space="preserve">Measures expired on </w:t>
            </w:r>
            <w:r w:rsidRPr="00C043FA">
              <w:rPr>
                <w:rFonts w:cs="Calibri,Bold"/>
                <w:bCs/>
                <w:color w:val="000000"/>
                <w:szCs w:val="20"/>
              </w:rPr>
              <w:t>China</w:t>
            </w:r>
            <w:r>
              <w:rPr>
                <w:rFonts w:cs="Calibri,Bold"/>
                <w:bCs/>
                <w:color w:val="000000"/>
                <w:szCs w:val="20"/>
              </w:rPr>
              <w:t xml:space="preserve"> and</w:t>
            </w:r>
            <w:r w:rsidRPr="00C043FA">
              <w:rPr>
                <w:rFonts w:cs="Calibri,Bold"/>
                <w:bCs/>
                <w:color w:val="000000"/>
                <w:szCs w:val="20"/>
              </w:rPr>
              <w:t xml:space="preserve"> Thailand</w:t>
            </w:r>
          </w:p>
        </w:tc>
        <w:tc>
          <w:tcPr>
            <w:tcW w:w="2280" w:type="dxa"/>
          </w:tcPr>
          <w:p w14:paraId="4471A6FA" w14:textId="77777777" w:rsidR="00FC3157" w:rsidRPr="002E4DD7" w:rsidRDefault="00FC3157">
            <w:pPr>
              <w:autoSpaceDE w:val="0"/>
              <w:autoSpaceDN w:val="0"/>
              <w:adjustRightInd w:val="0"/>
              <w:spacing w:line="264" w:lineRule="auto"/>
              <w:rPr>
                <w:rFonts w:cs="Calibri,Bold"/>
                <w:bCs/>
                <w:color w:val="000000"/>
                <w:sz w:val="22"/>
                <w:szCs w:val="22"/>
                <w:highlight w:val="yellow"/>
              </w:rPr>
            </w:pPr>
            <w:r w:rsidRPr="00DE498D">
              <w:rPr>
                <w:rFonts w:asciiTheme="minorHAnsi" w:hAnsiTheme="minorHAnsi"/>
                <w:szCs w:val="20"/>
              </w:rPr>
              <w:t xml:space="preserve">Final Report </w:t>
            </w:r>
            <w:hyperlink r:id="rId26" w:history="1">
              <w:r w:rsidRPr="00DE498D">
                <w:rPr>
                  <w:rStyle w:val="Hyperlink"/>
                  <w:rFonts w:asciiTheme="minorHAnsi" w:hAnsiTheme="minorHAnsi"/>
                  <w:szCs w:val="20"/>
                </w:rPr>
                <w:t>REP 575</w:t>
              </w:r>
            </w:hyperlink>
          </w:p>
        </w:tc>
        <w:tc>
          <w:tcPr>
            <w:tcW w:w="1122" w:type="dxa"/>
          </w:tcPr>
          <w:p w14:paraId="571FAB79" w14:textId="77777777" w:rsidR="00FC3157" w:rsidRPr="002E4DD7" w:rsidRDefault="001C1A66">
            <w:pPr>
              <w:autoSpaceDE w:val="0"/>
              <w:autoSpaceDN w:val="0"/>
              <w:adjustRightInd w:val="0"/>
              <w:spacing w:line="264" w:lineRule="auto"/>
              <w:rPr>
                <w:rFonts w:cs="Calibri,Bold"/>
                <w:bCs/>
                <w:color w:val="000000"/>
                <w:sz w:val="22"/>
                <w:szCs w:val="22"/>
                <w:highlight w:val="yellow"/>
              </w:rPr>
            </w:pPr>
            <w:hyperlink r:id="rId27" w:history="1">
              <w:r w:rsidR="00FC3157" w:rsidRPr="00DE498D">
                <w:rPr>
                  <w:rStyle w:val="Hyperlink"/>
                  <w:rFonts w:asciiTheme="minorHAnsi" w:hAnsiTheme="minorHAnsi"/>
                  <w:szCs w:val="20"/>
                </w:rPr>
                <w:t>2021/116</w:t>
              </w:r>
            </w:hyperlink>
          </w:p>
        </w:tc>
      </w:tr>
      <w:tr w:rsidR="00FC3157" w14:paraId="4DC32A52" w14:textId="77777777" w:rsidTr="64015E55">
        <w:trPr>
          <w:trHeight w:val="283"/>
        </w:trPr>
        <w:tc>
          <w:tcPr>
            <w:tcW w:w="1304" w:type="dxa"/>
          </w:tcPr>
          <w:p w14:paraId="6BEA9FDE" w14:textId="77777777" w:rsidR="00FC3157" w:rsidRPr="00C043FA" w:rsidRDefault="00FC3157">
            <w:pPr>
              <w:autoSpaceDE w:val="0"/>
              <w:autoSpaceDN w:val="0"/>
              <w:adjustRightInd w:val="0"/>
              <w:spacing w:line="264" w:lineRule="auto"/>
              <w:rPr>
                <w:rFonts w:cs="Calibri,Bold"/>
                <w:bCs/>
                <w:color w:val="000000"/>
                <w:szCs w:val="20"/>
              </w:rPr>
            </w:pPr>
            <w:r>
              <w:rPr>
                <w:rFonts w:cs="Calibri,Bold"/>
                <w:bCs/>
                <w:color w:val="000000"/>
                <w:szCs w:val="20"/>
              </w:rPr>
              <w:t>23 Jun</w:t>
            </w:r>
            <w:r w:rsidRPr="00C043FA">
              <w:rPr>
                <w:rFonts w:cs="Calibri,Bold"/>
                <w:bCs/>
                <w:color w:val="000000"/>
                <w:szCs w:val="20"/>
              </w:rPr>
              <w:t xml:space="preserve"> 20</w:t>
            </w:r>
            <w:r>
              <w:rPr>
                <w:rFonts w:cs="Calibri,Bold"/>
                <w:bCs/>
                <w:color w:val="000000"/>
                <w:szCs w:val="20"/>
              </w:rPr>
              <w:t>22</w:t>
            </w:r>
          </w:p>
        </w:tc>
        <w:tc>
          <w:tcPr>
            <w:tcW w:w="5212" w:type="dxa"/>
          </w:tcPr>
          <w:p w14:paraId="2303EF93" w14:textId="77777777" w:rsidR="00FC3157" w:rsidRPr="00C043FA" w:rsidRDefault="00FC3157">
            <w:pPr>
              <w:autoSpaceDE w:val="0"/>
              <w:autoSpaceDN w:val="0"/>
              <w:adjustRightInd w:val="0"/>
              <w:spacing w:line="264" w:lineRule="auto"/>
              <w:rPr>
                <w:rFonts w:cs="Calibri,Bold"/>
                <w:bCs/>
                <w:color w:val="000000"/>
                <w:szCs w:val="20"/>
              </w:rPr>
            </w:pPr>
            <w:r>
              <w:rPr>
                <w:rFonts w:cs="Calibri,Bold"/>
                <w:bCs/>
                <w:color w:val="000000"/>
                <w:szCs w:val="20"/>
              </w:rPr>
              <w:t>Investigation terminated on United Arab Emirates / Malaysia</w:t>
            </w:r>
          </w:p>
        </w:tc>
        <w:tc>
          <w:tcPr>
            <w:tcW w:w="2280" w:type="dxa"/>
          </w:tcPr>
          <w:p w14:paraId="690AB1D7" w14:textId="77777777" w:rsidR="00FC3157" w:rsidRPr="008A56B2" w:rsidRDefault="00FC3157">
            <w:pPr>
              <w:autoSpaceDE w:val="0"/>
              <w:autoSpaceDN w:val="0"/>
              <w:adjustRightInd w:val="0"/>
              <w:spacing w:line="264" w:lineRule="auto"/>
              <w:rPr>
                <w:rFonts w:asciiTheme="minorHAnsi" w:hAnsiTheme="minorHAnsi"/>
                <w:szCs w:val="20"/>
              </w:rPr>
            </w:pPr>
            <w:r w:rsidRPr="008A56B2">
              <w:rPr>
                <w:rFonts w:asciiTheme="minorHAnsi" w:hAnsiTheme="minorHAnsi"/>
                <w:szCs w:val="20"/>
              </w:rPr>
              <w:t xml:space="preserve">Termination Report </w:t>
            </w:r>
            <w:hyperlink r:id="rId28" w:history="1">
              <w:r w:rsidRPr="008A56B2">
                <w:rPr>
                  <w:rStyle w:val="Hyperlink"/>
                  <w:rFonts w:asciiTheme="minorHAnsi" w:hAnsiTheme="minorHAnsi"/>
                  <w:szCs w:val="20"/>
                </w:rPr>
                <w:t>582</w:t>
              </w:r>
            </w:hyperlink>
            <w:r>
              <w:rPr>
                <w:rFonts w:asciiTheme="minorHAnsi" w:hAnsiTheme="minorHAnsi"/>
                <w:szCs w:val="20"/>
              </w:rPr>
              <w:t xml:space="preserve"> &amp; </w:t>
            </w:r>
            <w:hyperlink r:id="rId29" w:history="1">
              <w:r w:rsidRPr="008A56B2">
                <w:rPr>
                  <w:rStyle w:val="Hyperlink"/>
                  <w:rFonts w:asciiTheme="minorHAnsi" w:hAnsiTheme="minorHAnsi"/>
                  <w:szCs w:val="20"/>
                </w:rPr>
                <w:t>582A</w:t>
              </w:r>
            </w:hyperlink>
          </w:p>
        </w:tc>
        <w:tc>
          <w:tcPr>
            <w:tcW w:w="1122" w:type="dxa"/>
          </w:tcPr>
          <w:p w14:paraId="5A558455" w14:textId="77777777" w:rsidR="00FC3157" w:rsidRDefault="001C1A66">
            <w:pPr>
              <w:autoSpaceDE w:val="0"/>
              <w:autoSpaceDN w:val="0"/>
              <w:adjustRightInd w:val="0"/>
              <w:spacing w:line="264" w:lineRule="auto"/>
              <w:rPr>
                <w:rStyle w:val="Hyperlink"/>
                <w:rFonts w:asciiTheme="minorHAnsi" w:hAnsiTheme="minorHAnsi"/>
                <w:szCs w:val="20"/>
              </w:rPr>
            </w:pPr>
            <w:hyperlink r:id="rId30" w:history="1">
              <w:r w:rsidR="00FC3157" w:rsidRPr="00176968">
                <w:rPr>
                  <w:rStyle w:val="Hyperlink"/>
                  <w:rFonts w:asciiTheme="minorHAnsi" w:hAnsiTheme="minorHAnsi"/>
                  <w:szCs w:val="20"/>
                </w:rPr>
                <w:t>2022/017</w:t>
              </w:r>
            </w:hyperlink>
          </w:p>
          <w:p w14:paraId="1DC29B0E" w14:textId="77777777" w:rsidR="00FC3157" w:rsidRDefault="001C1A66">
            <w:pPr>
              <w:autoSpaceDE w:val="0"/>
              <w:autoSpaceDN w:val="0"/>
              <w:adjustRightInd w:val="0"/>
              <w:spacing w:line="264" w:lineRule="auto"/>
              <w:rPr>
                <w:rStyle w:val="Hyperlink"/>
                <w:rFonts w:asciiTheme="minorHAnsi" w:hAnsiTheme="minorHAnsi"/>
                <w:szCs w:val="20"/>
              </w:rPr>
            </w:pPr>
            <w:hyperlink r:id="rId31" w:history="1">
              <w:r w:rsidR="00FC3157" w:rsidRPr="00B87E58">
                <w:rPr>
                  <w:rStyle w:val="Hyperlink"/>
                  <w:rFonts w:asciiTheme="minorHAnsi" w:hAnsiTheme="minorHAnsi"/>
                  <w:szCs w:val="20"/>
                </w:rPr>
                <w:t>2022/059</w:t>
              </w:r>
            </w:hyperlink>
          </w:p>
        </w:tc>
      </w:tr>
    </w:tbl>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EAB7" w14:textId="77777777" w:rsidR="004826EB" w:rsidRDefault="004826EB">
      <w:r>
        <w:separator/>
      </w:r>
    </w:p>
  </w:endnote>
  <w:endnote w:type="continuationSeparator" w:id="0">
    <w:p w14:paraId="036B3B22" w14:textId="77777777" w:rsidR="004826EB" w:rsidRDefault="004826EB">
      <w:r>
        <w:continuationSeparator/>
      </w:r>
    </w:p>
  </w:endnote>
  <w:endnote w:type="continuationNotice" w:id="1">
    <w:p w14:paraId="71803FF7" w14:textId="77777777" w:rsidR="004826EB" w:rsidRDefault="0048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BC0F" w14:textId="77777777" w:rsidR="004826EB" w:rsidRDefault="004826EB">
      <w:r>
        <w:separator/>
      </w:r>
    </w:p>
  </w:footnote>
  <w:footnote w:type="continuationSeparator" w:id="0">
    <w:p w14:paraId="4E8F0332" w14:textId="77777777" w:rsidR="004826EB" w:rsidRDefault="004826EB">
      <w:r>
        <w:continuationSeparator/>
      </w:r>
    </w:p>
  </w:footnote>
  <w:footnote w:type="continuationNotice" w:id="1">
    <w:p w14:paraId="7A5424C0" w14:textId="77777777" w:rsidR="004826EB" w:rsidRDefault="0048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DC1DA7">
      <w:rPr>
        <w:rFonts w:cs="Calibri"/>
        <w:noProof/>
        <w:sz w:val="18"/>
        <w:szCs w:val="18"/>
      </w:rPr>
      <w:t>2</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408458222">
    <w:abstractNumId w:val="1"/>
  </w:num>
  <w:num w:numId="2" w16cid:durableId="763841732">
    <w:abstractNumId w:val="14"/>
  </w:num>
  <w:num w:numId="3" w16cid:durableId="48961694">
    <w:abstractNumId w:val="6"/>
  </w:num>
  <w:num w:numId="4" w16cid:durableId="1475371711">
    <w:abstractNumId w:val="12"/>
  </w:num>
  <w:num w:numId="5" w16cid:durableId="1402026769">
    <w:abstractNumId w:val="16"/>
  </w:num>
  <w:num w:numId="6" w16cid:durableId="33357930">
    <w:abstractNumId w:val="7"/>
  </w:num>
  <w:num w:numId="7" w16cid:durableId="230359393">
    <w:abstractNumId w:val="2"/>
  </w:num>
  <w:num w:numId="8" w16cid:durableId="1884974259">
    <w:abstractNumId w:val="3"/>
  </w:num>
  <w:num w:numId="9" w16cid:durableId="1078551219">
    <w:abstractNumId w:val="11"/>
  </w:num>
  <w:num w:numId="10" w16cid:durableId="2064019364">
    <w:abstractNumId w:val="2"/>
    <w:lvlOverride w:ilvl="0">
      <w:startOverride w:val="1"/>
    </w:lvlOverride>
  </w:num>
  <w:num w:numId="11" w16cid:durableId="43332539">
    <w:abstractNumId w:val="15"/>
  </w:num>
  <w:num w:numId="12" w16cid:durableId="721758838">
    <w:abstractNumId w:val="8"/>
  </w:num>
  <w:num w:numId="13" w16cid:durableId="922032777">
    <w:abstractNumId w:val="0"/>
  </w:num>
  <w:num w:numId="14" w16cid:durableId="186219948">
    <w:abstractNumId w:val="4"/>
  </w:num>
  <w:num w:numId="15" w16cid:durableId="213007245">
    <w:abstractNumId w:val="10"/>
  </w:num>
  <w:num w:numId="16" w16cid:durableId="489517573">
    <w:abstractNumId w:val="17"/>
  </w:num>
  <w:num w:numId="17" w16cid:durableId="1693919710">
    <w:abstractNumId w:val="18"/>
  </w:num>
  <w:num w:numId="18" w16cid:durableId="293026934">
    <w:abstractNumId w:val="9"/>
  </w:num>
  <w:num w:numId="19" w16cid:durableId="1158375824">
    <w:abstractNumId w:val="5"/>
  </w:num>
  <w:num w:numId="20" w16cid:durableId="108036690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3004"/>
    <w:rsid w:val="00016EF0"/>
    <w:rsid w:val="00023A02"/>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37F"/>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E2C"/>
    <w:rsid w:val="000745A7"/>
    <w:rsid w:val="00075815"/>
    <w:rsid w:val="0007591B"/>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B0EAE"/>
    <w:rsid w:val="000B1585"/>
    <w:rsid w:val="000B1C06"/>
    <w:rsid w:val="000B234D"/>
    <w:rsid w:val="000B3B0F"/>
    <w:rsid w:val="000B5F20"/>
    <w:rsid w:val="000B745B"/>
    <w:rsid w:val="000C0E0F"/>
    <w:rsid w:val="000C2394"/>
    <w:rsid w:val="000C41C3"/>
    <w:rsid w:val="000C57EC"/>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1841"/>
    <w:rsid w:val="002240D2"/>
    <w:rsid w:val="00225C11"/>
    <w:rsid w:val="00231211"/>
    <w:rsid w:val="00232C24"/>
    <w:rsid w:val="00234FCF"/>
    <w:rsid w:val="0023632C"/>
    <w:rsid w:val="00237331"/>
    <w:rsid w:val="00237434"/>
    <w:rsid w:val="002401E7"/>
    <w:rsid w:val="002409ED"/>
    <w:rsid w:val="002439D0"/>
    <w:rsid w:val="00246EFA"/>
    <w:rsid w:val="00250624"/>
    <w:rsid w:val="0025132F"/>
    <w:rsid w:val="002542D6"/>
    <w:rsid w:val="00255DAF"/>
    <w:rsid w:val="00256D4C"/>
    <w:rsid w:val="00264326"/>
    <w:rsid w:val="00265870"/>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290B"/>
    <w:rsid w:val="002E4284"/>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59F6"/>
    <w:rsid w:val="00326E61"/>
    <w:rsid w:val="00331ED0"/>
    <w:rsid w:val="00333E35"/>
    <w:rsid w:val="003341AE"/>
    <w:rsid w:val="00335C76"/>
    <w:rsid w:val="00336B77"/>
    <w:rsid w:val="003371A5"/>
    <w:rsid w:val="0033752A"/>
    <w:rsid w:val="003413AB"/>
    <w:rsid w:val="003442D4"/>
    <w:rsid w:val="003475E8"/>
    <w:rsid w:val="00350068"/>
    <w:rsid w:val="0035446A"/>
    <w:rsid w:val="00356D37"/>
    <w:rsid w:val="00356D4D"/>
    <w:rsid w:val="003575AA"/>
    <w:rsid w:val="003578F1"/>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3F3FDB"/>
    <w:rsid w:val="00400D9A"/>
    <w:rsid w:val="00400ED8"/>
    <w:rsid w:val="004014E1"/>
    <w:rsid w:val="00403CE3"/>
    <w:rsid w:val="004040EB"/>
    <w:rsid w:val="00404340"/>
    <w:rsid w:val="00404D24"/>
    <w:rsid w:val="00407283"/>
    <w:rsid w:val="00407429"/>
    <w:rsid w:val="00411B5E"/>
    <w:rsid w:val="00413AF4"/>
    <w:rsid w:val="00413ED3"/>
    <w:rsid w:val="00415A48"/>
    <w:rsid w:val="00423409"/>
    <w:rsid w:val="00427342"/>
    <w:rsid w:val="004274F0"/>
    <w:rsid w:val="00427561"/>
    <w:rsid w:val="00430945"/>
    <w:rsid w:val="00431080"/>
    <w:rsid w:val="00431CCB"/>
    <w:rsid w:val="0043479E"/>
    <w:rsid w:val="0044587D"/>
    <w:rsid w:val="004500CC"/>
    <w:rsid w:val="00453CDA"/>
    <w:rsid w:val="0045658B"/>
    <w:rsid w:val="00460387"/>
    <w:rsid w:val="004609B9"/>
    <w:rsid w:val="00461F75"/>
    <w:rsid w:val="00462C9C"/>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6EB"/>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268"/>
    <w:rsid w:val="004A5AF2"/>
    <w:rsid w:val="004A7FE6"/>
    <w:rsid w:val="004B22FC"/>
    <w:rsid w:val="004B3AE0"/>
    <w:rsid w:val="004B5F77"/>
    <w:rsid w:val="004B6A82"/>
    <w:rsid w:val="004C1EA2"/>
    <w:rsid w:val="004C4CBC"/>
    <w:rsid w:val="004C4E02"/>
    <w:rsid w:val="004C5F11"/>
    <w:rsid w:val="004C6B64"/>
    <w:rsid w:val="004C7F2D"/>
    <w:rsid w:val="004D054E"/>
    <w:rsid w:val="004D1704"/>
    <w:rsid w:val="004D1D8F"/>
    <w:rsid w:val="004D22DC"/>
    <w:rsid w:val="004D292E"/>
    <w:rsid w:val="004D5216"/>
    <w:rsid w:val="004D5793"/>
    <w:rsid w:val="004D6AF6"/>
    <w:rsid w:val="004D7E89"/>
    <w:rsid w:val="004E055A"/>
    <w:rsid w:val="004E076B"/>
    <w:rsid w:val="004E0D88"/>
    <w:rsid w:val="004E4009"/>
    <w:rsid w:val="004E4393"/>
    <w:rsid w:val="004F1171"/>
    <w:rsid w:val="004F1330"/>
    <w:rsid w:val="004F3363"/>
    <w:rsid w:val="004F33C7"/>
    <w:rsid w:val="004F3ED7"/>
    <w:rsid w:val="004F42E3"/>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58EF"/>
    <w:rsid w:val="00545B6C"/>
    <w:rsid w:val="00545E2F"/>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0E6D"/>
    <w:rsid w:val="00581D69"/>
    <w:rsid w:val="00582B92"/>
    <w:rsid w:val="00590034"/>
    <w:rsid w:val="0059602A"/>
    <w:rsid w:val="00596AD4"/>
    <w:rsid w:val="005A2E82"/>
    <w:rsid w:val="005A43E1"/>
    <w:rsid w:val="005A5046"/>
    <w:rsid w:val="005A6364"/>
    <w:rsid w:val="005A7BE2"/>
    <w:rsid w:val="005B0258"/>
    <w:rsid w:val="005B2CA7"/>
    <w:rsid w:val="005B6661"/>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3790"/>
    <w:rsid w:val="00615C30"/>
    <w:rsid w:val="00617D82"/>
    <w:rsid w:val="0062419B"/>
    <w:rsid w:val="00624E45"/>
    <w:rsid w:val="00627BB0"/>
    <w:rsid w:val="006305BC"/>
    <w:rsid w:val="00631B3E"/>
    <w:rsid w:val="00633312"/>
    <w:rsid w:val="00633A3C"/>
    <w:rsid w:val="00635B62"/>
    <w:rsid w:val="00642958"/>
    <w:rsid w:val="00644B13"/>
    <w:rsid w:val="00647AF5"/>
    <w:rsid w:val="006501B7"/>
    <w:rsid w:val="00651727"/>
    <w:rsid w:val="00651B94"/>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6167"/>
    <w:rsid w:val="006B7CE2"/>
    <w:rsid w:val="006B7DFA"/>
    <w:rsid w:val="006C08AE"/>
    <w:rsid w:val="006C230F"/>
    <w:rsid w:val="006C2C10"/>
    <w:rsid w:val="006C5442"/>
    <w:rsid w:val="006C5531"/>
    <w:rsid w:val="006D35EA"/>
    <w:rsid w:val="006D44A4"/>
    <w:rsid w:val="006D598D"/>
    <w:rsid w:val="006E2408"/>
    <w:rsid w:val="006E31CF"/>
    <w:rsid w:val="006E3463"/>
    <w:rsid w:val="006E4730"/>
    <w:rsid w:val="006E4C8C"/>
    <w:rsid w:val="006E5DE4"/>
    <w:rsid w:val="006E6E89"/>
    <w:rsid w:val="006F0248"/>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6368"/>
    <w:rsid w:val="00726404"/>
    <w:rsid w:val="00731E03"/>
    <w:rsid w:val="007337F5"/>
    <w:rsid w:val="00733B9B"/>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682"/>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4234"/>
    <w:rsid w:val="008465F9"/>
    <w:rsid w:val="008479D7"/>
    <w:rsid w:val="00852538"/>
    <w:rsid w:val="008560B2"/>
    <w:rsid w:val="00864883"/>
    <w:rsid w:val="00866702"/>
    <w:rsid w:val="00867320"/>
    <w:rsid w:val="00873565"/>
    <w:rsid w:val="00874801"/>
    <w:rsid w:val="00875B98"/>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6291"/>
    <w:rsid w:val="008D6638"/>
    <w:rsid w:val="008D6D3A"/>
    <w:rsid w:val="008D73FB"/>
    <w:rsid w:val="008D7D1B"/>
    <w:rsid w:val="008E10D8"/>
    <w:rsid w:val="008E2AC3"/>
    <w:rsid w:val="008E314C"/>
    <w:rsid w:val="008E6FB0"/>
    <w:rsid w:val="008E705A"/>
    <w:rsid w:val="008F0CAB"/>
    <w:rsid w:val="008F1A9B"/>
    <w:rsid w:val="008F3521"/>
    <w:rsid w:val="008F42E0"/>
    <w:rsid w:val="008F75F1"/>
    <w:rsid w:val="009014DB"/>
    <w:rsid w:val="0090190D"/>
    <w:rsid w:val="00902077"/>
    <w:rsid w:val="009031DA"/>
    <w:rsid w:val="00903CBD"/>
    <w:rsid w:val="00906403"/>
    <w:rsid w:val="009066B8"/>
    <w:rsid w:val="009074DB"/>
    <w:rsid w:val="00910DEC"/>
    <w:rsid w:val="00911CBE"/>
    <w:rsid w:val="00911D46"/>
    <w:rsid w:val="00912402"/>
    <w:rsid w:val="009139DE"/>
    <w:rsid w:val="00915A33"/>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B3F"/>
    <w:rsid w:val="009673D9"/>
    <w:rsid w:val="009709AA"/>
    <w:rsid w:val="00970F4E"/>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0A5E"/>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6300"/>
    <w:rsid w:val="00A27993"/>
    <w:rsid w:val="00A34200"/>
    <w:rsid w:val="00A35025"/>
    <w:rsid w:val="00A3624F"/>
    <w:rsid w:val="00A40597"/>
    <w:rsid w:val="00A428F3"/>
    <w:rsid w:val="00A440AE"/>
    <w:rsid w:val="00A44182"/>
    <w:rsid w:val="00A46820"/>
    <w:rsid w:val="00A47575"/>
    <w:rsid w:val="00A54461"/>
    <w:rsid w:val="00A54539"/>
    <w:rsid w:val="00A54B41"/>
    <w:rsid w:val="00A55DF6"/>
    <w:rsid w:val="00A6108E"/>
    <w:rsid w:val="00A6158C"/>
    <w:rsid w:val="00A618AF"/>
    <w:rsid w:val="00A65B22"/>
    <w:rsid w:val="00A672CD"/>
    <w:rsid w:val="00A722CB"/>
    <w:rsid w:val="00A72B02"/>
    <w:rsid w:val="00A735B9"/>
    <w:rsid w:val="00A751C4"/>
    <w:rsid w:val="00A759A6"/>
    <w:rsid w:val="00A76712"/>
    <w:rsid w:val="00A82240"/>
    <w:rsid w:val="00A829D8"/>
    <w:rsid w:val="00A83293"/>
    <w:rsid w:val="00A86070"/>
    <w:rsid w:val="00A866A4"/>
    <w:rsid w:val="00A86BD2"/>
    <w:rsid w:val="00A96982"/>
    <w:rsid w:val="00A970D8"/>
    <w:rsid w:val="00AA1813"/>
    <w:rsid w:val="00AA1A1F"/>
    <w:rsid w:val="00AA3224"/>
    <w:rsid w:val="00AA3764"/>
    <w:rsid w:val="00AA3ABA"/>
    <w:rsid w:val="00AA3DF6"/>
    <w:rsid w:val="00AB17CB"/>
    <w:rsid w:val="00AB3B3B"/>
    <w:rsid w:val="00AB4571"/>
    <w:rsid w:val="00AB4D7A"/>
    <w:rsid w:val="00AB53B3"/>
    <w:rsid w:val="00AB671E"/>
    <w:rsid w:val="00AB74C1"/>
    <w:rsid w:val="00AB7C7D"/>
    <w:rsid w:val="00AC4195"/>
    <w:rsid w:val="00AC478F"/>
    <w:rsid w:val="00AC67CA"/>
    <w:rsid w:val="00AC7804"/>
    <w:rsid w:val="00AC7DA7"/>
    <w:rsid w:val="00AC7FDE"/>
    <w:rsid w:val="00AD3ECF"/>
    <w:rsid w:val="00AD5716"/>
    <w:rsid w:val="00AD5784"/>
    <w:rsid w:val="00AD5D68"/>
    <w:rsid w:val="00AE32C1"/>
    <w:rsid w:val="00AE3AF7"/>
    <w:rsid w:val="00AE523F"/>
    <w:rsid w:val="00AE626B"/>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30A3"/>
    <w:rsid w:val="00B4434A"/>
    <w:rsid w:val="00B44DE1"/>
    <w:rsid w:val="00B45B4E"/>
    <w:rsid w:val="00B45D1F"/>
    <w:rsid w:val="00B50A67"/>
    <w:rsid w:val="00B50AC8"/>
    <w:rsid w:val="00B525DE"/>
    <w:rsid w:val="00B52627"/>
    <w:rsid w:val="00B528F9"/>
    <w:rsid w:val="00B53D42"/>
    <w:rsid w:val="00B54518"/>
    <w:rsid w:val="00B54749"/>
    <w:rsid w:val="00B55433"/>
    <w:rsid w:val="00B623E5"/>
    <w:rsid w:val="00B66367"/>
    <w:rsid w:val="00B66E08"/>
    <w:rsid w:val="00B70823"/>
    <w:rsid w:val="00B70E86"/>
    <w:rsid w:val="00B72452"/>
    <w:rsid w:val="00B73BE7"/>
    <w:rsid w:val="00B746EF"/>
    <w:rsid w:val="00B747A3"/>
    <w:rsid w:val="00B7530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10F7"/>
    <w:rsid w:val="00C03658"/>
    <w:rsid w:val="00C03BB1"/>
    <w:rsid w:val="00C03F67"/>
    <w:rsid w:val="00C043FA"/>
    <w:rsid w:val="00C055CA"/>
    <w:rsid w:val="00C05C27"/>
    <w:rsid w:val="00C06AE3"/>
    <w:rsid w:val="00C114E1"/>
    <w:rsid w:val="00C118EC"/>
    <w:rsid w:val="00C12775"/>
    <w:rsid w:val="00C12ACD"/>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2166"/>
    <w:rsid w:val="00CF2414"/>
    <w:rsid w:val="00CF3B7E"/>
    <w:rsid w:val="00CF6514"/>
    <w:rsid w:val="00CF664C"/>
    <w:rsid w:val="00CF6FDD"/>
    <w:rsid w:val="00D0152A"/>
    <w:rsid w:val="00D02CA8"/>
    <w:rsid w:val="00D03E8D"/>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5B83"/>
    <w:rsid w:val="00D465B4"/>
    <w:rsid w:val="00D46EAF"/>
    <w:rsid w:val="00D5069F"/>
    <w:rsid w:val="00D51C91"/>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0997"/>
    <w:rsid w:val="00DA1570"/>
    <w:rsid w:val="00DA1B27"/>
    <w:rsid w:val="00DA1F1C"/>
    <w:rsid w:val="00DA452D"/>
    <w:rsid w:val="00DA71BD"/>
    <w:rsid w:val="00DB1AAC"/>
    <w:rsid w:val="00DB2BAE"/>
    <w:rsid w:val="00DB47FB"/>
    <w:rsid w:val="00DB6C11"/>
    <w:rsid w:val="00DC090A"/>
    <w:rsid w:val="00DC0D50"/>
    <w:rsid w:val="00DC1DA7"/>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4DFC"/>
    <w:rsid w:val="00E02AC6"/>
    <w:rsid w:val="00E05D98"/>
    <w:rsid w:val="00E0674E"/>
    <w:rsid w:val="00E12D0B"/>
    <w:rsid w:val="00E12FA5"/>
    <w:rsid w:val="00E14A7B"/>
    <w:rsid w:val="00E14B9B"/>
    <w:rsid w:val="00E15814"/>
    <w:rsid w:val="00E202FB"/>
    <w:rsid w:val="00E20F95"/>
    <w:rsid w:val="00E219A3"/>
    <w:rsid w:val="00E239CD"/>
    <w:rsid w:val="00E25C1A"/>
    <w:rsid w:val="00E263B0"/>
    <w:rsid w:val="00E323A8"/>
    <w:rsid w:val="00E32C4F"/>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E7C"/>
    <w:rsid w:val="00EB1C77"/>
    <w:rsid w:val="00EB1EB3"/>
    <w:rsid w:val="00EB4BF3"/>
    <w:rsid w:val="00EB6B20"/>
    <w:rsid w:val="00EC156F"/>
    <w:rsid w:val="00EC1FEE"/>
    <w:rsid w:val="00EC2291"/>
    <w:rsid w:val="00EC2295"/>
    <w:rsid w:val="00EC3FB9"/>
    <w:rsid w:val="00EC401D"/>
    <w:rsid w:val="00ED1D78"/>
    <w:rsid w:val="00ED41DE"/>
    <w:rsid w:val="00EE0341"/>
    <w:rsid w:val="00EE1E27"/>
    <w:rsid w:val="00EE5258"/>
    <w:rsid w:val="00EE6022"/>
    <w:rsid w:val="00EE7A4E"/>
    <w:rsid w:val="00EF1380"/>
    <w:rsid w:val="00EF3D82"/>
    <w:rsid w:val="00EF4617"/>
    <w:rsid w:val="00EF6AFA"/>
    <w:rsid w:val="00F02274"/>
    <w:rsid w:val="00F03168"/>
    <w:rsid w:val="00F040CD"/>
    <w:rsid w:val="00F04E8E"/>
    <w:rsid w:val="00F07B4D"/>
    <w:rsid w:val="00F1217F"/>
    <w:rsid w:val="00F17E08"/>
    <w:rsid w:val="00F231AB"/>
    <w:rsid w:val="00F248D2"/>
    <w:rsid w:val="00F316F2"/>
    <w:rsid w:val="00F34404"/>
    <w:rsid w:val="00F40302"/>
    <w:rsid w:val="00F41C8D"/>
    <w:rsid w:val="00F42D46"/>
    <w:rsid w:val="00F47020"/>
    <w:rsid w:val="00F50106"/>
    <w:rsid w:val="00F52AB9"/>
    <w:rsid w:val="00F53676"/>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290D"/>
    <w:rsid w:val="00FC3157"/>
    <w:rsid w:val="00FC3BC2"/>
    <w:rsid w:val="00FC3DD5"/>
    <w:rsid w:val="00FC43B1"/>
    <w:rsid w:val="00FC536D"/>
    <w:rsid w:val="00FC56E3"/>
    <w:rsid w:val="00FC5847"/>
    <w:rsid w:val="00FC6257"/>
    <w:rsid w:val="00FC78E1"/>
    <w:rsid w:val="00FD060A"/>
    <w:rsid w:val="00FD09D2"/>
    <w:rsid w:val="00FD2EE6"/>
    <w:rsid w:val="00FD46E7"/>
    <w:rsid w:val="00FD7589"/>
    <w:rsid w:val="00FE4AFC"/>
    <w:rsid w:val="00FE68EF"/>
    <w:rsid w:val="00FE6A80"/>
    <w:rsid w:val="00FE6F66"/>
    <w:rsid w:val="00FF350C"/>
    <w:rsid w:val="00FF3C6B"/>
    <w:rsid w:val="00FF4158"/>
    <w:rsid w:val="13F19854"/>
    <w:rsid w:val="29F485F5"/>
    <w:rsid w:val="3AA92BFD"/>
    <w:rsid w:val="3CB2BCC9"/>
    <w:rsid w:val="505DE583"/>
    <w:rsid w:val="508AB939"/>
    <w:rsid w:val="61EAF235"/>
    <w:rsid w:val="64015E55"/>
    <w:rsid w:val="684C47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03DD870A-9B72-4657-ABE9-0FAA0536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ndustry.gov.au/data-and-publications/anti-dumping-commission-current-cases" TargetMode="External"/><Relationship Id="rId18" Type="http://schemas.openxmlformats.org/officeDocument/2006/relationships/hyperlink" Target="mailto:clientsupport@adcommission.gov.au" TargetMode="External"/><Relationship Id="rId26" Type="http://schemas.openxmlformats.org/officeDocument/2006/relationships/hyperlink" Target="https://www.industry.gov.au/sites/default/files/adc/public-record/575_-_032_-_report_-_final_report_-_rep_575.pdf" TargetMode="External"/><Relationship Id="rId3" Type="http://schemas.openxmlformats.org/officeDocument/2006/relationships/customXml" Target="../customXml/item3.xml"/><Relationship Id="rId21" Type="http://schemas.openxmlformats.org/officeDocument/2006/relationships/hyperlink" Target="https://www.industry.gov.au/sites/default/files/adc/public-record/rep_159c.pdf"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575_-_033_-_notice_adn_-_adn_2021-116_-_findings_of_continuation_inquiry_575.pdf" TargetMode="External"/><Relationship Id="rId17" Type="http://schemas.openxmlformats.org/officeDocument/2006/relationships/footer" Target="footer1.xml"/><Relationship Id="rId25" Type="http://schemas.openxmlformats.org/officeDocument/2006/relationships/hyperlink" Target="https://www.industry.gov.au/sites/default/files/adc/public-record/479-015_-_notice_-_adn_2019-19_findings_in_relation_to_anti-circ_inquir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ndustry.gov.au/regulations-and-standards/anti-dumping-and-countervailing-system/importers-and-exporters-in-the-anti-dumping-system" TargetMode="External"/><Relationship Id="rId29" Type="http://schemas.openxmlformats.org/officeDocument/2006/relationships/hyperlink" Target="https://www.industry.gov.au/sites/default/files/adc/public-record/582_-_036_-_report_-_termination_report_582a.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479-014_-_report_-_final_report_rep_479.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bf.gov.au/importing-exporting-and-manufacturing/tariff-classification/current-tariff" TargetMode="External"/><Relationship Id="rId23" Type="http://schemas.openxmlformats.org/officeDocument/2006/relationships/hyperlink" Target="https://www.industry.gov.au/sites/default/files/adc/public-record/048_-_adn_2016-85.pdf" TargetMode="External"/><Relationship Id="rId28" Type="http://schemas.openxmlformats.org/officeDocument/2006/relationships/hyperlink" Target="https://www.industry.gov.au/sites/default/files/adc/public-record/582_-_026_-_report_-_termination_report_-_adc.pdf" TargetMode="External"/><Relationship Id="rId10" Type="http://schemas.openxmlformats.org/officeDocument/2006/relationships/endnotes" Target="endnotes.xml"/><Relationship Id="rId19"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31" Type="http://schemas.openxmlformats.org/officeDocument/2006/relationships/hyperlink" Target="https://www.industry.gov.au/sites/default/files/adc/public-record/582_-_037_-_notice_-_adn_2022-059_termination_of_investigation_58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575_-_032_-_report_-_final_report_-_rep_575.pdf" TargetMode="External"/><Relationship Id="rId22" Type="http://schemas.openxmlformats.org/officeDocument/2006/relationships/hyperlink" Target="https://www.industry.gov.au/sites/default/files/adc/public-record/046_-_final_report_335.pdf" TargetMode="External"/><Relationship Id="rId27" Type="http://schemas.openxmlformats.org/officeDocument/2006/relationships/hyperlink" Target="https://www.industry.gov.au/sites/default/files/adc/public-record/575_-_033_-_notice_adn_-_adn_2021-116_-_findings_of_continuation_inquiry_575.pdf" TargetMode="External"/><Relationship Id="rId30" Type="http://schemas.openxmlformats.org/officeDocument/2006/relationships/hyperlink" Target="https://www.industry.gov.au/sites/default/files/adc/public-record/582_-_027_-_adn_notice_-_adn_2022.017_-_termination_of_part_of_investigation.pdf"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718B2-7243-4D50-B857-56C9C0A97324}">
  <ds:schemaRefs>
    <ds:schemaRef ds:uri="http://schemas.openxmlformats.org/officeDocument/2006/bibliography"/>
  </ds:schemaRefs>
</ds:datastoreItem>
</file>

<file path=customXml/itemProps2.xml><?xml version="1.0" encoding="utf-8"?>
<ds:datastoreItem xmlns:ds="http://schemas.openxmlformats.org/officeDocument/2006/customXml" ds:itemID="{00B4238B-670A-4C7A-B9F9-AB8E5A132889}">
  <ds:schemaRefs>
    <ds:schemaRef ds:uri="http://purl.org/dc/terms/"/>
    <ds:schemaRef ds:uri="http://purl.org/dc/elements/1.1/"/>
    <ds:schemaRef ds:uri="741b5a84-ad2a-4cba-b1bf-e95f1273240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772b126d-104a-4cd6-9891-7ab7df372f6e"/>
    <ds:schemaRef ds:uri="http://www.w3.org/XML/1998/namespace"/>
    <ds:schemaRef ds:uri="http://purl.org/dc/dcmitype/"/>
  </ds:schemaRefs>
</ds:datastoreItem>
</file>

<file path=customXml/itemProps3.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4.xml><?xml version="1.0" encoding="utf-8"?>
<ds:datastoreItem xmlns:ds="http://schemas.openxmlformats.org/officeDocument/2006/customXml" ds:itemID="{377D4874-CF76-4931-BF69-91E357B3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2318</Words>
  <Characters>13213</Characters>
  <Application>Microsoft Office Word</Application>
  <DocSecurity>0</DocSecurity>
  <Lines>110</Lines>
  <Paragraphs>30</Paragraphs>
  <ScaleCrop>false</ScaleCrop>
  <Company>Australian Customs Service</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Clear Float Glass</dc:title>
  <dc:subject/>
  <dc:creator>C8rjc</dc:creator>
  <cp:keywords/>
  <cp:lastModifiedBy>Watkins, Simon</cp:lastModifiedBy>
  <cp:revision>2</cp:revision>
  <cp:lastPrinted>2024-10-29T05:34:00Z</cp:lastPrinted>
  <dcterms:created xsi:type="dcterms:W3CDTF">2025-04-30T05:52:00Z</dcterms:created>
  <dcterms:modified xsi:type="dcterms:W3CDTF">2025-04-30T05:52:00Z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196;#Clear float glass|f993f1fc-6af5-4b64-9464-a93bda340b64</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581328ba-a4ef-478c-9765-1b43cac6cbd4</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