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4B00" w14:textId="77777777" w:rsidR="00CB4DCB" w:rsidRPr="00B273A2" w:rsidRDefault="00CB4DCB" w:rsidP="00B273A2"/>
    <w:p w14:paraId="38A44B01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38A44B02" w14:textId="77777777" w:rsidR="006A76C5" w:rsidRPr="00312A90" w:rsidRDefault="006A76C5" w:rsidP="00312A90">
      <w:pPr>
        <w:rPr>
          <w:szCs w:val="22"/>
        </w:rPr>
      </w:pPr>
    </w:p>
    <w:p w14:paraId="38A44B03" w14:textId="77777777" w:rsidR="006A76C5" w:rsidRPr="00B273A2" w:rsidRDefault="00F8799B" w:rsidP="00B273A2">
      <w:pPr>
        <w:pStyle w:val="Title"/>
        <w:rPr>
          <w:color w:val="FF0000"/>
          <w:sz w:val="26"/>
        </w:rPr>
      </w:pPr>
      <w:r w:rsidRPr="00371521">
        <w:rPr>
          <w:color w:val="FF0000"/>
          <w:sz w:val="26"/>
        </w:rPr>
        <w:t>Certain Grinding Balls</w:t>
      </w:r>
    </w:p>
    <w:p w14:paraId="38A44B04" w14:textId="77777777" w:rsidR="00AF735F" w:rsidRPr="00B273A2" w:rsidRDefault="00AF735F" w:rsidP="00B273A2"/>
    <w:p w14:paraId="38A44B05" w14:textId="77777777" w:rsidR="006A76C5" w:rsidRPr="00B273A2" w:rsidRDefault="006A76C5" w:rsidP="00B273A2">
      <w:pPr>
        <w:pStyle w:val="Title"/>
        <w:rPr>
          <w:sz w:val="26"/>
        </w:rPr>
      </w:pPr>
      <w:r w:rsidRPr="00B273A2">
        <w:rPr>
          <w:sz w:val="26"/>
        </w:rPr>
        <w:t xml:space="preserve">EXPORTED TO AUSTRALIA FROM </w:t>
      </w:r>
      <w:r w:rsidR="00F8799B" w:rsidRPr="00100359">
        <w:rPr>
          <w:color w:val="000000" w:themeColor="text1"/>
          <w:sz w:val="26"/>
        </w:rPr>
        <w:t xml:space="preserve">THE </w:t>
      </w:r>
      <w:r w:rsidR="00F8799B">
        <w:rPr>
          <w:color w:val="000000" w:themeColor="text1"/>
          <w:sz w:val="26"/>
        </w:rPr>
        <w:t>PEOPLE’S REPUBLIC OF CHINA</w:t>
      </w:r>
    </w:p>
    <w:p w14:paraId="38A44B06" w14:textId="77777777" w:rsidR="006A76C5" w:rsidRPr="00B273A2" w:rsidRDefault="006A76C5" w:rsidP="00312A90"/>
    <w:p w14:paraId="38A44B07" w14:textId="655E5DCB" w:rsidR="00CB4DCB" w:rsidRDefault="006A76C5" w:rsidP="00E52047">
      <w:r>
        <w:t xml:space="preserve">This questionnaire seeks information in relation to your imports and sales of </w:t>
      </w:r>
      <w:r w:rsidR="00F8799B">
        <w:t>certain grinding balls (</w:t>
      </w:r>
      <w:r w:rsidR="00A879AD">
        <w:t>the goods</w:t>
      </w:r>
      <w:r w:rsidR="00F8799B">
        <w:t xml:space="preserve">) </w:t>
      </w:r>
      <w:r>
        <w:t>exported to Australia from</w:t>
      </w:r>
      <w:r w:rsidR="00F8799B">
        <w:t xml:space="preserve"> The People’s Republic of China (China)</w:t>
      </w:r>
      <w:r w:rsidR="00CB4DCB">
        <w:t>.</w:t>
      </w:r>
    </w:p>
    <w:p w14:paraId="38A44B08" w14:textId="77777777" w:rsidR="00E52047" w:rsidRDefault="00E52047" w:rsidP="00E52047"/>
    <w:p w14:paraId="38A44B09" w14:textId="1C1C9C66" w:rsidR="00CB4DCB" w:rsidRDefault="00A879AD" w:rsidP="00E52047">
      <w:r>
        <w:t>The commission will use t</w:t>
      </w:r>
      <w:r w:rsidR="006A76C5" w:rsidRPr="000703E0">
        <w:t xml:space="preserve">his information to </w:t>
      </w:r>
      <w:r w:rsidR="006A76C5">
        <w:t>assist in determining</w:t>
      </w:r>
      <w:r w:rsidR="006A76C5" w:rsidRPr="000703E0">
        <w:t xml:space="preserve"> export prices</w:t>
      </w:r>
      <w:r w:rsidR="006A76C5">
        <w:t xml:space="preserve"> and </w:t>
      </w:r>
      <w:r w:rsidR="00E3072B">
        <w:br/>
      </w:r>
      <w:r w:rsidR="006A76C5">
        <w:t xml:space="preserve">non-injurious prices.  </w:t>
      </w:r>
    </w:p>
    <w:p w14:paraId="38A44B0A" w14:textId="77777777" w:rsidR="00E52047" w:rsidRDefault="00E52047" w:rsidP="00E52047"/>
    <w:p w14:paraId="38A44B0B" w14:textId="04BDAE87" w:rsidR="006A76C5" w:rsidRDefault="006A76C5" w:rsidP="00E52047">
      <w:r>
        <w:t>Au</w:t>
      </w:r>
      <w:r w:rsidR="00CB4DCB">
        <w:t>stralian Dumping Notice No</w:t>
      </w:r>
      <w:r w:rsidR="00A879AD">
        <w:t>.</w:t>
      </w:r>
      <w:r>
        <w:t xml:space="preserve"> </w:t>
      </w:r>
      <w:r w:rsidR="00CA7FB5" w:rsidRPr="00371521">
        <w:t>2022/</w:t>
      </w:r>
      <w:r w:rsidR="006629FD">
        <w:t>083</w:t>
      </w:r>
      <w:bookmarkStart w:id="0" w:name="_GoBack"/>
      <w:bookmarkEnd w:id="0"/>
      <w:r w:rsidR="00F773DA" w:rsidRPr="00F773DA">
        <w:t xml:space="preserve"> </w:t>
      </w:r>
      <w:r w:rsidR="00CB4DCB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</w:t>
      </w:r>
      <w:r w:rsidR="00E3072B">
        <w:t>review</w:t>
      </w:r>
      <w:r>
        <w:t xml:space="preserve"> procedures.</w:t>
      </w:r>
    </w:p>
    <w:p w14:paraId="38A44B0C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38A44B12" w14:textId="77777777" w:rsidTr="00D822EC">
        <w:tc>
          <w:tcPr>
            <w:tcW w:w="1134" w:type="dxa"/>
          </w:tcPr>
          <w:p w14:paraId="38A44B0D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38A44B0E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38A44B0F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38A44B10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38A44B11" w14:textId="0B549580" w:rsidR="006A76C5" w:rsidRPr="00770AF7" w:rsidRDefault="00A879AD" w:rsidP="0053779E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17 August 2022</w:t>
            </w:r>
          </w:p>
        </w:tc>
      </w:tr>
      <w:tr w:rsidR="00D822EC" w14:paraId="38A44B18" w14:textId="77777777" w:rsidTr="00D822EC">
        <w:tc>
          <w:tcPr>
            <w:tcW w:w="1134" w:type="dxa"/>
          </w:tcPr>
          <w:p w14:paraId="38A44B1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38A44B14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38A44B1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38A44B1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8A44B17" w14:textId="12B4730C" w:rsidR="00D822EC" w:rsidRDefault="00D822EC" w:rsidP="00A879AD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 xml:space="preserve">the </w:t>
            </w:r>
            <w:r w:rsidR="00A879AD">
              <w:rPr>
                <w:rFonts w:cs="Arial"/>
                <w:b/>
                <w:bCs/>
                <w:sz w:val="28"/>
              </w:rPr>
              <w:t>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1"/>
            <w:r w:rsidR="00A879AD">
              <w:rPr>
                <w:rFonts w:cs="Arial"/>
                <w:b/>
                <w:bCs/>
                <w:sz w:val="28"/>
              </w:rPr>
              <w:t>16 September 2022</w:t>
            </w:r>
          </w:p>
        </w:tc>
      </w:tr>
      <w:tr w:rsidR="00D822EC" w14:paraId="38A44B1D" w14:textId="77777777" w:rsidTr="00D822EC">
        <w:tc>
          <w:tcPr>
            <w:tcW w:w="1134" w:type="dxa"/>
          </w:tcPr>
          <w:p w14:paraId="38A44B1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38A44B1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8A44B1B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38A44B1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38A44B1E" w14:textId="77777777" w:rsidR="00E52047" w:rsidRDefault="00E52047" w:rsidP="00E52047"/>
    <w:p w14:paraId="38A44B1F" w14:textId="4EA091BB" w:rsidR="006A76C5" w:rsidRDefault="00833D82" w:rsidP="00E52047">
      <w:r w:rsidRPr="00833D82">
        <w:t>The timeliness of your response is important. The Commissioner must consider the direction from the Minister for Industry</w:t>
      </w:r>
      <w:r w:rsidR="00065D0F">
        <w:t xml:space="preserve">, </w:t>
      </w:r>
      <w:r w:rsidRPr="00833D82">
        <w:t xml:space="preserve">Science </w:t>
      </w:r>
      <w:r w:rsidR="00065D0F">
        <w:t xml:space="preserve">and Resources </w:t>
      </w:r>
      <w:r w:rsidRPr="00833D82">
        <w:t xml:space="preserve">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</w:t>
      </w:r>
      <w:r w:rsidR="00A879AD">
        <w:t>commission</w:t>
      </w:r>
      <w:r w:rsidRPr="00833D82">
        <w:t xml:space="preserve">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38A44B20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38A44B21" w14:textId="0D7DEB8C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hyperlink r:id="rId13" w:history="1">
        <w:r w:rsidR="00E3072B" w:rsidRPr="002638EC">
          <w:rPr>
            <w:rStyle w:val="Hyperlink"/>
            <w:rFonts w:cs="Arial"/>
            <w:sz w:val="24"/>
          </w:rPr>
          <w:t>investigations@adcommission.gov.au</w:t>
        </w:r>
      </w:hyperlink>
      <w:r w:rsidR="00E3072B">
        <w:rPr>
          <w:rFonts w:cs="Arial"/>
          <w:sz w:val="24"/>
        </w:rPr>
        <w:t xml:space="preserve"> </w:t>
      </w:r>
    </w:p>
    <w:p w14:paraId="38A44B22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38A44B23" w14:textId="77777777" w:rsidR="006A76C5" w:rsidRPr="00B273A2" w:rsidRDefault="006A76C5" w:rsidP="006A76C5">
      <w:pPr>
        <w:jc w:val="both"/>
      </w:pPr>
    </w:p>
    <w:p w14:paraId="38A44B24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38A44B25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38A44B2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6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7" w14:textId="77777777" w:rsidR="006A76C5" w:rsidRPr="00B273A2" w:rsidRDefault="006A76C5" w:rsidP="00E52047"/>
        </w:tc>
      </w:tr>
      <w:tr w:rsidR="006A76C5" w14:paraId="38A44B2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9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A" w14:textId="77777777" w:rsidR="006A76C5" w:rsidRPr="00B273A2" w:rsidRDefault="006A76C5" w:rsidP="00E52047"/>
        </w:tc>
      </w:tr>
      <w:tr w:rsidR="006A76C5" w14:paraId="38A44B2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C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D" w14:textId="77777777" w:rsidR="006A76C5" w:rsidRPr="00B273A2" w:rsidRDefault="006A76C5" w:rsidP="00E52047"/>
        </w:tc>
      </w:tr>
      <w:tr w:rsidR="006A76C5" w14:paraId="38A44B3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2F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30" w14:textId="77777777" w:rsidR="006A76C5" w:rsidRPr="00B273A2" w:rsidRDefault="006A76C5" w:rsidP="00E52047"/>
        </w:tc>
      </w:tr>
      <w:tr w:rsidR="006A76C5" w14:paraId="38A44B3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32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33" w14:textId="77777777" w:rsidR="006A76C5" w:rsidRPr="00B273A2" w:rsidRDefault="006A76C5" w:rsidP="00E52047"/>
        </w:tc>
      </w:tr>
      <w:tr w:rsidR="006A76C5" w14:paraId="38A44B37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A44B35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36" w14:textId="77777777" w:rsidR="006A76C5" w:rsidRPr="00B273A2" w:rsidRDefault="006A76C5" w:rsidP="00E52047"/>
        </w:tc>
      </w:tr>
      <w:tr w:rsidR="006A76C5" w14:paraId="38A44B3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A44B38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39" w14:textId="77777777" w:rsidR="006A76C5" w:rsidRPr="00B273A2" w:rsidRDefault="006A76C5" w:rsidP="00E52047"/>
        </w:tc>
      </w:tr>
      <w:tr w:rsidR="006A76C5" w14:paraId="38A44B3D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A44B3B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3C" w14:textId="77777777" w:rsidR="006A76C5" w:rsidRPr="00B273A2" w:rsidRDefault="006A76C5" w:rsidP="00E52047"/>
        </w:tc>
      </w:tr>
      <w:tr w:rsidR="006A76C5" w14:paraId="38A44B4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8A44B3E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3F" w14:textId="77777777" w:rsidR="006A76C5" w:rsidRPr="00B273A2" w:rsidRDefault="006A76C5" w:rsidP="00E52047"/>
        </w:tc>
      </w:tr>
      <w:tr w:rsidR="006A76C5" w14:paraId="38A44B4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41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42" w14:textId="77777777" w:rsidR="006A76C5" w:rsidRPr="00B273A2" w:rsidRDefault="006A76C5" w:rsidP="00E52047"/>
        </w:tc>
      </w:tr>
      <w:tr w:rsidR="006A76C5" w14:paraId="38A44B4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44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45" w14:textId="77777777" w:rsidR="006A76C5" w:rsidRPr="00B273A2" w:rsidRDefault="006A76C5" w:rsidP="00E52047"/>
        </w:tc>
      </w:tr>
      <w:tr w:rsidR="006A76C5" w14:paraId="38A44B4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47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48" w14:textId="77777777" w:rsidR="006A76C5" w:rsidRPr="00B273A2" w:rsidRDefault="006A76C5" w:rsidP="00E52047"/>
        </w:tc>
      </w:tr>
    </w:tbl>
    <w:p w14:paraId="38A44B4A" w14:textId="77777777" w:rsidR="006A76C5" w:rsidRPr="00B273A2" w:rsidRDefault="006A76C5" w:rsidP="00E52047"/>
    <w:p w14:paraId="38A44B4B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38A44B4C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8A44B4D" w14:textId="77777777" w:rsidR="00C802E7" w:rsidRDefault="00C802E7" w:rsidP="00E52047">
      <w:pPr>
        <w:rPr>
          <w:rFonts w:cs="Arial"/>
        </w:rPr>
      </w:pPr>
    </w:p>
    <w:p w14:paraId="38A44B4E" w14:textId="77777777" w:rsidR="006A76C5" w:rsidRDefault="006A76C5" w:rsidP="00E52047">
      <w:pPr>
        <w:rPr>
          <w:rFonts w:cs="Arial"/>
        </w:rPr>
      </w:pPr>
      <w:r>
        <w:rPr>
          <w:rFonts w:cs="Arial"/>
        </w:rPr>
        <w:t>Describe the role of your compa</w:t>
      </w:r>
      <w:r w:rsidR="00F8799B">
        <w:rPr>
          <w:rFonts w:cs="Arial"/>
        </w:rPr>
        <w:t>ny in the Australian market for grinding balls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38A44B4F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8A44B50" w14:textId="77777777" w:rsidR="006A76C5" w:rsidRDefault="006A76C5" w:rsidP="00E52047">
      <w:pPr>
        <w:rPr>
          <w:rFonts w:cs="Arial"/>
        </w:rPr>
      </w:pPr>
    </w:p>
    <w:p w14:paraId="38A44B51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8A44B52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38A44B55" w14:textId="77777777" w:rsidTr="00BA3EA1">
        <w:tc>
          <w:tcPr>
            <w:tcW w:w="4261" w:type="dxa"/>
          </w:tcPr>
          <w:p w14:paraId="38A44B53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38A44B54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38A44B58" w14:textId="77777777" w:rsidTr="00BA3EA1">
        <w:tc>
          <w:tcPr>
            <w:tcW w:w="4261" w:type="dxa"/>
          </w:tcPr>
          <w:p w14:paraId="38A44B56" w14:textId="77777777" w:rsidR="006A76C5" w:rsidRPr="00B273A2" w:rsidRDefault="006A76C5" w:rsidP="00E52047"/>
        </w:tc>
        <w:tc>
          <w:tcPr>
            <w:tcW w:w="4261" w:type="dxa"/>
          </w:tcPr>
          <w:p w14:paraId="38A44B57" w14:textId="77777777" w:rsidR="006A76C5" w:rsidRPr="00B273A2" w:rsidRDefault="006A76C5" w:rsidP="00E52047"/>
        </w:tc>
      </w:tr>
      <w:tr w:rsidR="006A76C5" w14:paraId="38A44B5B" w14:textId="77777777" w:rsidTr="00BA3EA1">
        <w:tc>
          <w:tcPr>
            <w:tcW w:w="4261" w:type="dxa"/>
          </w:tcPr>
          <w:p w14:paraId="38A44B59" w14:textId="77777777" w:rsidR="006A76C5" w:rsidRPr="00B273A2" w:rsidRDefault="006A76C5" w:rsidP="00E52047"/>
        </w:tc>
        <w:tc>
          <w:tcPr>
            <w:tcW w:w="4261" w:type="dxa"/>
          </w:tcPr>
          <w:p w14:paraId="38A44B5A" w14:textId="77777777" w:rsidR="006A76C5" w:rsidRPr="00B273A2" w:rsidRDefault="006A76C5" w:rsidP="00E52047"/>
        </w:tc>
      </w:tr>
      <w:tr w:rsidR="006A76C5" w14:paraId="38A44B5E" w14:textId="77777777" w:rsidTr="00BA3EA1">
        <w:tc>
          <w:tcPr>
            <w:tcW w:w="4261" w:type="dxa"/>
          </w:tcPr>
          <w:p w14:paraId="38A44B5C" w14:textId="77777777" w:rsidR="006A76C5" w:rsidRPr="00B273A2" w:rsidRDefault="006A76C5" w:rsidP="00E52047"/>
        </w:tc>
        <w:tc>
          <w:tcPr>
            <w:tcW w:w="4261" w:type="dxa"/>
          </w:tcPr>
          <w:p w14:paraId="38A44B5D" w14:textId="77777777" w:rsidR="006A76C5" w:rsidRPr="00B273A2" w:rsidRDefault="006A76C5" w:rsidP="00E52047"/>
        </w:tc>
      </w:tr>
      <w:tr w:rsidR="006A76C5" w14:paraId="38A44B61" w14:textId="77777777" w:rsidTr="00BA3EA1">
        <w:tc>
          <w:tcPr>
            <w:tcW w:w="4261" w:type="dxa"/>
          </w:tcPr>
          <w:p w14:paraId="38A44B5F" w14:textId="77777777" w:rsidR="006A76C5" w:rsidRPr="00B273A2" w:rsidRDefault="006A76C5" w:rsidP="00E52047"/>
        </w:tc>
        <w:tc>
          <w:tcPr>
            <w:tcW w:w="4261" w:type="dxa"/>
          </w:tcPr>
          <w:p w14:paraId="38A44B60" w14:textId="77777777" w:rsidR="006A76C5" w:rsidRPr="00B273A2" w:rsidRDefault="006A76C5" w:rsidP="00E52047"/>
        </w:tc>
      </w:tr>
      <w:tr w:rsidR="006A76C5" w14:paraId="38A44B64" w14:textId="77777777" w:rsidTr="00BA3EA1">
        <w:tc>
          <w:tcPr>
            <w:tcW w:w="4261" w:type="dxa"/>
          </w:tcPr>
          <w:p w14:paraId="38A44B62" w14:textId="77777777" w:rsidR="006A76C5" w:rsidRPr="00B273A2" w:rsidRDefault="006A76C5" w:rsidP="00E52047"/>
        </w:tc>
        <w:tc>
          <w:tcPr>
            <w:tcW w:w="4261" w:type="dxa"/>
          </w:tcPr>
          <w:p w14:paraId="38A44B63" w14:textId="77777777" w:rsidR="006A76C5" w:rsidRPr="00B273A2" w:rsidRDefault="006A76C5" w:rsidP="00E52047"/>
        </w:tc>
      </w:tr>
      <w:tr w:rsidR="006A76C5" w14:paraId="38A44B67" w14:textId="77777777" w:rsidTr="00BA3EA1">
        <w:tc>
          <w:tcPr>
            <w:tcW w:w="4261" w:type="dxa"/>
          </w:tcPr>
          <w:p w14:paraId="38A44B65" w14:textId="77777777" w:rsidR="006A76C5" w:rsidRPr="00B273A2" w:rsidRDefault="006A76C5" w:rsidP="00E52047"/>
        </w:tc>
        <w:tc>
          <w:tcPr>
            <w:tcW w:w="4261" w:type="dxa"/>
          </w:tcPr>
          <w:p w14:paraId="38A44B66" w14:textId="77777777" w:rsidR="006A76C5" w:rsidRPr="00B273A2" w:rsidRDefault="006A76C5" w:rsidP="00E52047"/>
        </w:tc>
      </w:tr>
      <w:tr w:rsidR="006A76C5" w14:paraId="38A44B6A" w14:textId="77777777" w:rsidTr="00BA3EA1">
        <w:tc>
          <w:tcPr>
            <w:tcW w:w="4261" w:type="dxa"/>
          </w:tcPr>
          <w:p w14:paraId="38A44B68" w14:textId="77777777" w:rsidR="006A76C5" w:rsidRPr="00B273A2" w:rsidRDefault="006A76C5" w:rsidP="00E52047"/>
        </w:tc>
        <w:tc>
          <w:tcPr>
            <w:tcW w:w="4261" w:type="dxa"/>
          </w:tcPr>
          <w:p w14:paraId="38A44B69" w14:textId="77777777" w:rsidR="006A76C5" w:rsidRPr="00B273A2" w:rsidRDefault="006A76C5" w:rsidP="00E52047"/>
        </w:tc>
      </w:tr>
      <w:tr w:rsidR="006A76C5" w14:paraId="38A44B6D" w14:textId="77777777" w:rsidTr="00BA3EA1">
        <w:tc>
          <w:tcPr>
            <w:tcW w:w="4261" w:type="dxa"/>
          </w:tcPr>
          <w:p w14:paraId="38A44B6B" w14:textId="77777777" w:rsidR="006A76C5" w:rsidRPr="00B273A2" w:rsidRDefault="006A76C5" w:rsidP="00E52047"/>
        </w:tc>
        <w:tc>
          <w:tcPr>
            <w:tcW w:w="4261" w:type="dxa"/>
          </w:tcPr>
          <w:p w14:paraId="38A44B6C" w14:textId="77777777" w:rsidR="006A76C5" w:rsidRPr="00B273A2" w:rsidRDefault="006A76C5" w:rsidP="00E52047"/>
        </w:tc>
      </w:tr>
      <w:tr w:rsidR="006A76C5" w14:paraId="38A44B70" w14:textId="77777777" w:rsidTr="00BA3EA1">
        <w:tc>
          <w:tcPr>
            <w:tcW w:w="4261" w:type="dxa"/>
          </w:tcPr>
          <w:p w14:paraId="38A44B6E" w14:textId="77777777" w:rsidR="006A76C5" w:rsidRPr="00B273A2" w:rsidRDefault="006A76C5" w:rsidP="00E52047"/>
        </w:tc>
        <w:tc>
          <w:tcPr>
            <w:tcW w:w="4261" w:type="dxa"/>
          </w:tcPr>
          <w:p w14:paraId="38A44B6F" w14:textId="77777777" w:rsidR="006A76C5" w:rsidRPr="00B273A2" w:rsidRDefault="006A76C5" w:rsidP="00E52047"/>
        </w:tc>
      </w:tr>
      <w:tr w:rsidR="006A76C5" w14:paraId="38A44B73" w14:textId="77777777" w:rsidTr="00BA3EA1">
        <w:tc>
          <w:tcPr>
            <w:tcW w:w="4261" w:type="dxa"/>
          </w:tcPr>
          <w:p w14:paraId="38A44B71" w14:textId="77777777" w:rsidR="006A76C5" w:rsidRPr="00B273A2" w:rsidRDefault="006A76C5" w:rsidP="00E52047"/>
        </w:tc>
        <w:tc>
          <w:tcPr>
            <w:tcW w:w="4261" w:type="dxa"/>
          </w:tcPr>
          <w:p w14:paraId="38A44B72" w14:textId="77777777" w:rsidR="006A76C5" w:rsidRPr="00B273A2" w:rsidRDefault="006A76C5" w:rsidP="00E52047"/>
        </w:tc>
      </w:tr>
      <w:tr w:rsidR="006A76C5" w14:paraId="38A44B76" w14:textId="77777777" w:rsidTr="00BA3EA1">
        <w:tc>
          <w:tcPr>
            <w:tcW w:w="4261" w:type="dxa"/>
          </w:tcPr>
          <w:p w14:paraId="38A44B74" w14:textId="77777777" w:rsidR="006A76C5" w:rsidRPr="00B273A2" w:rsidRDefault="006A76C5" w:rsidP="00E52047"/>
        </w:tc>
        <w:tc>
          <w:tcPr>
            <w:tcW w:w="4261" w:type="dxa"/>
          </w:tcPr>
          <w:p w14:paraId="38A44B75" w14:textId="77777777" w:rsidR="006A76C5" w:rsidRPr="00B273A2" w:rsidRDefault="006A76C5" w:rsidP="00E52047"/>
        </w:tc>
      </w:tr>
    </w:tbl>
    <w:p w14:paraId="38A44B77" w14:textId="77777777" w:rsidR="00C802E7" w:rsidRPr="00B273A2" w:rsidRDefault="00C802E7" w:rsidP="00E52047"/>
    <w:p w14:paraId="38A44B78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38A44B79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38A44B7A" w14:textId="77777777" w:rsidR="00C802E7" w:rsidRPr="00B273A2" w:rsidRDefault="00C802E7" w:rsidP="00E52047"/>
    <w:p w14:paraId="38A44B7B" w14:textId="77777777" w:rsidR="00C802E7" w:rsidRPr="00B273A2" w:rsidRDefault="00C802E7" w:rsidP="00E52047">
      <w:r w:rsidRPr="00B273A2">
        <w:t xml:space="preserve">Please complete the below information for each of your overseas supplier of </w:t>
      </w:r>
      <w:r w:rsidR="00D07DDF">
        <w:t xml:space="preserve">grinding balls </w:t>
      </w:r>
      <w:r w:rsidRPr="00B273A2">
        <w:t xml:space="preserve">(using a new box for each supplier). </w:t>
      </w:r>
    </w:p>
    <w:p w14:paraId="38A44B7C" w14:textId="77777777" w:rsidR="00C802E7" w:rsidRPr="00B273A2" w:rsidRDefault="00C802E7" w:rsidP="00E52047"/>
    <w:p w14:paraId="38A44B7D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8A44B8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7E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7F" w14:textId="77777777" w:rsidR="00C802E7" w:rsidRPr="00B273A2" w:rsidRDefault="00F8799B" w:rsidP="00E52047">
            <w:pPr>
              <w:rPr>
                <w:sz w:val="20"/>
              </w:rPr>
            </w:pPr>
            <w:r w:rsidRPr="00F8799B">
              <w:rPr>
                <w:sz w:val="20"/>
              </w:rPr>
              <w:t>Grinding Balls</w:t>
            </w:r>
          </w:p>
        </w:tc>
      </w:tr>
      <w:tr w:rsidR="00D70A70" w14:paraId="38A44B8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8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38A44B8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38A44B8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8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9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8A44B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B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C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38A44B9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8F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38A44B9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91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9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38A44B9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94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9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8A44B9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97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98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8A44B9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9A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9B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8A44B9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9D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9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8A44BA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A0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A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38A44BA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A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A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38A44BA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A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A7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38A44BA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A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A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38A44BAC" w14:textId="77777777" w:rsidR="006A76C5" w:rsidRPr="00B273A2" w:rsidRDefault="006A76C5" w:rsidP="00E52047">
      <w:pPr>
        <w:rPr>
          <w:sz w:val="20"/>
        </w:rPr>
      </w:pPr>
    </w:p>
    <w:p w14:paraId="38A44BAD" w14:textId="77777777" w:rsidR="006A76C5" w:rsidRPr="00B273A2" w:rsidRDefault="006A76C5" w:rsidP="00E52047"/>
    <w:p w14:paraId="38A44BAE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38A44BAF" w14:textId="77777777" w:rsidR="00C802E7" w:rsidRPr="00B273A2" w:rsidRDefault="00C802E7" w:rsidP="00E52047"/>
    <w:p w14:paraId="38A44BB0" w14:textId="77777777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29670C" w:rsidRPr="0029670C">
        <w:t>grinding balls</w:t>
      </w:r>
      <w:r w:rsidR="00D70A70" w:rsidRPr="00B273A2">
        <w:t xml:space="preserve"> supplied, please complete the below for</w:t>
      </w:r>
      <w:r w:rsidRPr="00B273A2">
        <w:t xml:space="preserve"> </w:t>
      </w:r>
      <w:r w:rsidR="00F8799B">
        <w:t>each manufacturer of grinding balls</w:t>
      </w:r>
      <w:r w:rsidR="00D70A70" w:rsidRPr="00B273A2">
        <w:t xml:space="preserve"> supplied (using a new box for each supplier).</w:t>
      </w:r>
    </w:p>
    <w:p w14:paraId="38A44BB1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38A44B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B3" w14:textId="77777777" w:rsidR="00D70A70" w:rsidRPr="00B273A2" w:rsidRDefault="00F8799B" w:rsidP="00E52047">
            <w:pPr>
              <w:rPr>
                <w:sz w:val="20"/>
              </w:rPr>
            </w:pPr>
            <w:r w:rsidRPr="00F8799B">
              <w:rPr>
                <w:sz w:val="20"/>
              </w:rPr>
              <w:t>Grinding Balls</w:t>
            </w:r>
          </w:p>
        </w:tc>
      </w:tr>
      <w:tr w:rsidR="00D70A70" w14:paraId="38A44BB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B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B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C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B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C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C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C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C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C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C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C7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C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C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CA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C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C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CD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C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D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D0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D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D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D4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D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D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D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8A44BD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D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D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38A44BDC" w14:textId="77777777" w:rsidR="00D70A70" w:rsidRPr="00B273A2" w:rsidRDefault="00D70A70" w:rsidP="00E52047"/>
    <w:p w14:paraId="38A44BDD" w14:textId="7E568F74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 xml:space="preserve">Timing of proposed visit by the </w:t>
      </w:r>
      <w:r w:rsidR="00A879AD">
        <w:rPr>
          <w:b/>
        </w:rPr>
        <w:t>commission</w:t>
      </w:r>
    </w:p>
    <w:p w14:paraId="38A44BDE" w14:textId="77777777" w:rsidR="006A76C5" w:rsidRPr="00B273A2" w:rsidRDefault="006A76C5" w:rsidP="00E52047"/>
    <w:p w14:paraId="38A44BDF" w14:textId="430AC4BD" w:rsidR="00B249FC" w:rsidRPr="00B273A2" w:rsidRDefault="00F02047" w:rsidP="00E52047">
      <w:r w:rsidRPr="00B273A2">
        <w:t xml:space="preserve">The </w:t>
      </w:r>
      <w:r w:rsidR="00A879AD">
        <w:t>commission</w:t>
      </w:r>
      <w:r w:rsidR="00D70A70" w:rsidRPr="00B273A2">
        <w:t xml:space="preserve"> </w:t>
      </w:r>
      <w:r w:rsidR="00A879AD">
        <w:t>may</w:t>
      </w:r>
      <w:r w:rsidR="006A76C5" w:rsidRPr="00B273A2">
        <w:t xml:space="preserve"> commence visits to importers</w:t>
      </w:r>
      <w:r w:rsidR="00B249FC" w:rsidRPr="00B273A2">
        <w:t xml:space="preserve"> to verify the data submitted within import questionnaire responses and discuss the </w:t>
      </w:r>
      <w:r w:rsidR="00A879AD">
        <w:t>inquiry. If a visit takes place, it would happen</w:t>
      </w:r>
      <w:r w:rsidR="006A76C5" w:rsidRPr="00B273A2">
        <w:t xml:space="preserve"> as soon as possible</w:t>
      </w:r>
      <w:r w:rsidR="006A76C5" w:rsidRPr="00E23A23">
        <w:t xml:space="preserve">.  </w:t>
      </w:r>
    </w:p>
    <w:p w14:paraId="38A44BE0" w14:textId="77777777" w:rsidR="00B33419" w:rsidRPr="00B273A2" w:rsidRDefault="00B33419" w:rsidP="00E52047"/>
    <w:p w14:paraId="38A44BE1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38A44BE2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38A44BE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8A44BE4" w14:textId="77777777" w:rsidR="006A76C5" w:rsidRPr="00B273A2" w:rsidRDefault="006A76C5" w:rsidP="00E52047"/>
    <w:p w14:paraId="38A44BE5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38A44BE6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8A44BE9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4BE7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E8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8A44BE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EA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EB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8A44BE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ED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EE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8A44B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F0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F1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8A44BF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4BF3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4BF4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38A44BF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F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F7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38A44BF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F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BF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38A44BFC" w14:textId="77777777" w:rsidR="006A76C5" w:rsidRPr="00B273A2" w:rsidRDefault="006A76C5" w:rsidP="00E52047"/>
    <w:p w14:paraId="38A44BF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38A44BFE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38A44BFF" w14:textId="68743848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 xml:space="preserve">the </w:t>
      </w:r>
      <w:r w:rsidR="00A879AD">
        <w:t>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</w:t>
      </w:r>
      <w:r w:rsidR="002E547B" w:rsidRPr="008C2536">
        <w:t>than</w:t>
      </w:r>
      <w:r w:rsidR="00E15721">
        <w:t xml:space="preserve"> </w:t>
      </w:r>
      <w:r w:rsidR="00A879AD">
        <w:t>16 September 2022</w:t>
      </w:r>
      <w:r w:rsidR="00371521">
        <w:t>.</w:t>
      </w:r>
    </w:p>
    <w:p w14:paraId="38A44C00" w14:textId="77777777" w:rsidR="006A76C5" w:rsidRPr="00B273A2" w:rsidRDefault="006A76C5" w:rsidP="00E52047"/>
    <w:p w14:paraId="38A44C01" w14:textId="10143A79" w:rsidR="007103C6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29670C" w:rsidRPr="0029670C">
        <w:rPr>
          <w:rFonts w:cs="Arial"/>
        </w:rPr>
        <w:t>grinding balls</w:t>
      </w:r>
      <w:r w:rsidRPr="0029670C">
        <w:rPr>
          <w:rFonts w:cs="Arial"/>
        </w:rPr>
        <w:t xml:space="preserve">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 xml:space="preserve">the </w:t>
      </w:r>
      <w:r w:rsidR="00A879AD">
        <w:rPr>
          <w:rFonts w:cs="Arial"/>
        </w:rPr>
        <w:t>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29670C" w:rsidRPr="0029670C">
        <w:rPr>
          <w:rFonts w:cs="Arial"/>
        </w:rPr>
        <w:t xml:space="preserve">grinding balls </w:t>
      </w:r>
      <w:r w:rsidR="00B249FC">
        <w:rPr>
          <w:rFonts w:cs="Arial"/>
        </w:rPr>
        <w:t xml:space="preserve">from </w:t>
      </w:r>
    </w:p>
    <w:p w14:paraId="38A44C02" w14:textId="02D9F0A1" w:rsidR="000D4093" w:rsidRDefault="00F61C6E" w:rsidP="00E52047">
      <w:pPr>
        <w:rPr>
          <w:rFonts w:cs="Arial"/>
        </w:rPr>
      </w:pPr>
      <w:r>
        <w:rPr>
          <w:rFonts w:cs="Arial"/>
        </w:rPr>
        <w:t>1 July 2021 to 30 June 2022</w:t>
      </w:r>
      <w:r w:rsidR="006A76C5" w:rsidRPr="008C2536">
        <w:rPr>
          <w:rFonts w:cs="Arial"/>
        </w:rPr>
        <w:t>.</w:t>
      </w:r>
      <w:r w:rsidR="006A76C5">
        <w:rPr>
          <w:rFonts w:cs="Arial"/>
        </w:rPr>
        <w:t xml:space="preserve">  </w:t>
      </w:r>
    </w:p>
    <w:p w14:paraId="38A44C03" w14:textId="77777777" w:rsidR="00B249FC" w:rsidRDefault="00B249FC" w:rsidP="00E52047">
      <w:pPr>
        <w:rPr>
          <w:rFonts w:cs="Arial"/>
        </w:rPr>
      </w:pPr>
    </w:p>
    <w:p w14:paraId="38A44C04" w14:textId="2F3CB3E0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A879AD">
        <w:rPr>
          <w:rFonts w:cs="Arial"/>
        </w:rPr>
        <w:t>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38A44C05" w14:textId="77777777" w:rsidR="000D4093" w:rsidRDefault="000D4093" w:rsidP="00E52047">
      <w:pPr>
        <w:rPr>
          <w:rFonts w:cs="Arial"/>
        </w:rPr>
      </w:pPr>
    </w:p>
    <w:p w14:paraId="38A44C06" w14:textId="5189C653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 xml:space="preserve">the </w:t>
      </w:r>
      <w:r w:rsidR="00A879AD">
        <w:rPr>
          <w:rFonts w:cs="Arial"/>
        </w:rPr>
        <w:t>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38A44C07" w14:textId="77777777" w:rsidR="006A76C5" w:rsidRDefault="006A76C5" w:rsidP="00E52047">
      <w:pPr>
        <w:rPr>
          <w:rFonts w:cs="Arial"/>
        </w:rPr>
      </w:pPr>
    </w:p>
    <w:p w14:paraId="38A44C08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38A44C09" w14:textId="77777777" w:rsidR="006A76C5" w:rsidRPr="00B273A2" w:rsidRDefault="006A76C5" w:rsidP="00E52047"/>
    <w:p w14:paraId="38A44C0A" w14:textId="77777777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29670C">
        <w:rPr>
          <w:rFonts w:cs="Arial"/>
        </w:rPr>
        <w:t>Grinding B</w:t>
      </w:r>
      <w:r w:rsidR="0029670C" w:rsidRPr="0029670C">
        <w:rPr>
          <w:rFonts w:cs="Arial"/>
        </w:rPr>
        <w:t xml:space="preserve">alls </w:t>
      </w:r>
      <w:r w:rsidR="002E547B" w:rsidRPr="00B273A2">
        <w:t>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38A44C0B" w14:textId="77777777" w:rsidR="002E547B" w:rsidRPr="00B273A2" w:rsidRDefault="002E547B" w:rsidP="00E52047"/>
    <w:p w14:paraId="38A44C0C" w14:textId="08D88154" w:rsidR="006A76C5" w:rsidRPr="00B273A2" w:rsidRDefault="006A76C5" w:rsidP="00E52047">
      <w:r w:rsidRPr="00B273A2">
        <w:t xml:space="preserve">The spreadsheet should contain costs and sales data for the selected shipments of </w:t>
      </w:r>
      <w:r w:rsidR="0029670C" w:rsidRPr="0029670C">
        <w:rPr>
          <w:rFonts w:cs="Arial"/>
        </w:rPr>
        <w:t xml:space="preserve">grinding balls </w:t>
      </w:r>
      <w:r w:rsidRPr="00B273A2">
        <w:rPr>
          <w:b/>
        </w:rPr>
        <w:t>exported</w:t>
      </w:r>
      <w:r w:rsidRPr="00B273A2">
        <w:t xml:space="preserve"> from </w:t>
      </w:r>
      <w:r w:rsidR="0029670C">
        <w:t xml:space="preserve">China </w:t>
      </w:r>
      <w:r w:rsidR="002E547B" w:rsidRPr="00B273A2">
        <w:t xml:space="preserve">since </w:t>
      </w:r>
      <w:r w:rsidR="00F61C6E">
        <w:rPr>
          <w:rFonts w:cs="Arial"/>
        </w:rPr>
        <w:t>1 July 2021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38A44C0D" w14:textId="77777777" w:rsidR="006A76C5" w:rsidRPr="00B273A2" w:rsidRDefault="006A76C5" w:rsidP="00E52047"/>
    <w:p w14:paraId="38A44C0E" w14:textId="2AAB7918" w:rsidR="00924D03" w:rsidRPr="00A879AD" w:rsidRDefault="00924D03" w:rsidP="00E52047">
      <w:pPr>
        <w:rPr>
          <w:color w:val="FF0000"/>
        </w:rPr>
      </w:pPr>
      <w:r w:rsidRPr="00A879AD">
        <w:rPr>
          <w:color w:val="FF0000"/>
        </w:rPr>
        <w:t xml:space="preserve">(Please note that that you cannot complete this part of the questionnaire until </w:t>
      </w:r>
      <w:r w:rsidR="00F02047" w:rsidRPr="00A879AD">
        <w:rPr>
          <w:color w:val="FF0000"/>
        </w:rPr>
        <w:t xml:space="preserve">the </w:t>
      </w:r>
      <w:r w:rsidR="00A879AD" w:rsidRPr="00A879AD">
        <w:rPr>
          <w:color w:val="FF0000"/>
        </w:rPr>
        <w:t>commission</w:t>
      </w:r>
      <w:r w:rsidRPr="00A879AD">
        <w:rPr>
          <w:color w:val="FF0000"/>
        </w:rPr>
        <w:t xml:space="preserve"> provides you with the respe</w:t>
      </w:r>
      <w:r w:rsidR="00F02047" w:rsidRPr="00A879AD">
        <w:rPr>
          <w:color w:val="FF0000"/>
        </w:rPr>
        <w:t xml:space="preserve">ctive listing of your imports. The </w:t>
      </w:r>
      <w:r w:rsidR="00A879AD" w:rsidRPr="00A879AD">
        <w:rPr>
          <w:color w:val="FF0000"/>
        </w:rPr>
        <w:t>commission</w:t>
      </w:r>
      <w:r w:rsidRPr="00A879AD">
        <w:rPr>
          <w:color w:val="FF0000"/>
        </w:rPr>
        <w:t xml:space="preserve"> will contact you shortly in this regard after receiving Part A of the questionnaire).</w:t>
      </w:r>
    </w:p>
    <w:p w14:paraId="38A44C0F" w14:textId="77777777" w:rsidR="00924D03" w:rsidRPr="00B273A2" w:rsidRDefault="00924D03" w:rsidP="00E52047"/>
    <w:p w14:paraId="38A44C1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38A44C11" w14:textId="77777777" w:rsidR="006A76C5" w:rsidRPr="00B273A2" w:rsidRDefault="006A76C5" w:rsidP="00E52047">
      <w:pPr>
        <w:rPr>
          <w:b/>
        </w:rPr>
      </w:pPr>
    </w:p>
    <w:p w14:paraId="38A44C12" w14:textId="07B187F5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 xml:space="preserve">the </w:t>
      </w:r>
      <w:r w:rsidR="00A879AD">
        <w:t>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 xml:space="preserve">the </w:t>
      </w:r>
      <w:r w:rsidR="00A879AD">
        <w:t>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A879AD">
        <w:t>ost exportation costs including:</w:t>
      </w:r>
    </w:p>
    <w:p w14:paraId="38A44C13" w14:textId="77777777" w:rsidR="002E547B" w:rsidRDefault="002E547B" w:rsidP="00E52047">
      <w:pPr>
        <w:rPr>
          <w:rFonts w:cs="Arial"/>
        </w:rPr>
      </w:pPr>
    </w:p>
    <w:p w14:paraId="38A44C14" w14:textId="28AB610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</w:t>
      </w:r>
      <w:r w:rsidR="00A879AD">
        <w:t xml:space="preserve"> insurance</w:t>
      </w:r>
    </w:p>
    <w:p w14:paraId="38A44C15" w14:textId="43CB627C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A879AD">
        <w:t>ustoms duties</w:t>
      </w:r>
    </w:p>
    <w:p w14:paraId="38A44C16" w14:textId="76A22853" w:rsidR="006A76C5" w:rsidRPr="00E52047" w:rsidRDefault="00A879AD" w:rsidP="00E52047">
      <w:pPr>
        <w:pStyle w:val="ListParagraph"/>
        <w:numPr>
          <w:ilvl w:val="0"/>
          <w:numId w:val="11"/>
        </w:numPr>
        <w:rPr>
          <w:b/>
        </w:rPr>
      </w:pPr>
      <w:r>
        <w:t>landing and wharfage charges</w:t>
      </w:r>
    </w:p>
    <w:p w14:paraId="38A44C17" w14:textId="0626FD5B" w:rsidR="006A76C5" w:rsidRPr="00E52047" w:rsidRDefault="00A879AD" w:rsidP="00E52047">
      <w:pPr>
        <w:pStyle w:val="ListParagraph"/>
        <w:numPr>
          <w:ilvl w:val="0"/>
          <w:numId w:val="11"/>
        </w:numPr>
        <w:rPr>
          <w:b/>
        </w:rPr>
      </w:pPr>
      <w:r>
        <w:t>freight forwarding fees</w:t>
      </w:r>
    </w:p>
    <w:p w14:paraId="38A44C18" w14:textId="5A5A00AC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cartage/delivery fees</w:t>
      </w:r>
      <w:r w:rsidR="00A879AD">
        <w:t>,</w:t>
      </w:r>
      <w:r w:rsidRPr="00B273A2">
        <w:t xml:space="preserve"> and </w:t>
      </w:r>
    </w:p>
    <w:p w14:paraId="38A44C19" w14:textId="77777777" w:rsidR="006A76C5" w:rsidRPr="00E52047" w:rsidRDefault="0029670C" w:rsidP="00E52047">
      <w:pPr>
        <w:pStyle w:val="ListParagraph"/>
        <w:numPr>
          <w:ilvl w:val="0"/>
          <w:numId w:val="11"/>
        </w:numPr>
        <w:rPr>
          <w:b/>
        </w:rPr>
      </w:pPr>
      <w:r>
        <w:t xml:space="preserve">any </w:t>
      </w:r>
      <w:r w:rsidR="006A76C5" w:rsidRPr="00B273A2">
        <w:t>other charges between the FOB point and the landed, duty paid into-store point</w:t>
      </w:r>
      <w:r w:rsidR="00924D03" w:rsidRPr="00B273A2">
        <w:t>.</w:t>
      </w:r>
    </w:p>
    <w:p w14:paraId="38A44C1A" w14:textId="77777777" w:rsidR="006A76C5" w:rsidRPr="00B273A2" w:rsidRDefault="006A76C5" w:rsidP="00E52047">
      <w:pPr>
        <w:rPr>
          <w:b/>
        </w:rPr>
      </w:pPr>
    </w:p>
    <w:p w14:paraId="38A44C1B" w14:textId="6AEF5935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</w:t>
      </w:r>
      <w:r w:rsidR="00A879AD">
        <w:t>commission</w:t>
      </w:r>
      <w:r w:rsidR="00F02047" w:rsidRPr="00B273A2">
        <w:t>’s</w:t>
      </w:r>
      <w:r w:rsidRPr="00B273A2">
        <w:t xml:space="preserve"> visit.</w:t>
      </w:r>
    </w:p>
    <w:p w14:paraId="38A44C1C" w14:textId="77777777" w:rsidR="006A76C5" w:rsidRPr="00B273A2" w:rsidRDefault="006A76C5" w:rsidP="00E52047">
      <w:pPr>
        <w:rPr>
          <w:b/>
        </w:rPr>
      </w:pPr>
    </w:p>
    <w:p w14:paraId="38A44C1D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38A44C1E" w14:textId="77777777" w:rsidR="006A76C5" w:rsidRPr="00B273A2" w:rsidRDefault="006A76C5" w:rsidP="00E52047"/>
    <w:p w14:paraId="38A44C1F" w14:textId="77777777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</w:t>
      </w:r>
      <w:r w:rsidR="0029670C" w:rsidRPr="0029670C">
        <w:t>Grinding Balls</w:t>
      </w:r>
      <w:r w:rsidR="0029670C">
        <w:rPr>
          <w:color w:val="FF0000"/>
        </w:rPr>
        <w:t xml:space="preserve"> </w:t>
      </w:r>
      <w:r w:rsidR="002E547B" w:rsidRPr="00B273A2">
        <w:t>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38A44C20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8A44C21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38A44C22" w14:textId="1AF5A19F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A879AD">
        <w:t>16 Septmeber 2022</w:t>
      </w:r>
      <w:r w:rsidR="002E547B" w:rsidRPr="00B273A2">
        <w:t>.</w:t>
      </w:r>
    </w:p>
    <w:p w14:paraId="38A44C23" w14:textId="77777777" w:rsidR="006A76C5" w:rsidRPr="00B273A2" w:rsidRDefault="006A76C5" w:rsidP="00E52047">
      <w:pPr>
        <w:rPr>
          <w:bdr w:val="single" w:sz="4" w:space="0" w:color="auto"/>
        </w:rPr>
      </w:pPr>
    </w:p>
    <w:p w14:paraId="38A44C2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38A44C25" w14:textId="5ED8E107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market of </w:t>
      </w:r>
      <w:r w:rsidR="0029670C">
        <w:rPr>
          <w:rFonts w:cs="Arial"/>
        </w:rPr>
        <w:t xml:space="preserve">grinding balls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29670C">
        <w:rPr>
          <w:rFonts w:cs="Arial"/>
        </w:rPr>
        <w:t xml:space="preserve">China </w:t>
      </w:r>
      <w:r w:rsidR="002E547B">
        <w:rPr>
          <w:rFonts w:cs="Arial"/>
        </w:rPr>
        <w:t xml:space="preserve">from </w:t>
      </w:r>
      <w:r w:rsidR="00F61C6E">
        <w:rPr>
          <w:rFonts w:cs="Arial"/>
        </w:rPr>
        <w:t>1 July 2021</w:t>
      </w:r>
      <w:r w:rsidR="00371521">
        <w:rPr>
          <w:rFonts w:cs="Arial"/>
        </w:rPr>
        <w:t xml:space="preserve"> </w:t>
      </w:r>
      <w:r w:rsidR="00A879AD">
        <w:rPr>
          <w:rFonts w:cs="Arial"/>
        </w:rPr>
        <w:t xml:space="preserve">to 30 June 2022 </w:t>
      </w:r>
      <w:r w:rsidR="00C372B1">
        <w:rPr>
          <w:rFonts w:cs="Arial"/>
        </w:rPr>
        <w:t>using</w:t>
      </w:r>
      <w:r>
        <w:rPr>
          <w:rFonts w:cs="Arial"/>
        </w:rPr>
        <w:t xml:space="preserve"> the </w:t>
      </w:r>
      <w:r w:rsidR="00A879AD">
        <w:rPr>
          <w:rFonts w:cs="Arial"/>
        </w:rPr>
        <w:t>‘</w:t>
      </w:r>
      <w:r w:rsidR="008C1015">
        <w:rPr>
          <w:rFonts w:cs="Arial"/>
        </w:rPr>
        <w:t>Part C – Sales</w:t>
      </w:r>
      <w:r w:rsidR="00A879AD">
        <w:rPr>
          <w:rFonts w:cs="Arial"/>
        </w:rPr>
        <w:t>’</w:t>
      </w:r>
      <w:r w:rsidR="008C1015">
        <w:rPr>
          <w:rFonts w:cs="Arial"/>
        </w:rPr>
        <w:t xml:space="preserve">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38A44C26" w14:textId="77777777" w:rsidR="00E52047" w:rsidRDefault="00E52047" w:rsidP="00E52047">
      <w:pPr>
        <w:rPr>
          <w:b/>
          <w:snapToGrid w:val="0"/>
          <w:szCs w:val="24"/>
        </w:rPr>
      </w:pPr>
    </w:p>
    <w:p w14:paraId="38A44C27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38A44C28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38A44C29" w14:textId="77777777" w:rsidR="00883C4E" w:rsidRPr="00E52047" w:rsidRDefault="00883C4E" w:rsidP="00E52047">
      <w:pPr>
        <w:rPr>
          <w:snapToGrid w:val="0"/>
          <w:szCs w:val="24"/>
        </w:rPr>
      </w:pPr>
    </w:p>
    <w:p w14:paraId="38A44C2A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38A44C2B" w14:textId="77777777" w:rsidR="00E52047" w:rsidRPr="00E52047" w:rsidRDefault="00E52047" w:rsidP="00E52047">
      <w:pPr>
        <w:rPr>
          <w:snapToGrid w:val="0"/>
          <w:szCs w:val="24"/>
        </w:rPr>
      </w:pP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417"/>
        <w:gridCol w:w="1418"/>
        <w:gridCol w:w="1276"/>
        <w:gridCol w:w="1701"/>
      </w:tblGrid>
      <w:tr w:rsidR="002B2E1C" w:rsidRPr="00E52047" w14:paraId="38A44C2F" w14:textId="77777777" w:rsidTr="002B2E1C">
        <w:trPr>
          <w:trHeight w:val="202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02BAC5D3" w14:textId="31CB0C9B" w:rsidR="002B2E1C" w:rsidRPr="00E52047" w:rsidRDefault="002B2E1C" w:rsidP="002B2E1C">
            <w:pPr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A44C2C" w14:textId="6A6368DD" w:rsidR="002B2E1C" w:rsidRPr="00E52047" w:rsidRDefault="002B2E1C" w:rsidP="002B2E1C">
            <w:pPr>
              <w:rPr>
                <w:b/>
                <w:snapToGrid w:val="0"/>
                <w:szCs w:val="24"/>
              </w:rPr>
            </w:pPr>
            <w:r w:rsidRPr="00E52047">
              <w:rPr>
                <w:b/>
                <w:snapToGrid w:val="0"/>
                <w:szCs w:val="24"/>
              </w:rPr>
              <w:t>Category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A44C2D" w14:textId="77777777" w:rsidR="002B2E1C" w:rsidRPr="00E52047" w:rsidRDefault="002B2E1C" w:rsidP="002B2E1C">
            <w:pPr>
              <w:rPr>
                <w:b/>
                <w:snapToGrid w:val="0"/>
                <w:szCs w:val="24"/>
              </w:rPr>
            </w:pPr>
            <w:r w:rsidRPr="00E52047">
              <w:rPr>
                <w:b/>
                <w:snapToGrid w:val="0"/>
                <w:szCs w:val="24"/>
              </w:rPr>
              <w:t>Sub-category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A4593F" w14:textId="45350C4D" w:rsidR="002B2E1C" w:rsidRDefault="002B2E1C" w:rsidP="002B2E1C">
            <w:pPr>
              <w:rPr>
                <w:b/>
                <w:snapToGrid w:val="0"/>
                <w:szCs w:val="24"/>
              </w:rPr>
            </w:pPr>
            <w:r w:rsidRPr="001102CD">
              <w:rPr>
                <w:b/>
                <w:lang w:eastAsia="en-AU"/>
              </w:rPr>
              <w:t>Identifier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A2F1E74" w14:textId="218C58C2" w:rsidR="002B2E1C" w:rsidRDefault="002B2E1C" w:rsidP="002B2E1C">
            <w:pPr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Sales Data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91ED40" w14:textId="72E4BA6B" w:rsidR="002B2E1C" w:rsidRDefault="002B2E1C" w:rsidP="002B2E1C">
            <w:pPr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Cost Data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D97F1B" w14:textId="0996F787" w:rsidR="002B2E1C" w:rsidRDefault="002B2E1C" w:rsidP="002B2E1C">
            <w:pPr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Key</w:t>
            </w:r>
          </w:p>
          <w:p w14:paraId="38A44C2E" w14:textId="7FA2AAA4" w:rsidR="002B2E1C" w:rsidRPr="00E52047" w:rsidRDefault="002B2E1C" w:rsidP="002B2E1C">
            <w:pPr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Category</w:t>
            </w:r>
          </w:p>
        </w:tc>
      </w:tr>
      <w:tr w:rsidR="002B2E1C" w:rsidRPr="00E52047" w14:paraId="38A44C34" w14:textId="77777777" w:rsidTr="002B2E1C">
        <w:trPr>
          <w:trHeight w:val="190"/>
          <w:jc w:val="center"/>
        </w:trPr>
        <w:tc>
          <w:tcPr>
            <w:tcW w:w="704" w:type="dxa"/>
            <w:vMerge w:val="restart"/>
          </w:tcPr>
          <w:p w14:paraId="7BA5D75D" w14:textId="2E96CC3A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1</w:t>
            </w:r>
          </w:p>
          <w:p w14:paraId="0D4A712B" w14:textId="6FF886F4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8A44C30" w14:textId="163E6279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B2E1C">
              <w:rPr>
                <w:lang w:eastAsia="en-AU"/>
              </w:rPr>
              <w:t>Production method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A44C32" w14:textId="59241E09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Cast</w:t>
            </w:r>
          </w:p>
        </w:tc>
        <w:tc>
          <w:tcPr>
            <w:tcW w:w="1417" w:type="dxa"/>
          </w:tcPr>
          <w:p w14:paraId="1BD215E7" w14:textId="1F25BF24" w:rsid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1102CD">
              <w:rPr>
                <w:lang w:eastAsia="en-AU"/>
              </w:rPr>
              <w:t>C</w:t>
            </w:r>
          </w:p>
        </w:tc>
        <w:tc>
          <w:tcPr>
            <w:tcW w:w="1418" w:type="dxa"/>
            <w:vMerge w:val="restart"/>
          </w:tcPr>
          <w:p w14:paraId="717E3D7B" w14:textId="22916488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870E3">
              <w:rPr>
                <w:snapToGrid w:val="0"/>
                <w:szCs w:val="24"/>
              </w:rPr>
              <w:t>Mandatory</w:t>
            </w:r>
          </w:p>
        </w:tc>
        <w:tc>
          <w:tcPr>
            <w:tcW w:w="1276" w:type="dxa"/>
            <w:vMerge w:val="restart"/>
          </w:tcPr>
          <w:p w14:paraId="0B5FFA33" w14:textId="290F0D5C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870E3">
              <w:rPr>
                <w:snapToGrid w:val="0"/>
                <w:szCs w:val="24"/>
              </w:rPr>
              <w:t>Mandatory</w:t>
            </w:r>
          </w:p>
        </w:tc>
        <w:tc>
          <w:tcPr>
            <w:tcW w:w="1701" w:type="dxa"/>
            <w:vMerge w:val="restart"/>
          </w:tcPr>
          <w:p w14:paraId="38A44C33" w14:textId="7747609A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Yes</w:t>
            </w:r>
          </w:p>
        </w:tc>
      </w:tr>
      <w:tr w:rsidR="002B2E1C" w:rsidRPr="00E52047" w14:paraId="11EE0F33" w14:textId="77777777" w:rsidTr="002B2E1C">
        <w:trPr>
          <w:trHeight w:val="157"/>
          <w:jc w:val="center"/>
        </w:trPr>
        <w:tc>
          <w:tcPr>
            <w:tcW w:w="704" w:type="dxa"/>
            <w:vMerge/>
          </w:tcPr>
          <w:p w14:paraId="4858512C" w14:textId="596E4B30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76" w:type="dxa"/>
            <w:vMerge/>
          </w:tcPr>
          <w:p w14:paraId="7F2ED980" w14:textId="6834FD47" w:rsidR="002B2E1C" w:rsidRPr="002B2E1C" w:rsidRDefault="002B2E1C" w:rsidP="002B2E1C">
            <w:pPr>
              <w:rPr>
                <w:snapToGrid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5AFF82" w14:textId="2018373C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F</w:t>
            </w:r>
            <w:r>
              <w:rPr>
                <w:snapToGrid w:val="0"/>
                <w:szCs w:val="24"/>
              </w:rPr>
              <w:t>orged</w:t>
            </w:r>
          </w:p>
        </w:tc>
        <w:tc>
          <w:tcPr>
            <w:tcW w:w="1417" w:type="dxa"/>
          </w:tcPr>
          <w:p w14:paraId="44A50A94" w14:textId="06228167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1102CD">
              <w:rPr>
                <w:lang w:eastAsia="en-AU"/>
              </w:rPr>
              <w:t>F</w:t>
            </w:r>
          </w:p>
        </w:tc>
        <w:tc>
          <w:tcPr>
            <w:tcW w:w="1418" w:type="dxa"/>
            <w:vMerge/>
          </w:tcPr>
          <w:p w14:paraId="45890F38" w14:textId="2F2DA735" w:rsidR="002B2E1C" w:rsidRPr="002B2E1C" w:rsidRDefault="002B2E1C" w:rsidP="002B2E1C">
            <w:pPr>
              <w:rPr>
                <w:snapToGrid w:val="0"/>
                <w:szCs w:val="24"/>
              </w:rPr>
            </w:pPr>
          </w:p>
        </w:tc>
        <w:tc>
          <w:tcPr>
            <w:tcW w:w="1276" w:type="dxa"/>
            <w:vMerge/>
          </w:tcPr>
          <w:p w14:paraId="6F80AC11" w14:textId="5F435B9E" w:rsidR="002B2E1C" w:rsidRPr="002B2E1C" w:rsidRDefault="002B2E1C" w:rsidP="002B2E1C">
            <w:pPr>
              <w:rPr>
                <w:snapToGrid w:val="0"/>
                <w:szCs w:val="24"/>
              </w:rPr>
            </w:pPr>
          </w:p>
        </w:tc>
        <w:tc>
          <w:tcPr>
            <w:tcW w:w="1701" w:type="dxa"/>
            <w:vMerge/>
          </w:tcPr>
          <w:p w14:paraId="1508E962" w14:textId="4C839890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</w:p>
        </w:tc>
      </w:tr>
      <w:tr w:rsidR="002B2E1C" w:rsidRPr="00E52047" w14:paraId="38A44C39" w14:textId="77777777" w:rsidTr="002B2E1C">
        <w:trPr>
          <w:trHeight w:val="190"/>
          <w:jc w:val="center"/>
        </w:trPr>
        <w:tc>
          <w:tcPr>
            <w:tcW w:w="704" w:type="dxa"/>
          </w:tcPr>
          <w:p w14:paraId="70EF0D89" w14:textId="2B44E026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2</w:t>
            </w:r>
          </w:p>
        </w:tc>
        <w:tc>
          <w:tcPr>
            <w:tcW w:w="1276" w:type="dxa"/>
          </w:tcPr>
          <w:p w14:paraId="38A44C35" w14:textId="6DC10476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B2E1C">
              <w:rPr>
                <w:lang w:eastAsia="en-AU"/>
              </w:rPr>
              <w:t>Diameter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A44C37" w14:textId="6E12FDEF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lang w:eastAsia="en-AU"/>
              </w:rPr>
              <w:t>Diameter in mm</w:t>
            </w:r>
          </w:p>
        </w:tc>
        <w:tc>
          <w:tcPr>
            <w:tcW w:w="1417" w:type="dxa"/>
          </w:tcPr>
          <w:p w14:paraId="6F18CB50" w14:textId="010731E5" w:rsid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1102CD">
              <w:rPr>
                <w:lang w:eastAsia="en-AU"/>
              </w:rPr>
              <w:t>###</w:t>
            </w:r>
            <w:r>
              <w:rPr>
                <w:rStyle w:val="FootnoteReference"/>
                <w:lang w:eastAsia="en-AU"/>
              </w:rPr>
              <w:footnoteReference w:id="2"/>
            </w:r>
          </w:p>
        </w:tc>
        <w:tc>
          <w:tcPr>
            <w:tcW w:w="1418" w:type="dxa"/>
          </w:tcPr>
          <w:p w14:paraId="6CBD844D" w14:textId="61E10688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Mandatory</w:t>
            </w:r>
          </w:p>
        </w:tc>
        <w:tc>
          <w:tcPr>
            <w:tcW w:w="1276" w:type="dxa"/>
          </w:tcPr>
          <w:p w14:paraId="657E8594" w14:textId="01AD2334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Mandatory</w:t>
            </w:r>
          </w:p>
        </w:tc>
        <w:tc>
          <w:tcPr>
            <w:tcW w:w="1701" w:type="dxa"/>
          </w:tcPr>
          <w:p w14:paraId="38A44C38" w14:textId="0226D244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Yes</w:t>
            </w:r>
          </w:p>
        </w:tc>
      </w:tr>
      <w:tr w:rsidR="002B2E1C" w:rsidRPr="00E52047" w14:paraId="38A44C3E" w14:textId="77777777" w:rsidTr="002B2E1C">
        <w:trPr>
          <w:trHeight w:val="190"/>
          <w:jc w:val="center"/>
        </w:trPr>
        <w:tc>
          <w:tcPr>
            <w:tcW w:w="704" w:type="dxa"/>
          </w:tcPr>
          <w:p w14:paraId="54C647E9" w14:textId="4C3787C6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3</w:t>
            </w:r>
          </w:p>
        </w:tc>
        <w:tc>
          <w:tcPr>
            <w:tcW w:w="1276" w:type="dxa"/>
          </w:tcPr>
          <w:p w14:paraId="38A44C3A" w14:textId="31C5669E" w:rsidR="002B2E1C" w:rsidRPr="002B2E1C" w:rsidRDefault="002B2E1C" w:rsidP="002B2E1C">
            <w:pPr>
              <w:rPr>
                <w:lang w:eastAsia="en-AU"/>
              </w:rPr>
            </w:pPr>
            <w:r w:rsidRPr="002B2E1C">
              <w:rPr>
                <w:lang w:eastAsia="en-AU"/>
              </w:rPr>
              <w:t>Product code</w:t>
            </w:r>
          </w:p>
        </w:tc>
        <w:tc>
          <w:tcPr>
            <w:tcW w:w="1701" w:type="dxa"/>
          </w:tcPr>
          <w:p w14:paraId="38A44C3C" w14:textId="163355E4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2B2E1C">
              <w:rPr>
                <w:lang w:eastAsia="en-AU"/>
              </w:rPr>
              <w:t>Internal grade/model</w:t>
            </w:r>
          </w:p>
        </w:tc>
        <w:tc>
          <w:tcPr>
            <w:tcW w:w="1417" w:type="dxa"/>
          </w:tcPr>
          <w:p w14:paraId="40EE0E0E" w14:textId="30B69F97" w:rsidR="002B2E1C" w:rsidRDefault="002B2E1C" w:rsidP="002B2E1C">
            <w:pPr>
              <w:jc w:val="center"/>
              <w:rPr>
                <w:snapToGrid w:val="0"/>
                <w:szCs w:val="24"/>
              </w:rPr>
            </w:pPr>
            <w:r w:rsidRPr="001102CD">
              <w:rPr>
                <w:lang w:eastAsia="en-AU"/>
              </w:rPr>
              <w:t>###</w:t>
            </w:r>
            <w:r>
              <w:rPr>
                <w:rStyle w:val="FootnoteReference"/>
                <w:lang w:eastAsia="en-AU"/>
              </w:rPr>
              <w:footnoteReference w:id="3"/>
            </w:r>
          </w:p>
        </w:tc>
        <w:tc>
          <w:tcPr>
            <w:tcW w:w="1418" w:type="dxa"/>
          </w:tcPr>
          <w:p w14:paraId="06EE824B" w14:textId="10C46CC5" w:rsidR="002B2E1C" w:rsidRPr="002B2E1C" w:rsidRDefault="002B2E1C" w:rsidP="002B2E1C">
            <w:pPr>
              <w:rPr>
                <w:snapToGrid w:val="0"/>
                <w:szCs w:val="24"/>
              </w:rPr>
            </w:pPr>
            <w:r w:rsidRPr="002B2E1C">
              <w:rPr>
                <w:snapToGrid w:val="0"/>
                <w:szCs w:val="24"/>
              </w:rPr>
              <w:t>Mandatory</w:t>
            </w:r>
          </w:p>
        </w:tc>
        <w:tc>
          <w:tcPr>
            <w:tcW w:w="1276" w:type="dxa"/>
          </w:tcPr>
          <w:p w14:paraId="1672D523" w14:textId="3DEE1E7A" w:rsidR="002B2E1C" w:rsidRPr="002B2E1C" w:rsidRDefault="002B2E1C" w:rsidP="002B2E1C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Optional </w:t>
            </w:r>
          </w:p>
        </w:tc>
        <w:tc>
          <w:tcPr>
            <w:tcW w:w="1701" w:type="dxa"/>
          </w:tcPr>
          <w:p w14:paraId="38A44C3D" w14:textId="3A20CCEF" w:rsidR="002B2E1C" w:rsidRPr="002B2E1C" w:rsidRDefault="002B2E1C" w:rsidP="002B2E1C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No</w:t>
            </w:r>
          </w:p>
        </w:tc>
      </w:tr>
    </w:tbl>
    <w:p w14:paraId="38A44C3F" w14:textId="77777777" w:rsidR="00E52047" w:rsidRPr="00E52047" w:rsidRDefault="00E52047" w:rsidP="00E52047">
      <w:pPr>
        <w:rPr>
          <w:snapToGrid w:val="0"/>
          <w:szCs w:val="24"/>
        </w:rPr>
      </w:pPr>
    </w:p>
    <w:p w14:paraId="38A44C40" w14:textId="0934C9FC" w:rsidR="00E52047" w:rsidRPr="00883C4E" w:rsidRDefault="00E52047" w:rsidP="00E52047">
      <w:pPr>
        <w:rPr>
          <w:snapToGrid w:val="0"/>
          <w:color w:val="FF0000"/>
          <w:szCs w:val="24"/>
        </w:rPr>
      </w:pPr>
      <w:r w:rsidRPr="00E52047">
        <w:rPr>
          <w:snapToGrid w:val="0"/>
          <w:szCs w:val="24"/>
        </w:rPr>
        <w:t xml:space="preserve">In constructing a MCC, use a "-" between each category. For example: </w:t>
      </w:r>
      <w:r w:rsidR="00F61C6E">
        <w:rPr>
          <w:snapToGrid w:val="0"/>
          <w:color w:val="FF0000"/>
          <w:szCs w:val="24"/>
        </w:rPr>
        <w:t>F-25</w:t>
      </w:r>
      <w:r w:rsidR="001A4717">
        <w:rPr>
          <w:snapToGrid w:val="0"/>
          <w:color w:val="FF0000"/>
          <w:szCs w:val="24"/>
        </w:rPr>
        <w:t>-B2</w:t>
      </w:r>
    </w:p>
    <w:p w14:paraId="38A44C41" w14:textId="77777777" w:rsidR="00E52047" w:rsidRDefault="00E52047" w:rsidP="00E52047">
      <w:pPr>
        <w:rPr>
          <w:snapToGrid w:val="0"/>
          <w:szCs w:val="24"/>
        </w:rPr>
      </w:pPr>
    </w:p>
    <w:p w14:paraId="38A44C42" w14:textId="77777777" w:rsidR="00E52047" w:rsidRPr="00B273A2" w:rsidRDefault="00E52047" w:rsidP="00E52047"/>
    <w:p w14:paraId="38A44C43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38A44C44" w14:textId="77777777" w:rsidR="006A76C5" w:rsidRPr="00B273A2" w:rsidRDefault="006A76C5" w:rsidP="00E52047"/>
    <w:p w14:paraId="38A44C45" w14:textId="4A5A9FA3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 </w:t>
      </w:r>
      <w:r w:rsidR="0029670C">
        <w:t xml:space="preserve">grinding balls </w:t>
      </w:r>
      <w:r w:rsidRPr="00B273A2">
        <w:t xml:space="preserve">for the </w:t>
      </w:r>
      <w:r w:rsidR="008C1015" w:rsidRPr="00B273A2">
        <w:t xml:space="preserve">period </w:t>
      </w:r>
      <w:r w:rsidR="001A4717">
        <w:rPr>
          <w:b/>
        </w:rPr>
        <w:t>1 July 2021 to 30 June 2022</w:t>
      </w:r>
      <w:r w:rsidR="00371521">
        <w:rPr>
          <w:b/>
        </w:rPr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A879AD">
        <w:t>‘</w:t>
      </w:r>
      <w:r w:rsidR="008C1015" w:rsidRPr="00B273A2">
        <w:t>Part B – Cost to import and sell</w:t>
      </w:r>
      <w:r w:rsidR="00A879AD">
        <w:t>’ spreadsheet included in the ‘</w:t>
      </w:r>
      <w:r w:rsidR="0029670C">
        <w:t xml:space="preserve">Grinding Balls </w:t>
      </w:r>
      <w:r w:rsidR="008C1015" w:rsidRPr="00B273A2">
        <w:t>Importer Questionnaire Spreadshee</w:t>
      </w:r>
      <w:r w:rsidR="00A879AD">
        <w:t>ts’</w:t>
      </w:r>
      <w:r w:rsidR="00BC2AAF" w:rsidRPr="00B273A2">
        <w:t xml:space="preserve"> workbook</w:t>
      </w:r>
      <w:r w:rsidR="008C1015" w:rsidRPr="00B273A2">
        <w:t>.</w:t>
      </w:r>
    </w:p>
    <w:p w14:paraId="38A44C46" w14:textId="77777777" w:rsidR="008C1015" w:rsidRPr="00B273A2" w:rsidRDefault="008C1015" w:rsidP="00E52047"/>
    <w:p w14:paraId="38A44C47" w14:textId="77777777" w:rsidR="006A76C5" w:rsidRPr="00B273A2" w:rsidRDefault="006A76C5" w:rsidP="00E52047">
      <w:r w:rsidRPr="00B273A2">
        <w:t>These expenses are normally derived from profit and loss statements or other management records and are typically expressed as a percentage of sales revenue.  Where</w:t>
      </w:r>
      <w:r w:rsidR="0029670C">
        <w:t xml:space="preserve"> grinding balls</w:t>
      </w:r>
      <w:r w:rsidRPr="00B273A2">
        <w:t xml:space="preserve"> is only a part of overall company sales, allocations of selling, general and administrative expenses may have to be made.</w:t>
      </w:r>
    </w:p>
    <w:p w14:paraId="38A44C48" w14:textId="77777777" w:rsidR="00F02047" w:rsidRDefault="00F02047" w:rsidP="00E52047">
      <w:pPr>
        <w:rPr>
          <w:rFonts w:cs="Arial"/>
        </w:rPr>
      </w:pPr>
    </w:p>
    <w:p w14:paraId="38A44C49" w14:textId="3E76E7AF" w:rsidR="00E52047" w:rsidRDefault="00F02047" w:rsidP="00E52047">
      <w:pPr>
        <w:rPr>
          <w:rFonts w:cs="Arial"/>
        </w:rPr>
      </w:pPr>
      <w:r>
        <w:rPr>
          <w:rFonts w:cs="Arial"/>
        </w:rPr>
        <w:t xml:space="preserve">The </w:t>
      </w:r>
      <w:r w:rsidR="00A879AD">
        <w:rPr>
          <w:rFonts w:cs="Arial"/>
        </w:rPr>
        <w:t>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38A44C4A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38A44C4B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38A44C4C" w14:textId="01133A14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</w:t>
      </w:r>
      <w:r w:rsidRPr="00F773DA">
        <w:rPr>
          <w:rFonts w:cs="Arial"/>
        </w:rPr>
        <w:t xml:space="preserve">by </w:t>
      </w:r>
      <w:r w:rsidR="00A879AD">
        <w:rPr>
          <w:rFonts w:cs="Arial"/>
          <w:b/>
        </w:rPr>
        <w:t>17 August 2022</w:t>
      </w:r>
      <w:r w:rsidRPr="00F773DA">
        <w:rPr>
          <w:rFonts w:cs="Arial"/>
        </w:rPr>
        <w:t xml:space="preserve"> </w:t>
      </w:r>
    </w:p>
    <w:p w14:paraId="38A44C4D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38A44C4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38A44C4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38A44C50" w14:textId="73C48622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 xml:space="preserve">the </w:t>
      </w:r>
      <w:r w:rsidR="00A879AD">
        <w:rPr>
          <w:rFonts w:cs="Arial"/>
        </w:rPr>
        <w:t>commission</w:t>
      </w:r>
    </w:p>
    <w:p w14:paraId="38A44C51" w14:textId="0D38F5B3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A879AD">
        <w:rPr>
          <w:rFonts w:cs="Arial"/>
          <w:b/>
        </w:rPr>
        <w:t>16 September 2022</w:t>
      </w:r>
    </w:p>
    <w:p w14:paraId="38A44C52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8A44C53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38A44C54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38A44C55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38A44C5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38A44C5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38A44C58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38A44C5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38A44C5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38A44C5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8A44C5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38A44C5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38A44C5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38A44C5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38A44C60" w14:textId="77777777" w:rsidR="007103C6" w:rsidRDefault="007103C6"/>
    <w:sectPr w:rsidR="007103C6" w:rsidSect="00E52047">
      <w:headerReference w:type="first" r:id="rId14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44C64" w14:textId="77777777" w:rsidR="00F8799B" w:rsidRDefault="00F8799B">
      <w:r>
        <w:separator/>
      </w:r>
    </w:p>
  </w:endnote>
  <w:endnote w:type="continuationSeparator" w:id="0">
    <w:p w14:paraId="38A44C65" w14:textId="77777777" w:rsidR="00F8799B" w:rsidRDefault="00F8799B">
      <w:r>
        <w:continuationSeparator/>
      </w:r>
    </w:p>
  </w:endnote>
  <w:endnote w:type="continuationNotice" w:id="1">
    <w:p w14:paraId="38A44C66" w14:textId="77777777" w:rsidR="00F8799B" w:rsidRDefault="00F87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44C61" w14:textId="77777777" w:rsidR="00F8799B" w:rsidRDefault="00F8799B">
      <w:r>
        <w:separator/>
      </w:r>
    </w:p>
  </w:footnote>
  <w:footnote w:type="continuationSeparator" w:id="0">
    <w:p w14:paraId="38A44C62" w14:textId="77777777" w:rsidR="00F8799B" w:rsidRDefault="00F8799B">
      <w:r>
        <w:continuationSeparator/>
      </w:r>
    </w:p>
  </w:footnote>
  <w:footnote w:type="continuationNotice" w:id="1">
    <w:p w14:paraId="38A44C63" w14:textId="77777777" w:rsidR="00F8799B" w:rsidRDefault="00F8799B"/>
  </w:footnote>
  <w:footnote w:id="2">
    <w:p w14:paraId="0C11D6C4" w14:textId="5DD33CCC" w:rsidR="002B2E1C" w:rsidRDefault="002B2E1C">
      <w:pPr>
        <w:pStyle w:val="FootnoteText"/>
      </w:pPr>
      <w:r>
        <w:rPr>
          <w:rStyle w:val="FootnoteReference"/>
        </w:rPr>
        <w:footnoteRef/>
      </w:r>
      <w:r>
        <w:t xml:space="preserve"> Use a separate identifier for each diameter, e.g. 25mm, 30mm 35mm etc. The </w:t>
      </w:r>
      <w:r w:rsidR="00A879AD">
        <w:t>commission</w:t>
      </w:r>
      <w:r>
        <w:t xml:space="preserve"> may group certain categories of diameter in formulating a final MCC.</w:t>
      </w:r>
    </w:p>
  </w:footnote>
  <w:footnote w:id="3">
    <w:p w14:paraId="390850A6" w14:textId="77777777" w:rsidR="002B2E1C" w:rsidRDefault="002B2E1C" w:rsidP="002B2E1C">
      <w:pPr>
        <w:pStyle w:val="FootnoteText"/>
      </w:pPr>
      <w:r>
        <w:rPr>
          <w:rStyle w:val="FootnoteReference"/>
        </w:rPr>
        <w:footnoteRef/>
      </w:r>
      <w:r>
        <w:t xml:space="preserve"> The ‘product code’ category, if applicable, refers to the company’s internal identifier for the model, grade or type of the goods, differentiated by the chemical composition of the grinding ball. </w:t>
      </w:r>
    </w:p>
    <w:p w14:paraId="69153258" w14:textId="48A33575" w:rsidR="002B2E1C" w:rsidRDefault="002B2E1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4C67" w14:textId="77777777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ja-JP"/>
      </w:rPr>
      <w:drawing>
        <wp:anchor distT="0" distB="0" distL="114300" distR="114300" simplePos="0" relativeHeight="251659776" behindDoc="0" locked="0" layoutInCell="1" allowOverlap="1" wp14:anchorId="38A44C6A" wp14:editId="28FD7A0B">
          <wp:simplePos x="0" y="0"/>
          <wp:positionH relativeFrom="page">
            <wp:posOffset>734155</wp:posOffset>
          </wp:positionH>
          <wp:positionV relativeFrom="paragraph">
            <wp:posOffset>326577</wp:posOffset>
          </wp:positionV>
          <wp:extent cx="6236335" cy="11195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OFFICIAL</w:t>
    </w:r>
    <w:r w:rsidR="00E26DDA">
      <w:rPr>
        <w:b/>
        <w:color w:val="FF0000"/>
      </w:rPr>
      <w:t>: 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9B"/>
    <w:rsid w:val="00065D0F"/>
    <w:rsid w:val="00072DA4"/>
    <w:rsid w:val="000A36CB"/>
    <w:rsid w:val="000B47FC"/>
    <w:rsid w:val="000D4093"/>
    <w:rsid w:val="0014303F"/>
    <w:rsid w:val="001662DF"/>
    <w:rsid w:val="001A4717"/>
    <w:rsid w:val="00283B91"/>
    <w:rsid w:val="0029670C"/>
    <w:rsid w:val="002B2E1C"/>
    <w:rsid w:val="002B3DF2"/>
    <w:rsid w:val="002B4622"/>
    <w:rsid w:val="002E46C1"/>
    <w:rsid w:val="002E547B"/>
    <w:rsid w:val="00312A90"/>
    <w:rsid w:val="003323A4"/>
    <w:rsid w:val="0036703D"/>
    <w:rsid w:val="00371521"/>
    <w:rsid w:val="003A7117"/>
    <w:rsid w:val="003B6073"/>
    <w:rsid w:val="003E44D2"/>
    <w:rsid w:val="0040120D"/>
    <w:rsid w:val="00413985"/>
    <w:rsid w:val="0041439D"/>
    <w:rsid w:val="0048221E"/>
    <w:rsid w:val="00516BA4"/>
    <w:rsid w:val="0053779E"/>
    <w:rsid w:val="005A4147"/>
    <w:rsid w:val="005D0F70"/>
    <w:rsid w:val="006508CA"/>
    <w:rsid w:val="006629FD"/>
    <w:rsid w:val="006A76C5"/>
    <w:rsid w:val="006B43A5"/>
    <w:rsid w:val="00704368"/>
    <w:rsid w:val="007103C6"/>
    <w:rsid w:val="00756E0A"/>
    <w:rsid w:val="00760074"/>
    <w:rsid w:val="00770AF7"/>
    <w:rsid w:val="007822BC"/>
    <w:rsid w:val="00802C97"/>
    <w:rsid w:val="00833D82"/>
    <w:rsid w:val="00883C4E"/>
    <w:rsid w:val="00895EA0"/>
    <w:rsid w:val="008B27BB"/>
    <w:rsid w:val="008C1015"/>
    <w:rsid w:val="008C2536"/>
    <w:rsid w:val="0092234C"/>
    <w:rsid w:val="00924D03"/>
    <w:rsid w:val="00952D4C"/>
    <w:rsid w:val="0098356B"/>
    <w:rsid w:val="009D72DA"/>
    <w:rsid w:val="009F5D8E"/>
    <w:rsid w:val="00A2076C"/>
    <w:rsid w:val="00A673FF"/>
    <w:rsid w:val="00A879AD"/>
    <w:rsid w:val="00AA2AAE"/>
    <w:rsid w:val="00AA4FA1"/>
    <w:rsid w:val="00AF735F"/>
    <w:rsid w:val="00B249FC"/>
    <w:rsid w:val="00B273A2"/>
    <w:rsid w:val="00B33419"/>
    <w:rsid w:val="00B3481A"/>
    <w:rsid w:val="00B46B79"/>
    <w:rsid w:val="00B63B79"/>
    <w:rsid w:val="00BA3EA1"/>
    <w:rsid w:val="00BA6A2C"/>
    <w:rsid w:val="00BC2AAF"/>
    <w:rsid w:val="00BF1C5D"/>
    <w:rsid w:val="00C372B1"/>
    <w:rsid w:val="00C42442"/>
    <w:rsid w:val="00C72ABC"/>
    <w:rsid w:val="00C802E7"/>
    <w:rsid w:val="00CA7FB5"/>
    <w:rsid w:val="00CB4DCB"/>
    <w:rsid w:val="00D07DDF"/>
    <w:rsid w:val="00D70A70"/>
    <w:rsid w:val="00D822EC"/>
    <w:rsid w:val="00DD6ABF"/>
    <w:rsid w:val="00E15721"/>
    <w:rsid w:val="00E23A23"/>
    <w:rsid w:val="00E26DDA"/>
    <w:rsid w:val="00E3072B"/>
    <w:rsid w:val="00E52047"/>
    <w:rsid w:val="00E62B9C"/>
    <w:rsid w:val="00E672F1"/>
    <w:rsid w:val="00E94327"/>
    <w:rsid w:val="00EA7141"/>
    <w:rsid w:val="00F02047"/>
    <w:rsid w:val="00F123D3"/>
    <w:rsid w:val="00F61C6E"/>
    <w:rsid w:val="00F773DA"/>
    <w:rsid w:val="00F8799B"/>
    <w:rsid w:val="00FF1D9F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8A44B00"/>
  <w15:docId w15:val="{2B5E2E5B-B426-4DFE-8797-66E9211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FootnoteText">
    <w:name w:val="footnote text"/>
    <w:aliases w:val="fn,Footnotes,Footnote ak,ft,fn cafc,fn Char,footnote text Char,Footnotes Char,Footnote ak Char,footnote citation,ALTS FOOTNOTE,Footnote Text Char1 Char,Footnote Text Char Char Char,Footnotes Char Char,Cha,f,C,footnote text"/>
    <w:basedOn w:val="Normal"/>
    <w:link w:val="FootnoteTextChar"/>
    <w:qFormat/>
    <w:rsid w:val="002B2E1C"/>
    <w:rPr>
      <w:sz w:val="20"/>
    </w:rPr>
  </w:style>
  <w:style w:type="character" w:customStyle="1" w:styleId="FootnoteTextChar">
    <w:name w:val="Footnote Text Char"/>
    <w:aliases w:val="fn Char1,Footnotes Char1,Footnote ak Char1,ft Char,fn cafc Char,fn Char Char,footnote text Char Char,Footnotes Char Char1,Footnote ak Char Char,footnote citation Char,ALTS FOOTNOTE Char,Footnote Text Char1 Char Char,Cha Char,f Char"/>
    <w:basedOn w:val="DefaultParagraphFont"/>
    <w:link w:val="FootnoteText"/>
    <w:rsid w:val="002B2E1C"/>
    <w:rPr>
      <w:rFonts w:ascii="Arial" w:hAnsi="Arial"/>
      <w:lang w:eastAsia="en-US"/>
    </w:rPr>
  </w:style>
  <w:style w:type="character" w:styleId="FootnoteReference">
    <w:name w:val="footnote reference"/>
    <w:aliases w:val="Ref,de nota al pie,註腳內容,Footnote Reference1,Ref1,de nota al pie1,de nota al pie + (Asian) MS Mincho,11 pt,註?腳內—e"/>
    <w:rsid w:val="002B2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047d1268-f997-4a4d-952b-05070d774fdf</TermId>
        </TermInfo>
      </Terms>
    </a9e5005df30c49b59c550e68528fb7bc>
    <g7bcb40ba23249a78edca7d43a67c1c9 xmlns="5d55e9dd-4cea-4593-8805-904a126b9efb">
      <Terms xmlns="http://schemas.microsoft.com/office/infopath/2007/PartnerControls"/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TaxCatchAll xmlns="5d55e9dd-4cea-4593-8805-904a126b9efb">
      <Value>215</Value>
      <Value>397</Value>
      <Value>1092</Value>
      <Value>3</Value>
      <Value>206</Value>
      <Value>4013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X37KMNPMRHAR-1962041061-14746</_dlc_DocId>
    <_dlc_DocIdUrl xmlns="5d55e9dd-4cea-4593-8805-904a126b9efb">
      <Url>https://dochub/div/antidumpingcommission/businessfunctions/operations/steelproducts/reviewsrevocations/_layouts/15/DocIdRedir.aspx?ID=X37KMNPMRHAR-1962041061-14746</Url>
      <Description>X37KMNPMRHAR-1962041061-14746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>Importer</TermName>
          <TermId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Grinding balls</TermName>
          <TermId xmlns="http://schemas.microsoft.com/office/infopath/2007/PartnerControls">3fb8667d-43ba-4a07-b3c9-b15805958341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e5aaaeab-6b4a-47fa-858c-4a464c0eabcc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608</DocHub_Case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61" ma:contentTypeDescription="Create a new document." ma:contentTypeScope="" ma:versionID="10c95a181535729fa60c1f056f9836c7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db764f953a657c485898411f39dd1466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E82A-336A-408D-BD65-5CE952E65BA5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55e9dd-4cea-4593-8805-904a126b9e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762416-01ED-4493-9D4D-AD0D80F657A6}"/>
</file>

<file path=customXml/itemProps5.xml><?xml version="1.0" encoding="utf-8"?>
<ds:datastoreItem xmlns:ds="http://schemas.openxmlformats.org/officeDocument/2006/customXml" ds:itemID="{6624B2B5-2497-4ABB-8507-B89DB897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Cuizon, Estelita</dc:creator>
  <cp:lastModifiedBy>Williams, Matthew</cp:lastModifiedBy>
  <cp:revision>10</cp:revision>
  <cp:lastPrinted>2004-01-29T06:40:00Z</cp:lastPrinted>
  <dcterms:created xsi:type="dcterms:W3CDTF">2022-06-21T01:10:00Z</dcterms:created>
  <dcterms:modified xsi:type="dcterms:W3CDTF">2022-08-09T05:35:00Z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0x010100EFB0928508B3494FADD6F81036234106</vt:lpwstr>
  </property>
  <property fmtid="{D5CDD505-2E9C-101B-9397-08002B2CF9AE}" pid="7" name="_dlc_DocIdItemGuid">
    <vt:lpwstr>e8e6adc8-53c2-4f7a-8754-6cfce4efac39</vt:lpwstr>
  </property>
  <property fmtid="{D5CDD505-2E9C-101B-9397-08002B2CF9AE}" pid="8" name="DocHub_Year">
    <vt:lpwstr>4013;#2022|4a777a70-2aa9-481e-a746-cca47d761c8e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3;#OFFICIAL|6106d03b-a1a0-4e30-9d91-d5e9fb4314f9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215;#Grinding balls|3fb8667d-43ba-4a07-b3c9-b15805958341</vt:lpwstr>
  </property>
  <property fmtid="{D5CDD505-2E9C-101B-9397-08002B2CF9AE}" pid="21" name="DocHub_Country">
    <vt:lpwstr>397;#China|e5aaaeab-6b4a-47fa-858c-4a464c0eabcc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