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08A5" w14:textId="77777777" w:rsidR="00CB4DCB" w:rsidRPr="00B273A2" w:rsidRDefault="00CB4DCB" w:rsidP="00B273A2"/>
    <w:p w14:paraId="687608A6" w14:textId="77777777" w:rsidR="006A76C5" w:rsidRPr="00B273A2" w:rsidRDefault="006A76C5" w:rsidP="00B273A2">
      <w:pPr>
        <w:pStyle w:val="Title"/>
        <w:rPr>
          <w:sz w:val="44"/>
        </w:rPr>
      </w:pPr>
      <w:r w:rsidRPr="00B273A2">
        <w:rPr>
          <w:sz w:val="44"/>
        </w:rPr>
        <w:t>IMPORTER QUESTIONNAIRE</w:t>
      </w:r>
    </w:p>
    <w:p w14:paraId="687608A7" w14:textId="77777777" w:rsidR="006A76C5" w:rsidRPr="00B273A2" w:rsidRDefault="006A76C5" w:rsidP="006A76C5">
      <w:pPr>
        <w:pStyle w:val="Title"/>
        <w:jc w:val="left"/>
        <w:rPr>
          <w:sz w:val="28"/>
        </w:rPr>
      </w:pPr>
    </w:p>
    <w:p w14:paraId="687608A8" w14:textId="77777777" w:rsidR="000C4E1D" w:rsidRDefault="000C4E1D" w:rsidP="000C4E1D">
      <w:pPr>
        <w:pStyle w:val="Title"/>
        <w:rPr>
          <w:sz w:val="26"/>
        </w:rPr>
      </w:pPr>
      <w:r w:rsidRPr="000C4E1D">
        <w:rPr>
          <w:sz w:val="26"/>
        </w:rPr>
        <w:t>HOT ROLLED STRUCTURAL STEEL SECTIONS</w:t>
      </w:r>
    </w:p>
    <w:p w14:paraId="7264BBE6" w14:textId="77777777" w:rsidR="003E29AF" w:rsidRDefault="003E29AF" w:rsidP="000C4E1D">
      <w:pPr>
        <w:pStyle w:val="Title"/>
        <w:rPr>
          <w:sz w:val="26"/>
        </w:rPr>
      </w:pPr>
    </w:p>
    <w:p w14:paraId="1E1CB9A9" w14:textId="1D894857" w:rsidR="003E29AF" w:rsidRPr="000C4E1D" w:rsidRDefault="003E29AF" w:rsidP="000C4E1D">
      <w:pPr>
        <w:pStyle w:val="Title"/>
        <w:rPr>
          <w:sz w:val="26"/>
        </w:rPr>
      </w:pPr>
      <w:r>
        <w:rPr>
          <w:sz w:val="26"/>
        </w:rPr>
        <w:t>Review No. 499</w:t>
      </w:r>
    </w:p>
    <w:p w14:paraId="687608A9" w14:textId="77777777" w:rsidR="000C4E1D" w:rsidRPr="000C4E1D" w:rsidRDefault="000C4E1D" w:rsidP="000C4E1D">
      <w:pPr>
        <w:pStyle w:val="Title"/>
        <w:rPr>
          <w:sz w:val="26"/>
        </w:rPr>
      </w:pPr>
    </w:p>
    <w:p w14:paraId="687608AA" w14:textId="77777777" w:rsidR="006A76C5" w:rsidRPr="000C4E1D" w:rsidRDefault="000C4E1D" w:rsidP="000C4E1D">
      <w:pPr>
        <w:pStyle w:val="Title"/>
        <w:rPr>
          <w:sz w:val="26"/>
        </w:rPr>
      </w:pPr>
      <w:r w:rsidRPr="000C4E1D">
        <w:rPr>
          <w:sz w:val="26"/>
        </w:rPr>
        <w:t>EXPORTED TO AUSTRALIA FROM JAPAN, THE REPUBLIC OF KOREA (KOREA), TAIWAN (EXCEPT FOR EXPORTS BY FENG HSIN STEEL CO. LTD) AND THE KINGDOM OF THAILAND.</w:t>
      </w:r>
    </w:p>
    <w:p w14:paraId="687608AB" w14:textId="77777777" w:rsidR="006A76C5" w:rsidRPr="00B273A2" w:rsidRDefault="006A76C5" w:rsidP="006A76C5">
      <w:pPr>
        <w:jc w:val="both"/>
        <w:rPr>
          <w:sz w:val="16"/>
        </w:rPr>
      </w:pPr>
    </w:p>
    <w:p w14:paraId="687608AC" w14:textId="77777777" w:rsidR="000C4E1D" w:rsidRPr="000C4E1D" w:rsidRDefault="000C4E1D" w:rsidP="000C4E1D">
      <w:pPr>
        <w:jc w:val="both"/>
        <w:rPr>
          <w:lang w:val="en-US"/>
        </w:rPr>
      </w:pPr>
      <w:r w:rsidRPr="000C4E1D">
        <w:t>This questionnaire seeks information in relation to your imports and sales of hot rolled structural steel sections (HRS) exported to Australia from Japan, the Republic of Korea (Korea), Taiwan (except for exports by Feng Hsin Steel Co Ltd) and the Kingdom of Thailand (Thailand) to Australia.</w:t>
      </w:r>
      <w:r w:rsidRPr="000C4E1D">
        <w:rPr>
          <w:lang w:val="en-US"/>
        </w:rPr>
        <w:t xml:space="preserve"> </w:t>
      </w:r>
    </w:p>
    <w:p w14:paraId="687608AD" w14:textId="77777777" w:rsidR="00936F08" w:rsidRPr="00936F08" w:rsidRDefault="00936F08" w:rsidP="00936F08">
      <w:pPr>
        <w:pStyle w:val="BodyText"/>
      </w:pPr>
      <w:r w:rsidRPr="00936F08">
        <w:t>This information will be used in relation to Review 499 to examine whether the variable factors relevant to the taking of anti-dumping measures as th</w:t>
      </w:r>
      <w:bookmarkStart w:id="0" w:name="_GoBack"/>
      <w:bookmarkEnd w:id="0"/>
      <w:r w:rsidRPr="00936F08">
        <w:t xml:space="preserve">ey affect exporters from above countries generally should be varied. </w:t>
      </w:r>
    </w:p>
    <w:p w14:paraId="687608AE" w14:textId="77777777" w:rsidR="00936F08" w:rsidRPr="00936F08" w:rsidRDefault="00936F08" w:rsidP="00936F08">
      <w:pPr>
        <w:pStyle w:val="BodyText"/>
      </w:pPr>
      <w:r w:rsidRPr="00936F08">
        <w:t>The attached Anti-Dumping Notice No 2019/02 provides details of the goods under consideration, the application and the review procedures.</w:t>
      </w:r>
    </w:p>
    <w:p w14:paraId="687608AF"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687608B5" w14:textId="77777777" w:rsidTr="00D822EC">
        <w:tc>
          <w:tcPr>
            <w:tcW w:w="1134" w:type="dxa"/>
          </w:tcPr>
          <w:p w14:paraId="687608B0"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687608B1" w14:textId="77777777" w:rsidR="006A76C5" w:rsidRDefault="006A76C5" w:rsidP="00BA3EA1">
            <w:pPr>
              <w:pStyle w:val="BodyText"/>
              <w:jc w:val="left"/>
              <w:rPr>
                <w:rFonts w:cs="Arial"/>
                <w:b/>
                <w:bCs/>
                <w:sz w:val="28"/>
              </w:rPr>
            </w:pPr>
            <w:r>
              <w:rPr>
                <w:rFonts w:cs="Arial"/>
                <w:b/>
                <w:bCs/>
                <w:sz w:val="28"/>
              </w:rPr>
              <w:t>Company and overseas supplier information</w:t>
            </w:r>
          </w:p>
          <w:p w14:paraId="687608B2" w14:textId="77777777" w:rsidR="006A76C5" w:rsidRDefault="006A76C5" w:rsidP="00BA3EA1">
            <w:pPr>
              <w:pStyle w:val="BodyText"/>
              <w:jc w:val="left"/>
              <w:rPr>
                <w:rFonts w:cs="Arial"/>
                <w:b/>
                <w:bCs/>
                <w:sz w:val="28"/>
              </w:rPr>
            </w:pPr>
          </w:p>
        </w:tc>
        <w:tc>
          <w:tcPr>
            <w:tcW w:w="4252" w:type="dxa"/>
          </w:tcPr>
          <w:p w14:paraId="687608B3"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687608B4" w14:textId="77777777" w:rsidR="006A76C5" w:rsidRPr="00770AF7" w:rsidRDefault="00936F08" w:rsidP="00BA3EA1">
            <w:pPr>
              <w:pStyle w:val="BodyText"/>
              <w:rPr>
                <w:rFonts w:cs="Arial"/>
                <w:b/>
                <w:bCs/>
                <w:color w:val="FF0000"/>
                <w:sz w:val="28"/>
              </w:rPr>
            </w:pPr>
            <w:r w:rsidRPr="004059D5">
              <w:rPr>
                <w:rFonts w:cs="Arial"/>
                <w:b/>
                <w:bCs/>
                <w:color w:val="FF0000"/>
                <w:sz w:val="28"/>
              </w:rPr>
              <w:t>10 January 2019</w:t>
            </w:r>
          </w:p>
        </w:tc>
      </w:tr>
      <w:tr w:rsidR="00D822EC" w14:paraId="687608BB" w14:textId="77777777" w:rsidTr="00D822EC">
        <w:tc>
          <w:tcPr>
            <w:tcW w:w="1134" w:type="dxa"/>
          </w:tcPr>
          <w:p w14:paraId="687608B6" w14:textId="77777777" w:rsidR="00D822EC" w:rsidRDefault="00D822EC" w:rsidP="00BA3EA1">
            <w:pPr>
              <w:pStyle w:val="BodyText"/>
              <w:jc w:val="left"/>
              <w:rPr>
                <w:rFonts w:cs="Arial"/>
                <w:b/>
                <w:bCs/>
                <w:sz w:val="28"/>
                <w:u w:val="single"/>
              </w:rPr>
            </w:pPr>
            <w:r>
              <w:rPr>
                <w:rFonts w:cs="Arial"/>
                <w:b/>
                <w:bCs/>
                <w:sz w:val="28"/>
                <w:u w:val="single"/>
              </w:rPr>
              <w:t>Part B</w:t>
            </w:r>
          </w:p>
          <w:p w14:paraId="687608B7" w14:textId="77777777" w:rsidR="00D822EC" w:rsidRDefault="00D822EC" w:rsidP="00BA3EA1">
            <w:pPr>
              <w:pStyle w:val="BodyText"/>
              <w:jc w:val="left"/>
              <w:rPr>
                <w:rFonts w:cs="Arial"/>
                <w:b/>
                <w:bCs/>
                <w:sz w:val="28"/>
              </w:rPr>
            </w:pPr>
            <w:r>
              <w:rPr>
                <w:rFonts w:cs="Arial"/>
                <w:b/>
                <w:bCs/>
                <w:sz w:val="28"/>
              </w:rPr>
              <w:t xml:space="preserve"> </w:t>
            </w:r>
          </w:p>
        </w:tc>
        <w:tc>
          <w:tcPr>
            <w:tcW w:w="3119" w:type="dxa"/>
          </w:tcPr>
          <w:p w14:paraId="687608B8" w14:textId="77777777" w:rsidR="00D822EC" w:rsidRDefault="00D822EC" w:rsidP="00BA3EA1">
            <w:pPr>
              <w:pStyle w:val="BodyText"/>
              <w:jc w:val="left"/>
              <w:rPr>
                <w:rFonts w:cs="Arial"/>
                <w:b/>
                <w:bCs/>
                <w:sz w:val="28"/>
              </w:rPr>
            </w:pPr>
            <w:r>
              <w:rPr>
                <w:rFonts w:cs="Arial"/>
                <w:b/>
                <w:bCs/>
                <w:sz w:val="28"/>
              </w:rPr>
              <w:t>Imports and forward orders</w:t>
            </w:r>
          </w:p>
          <w:p w14:paraId="687608B9" w14:textId="77777777" w:rsidR="00D822EC" w:rsidRDefault="00D822EC" w:rsidP="00BA3EA1">
            <w:pPr>
              <w:pStyle w:val="BodyText"/>
              <w:jc w:val="left"/>
              <w:rPr>
                <w:rFonts w:cs="Arial"/>
                <w:b/>
                <w:bCs/>
                <w:sz w:val="28"/>
              </w:rPr>
            </w:pPr>
          </w:p>
        </w:tc>
        <w:tc>
          <w:tcPr>
            <w:tcW w:w="4252" w:type="dxa"/>
            <w:vMerge w:val="restart"/>
            <w:vAlign w:val="center"/>
          </w:tcPr>
          <w:p w14:paraId="687608BA" w14:textId="7DD08E9E" w:rsidR="00D822EC" w:rsidRDefault="00D822EC" w:rsidP="00D822EC">
            <w:pPr>
              <w:pStyle w:val="BodyText"/>
              <w:jc w:val="left"/>
              <w:rPr>
                <w:rFonts w:cs="Arial"/>
                <w:b/>
                <w:bCs/>
                <w:sz w:val="28"/>
              </w:rPr>
            </w:pPr>
            <w:bookmarkStart w:id="1" w:name="OLE_LINK1"/>
            <w:r w:rsidRPr="003E29AF">
              <w:rPr>
                <w:rFonts w:cs="Arial"/>
                <w:b/>
                <w:bCs/>
                <w:sz w:val="28"/>
              </w:rPr>
              <w:t xml:space="preserve">Return as soon as possible after receiving </w:t>
            </w:r>
            <w:r w:rsidR="00F02047" w:rsidRPr="003E29AF">
              <w:rPr>
                <w:rFonts w:cs="Arial"/>
                <w:b/>
                <w:bCs/>
                <w:sz w:val="28"/>
              </w:rPr>
              <w:t>the Commission</w:t>
            </w:r>
            <w:r w:rsidRPr="003E29AF">
              <w:rPr>
                <w:rFonts w:cs="Arial"/>
                <w:b/>
                <w:bCs/>
                <w:sz w:val="28"/>
              </w:rPr>
              <w:t xml:space="preserve">’s detailed spreadsheets but no later than </w:t>
            </w:r>
            <w:r w:rsidR="003E29AF" w:rsidRPr="003E29AF">
              <w:rPr>
                <w:rFonts w:cs="Arial"/>
                <w:b/>
                <w:bCs/>
                <w:color w:val="FF0000"/>
                <w:sz w:val="28"/>
              </w:rPr>
              <w:t>within 21 days of your receipt of the Commission’s spreadsheets of imports.</w:t>
            </w:r>
            <w:bookmarkEnd w:id="1"/>
          </w:p>
        </w:tc>
      </w:tr>
      <w:tr w:rsidR="00D822EC" w14:paraId="687608C0" w14:textId="77777777" w:rsidTr="00D822EC">
        <w:tc>
          <w:tcPr>
            <w:tcW w:w="1134" w:type="dxa"/>
          </w:tcPr>
          <w:p w14:paraId="687608BC" w14:textId="77777777" w:rsidR="00D822EC" w:rsidRDefault="00D822EC" w:rsidP="00BA3EA1">
            <w:pPr>
              <w:pStyle w:val="BodyText"/>
              <w:jc w:val="left"/>
              <w:rPr>
                <w:rFonts w:cs="Arial"/>
                <w:b/>
                <w:bCs/>
                <w:sz w:val="28"/>
                <w:u w:val="single"/>
              </w:rPr>
            </w:pPr>
            <w:r>
              <w:rPr>
                <w:rFonts w:cs="Arial"/>
                <w:b/>
                <w:bCs/>
                <w:sz w:val="28"/>
                <w:u w:val="single"/>
              </w:rPr>
              <w:t>Part C</w:t>
            </w:r>
          </w:p>
          <w:p w14:paraId="687608BD" w14:textId="77777777" w:rsidR="00D822EC" w:rsidRDefault="00D822EC" w:rsidP="00BA3EA1">
            <w:pPr>
              <w:pStyle w:val="BodyText"/>
              <w:jc w:val="left"/>
              <w:rPr>
                <w:rFonts w:cs="Arial"/>
                <w:b/>
                <w:bCs/>
                <w:sz w:val="28"/>
              </w:rPr>
            </w:pPr>
          </w:p>
        </w:tc>
        <w:tc>
          <w:tcPr>
            <w:tcW w:w="3119" w:type="dxa"/>
          </w:tcPr>
          <w:p w14:paraId="687608BE" w14:textId="77777777" w:rsidR="00D822EC" w:rsidRDefault="00D822EC" w:rsidP="00BA3EA1">
            <w:pPr>
              <w:pStyle w:val="BodyText"/>
              <w:rPr>
                <w:rFonts w:cs="Arial"/>
                <w:b/>
                <w:bCs/>
                <w:sz w:val="28"/>
              </w:rPr>
            </w:pPr>
            <w:r>
              <w:rPr>
                <w:rFonts w:cs="Arial"/>
                <w:b/>
                <w:bCs/>
                <w:sz w:val="28"/>
              </w:rPr>
              <w:t>Sales and expenses</w:t>
            </w:r>
          </w:p>
        </w:tc>
        <w:tc>
          <w:tcPr>
            <w:tcW w:w="4252" w:type="dxa"/>
            <w:vMerge/>
          </w:tcPr>
          <w:p w14:paraId="687608BF" w14:textId="77777777" w:rsidR="00D822EC" w:rsidRDefault="00D822EC" w:rsidP="00BA3EA1">
            <w:pPr>
              <w:pStyle w:val="BodyText"/>
              <w:jc w:val="left"/>
              <w:rPr>
                <w:rFonts w:cs="Arial"/>
                <w:b/>
                <w:bCs/>
                <w:sz w:val="28"/>
              </w:rPr>
            </w:pPr>
          </w:p>
        </w:tc>
      </w:tr>
    </w:tbl>
    <w:p w14:paraId="687608C1" w14:textId="77777777" w:rsidR="00E52047" w:rsidRDefault="00E52047" w:rsidP="00E52047"/>
    <w:p w14:paraId="687608C2"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687608C3" w14:textId="77777777" w:rsidR="00833D82" w:rsidRDefault="00833D82" w:rsidP="006A76C5">
      <w:pPr>
        <w:pStyle w:val="BodyText"/>
        <w:jc w:val="left"/>
        <w:rPr>
          <w:rFonts w:cs="Arial"/>
        </w:rPr>
      </w:pPr>
    </w:p>
    <w:p w14:paraId="687608C4" w14:textId="77777777" w:rsidR="00936F08" w:rsidRPr="00936F08" w:rsidRDefault="00E52047" w:rsidP="00936F08">
      <w:pPr>
        <w:pStyle w:val="BodyText"/>
        <w:jc w:val="left"/>
        <w:rPr>
          <w:rFonts w:cs="Arial"/>
          <w:sz w:val="24"/>
        </w:rPr>
      </w:pPr>
      <w:r>
        <w:rPr>
          <w:rFonts w:cs="Arial"/>
          <w:b/>
          <w:bCs/>
          <w:sz w:val="24"/>
        </w:rPr>
        <w:t xml:space="preserve">Return </w:t>
      </w:r>
      <w:r w:rsidR="006A76C5">
        <w:rPr>
          <w:rFonts w:cs="Arial"/>
          <w:b/>
          <w:bCs/>
          <w:sz w:val="24"/>
        </w:rPr>
        <w:t>E-mail</w:t>
      </w:r>
      <w:r w:rsidR="006A76C5">
        <w:rPr>
          <w:rFonts w:cs="Arial"/>
          <w:sz w:val="24"/>
        </w:rPr>
        <w:t xml:space="preserve">: </w:t>
      </w:r>
      <w:r w:rsidR="00CB4DCB">
        <w:rPr>
          <w:rFonts w:cs="Arial"/>
          <w:sz w:val="24"/>
        </w:rPr>
        <w:tab/>
      </w:r>
      <w:hyperlink r:id="rId13" w:history="1">
        <w:r w:rsidR="00936F08" w:rsidRPr="005625BE">
          <w:rPr>
            <w:rStyle w:val="Hyperlink"/>
            <w:rFonts w:cs="Arial"/>
            <w:sz w:val="24"/>
          </w:rPr>
          <w:t>investigations2@adcommission.gov.au</w:t>
        </w:r>
      </w:hyperlink>
      <w:r w:rsidR="00936F08" w:rsidRPr="00936F08">
        <w:rPr>
          <w:rFonts w:cs="Arial"/>
          <w:sz w:val="24"/>
        </w:rPr>
        <w:t xml:space="preserve"> </w:t>
      </w:r>
    </w:p>
    <w:p w14:paraId="687608C5" w14:textId="77777777" w:rsidR="006A76C5" w:rsidRPr="00770AF7" w:rsidRDefault="006A76C5" w:rsidP="006A76C5">
      <w:pPr>
        <w:pStyle w:val="BodyText"/>
        <w:jc w:val="left"/>
        <w:rPr>
          <w:rFonts w:cs="Arial"/>
          <w:color w:val="FF0000"/>
          <w:sz w:val="24"/>
        </w:rPr>
      </w:pPr>
    </w:p>
    <w:p w14:paraId="687608C6"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Part A – Company and overseas supplier information</w:t>
      </w:r>
    </w:p>
    <w:p w14:paraId="687608C7" w14:textId="77777777" w:rsidR="006A76C5" w:rsidRPr="00B273A2" w:rsidRDefault="006A76C5" w:rsidP="006A76C5">
      <w:pPr>
        <w:jc w:val="both"/>
      </w:pPr>
    </w:p>
    <w:p w14:paraId="687608C8"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687608C9"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687608CC" w14:textId="77777777" w:rsidTr="00BA3EA1">
        <w:tc>
          <w:tcPr>
            <w:tcW w:w="2977" w:type="dxa"/>
            <w:tcBorders>
              <w:top w:val="single" w:sz="4" w:space="0" w:color="auto"/>
              <w:left w:val="single" w:sz="4" w:space="0" w:color="auto"/>
              <w:right w:val="single" w:sz="4" w:space="0" w:color="auto"/>
            </w:tcBorders>
          </w:tcPr>
          <w:p w14:paraId="687608CA"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687608CB" w14:textId="77777777" w:rsidR="006A76C5" w:rsidRPr="00B273A2" w:rsidRDefault="006A76C5" w:rsidP="00E52047"/>
        </w:tc>
      </w:tr>
      <w:tr w:rsidR="006A76C5" w14:paraId="687608CF" w14:textId="77777777" w:rsidTr="00BA3EA1">
        <w:tc>
          <w:tcPr>
            <w:tcW w:w="2977" w:type="dxa"/>
            <w:tcBorders>
              <w:top w:val="single" w:sz="4" w:space="0" w:color="auto"/>
              <w:left w:val="single" w:sz="4" w:space="0" w:color="auto"/>
              <w:right w:val="single" w:sz="4" w:space="0" w:color="auto"/>
            </w:tcBorders>
          </w:tcPr>
          <w:p w14:paraId="687608CD"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87608CE" w14:textId="77777777" w:rsidR="006A76C5" w:rsidRPr="00B273A2" w:rsidRDefault="006A76C5" w:rsidP="00E52047"/>
        </w:tc>
      </w:tr>
      <w:tr w:rsidR="006A76C5" w14:paraId="687608D2" w14:textId="77777777" w:rsidTr="00BA3EA1">
        <w:tc>
          <w:tcPr>
            <w:tcW w:w="2977" w:type="dxa"/>
            <w:tcBorders>
              <w:top w:val="single" w:sz="4" w:space="0" w:color="auto"/>
              <w:left w:val="single" w:sz="4" w:space="0" w:color="auto"/>
              <w:right w:val="single" w:sz="4" w:space="0" w:color="auto"/>
            </w:tcBorders>
          </w:tcPr>
          <w:p w14:paraId="687608D0"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687608D1" w14:textId="77777777" w:rsidR="006A76C5" w:rsidRPr="00B273A2" w:rsidRDefault="006A76C5" w:rsidP="00E52047"/>
        </w:tc>
      </w:tr>
      <w:tr w:rsidR="006A76C5" w14:paraId="687608D5" w14:textId="77777777" w:rsidTr="00BA3EA1">
        <w:tc>
          <w:tcPr>
            <w:tcW w:w="2977" w:type="dxa"/>
            <w:tcBorders>
              <w:top w:val="single" w:sz="4" w:space="0" w:color="auto"/>
              <w:left w:val="single" w:sz="4" w:space="0" w:color="auto"/>
              <w:right w:val="single" w:sz="4" w:space="0" w:color="auto"/>
            </w:tcBorders>
          </w:tcPr>
          <w:p w14:paraId="687608D3"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687608D4" w14:textId="77777777" w:rsidR="006A76C5" w:rsidRPr="00B273A2" w:rsidRDefault="006A76C5" w:rsidP="00E52047"/>
        </w:tc>
      </w:tr>
      <w:tr w:rsidR="006A76C5" w14:paraId="687608D8" w14:textId="77777777" w:rsidTr="00BA3EA1">
        <w:tc>
          <w:tcPr>
            <w:tcW w:w="2977" w:type="dxa"/>
            <w:tcBorders>
              <w:top w:val="single" w:sz="4" w:space="0" w:color="auto"/>
              <w:left w:val="single" w:sz="4" w:space="0" w:color="auto"/>
              <w:right w:val="single" w:sz="4" w:space="0" w:color="auto"/>
            </w:tcBorders>
          </w:tcPr>
          <w:p w14:paraId="687608D6"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687608D7" w14:textId="77777777" w:rsidR="006A76C5" w:rsidRPr="00B273A2" w:rsidRDefault="006A76C5" w:rsidP="00E52047"/>
        </w:tc>
      </w:tr>
      <w:tr w:rsidR="006A76C5" w14:paraId="687608DB" w14:textId="77777777" w:rsidTr="00BA3EA1">
        <w:tc>
          <w:tcPr>
            <w:tcW w:w="2977" w:type="dxa"/>
            <w:tcBorders>
              <w:left w:val="single" w:sz="4" w:space="0" w:color="auto"/>
              <w:right w:val="single" w:sz="4" w:space="0" w:color="auto"/>
            </w:tcBorders>
          </w:tcPr>
          <w:p w14:paraId="687608D9"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87608DA" w14:textId="77777777" w:rsidR="006A76C5" w:rsidRPr="00B273A2" w:rsidRDefault="006A76C5" w:rsidP="00E52047"/>
        </w:tc>
      </w:tr>
      <w:tr w:rsidR="006A76C5" w14:paraId="687608DE" w14:textId="77777777" w:rsidTr="00BA3EA1">
        <w:tc>
          <w:tcPr>
            <w:tcW w:w="2977" w:type="dxa"/>
            <w:tcBorders>
              <w:left w:val="single" w:sz="4" w:space="0" w:color="auto"/>
              <w:right w:val="single" w:sz="4" w:space="0" w:color="auto"/>
            </w:tcBorders>
          </w:tcPr>
          <w:p w14:paraId="687608DC"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87608DD" w14:textId="77777777" w:rsidR="006A76C5" w:rsidRPr="00B273A2" w:rsidRDefault="006A76C5" w:rsidP="00E52047"/>
        </w:tc>
      </w:tr>
      <w:tr w:rsidR="006A76C5" w14:paraId="687608E1" w14:textId="77777777" w:rsidTr="00BA3EA1">
        <w:tc>
          <w:tcPr>
            <w:tcW w:w="2977" w:type="dxa"/>
            <w:tcBorders>
              <w:left w:val="single" w:sz="4" w:space="0" w:color="auto"/>
              <w:right w:val="single" w:sz="4" w:space="0" w:color="auto"/>
            </w:tcBorders>
          </w:tcPr>
          <w:p w14:paraId="687608DF"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87608E0" w14:textId="77777777" w:rsidR="006A76C5" w:rsidRPr="00B273A2" w:rsidRDefault="006A76C5" w:rsidP="00E52047"/>
        </w:tc>
      </w:tr>
      <w:tr w:rsidR="006A76C5" w14:paraId="687608E4" w14:textId="77777777" w:rsidTr="00BA3EA1">
        <w:tc>
          <w:tcPr>
            <w:tcW w:w="2977" w:type="dxa"/>
            <w:tcBorders>
              <w:left w:val="single" w:sz="4" w:space="0" w:color="auto"/>
              <w:right w:val="single" w:sz="4" w:space="0" w:color="auto"/>
            </w:tcBorders>
          </w:tcPr>
          <w:p w14:paraId="687608E2"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87608E3" w14:textId="77777777" w:rsidR="006A76C5" w:rsidRPr="00B273A2" w:rsidRDefault="006A76C5" w:rsidP="00E52047"/>
        </w:tc>
      </w:tr>
      <w:tr w:rsidR="006A76C5" w14:paraId="687608E7" w14:textId="77777777" w:rsidTr="00BA3EA1">
        <w:tc>
          <w:tcPr>
            <w:tcW w:w="2977" w:type="dxa"/>
            <w:tcBorders>
              <w:top w:val="single" w:sz="4" w:space="0" w:color="auto"/>
              <w:left w:val="single" w:sz="4" w:space="0" w:color="auto"/>
              <w:bottom w:val="single" w:sz="4" w:space="0" w:color="auto"/>
              <w:right w:val="single" w:sz="4" w:space="0" w:color="auto"/>
            </w:tcBorders>
          </w:tcPr>
          <w:p w14:paraId="687608E5"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687608E6" w14:textId="77777777" w:rsidR="006A76C5" w:rsidRPr="00B273A2" w:rsidRDefault="006A76C5" w:rsidP="00E52047"/>
        </w:tc>
      </w:tr>
      <w:tr w:rsidR="006A76C5" w14:paraId="687608EA" w14:textId="77777777" w:rsidTr="00BA3EA1">
        <w:tc>
          <w:tcPr>
            <w:tcW w:w="2977" w:type="dxa"/>
            <w:tcBorders>
              <w:top w:val="single" w:sz="4" w:space="0" w:color="auto"/>
              <w:left w:val="single" w:sz="4" w:space="0" w:color="auto"/>
              <w:bottom w:val="single" w:sz="4" w:space="0" w:color="auto"/>
              <w:right w:val="single" w:sz="4" w:space="0" w:color="auto"/>
            </w:tcBorders>
          </w:tcPr>
          <w:p w14:paraId="687608E8"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687608E9" w14:textId="77777777" w:rsidR="006A76C5" w:rsidRPr="00B273A2" w:rsidRDefault="006A76C5" w:rsidP="00E52047"/>
        </w:tc>
      </w:tr>
      <w:tr w:rsidR="006A76C5" w14:paraId="687608ED" w14:textId="77777777" w:rsidTr="00BA3EA1">
        <w:tc>
          <w:tcPr>
            <w:tcW w:w="2977" w:type="dxa"/>
            <w:tcBorders>
              <w:top w:val="single" w:sz="4" w:space="0" w:color="auto"/>
              <w:left w:val="single" w:sz="4" w:space="0" w:color="auto"/>
              <w:bottom w:val="single" w:sz="4" w:space="0" w:color="auto"/>
              <w:right w:val="single" w:sz="4" w:space="0" w:color="auto"/>
            </w:tcBorders>
          </w:tcPr>
          <w:p w14:paraId="687608EB"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687608EC" w14:textId="77777777" w:rsidR="006A76C5" w:rsidRPr="00B273A2" w:rsidRDefault="006A76C5" w:rsidP="00E52047"/>
        </w:tc>
      </w:tr>
    </w:tbl>
    <w:p w14:paraId="687608EE" w14:textId="77777777" w:rsidR="006A76C5" w:rsidRPr="00B273A2" w:rsidRDefault="006A76C5" w:rsidP="00E52047"/>
    <w:p w14:paraId="687608EF"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687608F0"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87608F1" w14:textId="77777777" w:rsidR="00C802E7" w:rsidRDefault="00C802E7" w:rsidP="00E52047">
      <w:pPr>
        <w:rPr>
          <w:rFonts w:cs="Arial"/>
        </w:rPr>
      </w:pPr>
    </w:p>
    <w:p w14:paraId="687608F2" w14:textId="77777777" w:rsidR="006A76C5" w:rsidRDefault="006A76C5" w:rsidP="00E52047">
      <w:pPr>
        <w:rPr>
          <w:rFonts w:cs="Arial"/>
        </w:rPr>
      </w:pPr>
      <w:r>
        <w:rPr>
          <w:rFonts w:cs="Arial"/>
        </w:rPr>
        <w:t>Describe the role of your company in the Australian market for</w:t>
      </w:r>
      <w:r w:rsidR="00936F08">
        <w:rPr>
          <w:rFonts w:cs="Arial"/>
        </w:rPr>
        <w:t xml:space="preserve"> HRS</w:t>
      </w:r>
      <w:r>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687608F3"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87608F4" w14:textId="77777777" w:rsidR="006A76C5" w:rsidRDefault="006A76C5" w:rsidP="00E52047">
      <w:pPr>
        <w:rPr>
          <w:rFonts w:cs="Arial"/>
        </w:rPr>
      </w:pPr>
    </w:p>
    <w:p w14:paraId="687608F5"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687608F6"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687608F9" w14:textId="77777777" w:rsidTr="00BA3EA1">
        <w:tc>
          <w:tcPr>
            <w:tcW w:w="4261" w:type="dxa"/>
          </w:tcPr>
          <w:p w14:paraId="687608F7" w14:textId="77777777" w:rsidR="006A76C5" w:rsidRPr="00B273A2" w:rsidRDefault="006A76C5" w:rsidP="00E52047">
            <w:pPr>
              <w:rPr>
                <w:b/>
              </w:rPr>
            </w:pPr>
            <w:r w:rsidRPr="00B273A2">
              <w:rPr>
                <w:b/>
              </w:rPr>
              <w:t>Customer</w:t>
            </w:r>
          </w:p>
        </w:tc>
        <w:tc>
          <w:tcPr>
            <w:tcW w:w="4261" w:type="dxa"/>
          </w:tcPr>
          <w:p w14:paraId="687608F8" w14:textId="77777777" w:rsidR="006A76C5" w:rsidRPr="00B273A2" w:rsidRDefault="006A76C5" w:rsidP="00E52047">
            <w:pPr>
              <w:rPr>
                <w:b/>
              </w:rPr>
            </w:pPr>
            <w:r w:rsidRPr="00B273A2">
              <w:rPr>
                <w:b/>
              </w:rPr>
              <w:t>Level of trade</w:t>
            </w:r>
          </w:p>
        </w:tc>
      </w:tr>
      <w:tr w:rsidR="006A76C5" w14:paraId="687608FC" w14:textId="77777777" w:rsidTr="00BA3EA1">
        <w:tc>
          <w:tcPr>
            <w:tcW w:w="4261" w:type="dxa"/>
          </w:tcPr>
          <w:p w14:paraId="687608FA" w14:textId="77777777" w:rsidR="006A76C5" w:rsidRPr="00B273A2" w:rsidRDefault="006A76C5" w:rsidP="00E52047"/>
        </w:tc>
        <w:tc>
          <w:tcPr>
            <w:tcW w:w="4261" w:type="dxa"/>
          </w:tcPr>
          <w:p w14:paraId="687608FB" w14:textId="77777777" w:rsidR="006A76C5" w:rsidRPr="00B273A2" w:rsidRDefault="006A76C5" w:rsidP="00E52047"/>
        </w:tc>
      </w:tr>
      <w:tr w:rsidR="006A76C5" w14:paraId="687608FF" w14:textId="77777777" w:rsidTr="00BA3EA1">
        <w:tc>
          <w:tcPr>
            <w:tcW w:w="4261" w:type="dxa"/>
          </w:tcPr>
          <w:p w14:paraId="687608FD" w14:textId="77777777" w:rsidR="006A76C5" w:rsidRPr="00B273A2" w:rsidRDefault="006A76C5" w:rsidP="00E52047"/>
        </w:tc>
        <w:tc>
          <w:tcPr>
            <w:tcW w:w="4261" w:type="dxa"/>
          </w:tcPr>
          <w:p w14:paraId="687608FE" w14:textId="77777777" w:rsidR="006A76C5" w:rsidRPr="00B273A2" w:rsidRDefault="006A76C5" w:rsidP="00E52047"/>
        </w:tc>
      </w:tr>
      <w:tr w:rsidR="006A76C5" w14:paraId="68760902" w14:textId="77777777" w:rsidTr="00BA3EA1">
        <w:tc>
          <w:tcPr>
            <w:tcW w:w="4261" w:type="dxa"/>
          </w:tcPr>
          <w:p w14:paraId="68760900" w14:textId="77777777" w:rsidR="006A76C5" w:rsidRPr="00B273A2" w:rsidRDefault="006A76C5" w:rsidP="00E52047"/>
        </w:tc>
        <w:tc>
          <w:tcPr>
            <w:tcW w:w="4261" w:type="dxa"/>
          </w:tcPr>
          <w:p w14:paraId="68760901" w14:textId="77777777" w:rsidR="006A76C5" w:rsidRPr="00B273A2" w:rsidRDefault="006A76C5" w:rsidP="00E52047"/>
        </w:tc>
      </w:tr>
      <w:tr w:rsidR="006A76C5" w14:paraId="68760905" w14:textId="77777777" w:rsidTr="00BA3EA1">
        <w:tc>
          <w:tcPr>
            <w:tcW w:w="4261" w:type="dxa"/>
          </w:tcPr>
          <w:p w14:paraId="68760903" w14:textId="77777777" w:rsidR="006A76C5" w:rsidRPr="00B273A2" w:rsidRDefault="006A76C5" w:rsidP="00E52047"/>
        </w:tc>
        <w:tc>
          <w:tcPr>
            <w:tcW w:w="4261" w:type="dxa"/>
          </w:tcPr>
          <w:p w14:paraId="68760904" w14:textId="77777777" w:rsidR="006A76C5" w:rsidRPr="00B273A2" w:rsidRDefault="006A76C5" w:rsidP="00E52047"/>
        </w:tc>
      </w:tr>
      <w:tr w:rsidR="006A76C5" w14:paraId="68760908" w14:textId="77777777" w:rsidTr="00BA3EA1">
        <w:tc>
          <w:tcPr>
            <w:tcW w:w="4261" w:type="dxa"/>
          </w:tcPr>
          <w:p w14:paraId="68760906" w14:textId="77777777" w:rsidR="006A76C5" w:rsidRPr="00B273A2" w:rsidRDefault="006A76C5" w:rsidP="00E52047"/>
        </w:tc>
        <w:tc>
          <w:tcPr>
            <w:tcW w:w="4261" w:type="dxa"/>
          </w:tcPr>
          <w:p w14:paraId="68760907" w14:textId="77777777" w:rsidR="006A76C5" w:rsidRPr="00B273A2" w:rsidRDefault="006A76C5" w:rsidP="00E52047"/>
        </w:tc>
      </w:tr>
      <w:tr w:rsidR="006A76C5" w14:paraId="6876090B" w14:textId="77777777" w:rsidTr="00BA3EA1">
        <w:tc>
          <w:tcPr>
            <w:tcW w:w="4261" w:type="dxa"/>
          </w:tcPr>
          <w:p w14:paraId="68760909" w14:textId="77777777" w:rsidR="006A76C5" w:rsidRPr="00B273A2" w:rsidRDefault="006A76C5" w:rsidP="00E52047"/>
        </w:tc>
        <w:tc>
          <w:tcPr>
            <w:tcW w:w="4261" w:type="dxa"/>
          </w:tcPr>
          <w:p w14:paraId="6876090A" w14:textId="77777777" w:rsidR="006A76C5" w:rsidRPr="00B273A2" w:rsidRDefault="006A76C5" w:rsidP="00E52047"/>
        </w:tc>
      </w:tr>
      <w:tr w:rsidR="006A76C5" w14:paraId="6876090E" w14:textId="77777777" w:rsidTr="00BA3EA1">
        <w:tc>
          <w:tcPr>
            <w:tcW w:w="4261" w:type="dxa"/>
          </w:tcPr>
          <w:p w14:paraId="6876090C" w14:textId="77777777" w:rsidR="006A76C5" w:rsidRPr="00B273A2" w:rsidRDefault="006A76C5" w:rsidP="00E52047"/>
        </w:tc>
        <w:tc>
          <w:tcPr>
            <w:tcW w:w="4261" w:type="dxa"/>
          </w:tcPr>
          <w:p w14:paraId="6876090D" w14:textId="77777777" w:rsidR="006A76C5" w:rsidRPr="00B273A2" w:rsidRDefault="006A76C5" w:rsidP="00E52047"/>
        </w:tc>
      </w:tr>
      <w:tr w:rsidR="006A76C5" w14:paraId="68760911" w14:textId="77777777" w:rsidTr="00BA3EA1">
        <w:tc>
          <w:tcPr>
            <w:tcW w:w="4261" w:type="dxa"/>
          </w:tcPr>
          <w:p w14:paraId="6876090F" w14:textId="77777777" w:rsidR="006A76C5" w:rsidRPr="00B273A2" w:rsidRDefault="006A76C5" w:rsidP="00E52047"/>
        </w:tc>
        <w:tc>
          <w:tcPr>
            <w:tcW w:w="4261" w:type="dxa"/>
          </w:tcPr>
          <w:p w14:paraId="68760910" w14:textId="77777777" w:rsidR="006A76C5" w:rsidRPr="00B273A2" w:rsidRDefault="006A76C5" w:rsidP="00E52047"/>
        </w:tc>
      </w:tr>
      <w:tr w:rsidR="006A76C5" w14:paraId="68760914" w14:textId="77777777" w:rsidTr="00BA3EA1">
        <w:tc>
          <w:tcPr>
            <w:tcW w:w="4261" w:type="dxa"/>
          </w:tcPr>
          <w:p w14:paraId="68760912" w14:textId="77777777" w:rsidR="006A76C5" w:rsidRPr="00B273A2" w:rsidRDefault="006A76C5" w:rsidP="00E52047"/>
        </w:tc>
        <w:tc>
          <w:tcPr>
            <w:tcW w:w="4261" w:type="dxa"/>
          </w:tcPr>
          <w:p w14:paraId="68760913" w14:textId="77777777" w:rsidR="006A76C5" w:rsidRPr="00B273A2" w:rsidRDefault="006A76C5" w:rsidP="00E52047"/>
        </w:tc>
      </w:tr>
      <w:tr w:rsidR="006A76C5" w14:paraId="68760917" w14:textId="77777777" w:rsidTr="00BA3EA1">
        <w:tc>
          <w:tcPr>
            <w:tcW w:w="4261" w:type="dxa"/>
          </w:tcPr>
          <w:p w14:paraId="68760915" w14:textId="77777777" w:rsidR="006A76C5" w:rsidRPr="00B273A2" w:rsidRDefault="006A76C5" w:rsidP="00E52047"/>
        </w:tc>
        <w:tc>
          <w:tcPr>
            <w:tcW w:w="4261" w:type="dxa"/>
          </w:tcPr>
          <w:p w14:paraId="68760916" w14:textId="77777777" w:rsidR="006A76C5" w:rsidRPr="00B273A2" w:rsidRDefault="006A76C5" w:rsidP="00E52047"/>
        </w:tc>
      </w:tr>
      <w:tr w:rsidR="006A76C5" w14:paraId="6876091A" w14:textId="77777777" w:rsidTr="00BA3EA1">
        <w:tc>
          <w:tcPr>
            <w:tcW w:w="4261" w:type="dxa"/>
          </w:tcPr>
          <w:p w14:paraId="68760918" w14:textId="77777777" w:rsidR="006A76C5" w:rsidRPr="00B273A2" w:rsidRDefault="006A76C5" w:rsidP="00E52047"/>
        </w:tc>
        <w:tc>
          <w:tcPr>
            <w:tcW w:w="4261" w:type="dxa"/>
          </w:tcPr>
          <w:p w14:paraId="68760919" w14:textId="77777777" w:rsidR="006A76C5" w:rsidRPr="00B273A2" w:rsidRDefault="006A76C5" w:rsidP="00E52047"/>
        </w:tc>
      </w:tr>
    </w:tbl>
    <w:p w14:paraId="6876091B" w14:textId="77777777" w:rsidR="00C802E7" w:rsidRPr="00B273A2" w:rsidRDefault="00C802E7" w:rsidP="00E52047"/>
    <w:p w14:paraId="6876091C" w14:textId="77777777" w:rsidR="006A76C5" w:rsidRPr="00B273A2" w:rsidRDefault="00C802E7" w:rsidP="006A76C5">
      <w:pPr>
        <w:jc w:val="both"/>
        <w:rPr>
          <w:sz w:val="20"/>
        </w:rPr>
      </w:pPr>
      <w:r w:rsidRPr="00B273A2">
        <w:rPr>
          <w:sz w:val="20"/>
        </w:rPr>
        <w:br w:type="page"/>
      </w:r>
    </w:p>
    <w:p w14:paraId="6876091D"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6876091E" w14:textId="77777777" w:rsidR="00C802E7" w:rsidRPr="00B273A2" w:rsidRDefault="00C802E7" w:rsidP="00E52047"/>
    <w:p w14:paraId="6876091F" w14:textId="77777777" w:rsidR="00C802E7" w:rsidRPr="00B273A2" w:rsidRDefault="00C802E7" w:rsidP="00E52047">
      <w:r w:rsidRPr="00B273A2">
        <w:t xml:space="preserve">Please complete the below information for each of your overseas supplier of </w:t>
      </w:r>
      <w:r w:rsidR="00936F08" w:rsidRPr="00936F08">
        <w:t>HRS</w:t>
      </w:r>
      <w:r w:rsidRPr="00B273A2">
        <w:t xml:space="preserve"> (using a new box for each supplier). </w:t>
      </w:r>
    </w:p>
    <w:p w14:paraId="68760920" w14:textId="77777777" w:rsidR="00C802E7" w:rsidRPr="00B273A2" w:rsidRDefault="00C802E7" w:rsidP="00E52047"/>
    <w:p w14:paraId="68760921" w14:textId="77777777" w:rsidR="006A76C5" w:rsidRPr="00B273A2" w:rsidRDefault="006A76C5" w:rsidP="00E52047">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68760924" w14:textId="77777777" w:rsidTr="00BA3EA1">
        <w:tc>
          <w:tcPr>
            <w:tcW w:w="1843" w:type="dxa"/>
            <w:tcBorders>
              <w:top w:val="single" w:sz="4" w:space="0" w:color="auto"/>
              <w:left w:val="single" w:sz="4" w:space="0" w:color="auto"/>
              <w:right w:val="single" w:sz="4" w:space="0" w:color="auto"/>
            </w:tcBorders>
          </w:tcPr>
          <w:p w14:paraId="68760922"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68760923" w14:textId="77777777" w:rsidR="00C802E7" w:rsidRPr="00B273A2" w:rsidRDefault="00936F08" w:rsidP="00E52047">
            <w:pPr>
              <w:rPr>
                <w:sz w:val="20"/>
              </w:rPr>
            </w:pPr>
            <w:r w:rsidRPr="00936F08">
              <w:rPr>
                <w:sz w:val="20"/>
              </w:rPr>
              <w:t>HRS</w:t>
            </w:r>
          </w:p>
        </w:tc>
      </w:tr>
      <w:tr w:rsidR="00D70A70" w14:paraId="68760927" w14:textId="77777777" w:rsidTr="00BA3EA1">
        <w:tc>
          <w:tcPr>
            <w:tcW w:w="1843" w:type="dxa"/>
            <w:tcBorders>
              <w:top w:val="single" w:sz="4" w:space="0" w:color="auto"/>
              <w:left w:val="single" w:sz="4" w:space="0" w:color="auto"/>
              <w:right w:val="single" w:sz="4" w:space="0" w:color="auto"/>
            </w:tcBorders>
          </w:tcPr>
          <w:p w14:paraId="68760925"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68760926" w14:textId="77777777" w:rsidR="00D70A70" w:rsidRPr="00B273A2" w:rsidRDefault="00D70A70" w:rsidP="00E52047">
            <w:pPr>
              <w:rPr>
                <w:sz w:val="20"/>
              </w:rPr>
            </w:pPr>
          </w:p>
        </w:tc>
      </w:tr>
      <w:tr w:rsidR="00D70A70" w14:paraId="6876092B" w14:textId="77777777" w:rsidTr="00BA3EA1">
        <w:tc>
          <w:tcPr>
            <w:tcW w:w="1843" w:type="dxa"/>
            <w:tcBorders>
              <w:top w:val="single" w:sz="4" w:space="0" w:color="auto"/>
              <w:left w:val="single" w:sz="4" w:space="0" w:color="auto"/>
              <w:right w:val="single" w:sz="4" w:space="0" w:color="auto"/>
            </w:tcBorders>
          </w:tcPr>
          <w:p w14:paraId="68760928" w14:textId="77777777" w:rsidR="00D70A70" w:rsidRPr="00B273A2" w:rsidRDefault="00D70A70" w:rsidP="00E52047">
            <w:pPr>
              <w:rPr>
                <w:sz w:val="20"/>
              </w:rPr>
            </w:pPr>
            <w:r w:rsidRPr="00B273A2">
              <w:rPr>
                <w:sz w:val="20"/>
              </w:rPr>
              <w:t>Is the supplier the manufacturer?</w:t>
            </w:r>
          </w:p>
          <w:p w14:paraId="68760929"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6876092A" w14:textId="77777777" w:rsidR="00D70A70" w:rsidRPr="00B273A2" w:rsidRDefault="00D70A70" w:rsidP="00E52047">
            <w:pPr>
              <w:rPr>
                <w:sz w:val="20"/>
              </w:rPr>
            </w:pPr>
          </w:p>
        </w:tc>
      </w:tr>
      <w:tr w:rsidR="00C802E7" w14:paraId="6876092E" w14:textId="77777777" w:rsidTr="00BA3EA1">
        <w:tc>
          <w:tcPr>
            <w:tcW w:w="1843" w:type="dxa"/>
            <w:tcBorders>
              <w:top w:val="single" w:sz="4" w:space="0" w:color="auto"/>
              <w:left w:val="single" w:sz="4" w:space="0" w:color="auto"/>
              <w:right w:val="single" w:sz="4" w:space="0" w:color="auto"/>
            </w:tcBorders>
          </w:tcPr>
          <w:p w14:paraId="6876092C" w14:textId="77777777" w:rsidR="00C802E7" w:rsidRPr="00B273A2" w:rsidRDefault="00C802E7" w:rsidP="00E52047">
            <w:pPr>
              <w:rPr>
                <w:sz w:val="20"/>
              </w:rPr>
            </w:pPr>
            <w:r w:rsidRPr="00B273A2">
              <w:rPr>
                <w:sz w:val="20"/>
              </w:rPr>
              <w:t>Finish(es)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6876092D" w14:textId="77777777" w:rsidR="00C802E7" w:rsidRPr="00B273A2" w:rsidRDefault="00C802E7" w:rsidP="00E52047">
            <w:pPr>
              <w:rPr>
                <w:sz w:val="20"/>
              </w:rPr>
            </w:pPr>
          </w:p>
        </w:tc>
      </w:tr>
      <w:tr w:rsidR="00C802E7" w14:paraId="68760931" w14:textId="77777777" w:rsidTr="00BA3EA1">
        <w:tc>
          <w:tcPr>
            <w:tcW w:w="1843" w:type="dxa"/>
            <w:tcBorders>
              <w:top w:val="single" w:sz="4" w:space="0" w:color="auto"/>
              <w:left w:val="single" w:sz="4" w:space="0" w:color="auto"/>
              <w:right w:val="single" w:sz="4" w:space="0" w:color="auto"/>
            </w:tcBorders>
          </w:tcPr>
          <w:p w14:paraId="6876092F"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68760930" w14:textId="77777777" w:rsidR="00C802E7" w:rsidRPr="00B273A2" w:rsidRDefault="00C802E7" w:rsidP="00E52047">
            <w:pPr>
              <w:rPr>
                <w:sz w:val="20"/>
              </w:rPr>
            </w:pPr>
          </w:p>
        </w:tc>
      </w:tr>
      <w:tr w:rsidR="006A76C5" w14:paraId="68760934" w14:textId="77777777" w:rsidTr="00BA3EA1">
        <w:tc>
          <w:tcPr>
            <w:tcW w:w="1843" w:type="dxa"/>
            <w:tcBorders>
              <w:top w:val="single" w:sz="4" w:space="0" w:color="auto"/>
              <w:left w:val="single" w:sz="4" w:space="0" w:color="auto"/>
              <w:right w:val="single" w:sz="4" w:space="0" w:color="auto"/>
            </w:tcBorders>
          </w:tcPr>
          <w:p w14:paraId="68760932"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68760933" w14:textId="77777777" w:rsidR="006A76C5" w:rsidRPr="00B273A2" w:rsidRDefault="006A76C5" w:rsidP="00E52047">
            <w:pPr>
              <w:rPr>
                <w:sz w:val="20"/>
              </w:rPr>
            </w:pPr>
          </w:p>
        </w:tc>
      </w:tr>
      <w:tr w:rsidR="006A76C5" w14:paraId="68760937" w14:textId="77777777" w:rsidTr="00BA3EA1">
        <w:tc>
          <w:tcPr>
            <w:tcW w:w="1843" w:type="dxa"/>
            <w:tcBorders>
              <w:top w:val="single" w:sz="4" w:space="0" w:color="auto"/>
              <w:left w:val="single" w:sz="4" w:space="0" w:color="auto"/>
              <w:right w:val="single" w:sz="4" w:space="0" w:color="auto"/>
            </w:tcBorders>
          </w:tcPr>
          <w:p w14:paraId="68760935"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68760936" w14:textId="77777777" w:rsidR="006A76C5" w:rsidRPr="00B273A2" w:rsidRDefault="006A76C5" w:rsidP="00E52047">
            <w:pPr>
              <w:rPr>
                <w:sz w:val="20"/>
              </w:rPr>
            </w:pPr>
          </w:p>
        </w:tc>
      </w:tr>
      <w:tr w:rsidR="00C802E7" w14:paraId="6876093A" w14:textId="77777777" w:rsidTr="00BA3EA1">
        <w:tc>
          <w:tcPr>
            <w:tcW w:w="1843" w:type="dxa"/>
            <w:vMerge w:val="restart"/>
            <w:tcBorders>
              <w:top w:val="single" w:sz="4" w:space="0" w:color="auto"/>
              <w:left w:val="single" w:sz="4" w:space="0" w:color="auto"/>
              <w:right w:val="single" w:sz="4" w:space="0" w:color="auto"/>
            </w:tcBorders>
          </w:tcPr>
          <w:p w14:paraId="68760938"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8760939" w14:textId="77777777" w:rsidR="00C802E7" w:rsidRPr="00B273A2" w:rsidRDefault="00C802E7" w:rsidP="00E52047">
            <w:pPr>
              <w:rPr>
                <w:sz w:val="20"/>
              </w:rPr>
            </w:pPr>
          </w:p>
        </w:tc>
      </w:tr>
      <w:tr w:rsidR="00C802E7" w14:paraId="6876093D" w14:textId="77777777" w:rsidTr="00BA3EA1">
        <w:tc>
          <w:tcPr>
            <w:tcW w:w="1843" w:type="dxa"/>
            <w:vMerge/>
            <w:tcBorders>
              <w:left w:val="single" w:sz="4" w:space="0" w:color="auto"/>
              <w:right w:val="single" w:sz="4" w:space="0" w:color="auto"/>
            </w:tcBorders>
          </w:tcPr>
          <w:p w14:paraId="6876093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876093C" w14:textId="77777777" w:rsidR="00C802E7" w:rsidRPr="00B273A2" w:rsidRDefault="00C802E7" w:rsidP="00E52047">
            <w:pPr>
              <w:rPr>
                <w:sz w:val="20"/>
              </w:rPr>
            </w:pPr>
          </w:p>
        </w:tc>
      </w:tr>
      <w:tr w:rsidR="00C802E7" w14:paraId="68760940" w14:textId="77777777" w:rsidTr="00BA3EA1">
        <w:tc>
          <w:tcPr>
            <w:tcW w:w="1843" w:type="dxa"/>
            <w:vMerge/>
            <w:tcBorders>
              <w:left w:val="single" w:sz="4" w:space="0" w:color="auto"/>
              <w:right w:val="single" w:sz="4" w:space="0" w:color="auto"/>
            </w:tcBorders>
          </w:tcPr>
          <w:p w14:paraId="6876093E"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876093F" w14:textId="77777777" w:rsidR="00C802E7" w:rsidRPr="00B273A2" w:rsidRDefault="00C802E7" w:rsidP="00E52047">
            <w:pPr>
              <w:rPr>
                <w:sz w:val="20"/>
              </w:rPr>
            </w:pPr>
          </w:p>
        </w:tc>
      </w:tr>
      <w:tr w:rsidR="00C802E7" w14:paraId="68760943" w14:textId="77777777" w:rsidTr="00BA3EA1">
        <w:tc>
          <w:tcPr>
            <w:tcW w:w="1843" w:type="dxa"/>
            <w:vMerge/>
            <w:tcBorders>
              <w:left w:val="single" w:sz="4" w:space="0" w:color="auto"/>
              <w:right w:val="single" w:sz="4" w:space="0" w:color="auto"/>
            </w:tcBorders>
          </w:tcPr>
          <w:p w14:paraId="68760941"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8760942" w14:textId="77777777" w:rsidR="00C802E7" w:rsidRPr="00B273A2" w:rsidRDefault="00C802E7" w:rsidP="00E52047">
            <w:pPr>
              <w:rPr>
                <w:sz w:val="20"/>
              </w:rPr>
            </w:pPr>
          </w:p>
        </w:tc>
      </w:tr>
      <w:tr w:rsidR="00C802E7" w14:paraId="68760946" w14:textId="77777777" w:rsidTr="00BA3EA1">
        <w:tc>
          <w:tcPr>
            <w:tcW w:w="1843" w:type="dxa"/>
            <w:vMerge/>
            <w:tcBorders>
              <w:left w:val="single" w:sz="4" w:space="0" w:color="auto"/>
              <w:right w:val="single" w:sz="4" w:space="0" w:color="auto"/>
            </w:tcBorders>
          </w:tcPr>
          <w:p w14:paraId="68760944"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8760945" w14:textId="77777777" w:rsidR="00C802E7" w:rsidRPr="00B273A2" w:rsidRDefault="00C802E7" w:rsidP="00E52047">
            <w:pPr>
              <w:rPr>
                <w:sz w:val="20"/>
              </w:rPr>
            </w:pPr>
          </w:p>
        </w:tc>
      </w:tr>
      <w:tr w:rsidR="006A76C5" w14:paraId="68760949" w14:textId="77777777" w:rsidTr="00BA3EA1">
        <w:tc>
          <w:tcPr>
            <w:tcW w:w="1843" w:type="dxa"/>
            <w:tcBorders>
              <w:top w:val="single" w:sz="4" w:space="0" w:color="auto"/>
              <w:left w:val="single" w:sz="4" w:space="0" w:color="auto"/>
              <w:bottom w:val="single" w:sz="4" w:space="0" w:color="auto"/>
              <w:right w:val="single" w:sz="4" w:space="0" w:color="auto"/>
            </w:tcBorders>
          </w:tcPr>
          <w:p w14:paraId="68760947"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68760948" w14:textId="77777777" w:rsidR="006A76C5" w:rsidRPr="00B273A2" w:rsidRDefault="006A76C5" w:rsidP="00E52047">
            <w:pPr>
              <w:rPr>
                <w:sz w:val="20"/>
              </w:rPr>
            </w:pPr>
          </w:p>
        </w:tc>
      </w:tr>
      <w:tr w:rsidR="006A76C5" w14:paraId="6876094C" w14:textId="77777777" w:rsidTr="00BA3EA1">
        <w:tc>
          <w:tcPr>
            <w:tcW w:w="1843" w:type="dxa"/>
            <w:tcBorders>
              <w:top w:val="single" w:sz="4" w:space="0" w:color="auto"/>
              <w:left w:val="single" w:sz="4" w:space="0" w:color="auto"/>
              <w:bottom w:val="single" w:sz="4" w:space="0" w:color="auto"/>
              <w:right w:val="single" w:sz="4" w:space="0" w:color="auto"/>
            </w:tcBorders>
          </w:tcPr>
          <w:p w14:paraId="6876094A"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6876094B" w14:textId="77777777" w:rsidR="006A76C5" w:rsidRPr="00B273A2" w:rsidRDefault="006A76C5" w:rsidP="00E52047">
            <w:pPr>
              <w:rPr>
                <w:sz w:val="20"/>
              </w:rPr>
            </w:pPr>
          </w:p>
        </w:tc>
      </w:tr>
      <w:tr w:rsidR="006A76C5" w14:paraId="6876094F" w14:textId="77777777" w:rsidTr="00BA3EA1">
        <w:tc>
          <w:tcPr>
            <w:tcW w:w="1843" w:type="dxa"/>
            <w:tcBorders>
              <w:top w:val="single" w:sz="4" w:space="0" w:color="auto"/>
              <w:left w:val="single" w:sz="4" w:space="0" w:color="auto"/>
              <w:bottom w:val="single" w:sz="4" w:space="0" w:color="auto"/>
              <w:right w:val="single" w:sz="4" w:space="0" w:color="auto"/>
            </w:tcBorders>
          </w:tcPr>
          <w:p w14:paraId="6876094D"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6876094E" w14:textId="77777777" w:rsidR="006A76C5" w:rsidRPr="00B273A2" w:rsidRDefault="006A76C5" w:rsidP="00E52047">
            <w:pPr>
              <w:rPr>
                <w:sz w:val="20"/>
              </w:rPr>
            </w:pPr>
          </w:p>
        </w:tc>
      </w:tr>
    </w:tbl>
    <w:p w14:paraId="68760950" w14:textId="77777777" w:rsidR="006A76C5" w:rsidRPr="00B273A2" w:rsidRDefault="006A76C5" w:rsidP="00E52047">
      <w:pPr>
        <w:rPr>
          <w:sz w:val="20"/>
        </w:rPr>
      </w:pPr>
    </w:p>
    <w:p w14:paraId="68760951" w14:textId="77777777" w:rsidR="006A76C5" w:rsidRPr="00B273A2" w:rsidRDefault="006A76C5" w:rsidP="00E52047"/>
    <w:p w14:paraId="68760952" w14:textId="77777777"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Overseas manufacturer(s) of the goods under investigation</w:t>
      </w:r>
      <w:r w:rsidRPr="00B273A2">
        <w:t xml:space="preserve"> </w:t>
      </w:r>
    </w:p>
    <w:p w14:paraId="68760953" w14:textId="77777777" w:rsidR="00C802E7" w:rsidRPr="00B273A2" w:rsidRDefault="00C802E7" w:rsidP="00E52047"/>
    <w:p w14:paraId="68760954" w14:textId="77777777" w:rsidR="00C802E7" w:rsidRPr="00936F08" w:rsidRDefault="00C802E7" w:rsidP="00E52047">
      <w:r w:rsidRPr="00936F08">
        <w:t xml:space="preserve">If </w:t>
      </w:r>
      <w:r w:rsidR="00D70A70" w:rsidRPr="00936F08">
        <w:t xml:space="preserve">the supplier(s) listed in your response to question A.2 above is not the manufacturer of the </w:t>
      </w:r>
      <w:r w:rsidR="00936F08" w:rsidRPr="00936F08">
        <w:t>HRS</w:t>
      </w:r>
      <w:r w:rsidR="00D70A70" w:rsidRPr="00936F08">
        <w:t xml:space="preserve"> supplied, please complete the below for</w:t>
      </w:r>
      <w:r w:rsidRPr="00936F08">
        <w:t xml:space="preserve"> </w:t>
      </w:r>
      <w:r w:rsidR="00D70A70" w:rsidRPr="00936F08">
        <w:t xml:space="preserve">each manufacturer of the </w:t>
      </w:r>
      <w:r w:rsidR="00936F08" w:rsidRPr="00936F08">
        <w:t>HRS</w:t>
      </w:r>
      <w:r w:rsidR="00D70A70" w:rsidRPr="00936F08">
        <w:t xml:space="preserve"> supplied (using a new box for each supplier).</w:t>
      </w:r>
    </w:p>
    <w:p w14:paraId="68760955" w14:textId="77777777" w:rsidR="006A76C5" w:rsidRPr="00936F08" w:rsidRDefault="006A76C5" w:rsidP="00E52047"/>
    <w:tbl>
      <w:tblPr>
        <w:tblW w:w="6946" w:type="dxa"/>
        <w:tblInd w:w="108" w:type="dxa"/>
        <w:tblLayout w:type="fixed"/>
        <w:tblLook w:val="0000" w:firstRow="0" w:lastRow="0" w:firstColumn="0" w:lastColumn="0" w:noHBand="0" w:noVBand="0"/>
      </w:tblPr>
      <w:tblGrid>
        <w:gridCol w:w="1843"/>
        <w:gridCol w:w="5103"/>
      </w:tblGrid>
      <w:tr w:rsidR="00936F08" w:rsidRPr="00936F08" w14:paraId="68760958" w14:textId="77777777" w:rsidTr="00BA3EA1">
        <w:tc>
          <w:tcPr>
            <w:tcW w:w="1843" w:type="dxa"/>
            <w:tcBorders>
              <w:top w:val="single" w:sz="4" w:space="0" w:color="auto"/>
              <w:left w:val="single" w:sz="4" w:space="0" w:color="auto"/>
              <w:right w:val="single" w:sz="4" w:space="0" w:color="auto"/>
            </w:tcBorders>
          </w:tcPr>
          <w:p w14:paraId="68760956" w14:textId="77777777" w:rsidR="00D70A70" w:rsidRPr="00936F08" w:rsidRDefault="00D70A70" w:rsidP="00E52047">
            <w:pPr>
              <w:rPr>
                <w:sz w:val="20"/>
              </w:rPr>
            </w:pPr>
            <w:r w:rsidRPr="00936F08">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68760957" w14:textId="77777777" w:rsidR="00D70A70" w:rsidRPr="00936F08" w:rsidRDefault="00936F08" w:rsidP="00E52047">
            <w:pPr>
              <w:rPr>
                <w:sz w:val="20"/>
              </w:rPr>
            </w:pPr>
            <w:r w:rsidRPr="00936F08">
              <w:rPr>
                <w:sz w:val="20"/>
              </w:rPr>
              <w:t>HRS</w:t>
            </w:r>
          </w:p>
        </w:tc>
      </w:tr>
      <w:tr w:rsidR="00D70A70" w14:paraId="6876095B" w14:textId="77777777" w:rsidTr="00BA3EA1">
        <w:tc>
          <w:tcPr>
            <w:tcW w:w="1843" w:type="dxa"/>
            <w:tcBorders>
              <w:top w:val="single" w:sz="4" w:space="0" w:color="auto"/>
              <w:left w:val="single" w:sz="4" w:space="0" w:color="auto"/>
              <w:right w:val="single" w:sz="4" w:space="0" w:color="auto"/>
            </w:tcBorders>
          </w:tcPr>
          <w:p w14:paraId="68760959"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6876095A" w14:textId="77777777" w:rsidR="00D70A70" w:rsidRPr="00B273A2" w:rsidRDefault="00D70A70" w:rsidP="00E52047">
            <w:pPr>
              <w:rPr>
                <w:sz w:val="20"/>
              </w:rPr>
            </w:pPr>
          </w:p>
        </w:tc>
      </w:tr>
      <w:tr w:rsidR="00D70A70" w14:paraId="6876095E" w14:textId="77777777" w:rsidTr="00BA3EA1">
        <w:tc>
          <w:tcPr>
            <w:tcW w:w="1843" w:type="dxa"/>
            <w:tcBorders>
              <w:top w:val="single" w:sz="4" w:space="0" w:color="auto"/>
              <w:left w:val="single" w:sz="4" w:space="0" w:color="auto"/>
              <w:right w:val="single" w:sz="4" w:space="0" w:color="auto"/>
            </w:tcBorders>
          </w:tcPr>
          <w:p w14:paraId="6876095C"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6876095D" w14:textId="77777777" w:rsidR="00D70A70" w:rsidRPr="00B273A2" w:rsidRDefault="00D70A70" w:rsidP="00E52047">
            <w:pPr>
              <w:rPr>
                <w:sz w:val="20"/>
              </w:rPr>
            </w:pPr>
          </w:p>
        </w:tc>
      </w:tr>
      <w:tr w:rsidR="00D70A70" w14:paraId="68760961" w14:textId="77777777" w:rsidTr="00BA3EA1">
        <w:tc>
          <w:tcPr>
            <w:tcW w:w="1843" w:type="dxa"/>
            <w:tcBorders>
              <w:top w:val="single" w:sz="4" w:space="0" w:color="auto"/>
              <w:left w:val="single" w:sz="4" w:space="0" w:color="auto"/>
              <w:right w:val="single" w:sz="4" w:space="0" w:color="auto"/>
            </w:tcBorders>
          </w:tcPr>
          <w:p w14:paraId="6876095F"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68760960" w14:textId="77777777" w:rsidR="00D70A70" w:rsidRPr="00B273A2" w:rsidRDefault="00D70A70" w:rsidP="00E52047">
            <w:pPr>
              <w:rPr>
                <w:sz w:val="20"/>
              </w:rPr>
            </w:pPr>
          </w:p>
        </w:tc>
      </w:tr>
      <w:tr w:rsidR="00D70A70" w14:paraId="68760964" w14:textId="77777777" w:rsidTr="00BA3EA1">
        <w:tc>
          <w:tcPr>
            <w:tcW w:w="1843" w:type="dxa"/>
            <w:tcBorders>
              <w:top w:val="single" w:sz="4" w:space="0" w:color="auto"/>
              <w:left w:val="single" w:sz="4" w:space="0" w:color="auto"/>
              <w:right w:val="single" w:sz="4" w:space="0" w:color="auto"/>
            </w:tcBorders>
          </w:tcPr>
          <w:p w14:paraId="68760962"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68760963" w14:textId="77777777" w:rsidR="00D70A70" w:rsidRPr="00B273A2" w:rsidRDefault="00D70A70" w:rsidP="00E52047">
            <w:pPr>
              <w:rPr>
                <w:sz w:val="20"/>
              </w:rPr>
            </w:pPr>
          </w:p>
        </w:tc>
      </w:tr>
      <w:tr w:rsidR="00D70A70" w14:paraId="68760967" w14:textId="77777777" w:rsidTr="00BA3EA1">
        <w:tc>
          <w:tcPr>
            <w:tcW w:w="1843" w:type="dxa"/>
            <w:tcBorders>
              <w:top w:val="single" w:sz="4" w:space="0" w:color="auto"/>
              <w:left w:val="single" w:sz="4" w:space="0" w:color="auto"/>
              <w:right w:val="single" w:sz="4" w:space="0" w:color="auto"/>
            </w:tcBorders>
          </w:tcPr>
          <w:p w14:paraId="68760965"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68760966" w14:textId="77777777" w:rsidR="00D70A70" w:rsidRPr="00B273A2" w:rsidRDefault="00D70A70" w:rsidP="00E52047">
            <w:pPr>
              <w:rPr>
                <w:sz w:val="20"/>
              </w:rPr>
            </w:pPr>
          </w:p>
        </w:tc>
      </w:tr>
      <w:tr w:rsidR="00D70A70" w14:paraId="6876096A" w14:textId="77777777" w:rsidTr="00BA3EA1">
        <w:tc>
          <w:tcPr>
            <w:tcW w:w="1843" w:type="dxa"/>
            <w:vMerge w:val="restart"/>
            <w:tcBorders>
              <w:top w:val="single" w:sz="4" w:space="0" w:color="auto"/>
              <w:left w:val="single" w:sz="4" w:space="0" w:color="auto"/>
              <w:right w:val="single" w:sz="4" w:space="0" w:color="auto"/>
            </w:tcBorders>
          </w:tcPr>
          <w:p w14:paraId="68760968"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8760969" w14:textId="77777777" w:rsidR="00D70A70" w:rsidRPr="00B273A2" w:rsidRDefault="00D70A70" w:rsidP="00E52047">
            <w:pPr>
              <w:rPr>
                <w:sz w:val="20"/>
              </w:rPr>
            </w:pPr>
          </w:p>
        </w:tc>
      </w:tr>
      <w:tr w:rsidR="00D70A70" w14:paraId="6876096D" w14:textId="77777777" w:rsidTr="00BA3EA1">
        <w:tc>
          <w:tcPr>
            <w:tcW w:w="1843" w:type="dxa"/>
            <w:vMerge/>
            <w:tcBorders>
              <w:left w:val="single" w:sz="4" w:space="0" w:color="auto"/>
              <w:right w:val="single" w:sz="4" w:space="0" w:color="auto"/>
            </w:tcBorders>
          </w:tcPr>
          <w:p w14:paraId="6876096B"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876096C" w14:textId="77777777" w:rsidR="00D70A70" w:rsidRPr="00B273A2" w:rsidRDefault="00D70A70" w:rsidP="00E52047">
            <w:pPr>
              <w:rPr>
                <w:sz w:val="20"/>
              </w:rPr>
            </w:pPr>
          </w:p>
        </w:tc>
      </w:tr>
      <w:tr w:rsidR="00D70A70" w14:paraId="68760970" w14:textId="77777777" w:rsidTr="00BA3EA1">
        <w:tc>
          <w:tcPr>
            <w:tcW w:w="1843" w:type="dxa"/>
            <w:vMerge/>
            <w:tcBorders>
              <w:left w:val="single" w:sz="4" w:space="0" w:color="auto"/>
              <w:right w:val="single" w:sz="4" w:space="0" w:color="auto"/>
            </w:tcBorders>
          </w:tcPr>
          <w:p w14:paraId="6876096E"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876096F" w14:textId="77777777" w:rsidR="00D70A70" w:rsidRPr="00B273A2" w:rsidRDefault="00D70A70" w:rsidP="00E52047">
            <w:pPr>
              <w:rPr>
                <w:sz w:val="20"/>
              </w:rPr>
            </w:pPr>
          </w:p>
        </w:tc>
      </w:tr>
      <w:tr w:rsidR="00D70A70" w14:paraId="68760973" w14:textId="77777777" w:rsidTr="00BA3EA1">
        <w:tc>
          <w:tcPr>
            <w:tcW w:w="1843" w:type="dxa"/>
            <w:vMerge/>
            <w:tcBorders>
              <w:left w:val="single" w:sz="4" w:space="0" w:color="auto"/>
              <w:right w:val="single" w:sz="4" w:space="0" w:color="auto"/>
            </w:tcBorders>
          </w:tcPr>
          <w:p w14:paraId="68760971"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8760972" w14:textId="77777777" w:rsidR="00D70A70" w:rsidRPr="00B273A2" w:rsidRDefault="00D70A70" w:rsidP="00E52047">
            <w:pPr>
              <w:rPr>
                <w:sz w:val="20"/>
              </w:rPr>
            </w:pPr>
          </w:p>
        </w:tc>
      </w:tr>
      <w:tr w:rsidR="00D70A70" w14:paraId="68760976" w14:textId="77777777" w:rsidTr="00BA3EA1">
        <w:tc>
          <w:tcPr>
            <w:tcW w:w="1843" w:type="dxa"/>
            <w:vMerge/>
            <w:tcBorders>
              <w:left w:val="single" w:sz="4" w:space="0" w:color="auto"/>
              <w:right w:val="single" w:sz="4" w:space="0" w:color="auto"/>
            </w:tcBorders>
          </w:tcPr>
          <w:p w14:paraId="68760974"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8760975" w14:textId="77777777" w:rsidR="00D70A70" w:rsidRPr="00B273A2" w:rsidRDefault="00D70A70" w:rsidP="00E52047">
            <w:pPr>
              <w:rPr>
                <w:sz w:val="20"/>
              </w:rPr>
            </w:pPr>
          </w:p>
        </w:tc>
      </w:tr>
      <w:tr w:rsidR="00D70A70" w14:paraId="68760979" w14:textId="77777777" w:rsidTr="00BA3EA1">
        <w:tc>
          <w:tcPr>
            <w:tcW w:w="1843" w:type="dxa"/>
            <w:tcBorders>
              <w:top w:val="single" w:sz="4" w:space="0" w:color="auto"/>
              <w:left w:val="single" w:sz="4" w:space="0" w:color="auto"/>
              <w:bottom w:val="single" w:sz="4" w:space="0" w:color="auto"/>
              <w:right w:val="single" w:sz="4" w:space="0" w:color="auto"/>
            </w:tcBorders>
          </w:tcPr>
          <w:p w14:paraId="68760977"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68760978" w14:textId="77777777" w:rsidR="00D70A70" w:rsidRPr="00B273A2" w:rsidRDefault="00D70A70" w:rsidP="00E52047">
            <w:pPr>
              <w:rPr>
                <w:sz w:val="20"/>
              </w:rPr>
            </w:pPr>
          </w:p>
        </w:tc>
      </w:tr>
      <w:tr w:rsidR="00D70A70" w14:paraId="6876097C" w14:textId="77777777" w:rsidTr="00BA3EA1">
        <w:tc>
          <w:tcPr>
            <w:tcW w:w="1843" w:type="dxa"/>
            <w:tcBorders>
              <w:top w:val="single" w:sz="4" w:space="0" w:color="auto"/>
              <w:left w:val="single" w:sz="4" w:space="0" w:color="auto"/>
              <w:bottom w:val="single" w:sz="4" w:space="0" w:color="auto"/>
              <w:right w:val="single" w:sz="4" w:space="0" w:color="auto"/>
            </w:tcBorders>
          </w:tcPr>
          <w:p w14:paraId="6876097A"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6876097B" w14:textId="77777777" w:rsidR="00D70A70" w:rsidRPr="00B273A2" w:rsidRDefault="00D70A70" w:rsidP="00E52047">
            <w:pPr>
              <w:rPr>
                <w:sz w:val="20"/>
              </w:rPr>
            </w:pPr>
          </w:p>
        </w:tc>
      </w:tr>
      <w:tr w:rsidR="00D70A70" w14:paraId="6876097F" w14:textId="77777777" w:rsidTr="00BA3EA1">
        <w:tc>
          <w:tcPr>
            <w:tcW w:w="1843" w:type="dxa"/>
            <w:tcBorders>
              <w:top w:val="single" w:sz="4" w:space="0" w:color="auto"/>
              <w:left w:val="single" w:sz="4" w:space="0" w:color="auto"/>
              <w:bottom w:val="single" w:sz="4" w:space="0" w:color="auto"/>
              <w:right w:val="single" w:sz="4" w:space="0" w:color="auto"/>
            </w:tcBorders>
          </w:tcPr>
          <w:p w14:paraId="6876097D"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6876097E" w14:textId="77777777" w:rsidR="00D70A70" w:rsidRPr="00B273A2" w:rsidRDefault="00D70A70" w:rsidP="00E52047">
            <w:pPr>
              <w:rPr>
                <w:sz w:val="20"/>
              </w:rPr>
            </w:pPr>
          </w:p>
        </w:tc>
      </w:tr>
    </w:tbl>
    <w:p w14:paraId="68760980" w14:textId="77777777" w:rsidR="00D70A70" w:rsidRPr="00B273A2" w:rsidRDefault="00D70A70" w:rsidP="00E52047"/>
    <w:p w14:paraId="68760981" w14:textId="77777777" w:rsidR="006A76C5" w:rsidRPr="00E52047" w:rsidRDefault="00D70A70" w:rsidP="00E52047">
      <w:pPr>
        <w:rPr>
          <w:b/>
        </w:rPr>
      </w:pPr>
      <w:r w:rsidRPr="00E52047">
        <w:rPr>
          <w:b/>
        </w:rPr>
        <w:t>A.4</w:t>
      </w:r>
      <w:r w:rsidR="00F02047" w:rsidRPr="00E52047">
        <w:rPr>
          <w:b/>
        </w:rPr>
        <w:tab/>
        <w:t>Timing of proposed visit by the Commission</w:t>
      </w:r>
    </w:p>
    <w:p w14:paraId="68760982" w14:textId="77777777" w:rsidR="006A76C5" w:rsidRPr="00B273A2" w:rsidRDefault="006A76C5" w:rsidP="00E52047"/>
    <w:p w14:paraId="68760983" w14:textId="77777777" w:rsidR="00B249FC" w:rsidRPr="00B273A2" w:rsidRDefault="00F02047" w:rsidP="00E52047">
      <w:r w:rsidRPr="00B273A2">
        <w:t>The Commission</w:t>
      </w:r>
      <w:r w:rsidR="00D70A70" w:rsidRPr="00B273A2">
        <w:t xml:space="preserve"> </w:t>
      </w:r>
      <w:r w:rsidR="006A76C5" w:rsidRPr="00B273A2">
        <w:t>would like to commence visits to importers</w:t>
      </w:r>
      <w:r w:rsidR="00B249FC" w:rsidRPr="00B273A2">
        <w:t xml:space="preserve"> to verify the data submitted within import questionnaire responses and discuss the investigation</w:t>
      </w:r>
      <w:r w:rsidR="00936F08">
        <w:t xml:space="preserve"> as soon as possible.</w:t>
      </w:r>
    </w:p>
    <w:p w14:paraId="68760984" w14:textId="77777777" w:rsidR="00B33419" w:rsidRPr="00B273A2" w:rsidRDefault="00B33419" w:rsidP="00E52047"/>
    <w:p w14:paraId="68760985" w14:textId="77777777" w:rsidR="00B249FC" w:rsidRPr="00B273A2" w:rsidRDefault="006A76C5" w:rsidP="00E52047">
      <w:r w:rsidRPr="00B273A2">
        <w:t>Can you please advise</w:t>
      </w:r>
      <w:r w:rsidR="00B249FC" w:rsidRPr="00B273A2">
        <w:t xml:space="preserve"> what dates are suitable to your company for this</w:t>
      </w:r>
      <w:r w:rsidRPr="00B273A2">
        <w:t xml:space="preserve"> visit? </w:t>
      </w:r>
    </w:p>
    <w:p w14:paraId="68760986" w14:textId="77777777" w:rsidR="006A76C5" w:rsidRPr="00B273A2" w:rsidRDefault="006A76C5" w:rsidP="00E52047">
      <w:r w:rsidRPr="00B273A2">
        <w:t>Please note that it may be helpful to consider the availability of key staff, such as your accountant, purchasing officer or sales staff.</w:t>
      </w:r>
    </w:p>
    <w:p w14:paraId="68760987"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8760988" w14:textId="77777777" w:rsidR="006A76C5" w:rsidRPr="00B273A2" w:rsidRDefault="006A76C5" w:rsidP="00E52047"/>
    <w:p w14:paraId="68760989"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6876098A"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6876098D" w14:textId="77777777" w:rsidTr="00BA3EA1">
        <w:tc>
          <w:tcPr>
            <w:tcW w:w="1843" w:type="dxa"/>
            <w:vMerge w:val="restart"/>
            <w:tcBorders>
              <w:top w:val="single" w:sz="4" w:space="0" w:color="auto"/>
              <w:left w:val="single" w:sz="4" w:space="0" w:color="auto"/>
              <w:right w:val="single" w:sz="4" w:space="0" w:color="auto"/>
            </w:tcBorders>
          </w:tcPr>
          <w:p w14:paraId="6876098B"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6876098C" w14:textId="77777777" w:rsidR="00B249FC" w:rsidRPr="00B273A2" w:rsidRDefault="00B249FC" w:rsidP="00E52047">
            <w:pPr>
              <w:rPr>
                <w:sz w:val="20"/>
              </w:rPr>
            </w:pPr>
          </w:p>
        </w:tc>
      </w:tr>
      <w:tr w:rsidR="00B249FC" w14:paraId="68760990" w14:textId="77777777" w:rsidTr="00BA3EA1">
        <w:tc>
          <w:tcPr>
            <w:tcW w:w="1843" w:type="dxa"/>
            <w:vMerge/>
            <w:tcBorders>
              <w:left w:val="single" w:sz="4" w:space="0" w:color="auto"/>
              <w:right w:val="single" w:sz="4" w:space="0" w:color="auto"/>
            </w:tcBorders>
          </w:tcPr>
          <w:p w14:paraId="6876098E"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6876098F" w14:textId="77777777" w:rsidR="00B249FC" w:rsidRPr="00B273A2" w:rsidRDefault="00B249FC" w:rsidP="00E52047">
            <w:pPr>
              <w:rPr>
                <w:sz w:val="20"/>
              </w:rPr>
            </w:pPr>
          </w:p>
        </w:tc>
      </w:tr>
      <w:tr w:rsidR="00B249FC" w14:paraId="68760993" w14:textId="77777777" w:rsidTr="00BA3EA1">
        <w:tc>
          <w:tcPr>
            <w:tcW w:w="1843" w:type="dxa"/>
            <w:vMerge/>
            <w:tcBorders>
              <w:left w:val="single" w:sz="4" w:space="0" w:color="auto"/>
              <w:right w:val="single" w:sz="4" w:space="0" w:color="auto"/>
            </w:tcBorders>
          </w:tcPr>
          <w:p w14:paraId="68760991"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68760992" w14:textId="77777777" w:rsidR="00B249FC" w:rsidRPr="00B273A2" w:rsidRDefault="00B249FC" w:rsidP="00E52047">
            <w:pPr>
              <w:rPr>
                <w:sz w:val="20"/>
              </w:rPr>
            </w:pPr>
          </w:p>
        </w:tc>
      </w:tr>
      <w:tr w:rsidR="00B249FC" w14:paraId="68760996" w14:textId="77777777" w:rsidTr="00BA3EA1">
        <w:tc>
          <w:tcPr>
            <w:tcW w:w="1843" w:type="dxa"/>
            <w:vMerge/>
            <w:tcBorders>
              <w:left w:val="single" w:sz="4" w:space="0" w:color="auto"/>
              <w:right w:val="single" w:sz="4" w:space="0" w:color="auto"/>
            </w:tcBorders>
          </w:tcPr>
          <w:p w14:paraId="68760994"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68760995" w14:textId="77777777" w:rsidR="00B249FC" w:rsidRPr="00B273A2" w:rsidRDefault="00B249FC" w:rsidP="00E52047">
            <w:pPr>
              <w:rPr>
                <w:sz w:val="20"/>
              </w:rPr>
            </w:pPr>
          </w:p>
        </w:tc>
      </w:tr>
      <w:tr w:rsidR="00B249FC" w14:paraId="68760999" w14:textId="77777777" w:rsidTr="00BA3EA1">
        <w:tc>
          <w:tcPr>
            <w:tcW w:w="1843" w:type="dxa"/>
            <w:vMerge/>
            <w:tcBorders>
              <w:left w:val="single" w:sz="4" w:space="0" w:color="auto"/>
              <w:right w:val="single" w:sz="4" w:space="0" w:color="auto"/>
            </w:tcBorders>
          </w:tcPr>
          <w:p w14:paraId="68760997"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68760998" w14:textId="77777777" w:rsidR="00B249FC" w:rsidRPr="00B273A2" w:rsidRDefault="00B249FC" w:rsidP="00E52047">
            <w:pPr>
              <w:rPr>
                <w:sz w:val="20"/>
              </w:rPr>
            </w:pPr>
          </w:p>
        </w:tc>
      </w:tr>
      <w:tr w:rsidR="006A76C5" w14:paraId="6876099C" w14:textId="77777777" w:rsidTr="00BA3EA1">
        <w:tc>
          <w:tcPr>
            <w:tcW w:w="1843" w:type="dxa"/>
            <w:tcBorders>
              <w:top w:val="single" w:sz="4" w:space="0" w:color="auto"/>
              <w:left w:val="single" w:sz="4" w:space="0" w:color="auto"/>
              <w:bottom w:val="single" w:sz="4" w:space="0" w:color="auto"/>
              <w:right w:val="single" w:sz="4" w:space="0" w:color="auto"/>
            </w:tcBorders>
          </w:tcPr>
          <w:p w14:paraId="6876099A"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6876099B" w14:textId="77777777" w:rsidR="006A76C5" w:rsidRPr="00B273A2" w:rsidRDefault="006A76C5" w:rsidP="00E52047">
            <w:pPr>
              <w:rPr>
                <w:sz w:val="20"/>
              </w:rPr>
            </w:pPr>
          </w:p>
        </w:tc>
      </w:tr>
      <w:tr w:rsidR="006A76C5" w14:paraId="6876099F" w14:textId="77777777" w:rsidTr="00BA3EA1">
        <w:tc>
          <w:tcPr>
            <w:tcW w:w="1843" w:type="dxa"/>
            <w:tcBorders>
              <w:top w:val="single" w:sz="4" w:space="0" w:color="auto"/>
              <w:left w:val="single" w:sz="4" w:space="0" w:color="auto"/>
              <w:bottom w:val="single" w:sz="4" w:space="0" w:color="auto"/>
              <w:right w:val="single" w:sz="4" w:space="0" w:color="auto"/>
            </w:tcBorders>
          </w:tcPr>
          <w:p w14:paraId="6876099D"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6876099E" w14:textId="77777777" w:rsidR="006A76C5" w:rsidRPr="00B273A2" w:rsidRDefault="006A76C5" w:rsidP="00E52047">
            <w:pPr>
              <w:rPr>
                <w:sz w:val="20"/>
              </w:rPr>
            </w:pPr>
          </w:p>
        </w:tc>
      </w:tr>
    </w:tbl>
    <w:p w14:paraId="687609A0" w14:textId="77777777" w:rsidR="006A76C5" w:rsidRPr="00B273A2" w:rsidRDefault="006A76C5" w:rsidP="00E52047"/>
    <w:p w14:paraId="687609A1"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 xml:space="preserve">Part B – Imports and forward orders  </w:t>
      </w:r>
    </w:p>
    <w:p w14:paraId="687609A2"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687609A4" w14:textId="2CFDAE1E" w:rsidR="006A76C5" w:rsidRPr="006E3493" w:rsidRDefault="006A76C5" w:rsidP="006E3493">
      <w:pPr>
        <w:pStyle w:val="Subtitle"/>
        <w:pBdr>
          <w:top w:val="single" w:sz="12" w:space="1" w:color="auto"/>
          <w:left w:val="single" w:sz="12" w:space="4" w:color="auto"/>
          <w:bottom w:val="single" w:sz="12" w:space="1" w:color="auto"/>
          <w:right w:val="single" w:sz="12" w:space="4" w:color="auto"/>
        </w:pBdr>
        <w:jc w:val="both"/>
        <w:rPr>
          <w:color w:val="FF0000"/>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 xml:space="preserve">along with your response to Part C no later than </w:t>
      </w:r>
      <w:r w:rsidR="006E3493" w:rsidRPr="006E3493">
        <w:rPr>
          <w:color w:val="FF0000"/>
        </w:rPr>
        <w:t xml:space="preserve">within 21 days </w:t>
      </w:r>
      <w:r w:rsidR="006E3493">
        <w:rPr>
          <w:color w:val="FF0000"/>
        </w:rPr>
        <w:t xml:space="preserve">of your receipt of the </w:t>
      </w:r>
      <w:r w:rsidR="006E3493" w:rsidRPr="006E3493">
        <w:rPr>
          <w:color w:val="FF0000"/>
        </w:rPr>
        <w:t xml:space="preserve">Commission’s </w:t>
      </w:r>
      <w:r w:rsidR="006E3493" w:rsidRPr="006E3493">
        <w:rPr>
          <w:color w:val="FF0000"/>
        </w:rPr>
        <w:t>spreadsheets of imports</w:t>
      </w:r>
      <w:r w:rsidR="006E3493" w:rsidRPr="006E3493">
        <w:rPr>
          <w:color w:val="FF0000"/>
        </w:rPr>
        <w:t>.</w:t>
      </w:r>
    </w:p>
    <w:p w14:paraId="69436E4C" w14:textId="77777777" w:rsidR="00031A2D" w:rsidRDefault="00031A2D" w:rsidP="00E52047">
      <w:pPr>
        <w:rPr>
          <w:rFonts w:cs="Arial"/>
        </w:rPr>
      </w:pPr>
    </w:p>
    <w:p w14:paraId="687609A5" w14:textId="77777777" w:rsidR="000D4093" w:rsidRPr="00936F08" w:rsidRDefault="006A76C5" w:rsidP="00E52047">
      <w:pPr>
        <w:rPr>
          <w:rFonts w:cs="Arial"/>
        </w:rPr>
      </w:pPr>
      <w:r w:rsidRPr="00936F08">
        <w:rPr>
          <w:rFonts w:cs="Arial"/>
        </w:rPr>
        <w:t xml:space="preserve">To assist with the identification of imports of the </w:t>
      </w:r>
      <w:r w:rsidR="00936F08" w:rsidRPr="00936F08">
        <w:rPr>
          <w:rFonts w:cs="Arial"/>
        </w:rPr>
        <w:t>HRS</w:t>
      </w:r>
      <w:r w:rsidRPr="00936F08">
        <w:rPr>
          <w:rFonts w:cs="Arial"/>
        </w:rPr>
        <w:t xml:space="preserve"> under investigation</w:t>
      </w:r>
      <w:r w:rsidR="00B249FC" w:rsidRPr="00936F08">
        <w:rPr>
          <w:rFonts w:cs="Arial"/>
        </w:rPr>
        <w:t>,</w:t>
      </w:r>
      <w:r w:rsidRPr="00936F08">
        <w:rPr>
          <w:rFonts w:cs="Arial"/>
        </w:rPr>
        <w:t xml:space="preserve"> </w:t>
      </w:r>
      <w:r w:rsidR="00F02047" w:rsidRPr="00936F08">
        <w:rPr>
          <w:rFonts w:cs="Arial"/>
        </w:rPr>
        <w:t>the Commission</w:t>
      </w:r>
      <w:r w:rsidRPr="00936F08">
        <w:rPr>
          <w:rFonts w:cs="Arial"/>
        </w:rPr>
        <w:t xml:space="preserve"> will </w:t>
      </w:r>
      <w:r w:rsidR="00B249FC" w:rsidRPr="00936F08">
        <w:rPr>
          <w:rFonts w:cs="Arial"/>
        </w:rPr>
        <w:t xml:space="preserve">shortly </w:t>
      </w:r>
      <w:r w:rsidRPr="00936F08">
        <w:rPr>
          <w:rFonts w:cs="Arial"/>
        </w:rPr>
        <w:t xml:space="preserve">provide </w:t>
      </w:r>
      <w:r w:rsidR="007103C6" w:rsidRPr="00936F08">
        <w:rPr>
          <w:rFonts w:cs="Arial"/>
        </w:rPr>
        <w:t>you with</w:t>
      </w:r>
      <w:r w:rsidRPr="00936F08">
        <w:rPr>
          <w:rFonts w:cs="Arial"/>
        </w:rPr>
        <w:t xml:space="preserve"> spreadsheets of your imports of </w:t>
      </w:r>
      <w:r w:rsidR="00936F08" w:rsidRPr="00936F08">
        <w:rPr>
          <w:rFonts w:cs="Arial"/>
        </w:rPr>
        <w:t>HRS</w:t>
      </w:r>
      <w:r w:rsidR="00B249FC" w:rsidRPr="00936F08">
        <w:rPr>
          <w:rFonts w:cs="Arial"/>
        </w:rPr>
        <w:t xml:space="preserve"> from </w:t>
      </w:r>
      <w:r w:rsidR="00936F08" w:rsidRPr="00936F08">
        <w:rPr>
          <w:rFonts w:cs="Arial"/>
          <w:lang w:val="en-US"/>
        </w:rPr>
        <w:t>1 January 2018 to 31 December 2018</w:t>
      </w:r>
      <w:r w:rsidR="00936F08">
        <w:rPr>
          <w:rFonts w:cs="Arial"/>
          <w:lang w:val="en-US"/>
        </w:rPr>
        <w:t>.</w:t>
      </w:r>
      <w:r w:rsidRPr="00936F08">
        <w:rPr>
          <w:rFonts w:cs="Arial"/>
        </w:rPr>
        <w:t xml:space="preserve"> </w:t>
      </w:r>
    </w:p>
    <w:p w14:paraId="687609A6" w14:textId="77777777" w:rsidR="00B249FC" w:rsidRDefault="00B249FC" w:rsidP="00E52047">
      <w:pPr>
        <w:rPr>
          <w:rFonts w:cs="Arial"/>
        </w:rPr>
      </w:pPr>
    </w:p>
    <w:p w14:paraId="687609A7"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687609A8" w14:textId="77777777" w:rsidR="000D4093" w:rsidRDefault="000D4093" w:rsidP="00E52047">
      <w:pPr>
        <w:rPr>
          <w:rFonts w:cs="Arial"/>
        </w:rPr>
      </w:pPr>
    </w:p>
    <w:p w14:paraId="687609A9"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687609AA" w14:textId="77777777" w:rsidR="006A76C5" w:rsidRDefault="006A76C5" w:rsidP="00E52047">
      <w:pPr>
        <w:rPr>
          <w:rFonts w:cs="Arial"/>
        </w:rPr>
      </w:pPr>
    </w:p>
    <w:p w14:paraId="687609AB" w14:textId="77777777" w:rsidR="006A76C5" w:rsidRPr="00B273A2" w:rsidRDefault="00B249FC" w:rsidP="00E52047">
      <w:pPr>
        <w:rPr>
          <w:b/>
        </w:rPr>
      </w:pPr>
      <w:r w:rsidRPr="00B273A2">
        <w:rPr>
          <w:b/>
        </w:rPr>
        <w:t>B.1</w:t>
      </w:r>
      <w:r w:rsidR="006A76C5" w:rsidRPr="00B273A2">
        <w:rPr>
          <w:b/>
        </w:rPr>
        <w:tab/>
        <w:t>Import details</w:t>
      </w:r>
    </w:p>
    <w:p w14:paraId="687609AC" w14:textId="77777777" w:rsidR="006A76C5" w:rsidRPr="00B273A2" w:rsidRDefault="006A76C5" w:rsidP="00E52047"/>
    <w:p w14:paraId="687609AD" w14:textId="77777777"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w:t>
      </w:r>
      <w:r w:rsidR="00936F08" w:rsidRPr="00936F08">
        <w:t>HRS</w:t>
      </w:r>
      <w:r w:rsidR="002E547B" w:rsidRPr="00936F08">
        <w:t xml:space="preserve"> </w:t>
      </w:r>
      <w:r w:rsidR="002E547B" w:rsidRPr="00B273A2">
        <w:t>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687609AE" w14:textId="77777777" w:rsidR="002E547B" w:rsidRPr="00B273A2" w:rsidRDefault="002E547B" w:rsidP="00E52047"/>
    <w:p w14:paraId="687609AF" w14:textId="77777777" w:rsidR="006A76C5" w:rsidRPr="00B273A2" w:rsidRDefault="006A76C5" w:rsidP="00E52047">
      <w:r w:rsidRPr="00B273A2">
        <w:t xml:space="preserve">The spreadsheet should contain costs and sales data for the selected shipments of </w:t>
      </w:r>
      <w:r w:rsidR="00936F08" w:rsidRPr="00936F08">
        <w:t>HRS</w:t>
      </w:r>
      <w:r w:rsidRPr="00936F08">
        <w:t xml:space="preserve"> </w:t>
      </w:r>
      <w:r w:rsidR="002E547B" w:rsidRPr="00936F08">
        <w:t>since</w:t>
      </w:r>
      <w:r w:rsidR="00936F08">
        <w:t xml:space="preserve"> 1 January 2018</w:t>
      </w:r>
      <w:r w:rsidRPr="00936F08">
        <w:t>.  The completed spreadsheet</w:t>
      </w:r>
      <w:r w:rsidRPr="00B273A2">
        <w:t xml:space="preserve"> should be returned a</w:t>
      </w:r>
      <w:r w:rsidR="002E547B" w:rsidRPr="00B273A2">
        <w:t>s part of your Part B response, along with details of your forward orders (see B.3 below).</w:t>
      </w:r>
    </w:p>
    <w:p w14:paraId="687609B0" w14:textId="77777777" w:rsidR="006A76C5" w:rsidRPr="00B273A2" w:rsidRDefault="006A76C5" w:rsidP="00E52047"/>
    <w:p w14:paraId="687609B1" w14:textId="77777777" w:rsidR="00924D03" w:rsidRPr="00B273A2" w:rsidRDefault="00924D03" w:rsidP="00E52047">
      <w:r w:rsidRPr="00B273A2">
        <w:t xml:space="preserve">(Please note that that you cannot complete this part of the questionnaire until </w:t>
      </w:r>
      <w:r w:rsidR="00F02047" w:rsidRPr="00B273A2">
        <w:t>the Commission</w:t>
      </w:r>
      <w:r w:rsidRPr="00B273A2">
        <w:t xml:space="preserve"> provides you with the respe</w:t>
      </w:r>
      <w:r w:rsidR="00F02047" w:rsidRPr="00B273A2">
        <w:t>ctive listing of your imports. The Commission</w:t>
      </w:r>
      <w:r w:rsidRPr="00B273A2">
        <w:t xml:space="preserve"> will contact you shortly in this regard after receiving Part A of the questionnaire).</w:t>
      </w:r>
    </w:p>
    <w:p w14:paraId="687609B2" w14:textId="77777777" w:rsidR="00924D03" w:rsidRPr="00B273A2" w:rsidRDefault="00924D03" w:rsidP="00E52047"/>
    <w:p w14:paraId="687609B3" w14:textId="77777777" w:rsidR="006A76C5" w:rsidRPr="00B273A2" w:rsidRDefault="00B249FC" w:rsidP="00E52047">
      <w:pPr>
        <w:rPr>
          <w:b/>
        </w:rPr>
      </w:pPr>
      <w:r w:rsidRPr="00B273A2">
        <w:rPr>
          <w:b/>
        </w:rPr>
        <w:t>B.2</w:t>
      </w:r>
      <w:r w:rsidR="006A76C5" w:rsidRPr="00B273A2">
        <w:rPr>
          <w:b/>
        </w:rPr>
        <w:tab/>
        <w:t>Documents required at the visit</w:t>
      </w:r>
    </w:p>
    <w:p w14:paraId="687609B4" w14:textId="77777777" w:rsidR="006A76C5" w:rsidRPr="00B273A2" w:rsidRDefault="006A76C5" w:rsidP="00E52047">
      <w:pPr>
        <w:rPr>
          <w:b/>
        </w:rPr>
      </w:pPr>
    </w:p>
    <w:p w14:paraId="687609B5"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687609B6" w14:textId="77777777" w:rsidR="002E547B" w:rsidRDefault="002E547B" w:rsidP="00E52047">
      <w:pPr>
        <w:rPr>
          <w:rFonts w:cs="Arial"/>
        </w:rPr>
      </w:pPr>
    </w:p>
    <w:p w14:paraId="687609B7" w14:textId="77777777" w:rsidR="006A76C5" w:rsidRPr="00E52047" w:rsidRDefault="006A76C5" w:rsidP="00E52047">
      <w:pPr>
        <w:pStyle w:val="ListParagraph"/>
        <w:numPr>
          <w:ilvl w:val="0"/>
          <w:numId w:val="11"/>
        </w:numPr>
        <w:rPr>
          <w:b/>
        </w:rPr>
      </w:pPr>
      <w:r w:rsidRPr="00B273A2">
        <w:t>overseas freight and insurance;</w:t>
      </w:r>
    </w:p>
    <w:p w14:paraId="687609B8" w14:textId="77777777" w:rsidR="006A76C5" w:rsidRPr="00E52047" w:rsidRDefault="002E547B" w:rsidP="00E52047">
      <w:pPr>
        <w:pStyle w:val="ListParagraph"/>
        <w:numPr>
          <w:ilvl w:val="0"/>
          <w:numId w:val="11"/>
        </w:numPr>
        <w:rPr>
          <w:b/>
        </w:rPr>
      </w:pPr>
      <w:r w:rsidRPr="00B273A2">
        <w:t>c</w:t>
      </w:r>
      <w:r w:rsidR="006A76C5" w:rsidRPr="00B273A2">
        <w:t>ustoms duties;</w:t>
      </w:r>
    </w:p>
    <w:p w14:paraId="687609B9" w14:textId="77777777" w:rsidR="006A76C5" w:rsidRPr="00E52047" w:rsidRDefault="006A76C5" w:rsidP="00E52047">
      <w:pPr>
        <w:pStyle w:val="ListParagraph"/>
        <w:numPr>
          <w:ilvl w:val="0"/>
          <w:numId w:val="11"/>
        </w:numPr>
        <w:rPr>
          <w:b/>
        </w:rPr>
      </w:pPr>
      <w:r w:rsidRPr="00B273A2">
        <w:t>landing and wharfage charges;</w:t>
      </w:r>
    </w:p>
    <w:p w14:paraId="687609BA" w14:textId="77777777" w:rsidR="006A76C5" w:rsidRPr="00E52047" w:rsidRDefault="006A76C5" w:rsidP="00E52047">
      <w:pPr>
        <w:pStyle w:val="ListParagraph"/>
        <w:numPr>
          <w:ilvl w:val="0"/>
          <w:numId w:val="11"/>
        </w:numPr>
        <w:rPr>
          <w:b/>
        </w:rPr>
      </w:pPr>
      <w:r w:rsidRPr="00B273A2">
        <w:t>freight forwarding fees;</w:t>
      </w:r>
    </w:p>
    <w:p w14:paraId="687609BB" w14:textId="77777777" w:rsidR="006A76C5" w:rsidRPr="00E52047" w:rsidRDefault="006A76C5" w:rsidP="00E52047">
      <w:pPr>
        <w:pStyle w:val="ListParagraph"/>
        <w:numPr>
          <w:ilvl w:val="0"/>
          <w:numId w:val="11"/>
        </w:numPr>
        <w:rPr>
          <w:b/>
        </w:rPr>
      </w:pPr>
      <w:r w:rsidRPr="00B273A2">
        <w:t xml:space="preserve">cartage/delivery fees and </w:t>
      </w:r>
    </w:p>
    <w:p w14:paraId="687609BC"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687609BD" w14:textId="77777777" w:rsidR="006A76C5" w:rsidRPr="00B273A2" w:rsidRDefault="006A76C5" w:rsidP="00E52047">
      <w:pPr>
        <w:rPr>
          <w:b/>
        </w:rPr>
      </w:pPr>
    </w:p>
    <w:p w14:paraId="687609BE" w14:textId="77777777" w:rsidR="006A76C5" w:rsidRPr="00B273A2" w:rsidRDefault="006A76C5" w:rsidP="00E52047">
      <w:r w:rsidRPr="00B273A2">
        <w:t>It would be appreciated if these documents could be assembled into one bund</w:t>
      </w:r>
      <w:r w:rsidR="00F02047" w:rsidRPr="00B273A2">
        <w:t xml:space="preserve">le for each shipment selected. </w:t>
      </w:r>
      <w:r w:rsidRPr="00B273A2">
        <w:t>Please retain these copies for presentation at the</w:t>
      </w:r>
      <w:r w:rsidR="00F02047" w:rsidRPr="00B273A2">
        <w:t xml:space="preserve"> Commission’s</w:t>
      </w:r>
      <w:r w:rsidRPr="00B273A2">
        <w:t xml:space="preserve"> visit.</w:t>
      </w:r>
    </w:p>
    <w:p w14:paraId="687609BF" w14:textId="77777777" w:rsidR="006A76C5" w:rsidRPr="00B273A2" w:rsidRDefault="006A76C5" w:rsidP="00E52047">
      <w:pPr>
        <w:rPr>
          <w:b/>
        </w:rPr>
      </w:pPr>
    </w:p>
    <w:p w14:paraId="687609C0" w14:textId="77777777" w:rsidR="006A76C5" w:rsidRPr="00B273A2" w:rsidRDefault="00B249FC" w:rsidP="00E52047">
      <w:pPr>
        <w:rPr>
          <w:b/>
        </w:rPr>
      </w:pPr>
      <w:r w:rsidRPr="00B273A2">
        <w:rPr>
          <w:b/>
        </w:rPr>
        <w:t>B.3</w:t>
      </w:r>
      <w:r w:rsidR="006A76C5" w:rsidRPr="00B273A2">
        <w:rPr>
          <w:b/>
        </w:rPr>
        <w:tab/>
        <w:t>Forward orders</w:t>
      </w:r>
    </w:p>
    <w:p w14:paraId="687609C1" w14:textId="77777777" w:rsidR="006A76C5" w:rsidRPr="00B273A2" w:rsidRDefault="006A76C5" w:rsidP="00E52047"/>
    <w:p w14:paraId="687609C2" w14:textId="77777777"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936F08" w:rsidRPr="00936F08">
        <w:t>HRS</w:t>
      </w:r>
      <w:r w:rsidR="002E547B" w:rsidRPr="00936F08">
        <w:t xml:space="preserve"> I</w:t>
      </w:r>
      <w:r w:rsidR="002E547B" w:rsidRPr="00B273A2">
        <w:t>mporter Questionnaire Spreadshee</w:t>
      </w:r>
      <w:r w:rsidR="00924D03" w:rsidRPr="00B273A2">
        <w:t>ts”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687609C3"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687609C4"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687609C5" w14:textId="7BA006D0" w:rsidR="006A76C5" w:rsidRPr="009161BD" w:rsidRDefault="006A76C5" w:rsidP="006A76C5">
      <w:pPr>
        <w:pStyle w:val="Subtitle"/>
        <w:pBdr>
          <w:top w:val="single" w:sz="12" w:space="1" w:color="auto"/>
          <w:left w:val="single" w:sz="12" w:space="4" w:color="auto"/>
          <w:bottom w:val="single" w:sz="12" w:space="1" w:color="auto"/>
          <w:right w:val="single" w:sz="12" w:space="4" w:color="auto"/>
        </w:pBdr>
        <w:jc w:val="both"/>
        <w:rPr>
          <w:color w:val="FF0000"/>
        </w:rPr>
      </w:pPr>
      <w:r w:rsidRPr="00B273A2">
        <w:t xml:space="preserve">Please return your responses to Part C </w:t>
      </w:r>
      <w:r w:rsidR="002E547B" w:rsidRPr="00B273A2">
        <w:t xml:space="preserve">along with your response to Part B no later than </w:t>
      </w:r>
      <w:r w:rsidR="009161BD" w:rsidRPr="006E3493">
        <w:rPr>
          <w:color w:val="FF0000"/>
        </w:rPr>
        <w:t xml:space="preserve">within 21 days </w:t>
      </w:r>
      <w:r w:rsidR="009161BD">
        <w:rPr>
          <w:color w:val="FF0000"/>
        </w:rPr>
        <w:t xml:space="preserve">of your receipt of the </w:t>
      </w:r>
      <w:r w:rsidR="009161BD" w:rsidRPr="006E3493">
        <w:rPr>
          <w:color w:val="FF0000"/>
        </w:rPr>
        <w:t>Commission’s spreadsheets of imports.</w:t>
      </w:r>
    </w:p>
    <w:p w14:paraId="687609C6" w14:textId="77777777" w:rsidR="006A76C5" w:rsidRPr="00B273A2" w:rsidRDefault="006A76C5" w:rsidP="00E52047">
      <w:pPr>
        <w:rPr>
          <w:bdr w:val="single" w:sz="4" w:space="0" w:color="auto"/>
        </w:rPr>
      </w:pPr>
    </w:p>
    <w:p w14:paraId="687609C7" w14:textId="77777777" w:rsidR="006A76C5" w:rsidRPr="00B273A2" w:rsidRDefault="00B249FC" w:rsidP="00E52047">
      <w:pPr>
        <w:rPr>
          <w:b/>
        </w:rPr>
      </w:pPr>
      <w:r w:rsidRPr="00B273A2">
        <w:rPr>
          <w:b/>
        </w:rPr>
        <w:t>C.1</w:t>
      </w:r>
      <w:r w:rsidR="006A76C5" w:rsidRPr="00B273A2">
        <w:rPr>
          <w:b/>
        </w:rPr>
        <w:tab/>
        <w:t>Your sales</w:t>
      </w:r>
    </w:p>
    <w:p w14:paraId="687609C8" w14:textId="77777777" w:rsidR="006A76C5" w:rsidRPr="004059D5" w:rsidRDefault="006A76C5" w:rsidP="00E52047">
      <w:pPr>
        <w:rPr>
          <w:snapToGrid w:val="0"/>
          <w:szCs w:val="24"/>
        </w:rPr>
      </w:pPr>
      <w:r w:rsidRPr="004059D5">
        <w:rPr>
          <w:rFonts w:cs="Arial"/>
        </w:rPr>
        <w:t xml:space="preserve">Please provide details of all your sales in the Australian market of </w:t>
      </w:r>
      <w:r w:rsidR="00936F08" w:rsidRPr="004059D5">
        <w:rPr>
          <w:rFonts w:cs="Arial"/>
        </w:rPr>
        <w:t>HRS</w:t>
      </w:r>
      <w:r w:rsidRPr="004059D5">
        <w:rPr>
          <w:rFonts w:cs="Arial"/>
        </w:rPr>
        <w:t xml:space="preserve"> exported </w:t>
      </w:r>
      <w:r w:rsidR="002E547B" w:rsidRPr="004059D5">
        <w:rPr>
          <w:rFonts w:cs="Arial"/>
        </w:rPr>
        <w:t xml:space="preserve">from </w:t>
      </w:r>
      <w:r w:rsidR="004059D5" w:rsidRPr="004059D5">
        <w:rPr>
          <w:rFonts w:cs="Arial"/>
          <w:lang w:val="en-US"/>
        </w:rPr>
        <w:t>1 January 2018 to 31 December 2018</w:t>
      </w:r>
      <w:r w:rsidR="004059D5">
        <w:rPr>
          <w:rFonts w:cs="Arial"/>
          <w:lang w:val="en-US"/>
        </w:rPr>
        <w:t xml:space="preserve"> </w:t>
      </w:r>
      <w:r w:rsidR="00C372B1" w:rsidRPr="004059D5">
        <w:rPr>
          <w:rFonts w:cs="Arial"/>
        </w:rPr>
        <w:t>using</w:t>
      </w:r>
      <w:r w:rsidRPr="004059D5">
        <w:rPr>
          <w:rFonts w:cs="Arial"/>
        </w:rPr>
        <w:t xml:space="preserve"> the </w:t>
      </w:r>
      <w:r w:rsidR="008C1015" w:rsidRPr="004059D5">
        <w:rPr>
          <w:rFonts w:cs="Arial"/>
        </w:rPr>
        <w:t xml:space="preserve">“Part C – Sales” </w:t>
      </w:r>
      <w:r w:rsidR="00C372B1" w:rsidRPr="004059D5">
        <w:rPr>
          <w:rFonts w:cs="Arial"/>
        </w:rPr>
        <w:t>spreadsheet.</w:t>
      </w:r>
      <w:r w:rsidR="008B27BB" w:rsidRPr="004059D5">
        <w:rPr>
          <w:rFonts w:cs="Arial"/>
        </w:rPr>
        <w:t xml:space="preserve"> </w:t>
      </w:r>
      <w:r w:rsidR="008B27BB" w:rsidRPr="004059D5">
        <w:rPr>
          <w:snapToGrid w:val="0"/>
          <w:szCs w:val="24"/>
        </w:rPr>
        <w:t>If you have used formulas to complete this spreadsheet, please retain</w:t>
      </w:r>
      <w:r w:rsidR="008C1015" w:rsidRPr="004059D5">
        <w:rPr>
          <w:rFonts w:cs="Arial"/>
        </w:rPr>
        <w:t xml:space="preserve"> the </w:t>
      </w:r>
      <w:r w:rsidR="008B27BB" w:rsidRPr="004059D5">
        <w:rPr>
          <w:snapToGrid w:val="0"/>
          <w:szCs w:val="24"/>
        </w:rPr>
        <w:t>formulas.</w:t>
      </w:r>
    </w:p>
    <w:p w14:paraId="687609C9" w14:textId="77777777" w:rsidR="00E52047" w:rsidRDefault="00E52047" w:rsidP="00E52047">
      <w:pPr>
        <w:rPr>
          <w:b/>
          <w:snapToGrid w:val="0"/>
          <w:szCs w:val="24"/>
        </w:rPr>
      </w:pPr>
    </w:p>
    <w:p w14:paraId="407751BB" w14:textId="77777777" w:rsidR="006E3493" w:rsidRDefault="006E3493" w:rsidP="006E3493">
      <w:pPr>
        <w:rPr>
          <w:b/>
          <w:snapToGrid w:val="0"/>
        </w:rPr>
      </w:pPr>
      <w:r w:rsidRPr="008878BD">
        <w:rPr>
          <w:b/>
          <w:snapToGrid w:val="0"/>
        </w:rPr>
        <w:t>Model Control Code</w:t>
      </w:r>
    </w:p>
    <w:p w14:paraId="3C875324" w14:textId="77777777" w:rsidR="006E3493" w:rsidRDefault="006E3493" w:rsidP="006E3493">
      <w:pPr>
        <w:rPr>
          <w:snapToGrid w:val="0"/>
        </w:rPr>
      </w:pPr>
    </w:p>
    <w:p w14:paraId="43721363" w14:textId="77777777" w:rsidR="00031A2D" w:rsidRPr="00031A2D" w:rsidRDefault="00031A2D" w:rsidP="00031A2D">
      <w:pPr>
        <w:rPr>
          <w:snapToGrid w:val="0"/>
        </w:rPr>
      </w:pPr>
      <w:r w:rsidRPr="00031A2D">
        <w:rPr>
          <w:snapToGrid w:val="0"/>
        </w:rPr>
        <w:t>The sales spreadsheet requires the identification of the type of model sold to your customer using the model control code (MCC) structure detailed in the table below.</w:t>
      </w:r>
    </w:p>
    <w:p w14:paraId="0A5E874C" w14:textId="77777777" w:rsidR="00031A2D" w:rsidRPr="00031A2D" w:rsidRDefault="00031A2D" w:rsidP="00031A2D">
      <w:pPr>
        <w:rPr>
          <w:snapToGrid w:val="0"/>
        </w:rPr>
      </w:pPr>
    </w:p>
    <w:p w14:paraId="02D92B0C" w14:textId="3100C015" w:rsidR="006E3493" w:rsidRDefault="00031A2D" w:rsidP="00031A2D">
      <w:pPr>
        <w:rPr>
          <w:snapToGrid w:val="0"/>
        </w:rPr>
      </w:pPr>
      <w:r w:rsidRPr="00031A2D">
        <w:rPr>
          <w:snapToGrid w:val="0"/>
        </w:rPr>
        <w:t xml:space="preserve">At a minimum, the category listed as </w:t>
      </w:r>
      <w:r w:rsidRPr="00031A2D">
        <w:rPr>
          <w:b/>
          <w:snapToGrid w:val="0"/>
        </w:rPr>
        <w:t>mandatory</w:t>
      </w:r>
      <w:r w:rsidRPr="00031A2D">
        <w:rPr>
          <w:snapToGrid w:val="0"/>
        </w:rPr>
        <w:t xml:space="preserve"> must be reported in the sales spreadsheet.</w:t>
      </w:r>
    </w:p>
    <w:p w14:paraId="5AEC297E" w14:textId="77777777" w:rsidR="00031A2D" w:rsidRDefault="00031A2D" w:rsidP="00031A2D">
      <w:pPr>
        <w:rPr>
          <w:highlight w:val="yellow"/>
          <w:lang w:eastAsia="en-AU"/>
        </w:rPr>
      </w:pPr>
    </w:p>
    <w:tbl>
      <w:tblPr>
        <w:tblStyle w:val="TableGrid"/>
        <w:tblW w:w="9498" w:type="dxa"/>
        <w:tblInd w:w="137" w:type="dxa"/>
        <w:tblLayout w:type="fixed"/>
        <w:tblLook w:val="04A0" w:firstRow="1" w:lastRow="0" w:firstColumn="1" w:lastColumn="0" w:noHBand="0" w:noVBand="1"/>
      </w:tblPr>
      <w:tblGrid>
        <w:gridCol w:w="1275"/>
        <w:gridCol w:w="2978"/>
        <w:gridCol w:w="1179"/>
        <w:gridCol w:w="1372"/>
        <w:gridCol w:w="1418"/>
        <w:gridCol w:w="1276"/>
      </w:tblGrid>
      <w:tr w:rsidR="006E3493" w:rsidRPr="00A13391" w14:paraId="63A38C0C" w14:textId="77777777" w:rsidTr="00BD55F0">
        <w:tc>
          <w:tcPr>
            <w:tcW w:w="1275" w:type="dxa"/>
            <w:shd w:val="clear" w:color="auto" w:fill="D9D9D9" w:themeFill="background1" w:themeFillShade="D9"/>
            <w:vAlign w:val="center"/>
          </w:tcPr>
          <w:p w14:paraId="60550CB3" w14:textId="77777777" w:rsidR="006E3493" w:rsidRPr="00B16B30" w:rsidRDefault="006E3493" w:rsidP="00BD55F0">
            <w:pPr>
              <w:pStyle w:val="Header"/>
              <w:jc w:val="center"/>
              <w:rPr>
                <w:b/>
                <w:sz w:val="21"/>
                <w:szCs w:val="21"/>
              </w:rPr>
            </w:pPr>
            <w:r w:rsidRPr="00B16B30">
              <w:rPr>
                <w:b/>
                <w:sz w:val="21"/>
                <w:szCs w:val="21"/>
              </w:rPr>
              <w:t>Category</w:t>
            </w:r>
          </w:p>
        </w:tc>
        <w:tc>
          <w:tcPr>
            <w:tcW w:w="2978" w:type="dxa"/>
            <w:shd w:val="clear" w:color="auto" w:fill="D9D9D9" w:themeFill="background1" w:themeFillShade="D9"/>
            <w:vAlign w:val="center"/>
          </w:tcPr>
          <w:p w14:paraId="39D528B7" w14:textId="77777777" w:rsidR="006E3493" w:rsidRPr="00B16B30" w:rsidRDefault="006E3493" w:rsidP="00BD55F0">
            <w:pPr>
              <w:pStyle w:val="Header"/>
              <w:ind w:left="-392" w:right="-109" w:firstLine="392"/>
              <w:jc w:val="center"/>
              <w:rPr>
                <w:b/>
                <w:sz w:val="21"/>
                <w:szCs w:val="21"/>
              </w:rPr>
            </w:pPr>
            <w:r w:rsidRPr="00B16B30">
              <w:rPr>
                <w:b/>
                <w:sz w:val="21"/>
                <w:szCs w:val="21"/>
              </w:rPr>
              <w:t>Sub-category</w:t>
            </w:r>
          </w:p>
        </w:tc>
        <w:tc>
          <w:tcPr>
            <w:tcW w:w="1179" w:type="dxa"/>
            <w:shd w:val="clear" w:color="auto" w:fill="D9D9D9" w:themeFill="background1" w:themeFillShade="D9"/>
            <w:vAlign w:val="center"/>
          </w:tcPr>
          <w:p w14:paraId="4187BE5C" w14:textId="77777777" w:rsidR="006E3493" w:rsidRPr="00B16B30" w:rsidRDefault="006E3493" w:rsidP="00BD55F0">
            <w:pPr>
              <w:pStyle w:val="Header"/>
              <w:ind w:left="34"/>
              <w:jc w:val="center"/>
              <w:rPr>
                <w:b/>
                <w:sz w:val="21"/>
                <w:szCs w:val="21"/>
              </w:rPr>
            </w:pPr>
            <w:r w:rsidRPr="00B16B30">
              <w:rPr>
                <w:b/>
                <w:sz w:val="21"/>
                <w:szCs w:val="21"/>
              </w:rPr>
              <w:t>Identifier</w:t>
            </w:r>
          </w:p>
        </w:tc>
        <w:tc>
          <w:tcPr>
            <w:tcW w:w="1372" w:type="dxa"/>
            <w:shd w:val="clear" w:color="auto" w:fill="D9D9D9" w:themeFill="background1" w:themeFillShade="D9"/>
            <w:vAlign w:val="center"/>
          </w:tcPr>
          <w:p w14:paraId="0F9EAD03" w14:textId="77777777" w:rsidR="006E3493" w:rsidRPr="00B16B30" w:rsidRDefault="006E3493" w:rsidP="00BD55F0">
            <w:pPr>
              <w:pStyle w:val="Header"/>
              <w:jc w:val="center"/>
              <w:rPr>
                <w:b/>
                <w:sz w:val="21"/>
                <w:szCs w:val="21"/>
              </w:rPr>
            </w:pPr>
            <w:r w:rsidRPr="00B16B30">
              <w:rPr>
                <w:b/>
                <w:sz w:val="21"/>
                <w:szCs w:val="21"/>
              </w:rPr>
              <w:t>Sales data</w:t>
            </w:r>
          </w:p>
        </w:tc>
        <w:tc>
          <w:tcPr>
            <w:tcW w:w="1418" w:type="dxa"/>
            <w:shd w:val="clear" w:color="auto" w:fill="D9D9D9" w:themeFill="background1" w:themeFillShade="D9"/>
            <w:vAlign w:val="center"/>
          </w:tcPr>
          <w:p w14:paraId="555FFA8B" w14:textId="77777777" w:rsidR="006E3493" w:rsidRPr="00B16B30" w:rsidRDefault="006E3493" w:rsidP="00BD55F0">
            <w:pPr>
              <w:pStyle w:val="Header"/>
              <w:jc w:val="center"/>
              <w:rPr>
                <w:b/>
                <w:sz w:val="21"/>
                <w:szCs w:val="21"/>
              </w:rPr>
            </w:pPr>
            <w:r w:rsidRPr="00B16B30">
              <w:rPr>
                <w:b/>
                <w:sz w:val="21"/>
                <w:szCs w:val="21"/>
              </w:rPr>
              <w:t>Cost data</w:t>
            </w:r>
          </w:p>
        </w:tc>
        <w:tc>
          <w:tcPr>
            <w:tcW w:w="1276" w:type="dxa"/>
            <w:shd w:val="clear" w:color="auto" w:fill="D9D9D9" w:themeFill="background1" w:themeFillShade="D9"/>
            <w:vAlign w:val="center"/>
          </w:tcPr>
          <w:p w14:paraId="5E1B9803" w14:textId="77777777" w:rsidR="006E3493" w:rsidRPr="00B16B30" w:rsidRDefault="006E3493" w:rsidP="00BD55F0">
            <w:pPr>
              <w:pStyle w:val="Header"/>
              <w:jc w:val="center"/>
              <w:rPr>
                <w:b/>
                <w:sz w:val="21"/>
                <w:szCs w:val="21"/>
              </w:rPr>
            </w:pPr>
            <w:r w:rsidRPr="00B16B30">
              <w:rPr>
                <w:b/>
                <w:sz w:val="21"/>
                <w:szCs w:val="21"/>
              </w:rPr>
              <w:t>Key category</w:t>
            </w:r>
          </w:p>
        </w:tc>
      </w:tr>
      <w:tr w:rsidR="006E3493" w:rsidRPr="00FD12DE" w14:paraId="48BD8668" w14:textId="77777777" w:rsidTr="00BD55F0">
        <w:trPr>
          <w:trHeight w:val="334"/>
        </w:trPr>
        <w:tc>
          <w:tcPr>
            <w:tcW w:w="1275" w:type="dxa"/>
            <w:vMerge w:val="restart"/>
            <w:shd w:val="clear" w:color="auto" w:fill="auto"/>
            <w:vAlign w:val="center"/>
          </w:tcPr>
          <w:p w14:paraId="144083DA" w14:textId="77777777" w:rsidR="006E3493" w:rsidRPr="00FD12DE" w:rsidRDefault="006E3493" w:rsidP="00BD55F0">
            <w:pPr>
              <w:pStyle w:val="Header"/>
              <w:jc w:val="center"/>
              <w:rPr>
                <w:sz w:val="21"/>
                <w:szCs w:val="21"/>
              </w:rPr>
            </w:pPr>
            <w:r w:rsidRPr="00FD12DE">
              <w:rPr>
                <w:sz w:val="21"/>
                <w:szCs w:val="21"/>
              </w:rPr>
              <w:t>Prime</w:t>
            </w:r>
          </w:p>
        </w:tc>
        <w:tc>
          <w:tcPr>
            <w:tcW w:w="2978" w:type="dxa"/>
            <w:shd w:val="clear" w:color="auto" w:fill="auto"/>
            <w:vAlign w:val="center"/>
          </w:tcPr>
          <w:p w14:paraId="0A0EED5C" w14:textId="77777777" w:rsidR="006E3493" w:rsidRPr="00FD12DE" w:rsidRDefault="006E3493" w:rsidP="00BD55F0">
            <w:pPr>
              <w:pStyle w:val="Header"/>
              <w:ind w:left="34" w:right="-109"/>
              <w:rPr>
                <w:sz w:val="21"/>
                <w:szCs w:val="21"/>
              </w:rPr>
            </w:pPr>
            <w:r>
              <w:rPr>
                <w:sz w:val="21"/>
                <w:szCs w:val="21"/>
              </w:rPr>
              <w:t>Prime</w:t>
            </w:r>
          </w:p>
        </w:tc>
        <w:tc>
          <w:tcPr>
            <w:tcW w:w="1179" w:type="dxa"/>
            <w:shd w:val="clear" w:color="auto" w:fill="auto"/>
            <w:vAlign w:val="center"/>
          </w:tcPr>
          <w:p w14:paraId="79B48782" w14:textId="77777777" w:rsidR="006E3493" w:rsidRPr="00FD12DE" w:rsidRDefault="006E3493" w:rsidP="00BD55F0">
            <w:pPr>
              <w:pStyle w:val="Header"/>
              <w:ind w:left="34"/>
              <w:jc w:val="center"/>
              <w:rPr>
                <w:sz w:val="21"/>
                <w:szCs w:val="21"/>
              </w:rPr>
            </w:pPr>
            <w:r w:rsidRPr="00FD12DE">
              <w:rPr>
                <w:sz w:val="21"/>
                <w:szCs w:val="21"/>
              </w:rPr>
              <w:t>P</w:t>
            </w:r>
          </w:p>
        </w:tc>
        <w:tc>
          <w:tcPr>
            <w:tcW w:w="1372" w:type="dxa"/>
            <w:vMerge w:val="restart"/>
            <w:shd w:val="clear" w:color="auto" w:fill="auto"/>
            <w:vAlign w:val="center"/>
          </w:tcPr>
          <w:p w14:paraId="1DBF830F" w14:textId="77777777" w:rsidR="006E3493" w:rsidRPr="001651D3" w:rsidRDefault="006E3493" w:rsidP="00BD55F0">
            <w:pPr>
              <w:pStyle w:val="Header"/>
              <w:jc w:val="center"/>
              <w:rPr>
                <w:b/>
                <w:sz w:val="21"/>
                <w:szCs w:val="21"/>
              </w:rPr>
            </w:pPr>
            <w:r w:rsidRPr="001651D3">
              <w:rPr>
                <w:b/>
                <w:sz w:val="21"/>
                <w:szCs w:val="21"/>
              </w:rPr>
              <w:t>Mandatory</w:t>
            </w:r>
          </w:p>
        </w:tc>
        <w:tc>
          <w:tcPr>
            <w:tcW w:w="1418" w:type="dxa"/>
            <w:vMerge w:val="restart"/>
            <w:shd w:val="clear" w:color="auto" w:fill="auto"/>
            <w:vAlign w:val="center"/>
          </w:tcPr>
          <w:p w14:paraId="5713A19A" w14:textId="77777777" w:rsidR="006E3493" w:rsidRPr="00FD12DE" w:rsidRDefault="006E3493" w:rsidP="00BD55F0">
            <w:pPr>
              <w:pStyle w:val="Header"/>
              <w:jc w:val="center"/>
              <w:rPr>
                <w:sz w:val="21"/>
                <w:szCs w:val="21"/>
              </w:rPr>
            </w:pPr>
            <w:r>
              <w:rPr>
                <w:sz w:val="21"/>
                <w:szCs w:val="21"/>
              </w:rPr>
              <w:t>Not applicable</w:t>
            </w:r>
          </w:p>
        </w:tc>
        <w:tc>
          <w:tcPr>
            <w:tcW w:w="1276" w:type="dxa"/>
            <w:vMerge w:val="restart"/>
            <w:shd w:val="clear" w:color="auto" w:fill="auto"/>
            <w:vAlign w:val="center"/>
          </w:tcPr>
          <w:p w14:paraId="272B71E8" w14:textId="77777777" w:rsidR="006E3493" w:rsidRPr="001651D3" w:rsidRDefault="006E3493" w:rsidP="00BD55F0">
            <w:pPr>
              <w:pStyle w:val="Header"/>
              <w:jc w:val="center"/>
              <w:rPr>
                <w:b/>
                <w:sz w:val="21"/>
                <w:szCs w:val="21"/>
              </w:rPr>
            </w:pPr>
            <w:r w:rsidRPr="001651D3">
              <w:rPr>
                <w:b/>
                <w:sz w:val="21"/>
                <w:szCs w:val="21"/>
              </w:rPr>
              <w:t>Yes</w:t>
            </w:r>
          </w:p>
        </w:tc>
      </w:tr>
      <w:tr w:rsidR="006E3493" w:rsidRPr="00FD12DE" w14:paraId="33CCCBA1" w14:textId="77777777" w:rsidTr="00BD55F0">
        <w:trPr>
          <w:trHeight w:val="334"/>
        </w:trPr>
        <w:tc>
          <w:tcPr>
            <w:tcW w:w="1275" w:type="dxa"/>
            <w:vMerge/>
            <w:shd w:val="clear" w:color="auto" w:fill="auto"/>
            <w:vAlign w:val="center"/>
          </w:tcPr>
          <w:p w14:paraId="29DA154E" w14:textId="77777777" w:rsidR="006E3493" w:rsidRPr="00FD12DE" w:rsidRDefault="006E3493" w:rsidP="00BD55F0">
            <w:pPr>
              <w:pStyle w:val="Header"/>
              <w:jc w:val="center"/>
              <w:rPr>
                <w:sz w:val="21"/>
                <w:szCs w:val="21"/>
              </w:rPr>
            </w:pPr>
          </w:p>
        </w:tc>
        <w:tc>
          <w:tcPr>
            <w:tcW w:w="2978" w:type="dxa"/>
            <w:shd w:val="clear" w:color="auto" w:fill="auto"/>
            <w:vAlign w:val="center"/>
          </w:tcPr>
          <w:p w14:paraId="2E701CCA" w14:textId="77777777" w:rsidR="006E3493" w:rsidRPr="00FD12DE" w:rsidRDefault="006E3493" w:rsidP="00BD55F0">
            <w:pPr>
              <w:pStyle w:val="Header"/>
              <w:ind w:left="34" w:right="-109"/>
              <w:rPr>
                <w:sz w:val="21"/>
                <w:szCs w:val="21"/>
              </w:rPr>
            </w:pPr>
            <w:r>
              <w:rPr>
                <w:sz w:val="21"/>
                <w:szCs w:val="21"/>
              </w:rPr>
              <w:t>Non-prime</w:t>
            </w:r>
          </w:p>
        </w:tc>
        <w:tc>
          <w:tcPr>
            <w:tcW w:w="1179" w:type="dxa"/>
            <w:shd w:val="clear" w:color="auto" w:fill="auto"/>
            <w:vAlign w:val="center"/>
          </w:tcPr>
          <w:p w14:paraId="1E0D47DA" w14:textId="77777777" w:rsidR="006E3493" w:rsidRPr="00FD12DE" w:rsidRDefault="006E3493" w:rsidP="00BD55F0">
            <w:pPr>
              <w:pStyle w:val="Header"/>
              <w:ind w:left="34"/>
              <w:jc w:val="center"/>
              <w:rPr>
                <w:sz w:val="21"/>
                <w:szCs w:val="21"/>
              </w:rPr>
            </w:pPr>
            <w:r>
              <w:rPr>
                <w:sz w:val="21"/>
                <w:szCs w:val="21"/>
              </w:rPr>
              <w:t>N</w:t>
            </w:r>
          </w:p>
        </w:tc>
        <w:tc>
          <w:tcPr>
            <w:tcW w:w="1372" w:type="dxa"/>
            <w:vMerge/>
            <w:shd w:val="clear" w:color="auto" w:fill="auto"/>
            <w:vAlign w:val="center"/>
          </w:tcPr>
          <w:p w14:paraId="7E8A4132" w14:textId="77777777" w:rsidR="006E3493" w:rsidRPr="001651D3" w:rsidRDefault="006E3493" w:rsidP="00BD55F0">
            <w:pPr>
              <w:pStyle w:val="Header"/>
              <w:jc w:val="center"/>
              <w:rPr>
                <w:b/>
                <w:sz w:val="21"/>
                <w:szCs w:val="21"/>
              </w:rPr>
            </w:pPr>
          </w:p>
        </w:tc>
        <w:tc>
          <w:tcPr>
            <w:tcW w:w="1418" w:type="dxa"/>
            <w:vMerge/>
            <w:shd w:val="clear" w:color="auto" w:fill="auto"/>
            <w:vAlign w:val="center"/>
          </w:tcPr>
          <w:p w14:paraId="18F4148D" w14:textId="77777777" w:rsidR="006E3493" w:rsidRPr="00FD12DE" w:rsidRDefault="006E3493" w:rsidP="00BD55F0">
            <w:pPr>
              <w:pStyle w:val="Header"/>
              <w:jc w:val="center"/>
              <w:rPr>
                <w:sz w:val="21"/>
                <w:szCs w:val="21"/>
              </w:rPr>
            </w:pPr>
          </w:p>
        </w:tc>
        <w:tc>
          <w:tcPr>
            <w:tcW w:w="1276" w:type="dxa"/>
            <w:vMerge/>
            <w:shd w:val="clear" w:color="auto" w:fill="auto"/>
            <w:vAlign w:val="center"/>
          </w:tcPr>
          <w:p w14:paraId="66C52296" w14:textId="77777777" w:rsidR="006E3493" w:rsidRPr="001651D3" w:rsidRDefault="006E3493" w:rsidP="00BD55F0">
            <w:pPr>
              <w:pStyle w:val="Header"/>
              <w:jc w:val="center"/>
              <w:rPr>
                <w:b/>
                <w:sz w:val="21"/>
                <w:szCs w:val="21"/>
              </w:rPr>
            </w:pPr>
          </w:p>
        </w:tc>
      </w:tr>
      <w:tr w:rsidR="006E3493" w:rsidRPr="00FD12DE" w14:paraId="0C84A619" w14:textId="77777777" w:rsidTr="00BD55F0">
        <w:trPr>
          <w:trHeight w:val="334"/>
        </w:trPr>
        <w:tc>
          <w:tcPr>
            <w:tcW w:w="1275" w:type="dxa"/>
            <w:vMerge w:val="restart"/>
            <w:shd w:val="clear" w:color="auto" w:fill="DBE5F1" w:themeFill="accent1" w:themeFillTint="33"/>
            <w:vAlign w:val="center"/>
          </w:tcPr>
          <w:p w14:paraId="52ACB1FC" w14:textId="77777777" w:rsidR="006E3493" w:rsidRPr="00FD12DE" w:rsidRDefault="006E3493" w:rsidP="00BD55F0">
            <w:pPr>
              <w:pStyle w:val="Header"/>
              <w:jc w:val="center"/>
              <w:rPr>
                <w:sz w:val="21"/>
                <w:szCs w:val="21"/>
              </w:rPr>
            </w:pPr>
            <w:r w:rsidRPr="00FD12DE">
              <w:rPr>
                <w:sz w:val="21"/>
                <w:szCs w:val="21"/>
              </w:rPr>
              <w:t>Shape</w:t>
            </w:r>
          </w:p>
        </w:tc>
        <w:tc>
          <w:tcPr>
            <w:tcW w:w="2978" w:type="dxa"/>
            <w:shd w:val="clear" w:color="auto" w:fill="DBE5F1" w:themeFill="accent1" w:themeFillTint="33"/>
            <w:vAlign w:val="center"/>
          </w:tcPr>
          <w:p w14:paraId="4634E9DD" w14:textId="77777777" w:rsidR="006E3493" w:rsidRPr="00FD12DE" w:rsidRDefault="006E3493" w:rsidP="00BD55F0">
            <w:pPr>
              <w:pStyle w:val="Header"/>
              <w:ind w:left="34" w:right="-109"/>
              <w:rPr>
                <w:sz w:val="21"/>
                <w:szCs w:val="21"/>
              </w:rPr>
            </w:pPr>
            <w:r w:rsidRPr="00FD12DE">
              <w:rPr>
                <w:sz w:val="21"/>
                <w:szCs w:val="21"/>
              </w:rPr>
              <w:t>Universal Beams (‘I’ sections)</w:t>
            </w:r>
          </w:p>
        </w:tc>
        <w:tc>
          <w:tcPr>
            <w:tcW w:w="1179" w:type="dxa"/>
            <w:shd w:val="clear" w:color="auto" w:fill="DBE5F1" w:themeFill="accent1" w:themeFillTint="33"/>
            <w:vAlign w:val="center"/>
          </w:tcPr>
          <w:p w14:paraId="76FC8A8A" w14:textId="77777777" w:rsidR="006E3493" w:rsidRPr="00FD12DE" w:rsidRDefault="006E3493" w:rsidP="00BD55F0">
            <w:pPr>
              <w:pStyle w:val="Header"/>
              <w:ind w:left="34"/>
              <w:jc w:val="center"/>
              <w:rPr>
                <w:sz w:val="21"/>
                <w:szCs w:val="21"/>
              </w:rPr>
            </w:pPr>
            <w:r w:rsidRPr="00FD12DE">
              <w:rPr>
                <w:sz w:val="21"/>
                <w:szCs w:val="21"/>
              </w:rPr>
              <w:t>I</w:t>
            </w:r>
          </w:p>
        </w:tc>
        <w:tc>
          <w:tcPr>
            <w:tcW w:w="1372" w:type="dxa"/>
            <w:vMerge w:val="restart"/>
            <w:shd w:val="clear" w:color="auto" w:fill="DBE5F1" w:themeFill="accent1" w:themeFillTint="33"/>
            <w:vAlign w:val="center"/>
          </w:tcPr>
          <w:p w14:paraId="515BC65E" w14:textId="77777777" w:rsidR="006E3493" w:rsidRPr="001651D3" w:rsidRDefault="006E3493" w:rsidP="00BD55F0">
            <w:pPr>
              <w:pStyle w:val="Header"/>
              <w:jc w:val="center"/>
              <w:rPr>
                <w:b/>
                <w:sz w:val="21"/>
                <w:szCs w:val="21"/>
              </w:rPr>
            </w:pPr>
            <w:r w:rsidRPr="001651D3">
              <w:rPr>
                <w:b/>
                <w:sz w:val="21"/>
                <w:szCs w:val="21"/>
              </w:rPr>
              <w:t>Mandatory</w:t>
            </w:r>
          </w:p>
        </w:tc>
        <w:tc>
          <w:tcPr>
            <w:tcW w:w="1418" w:type="dxa"/>
            <w:vMerge w:val="restart"/>
            <w:shd w:val="clear" w:color="auto" w:fill="DBE5F1" w:themeFill="accent1" w:themeFillTint="33"/>
            <w:vAlign w:val="center"/>
          </w:tcPr>
          <w:p w14:paraId="48D5F644" w14:textId="77777777" w:rsidR="006E3493" w:rsidRPr="001651D3" w:rsidRDefault="006E3493" w:rsidP="00BD55F0">
            <w:pPr>
              <w:pStyle w:val="Header"/>
              <w:jc w:val="center"/>
              <w:rPr>
                <w:b/>
                <w:sz w:val="21"/>
                <w:szCs w:val="21"/>
              </w:rPr>
            </w:pPr>
            <w:r w:rsidRPr="001651D3">
              <w:rPr>
                <w:b/>
                <w:sz w:val="21"/>
                <w:szCs w:val="21"/>
              </w:rPr>
              <w:t>Mandatory</w:t>
            </w:r>
          </w:p>
        </w:tc>
        <w:tc>
          <w:tcPr>
            <w:tcW w:w="1276" w:type="dxa"/>
            <w:vMerge w:val="restart"/>
            <w:shd w:val="clear" w:color="auto" w:fill="DBE5F1" w:themeFill="accent1" w:themeFillTint="33"/>
            <w:vAlign w:val="center"/>
          </w:tcPr>
          <w:p w14:paraId="53555AAE" w14:textId="77777777" w:rsidR="006E3493" w:rsidRPr="001651D3" w:rsidRDefault="006E3493" w:rsidP="00BD55F0">
            <w:pPr>
              <w:pStyle w:val="Header"/>
              <w:jc w:val="center"/>
              <w:rPr>
                <w:b/>
                <w:sz w:val="21"/>
                <w:szCs w:val="21"/>
              </w:rPr>
            </w:pPr>
            <w:r w:rsidRPr="001651D3">
              <w:rPr>
                <w:b/>
                <w:sz w:val="21"/>
                <w:szCs w:val="21"/>
              </w:rPr>
              <w:t>Yes</w:t>
            </w:r>
          </w:p>
        </w:tc>
      </w:tr>
      <w:tr w:rsidR="006E3493" w:rsidRPr="00FD12DE" w14:paraId="7FC05BA5" w14:textId="77777777" w:rsidTr="00BD55F0">
        <w:trPr>
          <w:trHeight w:val="335"/>
        </w:trPr>
        <w:tc>
          <w:tcPr>
            <w:tcW w:w="1275" w:type="dxa"/>
            <w:vMerge/>
            <w:shd w:val="clear" w:color="auto" w:fill="DBE5F1" w:themeFill="accent1" w:themeFillTint="33"/>
            <w:vAlign w:val="center"/>
          </w:tcPr>
          <w:p w14:paraId="57E4BB3D"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7CEFE8CD" w14:textId="77777777" w:rsidR="006E3493" w:rsidRPr="00FD12DE" w:rsidRDefault="006E3493" w:rsidP="00BD55F0">
            <w:pPr>
              <w:pStyle w:val="Header"/>
              <w:ind w:left="34" w:right="-109"/>
              <w:rPr>
                <w:sz w:val="21"/>
                <w:szCs w:val="21"/>
              </w:rPr>
            </w:pPr>
            <w:r w:rsidRPr="00FD12DE">
              <w:rPr>
                <w:sz w:val="21"/>
                <w:szCs w:val="21"/>
              </w:rPr>
              <w:t>Universal Columns and Universal Bearing Piles (‘H’ sections)</w:t>
            </w:r>
          </w:p>
        </w:tc>
        <w:tc>
          <w:tcPr>
            <w:tcW w:w="1179" w:type="dxa"/>
            <w:shd w:val="clear" w:color="auto" w:fill="DBE5F1" w:themeFill="accent1" w:themeFillTint="33"/>
            <w:vAlign w:val="center"/>
          </w:tcPr>
          <w:p w14:paraId="1AC2F1EB" w14:textId="77777777" w:rsidR="006E3493" w:rsidRPr="00FD12DE" w:rsidRDefault="006E3493" w:rsidP="00BD55F0">
            <w:pPr>
              <w:pStyle w:val="Header"/>
              <w:ind w:left="34"/>
              <w:jc w:val="center"/>
              <w:rPr>
                <w:sz w:val="21"/>
                <w:szCs w:val="21"/>
              </w:rPr>
            </w:pPr>
            <w:r w:rsidRPr="00FD12DE">
              <w:rPr>
                <w:sz w:val="21"/>
                <w:szCs w:val="21"/>
              </w:rPr>
              <w:t>H</w:t>
            </w:r>
          </w:p>
        </w:tc>
        <w:tc>
          <w:tcPr>
            <w:tcW w:w="1372" w:type="dxa"/>
            <w:vMerge/>
            <w:shd w:val="clear" w:color="auto" w:fill="DBE5F1" w:themeFill="accent1" w:themeFillTint="33"/>
            <w:vAlign w:val="center"/>
          </w:tcPr>
          <w:p w14:paraId="43C77826" w14:textId="77777777" w:rsidR="006E3493" w:rsidRPr="001651D3" w:rsidRDefault="006E3493" w:rsidP="00BD55F0">
            <w:pPr>
              <w:pStyle w:val="Header"/>
              <w:jc w:val="center"/>
              <w:rPr>
                <w:b/>
                <w:sz w:val="21"/>
                <w:szCs w:val="21"/>
              </w:rPr>
            </w:pPr>
          </w:p>
        </w:tc>
        <w:tc>
          <w:tcPr>
            <w:tcW w:w="1418" w:type="dxa"/>
            <w:vMerge/>
            <w:shd w:val="clear" w:color="auto" w:fill="DBE5F1" w:themeFill="accent1" w:themeFillTint="33"/>
            <w:vAlign w:val="center"/>
          </w:tcPr>
          <w:p w14:paraId="565910FC" w14:textId="77777777" w:rsidR="006E3493" w:rsidRPr="001651D3" w:rsidRDefault="006E3493" w:rsidP="00BD55F0">
            <w:pPr>
              <w:pStyle w:val="Header"/>
              <w:jc w:val="center"/>
              <w:rPr>
                <w:b/>
                <w:sz w:val="21"/>
                <w:szCs w:val="21"/>
              </w:rPr>
            </w:pPr>
          </w:p>
        </w:tc>
        <w:tc>
          <w:tcPr>
            <w:tcW w:w="1276" w:type="dxa"/>
            <w:vMerge/>
            <w:shd w:val="clear" w:color="auto" w:fill="DBE5F1" w:themeFill="accent1" w:themeFillTint="33"/>
            <w:vAlign w:val="center"/>
          </w:tcPr>
          <w:p w14:paraId="31ED82D1" w14:textId="77777777" w:rsidR="006E3493" w:rsidRPr="001651D3" w:rsidRDefault="006E3493" w:rsidP="00BD55F0">
            <w:pPr>
              <w:pStyle w:val="Header"/>
              <w:jc w:val="center"/>
              <w:rPr>
                <w:b/>
                <w:sz w:val="21"/>
                <w:szCs w:val="21"/>
              </w:rPr>
            </w:pPr>
          </w:p>
        </w:tc>
      </w:tr>
      <w:tr w:rsidR="006E3493" w:rsidRPr="00FD12DE" w14:paraId="1B887EAA" w14:textId="77777777" w:rsidTr="00BD55F0">
        <w:trPr>
          <w:trHeight w:val="335"/>
        </w:trPr>
        <w:tc>
          <w:tcPr>
            <w:tcW w:w="1275" w:type="dxa"/>
            <w:vMerge/>
            <w:shd w:val="clear" w:color="auto" w:fill="DBE5F1" w:themeFill="accent1" w:themeFillTint="33"/>
            <w:vAlign w:val="center"/>
          </w:tcPr>
          <w:p w14:paraId="1188D356"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4920509A" w14:textId="77777777" w:rsidR="006E3493" w:rsidRPr="00FD12DE" w:rsidRDefault="006E3493" w:rsidP="00BD55F0">
            <w:pPr>
              <w:pStyle w:val="Header"/>
              <w:ind w:left="34" w:right="-109"/>
              <w:rPr>
                <w:sz w:val="21"/>
                <w:szCs w:val="21"/>
              </w:rPr>
            </w:pPr>
            <w:r w:rsidRPr="00FD12DE">
              <w:rPr>
                <w:sz w:val="21"/>
                <w:szCs w:val="21"/>
              </w:rPr>
              <w:t>Channels (‘U’ or ‘C’ sections)</w:t>
            </w:r>
          </w:p>
        </w:tc>
        <w:tc>
          <w:tcPr>
            <w:tcW w:w="1179" w:type="dxa"/>
            <w:shd w:val="clear" w:color="auto" w:fill="DBE5F1" w:themeFill="accent1" w:themeFillTint="33"/>
            <w:vAlign w:val="center"/>
          </w:tcPr>
          <w:p w14:paraId="77C0ECEC" w14:textId="77777777" w:rsidR="006E3493" w:rsidRPr="00FD12DE" w:rsidRDefault="006E3493" w:rsidP="00BD55F0">
            <w:pPr>
              <w:pStyle w:val="Header"/>
              <w:ind w:left="34"/>
              <w:jc w:val="center"/>
              <w:rPr>
                <w:sz w:val="21"/>
                <w:szCs w:val="21"/>
              </w:rPr>
            </w:pPr>
            <w:r w:rsidRPr="00FD12DE">
              <w:rPr>
                <w:sz w:val="21"/>
                <w:szCs w:val="21"/>
              </w:rPr>
              <w:t>C</w:t>
            </w:r>
          </w:p>
        </w:tc>
        <w:tc>
          <w:tcPr>
            <w:tcW w:w="1372" w:type="dxa"/>
            <w:vMerge/>
            <w:shd w:val="clear" w:color="auto" w:fill="DBE5F1" w:themeFill="accent1" w:themeFillTint="33"/>
            <w:vAlign w:val="center"/>
          </w:tcPr>
          <w:p w14:paraId="3F4E16CA" w14:textId="77777777" w:rsidR="006E3493" w:rsidRPr="001651D3" w:rsidRDefault="006E3493" w:rsidP="00BD55F0">
            <w:pPr>
              <w:pStyle w:val="Header"/>
              <w:jc w:val="center"/>
              <w:rPr>
                <w:b/>
                <w:sz w:val="21"/>
                <w:szCs w:val="21"/>
              </w:rPr>
            </w:pPr>
          </w:p>
        </w:tc>
        <w:tc>
          <w:tcPr>
            <w:tcW w:w="1418" w:type="dxa"/>
            <w:vMerge/>
            <w:shd w:val="clear" w:color="auto" w:fill="DBE5F1" w:themeFill="accent1" w:themeFillTint="33"/>
            <w:vAlign w:val="center"/>
          </w:tcPr>
          <w:p w14:paraId="31CD235E" w14:textId="77777777" w:rsidR="006E3493" w:rsidRPr="001651D3" w:rsidRDefault="006E3493" w:rsidP="00BD55F0">
            <w:pPr>
              <w:pStyle w:val="Header"/>
              <w:jc w:val="center"/>
              <w:rPr>
                <w:b/>
                <w:sz w:val="21"/>
                <w:szCs w:val="21"/>
              </w:rPr>
            </w:pPr>
          </w:p>
        </w:tc>
        <w:tc>
          <w:tcPr>
            <w:tcW w:w="1276" w:type="dxa"/>
            <w:vMerge/>
            <w:shd w:val="clear" w:color="auto" w:fill="DBE5F1" w:themeFill="accent1" w:themeFillTint="33"/>
            <w:vAlign w:val="center"/>
          </w:tcPr>
          <w:p w14:paraId="25D29AC7" w14:textId="77777777" w:rsidR="006E3493" w:rsidRPr="001651D3" w:rsidRDefault="006E3493" w:rsidP="00BD55F0">
            <w:pPr>
              <w:pStyle w:val="Header"/>
              <w:jc w:val="center"/>
              <w:rPr>
                <w:b/>
                <w:sz w:val="21"/>
                <w:szCs w:val="21"/>
              </w:rPr>
            </w:pPr>
          </w:p>
        </w:tc>
      </w:tr>
      <w:tr w:rsidR="006E3493" w:rsidRPr="00FD12DE" w14:paraId="2239F07E" w14:textId="77777777" w:rsidTr="00BD55F0">
        <w:trPr>
          <w:trHeight w:val="335"/>
        </w:trPr>
        <w:tc>
          <w:tcPr>
            <w:tcW w:w="1275" w:type="dxa"/>
            <w:vMerge/>
            <w:shd w:val="clear" w:color="auto" w:fill="DBE5F1" w:themeFill="accent1" w:themeFillTint="33"/>
            <w:vAlign w:val="center"/>
          </w:tcPr>
          <w:p w14:paraId="5E700657"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0AB0157F" w14:textId="77777777" w:rsidR="006E3493" w:rsidRPr="00FD12DE" w:rsidRDefault="006E3493" w:rsidP="00BD55F0">
            <w:pPr>
              <w:pStyle w:val="Header"/>
              <w:ind w:left="34" w:right="-109"/>
              <w:rPr>
                <w:sz w:val="21"/>
                <w:szCs w:val="21"/>
              </w:rPr>
            </w:pPr>
            <w:r w:rsidRPr="00FD12DE">
              <w:rPr>
                <w:sz w:val="21"/>
                <w:szCs w:val="21"/>
              </w:rPr>
              <w:t>Angles (Equal and Unequal Angle sections)</w:t>
            </w:r>
          </w:p>
        </w:tc>
        <w:tc>
          <w:tcPr>
            <w:tcW w:w="1179" w:type="dxa"/>
            <w:shd w:val="clear" w:color="auto" w:fill="DBE5F1" w:themeFill="accent1" w:themeFillTint="33"/>
            <w:vAlign w:val="center"/>
          </w:tcPr>
          <w:p w14:paraId="20354D1B" w14:textId="77777777" w:rsidR="006E3493" w:rsidRPr="00FD12DE" w:rsidRDefault="006E3493" w:rsidP="00BD55F0">
            <w:pPr>
              <w:pStyle w:val="Header"/>
              <w:ind w:left="34"/>
              <w:jc w:val="center"/>
              <w:rPr>
                <w:sz w:val="21"/>
                <w:szCs w:val="21"/>
              </w:rPr>
            </w:pPr>
            <w:r w:rsidRPr="00FD12DE">
              <w:rPr>
                <w:sz w:val="21"/>
                <w:szCs w:val="21"/>
              </w:rPr>
              <w:t>A</w:t>
            </w:r>
          </w:p>
        </w:tc>
        <w:tc>
          <w:tcPr>
            <w:tcW w:w="1372" w:type="dxa"/>
            <w:vMerge/>
            <w:shd w:val="clear" w:color="auto" w:fill="DBE5F1" w:themeFill="accent1" w:themeFillTint="33"/>
            <w:vAlign w:val="center"/>
          </w:tcPr>
          <w:p w14:paraId="37DBBF7A" w14:textId="77777777" w:rsidR="006E3493" w:rsidRPr="001651D3" w:rsidRDefault="006E3493" w:rsidP="00BD55F0">
            <w:pPr>
              <w:pStyle w:val="Header"/>
              <w:jc w:val="center"/>
              <w:rPr>
                <w:b/>
                <w:sz w:val="21"/>
                <w:szCs w:val="21"/>
              </w:rPr>
            </w:pPr>
          </w:p>
        </w:tc>
        <w:tc>
          <w:tcPr>
            <w:tcW w:w="1418" w:type="dxa"/>
            <w:vMerge/>
            <w:shd w:val="clear" w:color="auto" w:fill="DBE5F1" w:themeFill="accent1" w:themeFillTint="33"/>
            <w:vAlign w:val="center"/>
          </w:tcPr>
          <w:p w14:paraId="044D8DC8" w14:textId="77777777" w:rsidR="006E3493" w:rsidRPr="001651D3" w:rsidRDefault="006E3493" w:rsidP="00BD55F0">
            <w:pPr>
              <w:pStyle w:val="Header"/>
              <w:jc w:val="center"/>
              <w:rPr>
                <w:b/>
                <w:sz w:val="21"/>
                <w:szCs w:val="21"/>
              </w:rPr>
            </w:pPr>
          </w:p>
        </w:tc>
        <w:tc>
          <w:tcPr>
            <w:tcW w:w="1276" w:type="dxa"/>
            <w:vMerge/>
            <w:shd w:val="clear" w:color="auto" w:fill="DBE5F1" w:themeFill="accent1" w:themeFillTint="33"/>
            <w:vAlign w:val="center"/>
          </w:tcPr>
          <w:p w14:paraId="2E44D8B2" w14:textId="77777777" w:rsidR="006E3493" w:rsidRPr="001651D3" w:rsidRDefault="006E3493" w:rsidP="00BD55F0">
            <w:pPr>
              <w:pStyle w:val="Header"/>
              <w:jc w:val="center"/>
              <w:rPr>
                <w:b/>
                <w:sz w:val="21"/>
                <w:szCs w:val="21"/>
              </w:rPr>
            </w:pPr>
          </w:p>
        </w:tc>
      </w:tr>
      <w:tr w:rsidR="006E3493" w:rsidRPr="00FD12DE" w14:paraId="23488C85" w14:textId="77777777" w:rsidTr="00BD55F0">
        <w:trPr>
          <w:trHeight w:val="374"/>
        </w:trPr>
        <w:tc>
          <w:tcPr>
            <w:tcW w:w="1275" w:type="dxa"/>
            <w:vMerge w:val="restart"/>
            <w:shd w:val="clear" w:color="auto" w:fill="auto"/>
            <w:vAlign w:val="center"/>
          </w:tcPr>
          <w:p w14:paraId="23CBE4B9" w14:textId="77777777" w:rsidR="006E3493" w:rsidRPr="00FD12DE" w:rsidRDefault="006E3493" w:rsidP="00BD55F0">
            <w:pPr>
              <w:pStyle w:val="Header"/>
              <w:jc w:val="center"/>
              <w:rPr>
                <w:sz w:val="21"/>
                <w:szCs w:val="21"/>
              </w:rPr>
            </w:pPr>
            <w:r w:rsidRPr="00FD12DE">
              <w:rPr>
                <w:sz w:val="21"/>
                <w:szCs w:val="21"/>
              </w:rPr>
              <w:t>Minimum yield strength</w:t>
            </w:r>
          </w:p>
        </w:tc>
        <w:tc>
          <w:tcPr>
            <w:tcW w:w="2978" w:type="dxa"/>
            <w:shd w:val="clear" w:color="auto" w:fill="auto"/>
            <w:vAlign w:val="center"/>
          </w:tcPr>
          <w:p w14:paraId="6012439A" w14:textId="77777777" w:rsidR="006E3493" w:rsidRPr="00FD12DE" w:rsidRDefault="006E3493" w:rsidP="00BD55F0">
            <w:pPr>
              <w:pStyle w:val="Header"/>
              <w:ind w:left="34" w:right="-109"/>
              <w:rPr>
                <w:sz w:val="21"/>
                <w:szCs w:val="21"/>
              </w:rPr>
            </w:pPr>
            <w:r w:rsidRPr="00FD12DE">
              <w:rPr>
                <w:sz w:val="21"/>
                <w:szCs w:val="21"/>
              </w:rPr>
              <w:t>Less than 265 MPa</w:t>
            </w:r>
          </w:p>
        </w:tc>
        <w:tc>
          <w:tcPr>
            <w:tcW w:w="1179" w:type="dxa"/>
            <w:shd w:val="clear" w:color="auto" w:fill="auto"/>
            <w:vAlign w:val="center"/>
          </w:tcPr>
          <w:p w14:paraId="37B86634" w14:textId="77777777" w:rsidR="006E3493" w:rsidRPr="00FD12DE" w:rsidRDefault="006E3493" w:rsidP="00BD55F0">
            <w:pPr>
              <w:pStyle w:val="Header"/>
              <w:ind w:left="34"/>
              <w:jc w:val="center"/>
              <w:rPr>
                <w:sz w:val="21"/>
                <w:szCs w:val="21"/>
              </w:rPr>
            </w:pPr>
            <w:r w:rsidRPr="00FD12DE">
              <w:rPr>
                <w:sz w:val="21"/>
                <w:szCs w:val="21"/>
              </w:rPr>
              <w:t>A</w:t>
            </w:r>
          </w:p>
        </w:tc>
        <w:tc>
          <w:tcPr>
            <w:tcW w:w="1372" w:type="dxa"/>
            <w:vMerge w:val="restart"/>
            <w:shd w:val="clear" w:color="auto" w:fill="auto"/>
            <w:vAlign w:val="center"/>
          </w:tcPr>
          <w:p w14:paraId="3835AB03" w14:textId="77777777" w:rsidR="006E3493" w:rsidRPr="001651D3" w:rsidRDefault="006E3493" w:rsidP="00BD55F0">
            <w:pPr>
              <w:pStyle w:val="Header"/>
              <w:jc w:val="center"/>
              <w:rPr>
                <w:b/>
                <w:sz w:val="21"/>
                <w:szCs w:val="21"/>
              </w:rPr>
            </w:pPr>
            <w:r w:rsidRPr="001651D3">
              <w:rPr>
                <w:b/>
                <w:sz w:val="21"/>
                <w:szCs w:val="21"/>
              </w:rPr>
              <w:t>Mandatory</w:t>
            </w:r>
          </w:p>
        </w:tc>
        <w:tc>
          <w:tcPr>
            <w:tcW w:w="1418" w:type="dxa"/>
            <w:vMerge w:val="restart"/>
            <w:shd w:val="clear" w:color="auto" w:fill="auto"/>
            <w:vAlign w:val="center"/>
          </w:tcPr>
          <w:p w14:paraId="7DEE6EEC" w14:textId="77777777" w:rsidR="006E3493" w:rsidRPr="001651D3" w:rsidRDefault="006E3493" w:rsidP="00BD55F0">
            <w:pPr>
              <w:pStyle w:val="Header"/>
              <w:jc w:val="center"/>
              <w:rPr>
                <w:b/>
                <w:sz w:val="21"/>
                <w:szCs w:val="21"/>
              </w:rPr>
            </w:pPr>
            <w:r w:rsidRPr="001651D3">
              <w:rPr>
                <w:b/>
                <w:sz w:val="21"/>
                <w:szCs w:val="21"/>
              </w:rPr>
              <w:t>Mandatory</w:t>
            </w:r>
          </w:p>
        </w:tc>
        <w:tc>
          <w:tcPr>
            <w:tcW w:w="1276" w:type="dxa"/>
            <w:vMerge w:val="restart"/>
            <w:shd w:val="clear" w:color="auto" w:fill="auto"/>
            <w:vAlign w:val="center"/>
          </w:tcPr>
          <w:p w14:paraId="3F2255F6" w14:textId="77777777" w:rsidR="006E3493" w:rsidRPr="001651D3" w:rsidRDefault="006E3493" w:rsidP="00BD55F0">
            <w:pPr>
              <w:pStyle w:val="Header"/>
              <w:jc w:val="center"/>
              <w:rPr>
                <w:b/>
                <w:sz w:val="21"/>
                <w:szCs w:val="21"/>
              </w:rPr>
            </w:pPr>
            <w:r w:rsidRPr="001651D3">
              <w:rPr>
                <w:b/>
                <w:sz w:val="21"/>
                <w:szCs w:val="21"/>
              </w:rPr>
              <w:t>Yes</w:t>
            </w:r>
          </w:p>
        </w:tc>
      </w:tr>
      <w:tr w:rsidR="006E3493" w:rsidRPr="00FD12DE" w14:paraId="7FCFA4BF" w14:textId="77777777" w:rsidTr="00BD55F0">
        <w:trPr>
          <w:trHeight w:val="335"/>
        </w:trPr>
        <w:tc>
          <w:tcPr>
            <w:tcW w:w="1275" w:type="dxa"/>
            <w:vMerge/>
            <w:shd w:val="clear" w:color="auto" w:fill="auto"/>
            <w:vAlign w:val="center"/>
          </w:tcPr>
          <w:p w14:paraId="31438F1A" w14:textId="77777777" w:rsidR="006E3493" w:rsidRPr="00FD12DE" w:rsidRDefault="006E3493" w:rsidP="00BD55F0">
            <w:pPr>
              <w:pStyle w:val="Header"/>
              <w:jc w:val="center"/>
              <w:rPr>
                <w:sz w:val="21"/>
                <w:szCs w:val="21"/>
              </w:rPr>
            </w:pPr>
          </w:p>
        </w:tc>
        <w:tc>
          <w:tcPr>
            <w:tcW w:w="2978" w:type="dxa"/>
            <w:shd w:val="clear" w:color="auto" w:fill="auto"/>
            <w:vAlign w:val="center"/>
          </w:tcPr>
          <w:p w14:paraId="07D5A88C" w14:textId="77777777" w:rsidR="006E3493" w:rsidRPr="00FD12DE" w:rsidRDefault="006E3493" w:rsidP="00BD55F0">
            <w:pPr>
              <w:pStyle w:val="Header"/>
              <w:ind w:left="34" w:right="-109"/>
              <w:rPr>
                <w:sz w:val="21"/>
                <w:szCs w:val="21"/>
              </w:rPr>
            </w:pPr>
            <w:r w:rsidRPr="00FD12DE">
              <w:rPr>
                <w:sz w:val="21"/>
                <w:szCs w:val="21"/>
              </w:rPr>
              <w:t>Greater than or equal to 265 MPa</w:t>
            </w:r>
          </w:p>
        </w:tc>
        <w:tc>
          <w:tcPr>
            <w:tcW w:w="1179" w:type="dxa"/>
            <w:shd w:val="clear" w:color="auto" w:fill="auto"/>
            <w:vAlign w:val="center"/>
          </w:tcPr>
          <w:p w14:paraId="2AAFBD01" w14:textId="77777777" w:rsidR="006E3493" w:rsidRPr="00FD12DE" w:rsidRDefault="006E3493" w:rsidP="00BD55F0">
            <w:pPr>
              <w:pStyle w:val="Header"/>
              <w:ind w:left="34"/>
              <w:jc w:val="center"/>
              <w:rPr>
                <w:sz w:val="21"/>
                <w:szCs w:val="21"/>
              </w:rPr>
            </w:pPr>
            <w:r w:rsidRPr="00FD12DE">
              <w:rPr>
                <w:sz w:val="21"/>
                <w:szCs w:val="21"/>
              </w:rPr>
              <w:t>B</w:t>
            </w:r>
          </w:p>
        </w:tc>
        <w:tc>
          <w:tcPr>
            <w:tcW w:w="1372" w:type="dxa"/>
            <w:vMerge/>
            <w:shd w:val="clear" w:color="auto" w:fill="auto"/>
            <w:vAlign w:val="center"/>
          </w:tcPr>
          <w:p w14:paraId="32F2A768" w14:textId="77777777" w:rsidR="006E3493" w:rsidRPr="00FD12DE" w:rsidRDefault="006E3493" w:rsidP="00BD55F0">
            <w:pPr>
              <w:pStyle w:val="Header"/>
              <w:jc w:val="center"/>
              <w:rPr>
                <w:sz w:val="21"/>
                <w:szCs w:val="21"/>
              </w:rPr>
            </w:pPr>
          </w:p>
        </w:tc>
        <w:tc>
          <w:tcPr>
            <w:tcW w:w="1418" w:type="dxa"/>
            <w:vMerge/>
            <w:shd w:val="clear" w:color="auto" w:fill="auto"/>
            <w:vAlign w:val="center"/>
          </w:tcPr>
          <w:p w14:paraId="220D04AB" w14:textId="77777777" w:rsidR="006E3493" w:rsidRPr="00FD12DE" w:rsidRDefault="006E3493" w:rsidP="00BD55F0">
            <w:pPr>
              <w:pStyle w:val="Header"/>
              <w:jc w:val="center"/>
              <w:rPr>
                <w:sz w:val="21"/>
                <w:szCs w:val="21"/>
              </w:rPr>
            </w:pPr>
          </w:p>
        </w:tc>
        <w:tc>
          <w:tcPr>
            <w:tcW w:w="1276" w:type="dxa"/>
            <w:vMerge/>
            <w:shd w:val="clear" w:color="auto" w:fill="auto"/>
            <w:vAlign w:val="center"/>
          </w:tcPr>
          <w:p w14:paraId="6878DD53" w14:textId="77777777" w:rsidR="006E3493" w:rsidRPr="00FD12DE" w:rsidRDefault="006E3493" w:rsidP="00BD55F0">
            <w:pPr>
              <w:pStyle w:val="Header"/>
              <w:jc w:val="center"/>
              <w:rPr>
                <w:sz w:val="21"/>
                <w:szCs w:val="21"/>
              </w:rPr>
            </w:pPr>
          </w:p>
        </w:tc>
      </w:tr>
      <w:tr w:rsidR="006E3493" w:rsidRPr="00FD12DE" w14:paraId="573CF7EC" w14:textId="77777777" w:rsidTr="00BD55F0">
        <w:trPr>
          <w:trHeight w:val="335"/>
        </w:trPr>
        <w:tc>
          <w:tcPr>
            <w:tcW w:w="1275" w:type="dxa"/>
            <w:vMerge w:val="restart"/>
            <w:shd w:val="clear" w:color="auto" w:fill="DBE5F1" w:themeFill="accent1" w:themeFillTint="33"/>
            <w:vAlign w:val="center"/>
          </w:tcPr>
          <w:p w14:paraId="5BF02D4B" w14:textId="77777777" w:rsidR="006E3493" w:rsidRPr="00FD12DE" w:rsidRDefault="006E3493" w:rsidP="00BD55F0">
            <w:pPr>
              <w:pStyle w:val="Header"/>
              <w:jc w:val="center"/>
              <w:rPr>
                <w:sz w:val="21"/>
                <w:szCs w:val="21"/>
              </w:rPr>
            </w:pPr>
            <w:r w:rsidRPr="00FD12DE">
              <w:rPr>
                <w:sz w:val="21"/>
                <w:szCs w:val="21"/>
              </w:rPr>
              <w:t>Tensile strength</w:t>
            </w:r>
          </w:p>
        </w:tc>
        <w:tc>
          <w:tcPr>
            <w:tcW w:w="2978" w:type="dxa"/>
            <w:shd w:val="clear" w:color="auto" w:fill="DBE5F1" w:themeFill="accent1" w:themeFillTint="33"/>
            <w:vAlign w:val="center"/>
          </w:tcPr>
          <w:p w14:paraId="28068478" w14:textId="77777777" w:rsidR="006E3493" w:rsidRPr="00FD12DE" w:rsidRDefault="006E3493" w:rsidP="00BD55F0">
            <w:pPr>
              <w:pStyle w:val="Header"/>
              <w:ind w:left="34" w:right="-109"/>
              <w:rPr>
                <w:sz w:val="21"/>
                <w:szCs w:val="21"/>
              </w:rPr>
            </w:pPr>
            <w:r w:rsidRPr="00FD12DE">
              <w:rPr>
                <w:sz w:val="21"/>
                <w:szCs w:val="21"/>
              </w:rPr>
              <w:t>Less than 400 MPa</w:t>
            </w:r>
          </w:p>
        </w:tc>
        <w:tc>
          <w:tcPr>
            <w:tcW w:w="1179" w:type="dxa"/>
            <w:shd w:val="clear" w:color="auto" w:fill="DBE5F1" w:themeFill="accent1" w:themeFillTint="33"/>
            <w:vAlign w:val="center"/>
          </w:tcPr>
          <w:p w14:paraId="1D14AA7D" w14:textId="77777777" w:rsidR="006E3493" w:rsidRPr="00FD12DE" w:rsidRDefault="006E3493" w:rsidP="00BD55F0">
            <w:pPr>
              <w:pStyle w:val="Header"/>
              <w:ind w:left="34"/>
              <w:jc w:val="center"/>
              <w:rPr>
                <w:sz w:val="21"/>
                <w:szCs w:val="21"/>
              </w:rPr>
            </w:pPr>
            <w:r w:rsidRPr="00FD12DE">
              <w:rPr>
                <w:sz w:val="21"/>
                <w:szCs w:val="21"/>
              </w:rPr>
              <w:t>A</w:t>
            </w:r>
          </w:p>
        </w:tc>
        <w:tc>
          <w:tcPr>
            <w:tcW w:w="1372" w:type="dxa"/>
            <w:vMerge w:val="restart"/>
            <w:shd w:val="clear" w:color="auto" w:fill="DBE5F1" w:themeFill="accent1" w:themeFillTint="33"/>
            <w:vAlign w:val="center"/>
          </w:tcPr>
          <w:p w14:paraId="3CDD4E68" w14:textId="77777777" w:rsidR="006E3493" w:rsidRPr="00FD12DE" w:rsidRDefault="006E3493" w:rsidP="00BD55F0">
            <w:pPr>
              <w:pStyle w:val="Header"/>
              <w:jc w:val="center"/>
              <w:rPr>
                <w:sz w:val="21"/>
                <w:szCs w:val="21"/>
              </w:rPr>
            </w:pPr>
            <w:r w:rsidRPr="00FD12DE">
              <w:rPr>
                <w:sz w:val="21"/>
                <w:szCs w:val="21"/>
              </w:rPr>
              <w:t>Optional</w:t>
            </w:r>
          </w:p>
        </w:tc>
        <w:tc>
          <w:tcPr>
            <w:tcW w:w="1418" w:type="dxa"/>
            <w:vMerge w:val="restart"/>
            <w:shd w:val="clear" w:color="auto" w:fill="DBE5F1" w:themeFill="accent1" w:themeFillTint="33"/>
            <w:vAlign w:val="center"/>
          </w:tcPr>
          <w:p w14:paraId="1115D32F" w14:textId="77777777" w:rsidR="006E3493" w:rsidRPr="00FD12DE" w:rsidRDefault="006E3493" w:rsidP="00BD55F0">
            <w:pPr>
              <w:pStyle w:val="Header"/>
              <w:jc w:val="center"/>
              <w:rPr>
                <w:sz w:val="21"/>
                <w:szCs w:val="21"/>
              </w:rPr>
            </w:pPr>
            <w:r w:rsidRPr="00FD12DE">
              <w:rPr>
                <w:sz w:val="21"/>
                <w:szCs w:val="21"/>
              </w:rPr>
              <w:t>Optional</w:t>
            </w:r>
          </w:p>
        </w:tc>
        <w:tc>
          <w:tcPr>
            <w:tcW w:w="1276" w:type="dxa"/>
            <w:vMerge w:val="restart"/>
            <w:shd w:val="clear" w:color="auto" w:fill="DBE5F1" w:themeFill="accent1" w:themeFillTint="33"/>
            <w:vAlign w:val="center"/>
          </w:tcPr>
          <w:p w14:paraId="0D537F07" w14:textId="77777777" w:rsidR="006E3493" w:rsidRPr="00FD12DE" w:rsidRDefault="006E3493" w:rsidP="00BD55F0">
            <w:pPr>
              <w:pStyle w:val="Header"/>
              <w:jc w:val="center"/>
              <w:rPr>
                <w:sz w:val="21"/>
                <w:szCs w:val="21"/>
              </w:rPr>
            </w:pPr>
            <w:r w:rsidRPr="00FD12DE">
              <w:rPr>
                <w:sz w:val="21"/>
                <w:szCs w:val="21"/>
              </w:rPr>
              <w:t>No</w:t>
            </w:r>
          </w:p>
        </w:tc>
      </w:tr>
      <w:tr w:rsidR="006E3493" w:rsidRPr="00FD12DE" w14:paraId="6CE4DD4E" w14:textId="77777777" w:rsidTr="00BD55F0">
        <w:trPr>
          <w:trHeight w:val="335"/>
        </w:trPr>
        <w:tc>
          <w:tcPr>
            <w:tcW w:w="1275" w:type="dxa"/>
            <w:vMerge/>
            <w:shd w:val="clear" w:color="auto" w:fill="DBE5F1" w:themeFill="accent1" w:themeFillTint="33"/>
            <w:vAlign w:val="center"/>
          </w:tcPr>
          <w:p w14:paraId="59000468"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70B5E44B" w14:textId="77777777" w:rsidR="006E3493" w:rsidRPr="00FD12DE" w:rsidRDefault="006E3493" w:rsidP="00BD55F0">
            <w:pPr>
              <w:pStyle w:val="Header"/>
              <w:ind w:left="34" w:right="-109"/>
              <w:rPr>
                <w:sz w:val="21"/>
                <w:szCs w:val="21"/>
              </w:rPr>
            </w:pPr>
            <w:r w:rsidRPr="00FD12DE">
              <w:rPr>
                <w:sz w:val="21"/>
                <w:szCs w:val="21"/>
              </w:rPr>
              <w:t>Greater than or equal to 400 MPa and less than 450 MPa</w:t>
            </w:r>
          </w:p>
        </w:tc>
        <w:tc>
          <w:tcPr>
            <w:tcW w:w="1179" w:type="dxa"/>
            <w:shd w:val="clear" w:color="auto" w:fill="DBE5F1" w:themeFill="accent1" w:themeFillTint="33"/>
            <w:vAlign w:val="center"/>
          </w:tcPr>
          <w:p w14:paraId="0D03FB46" w14:textId="77777777" w:rsidR="006E3493" w:rsidRPr="00FD12DE" w:rsidRDefault="006E3493" w:rsidP="00BD55F0">
            <w:pPr>
              <w:pStyle w:val="Header"/>
              <w:ind w:left="34"/>
              <w:jc w:val="center"/>
              <w:rPr>
                <w:sz w:val="21"/>
                <w:szCs w:val="21"/>
              </w:rPr>
            </w:pPr>
            <w:r w:rsidRPr="00FD12DE">
              <w:rPr>
                <w:sz w:val="21"/>
                <w:szCs w:val="21"/>
              </w:rPr>
              <w:t>B</w:t>
            </w:r>
          </w:p>
        </w:tc>
        <w:tc>
          <w:tcPr>
            <w:tcW w:w="1372" w:type="dxa"/>
            <w:vMerge/>
            <w:shd w:val="clear" w:color="auto" w:fill="DBE5F1" w:themeFill="accent1" w:themeFillTint="33"/>
            <w:vAlign w:val="center"/>
          </w:tcPr>
          <w:p w14:paraId="6CCB60CD" w14:textId="77777777" w:rsidR="006E3493" w:rsidRPr="00FD12DE" w:rsidRDefault="006E3493" w:rsidP="00BD55F0">
            <w:pPr>
              <w:pStyle w:val="Header"/>
              <w:jc w:val="center"/>
              <w:rPr>
                <w:sz w:val="21"/>
                <w:szCs w:val="21"/>
              </w:rPr>
            </w:pPr>
          </w:p>
        </w:tc>
        <w:tc>
          <w:tcPr>
            <w:tcW w:w="1418" w:type="dxa"/>
            <w:vMerge/>
            <w:shd w:val="clear" w:color="auto" w:fill="DBE5F1" w:themeFill="accent1" w:themeFillTint="33"/>
            <w:vAlign w:val="center"/>
          </w:tcPr>
          <w:p w14:paraId="514D9767" w14:textId="77777777" w:rsidR="006E3493" w:rsidRPr="00FD12DE" w:rsidRDefault="006E3493" w:rsidP="00BD55F0">
            <w:pPr>
              <w:pStyle w:val="Header"/>
              <w:jc w:val="center"/>
              <w:rPr>
                <w:sz w:val="21"/>
                <w:szCs w:val="21"/>
              </w:rPr>
            </w:pPr>
          </w:p>
        </w:tc>
        <w:tc>
          <w:tcPr>
            <w:tcW w:w="1276" w:type="dxa"/>
            <w:vMerge/>
            <w:shd w:val="clear" w:color="auto" w:fill="DBE5F1" w:themeFill="accent1" w:themeFillTint="33"/>
            <w:vAlign w:val="center"/>
          </w:tcPr>
          <w:p w14:paraId="28B618DF" w14:textId="77777777" w:rsidR="006E3493" w:rsidRPr="00FD12DE" w:rsidRDefault="006E3493" w:rsidP="00BD55F0">
            <w:pPr>
              <w:pStyle w:val="Header"/>
              <w:jc w:val="center"/>
              <w:rPr>
                <w:sz w:val="21"/>
                <w:szCs w:val="21"/>
              </w:rPr>
            </w:pPr>
          </w:p>
        </w:tc>
      </w:tr>
      <w:tr w:rsidR="006E3493" w:rsidRPr="00FD12DE" w14:paraId="215F1392" w14:textId="77777777" w:rsidTr="00BD55F0">
        <w:trPr>
          <w:trHeight w:val="334"/>
        </w:trPr>
        <w:tc>
          <w:tcPr>
            <w:tcW w:w="1275" w:type="dxa"/>
            <w:vMerge/>
            <w:shd w:val="clear" w:color="auto" w:fill="DBE5F1" w:themeFill="accent1" w:themeFillTint="33"/>
            <w:vAlign w:val="center"/>
          </w:tcPr>
          <w:p w14:paraId="230ADF51"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7325E224" w14:textId="77777777" w:rsidR="006E3493" w:rsidRPr="00FD12DE" w:rsidRDefault="006E3493" w:rsidP="00BD55F0">
            <w:pPr>
              <w:pStyle w:val="Header"/>
              <w:ind w:left="34" w:right="-109"/>
              <w:rPr>
                <w:sz w:val="21"/>
                <w:szCs w:val="21"/>
              </w:rPr>
            </w:pPr>
            <w:r w:rsidRPr="00FD12DE">
              <w:rPr>
                <w:sz w:val="21"/>
                <w:szCs w:val="21"/>
              </w:rPr>
              <w:t>Greater than or equal to 450 MPa and less than 500 MPa</w:t>
            </w:r>
          </w:p>
        </w:tc>
        <w:tc>
          <w:tcPr>
            <w:tcW w:w="1179" w:type="dxa"/>
            <w:shd w:val="clear" w:color="auto" w:fill="DBE5F1" w:themeFill="accent1" w:themeFillTint="33"/>
            <w:vAlign w:val="center"/>
          </w:tcPr>
          <w:p w14:paraId="0F61765E" w14:textId="77777777" w:rsidR="006E3493" w:rsidRPr="00FD12DE" w:rsidRDefault="006E3493" w:rsidP="00BD55F0">
            <w:pPr>
              <w:pStyle w:val="Header"/>
              <w:ind w:left="34"/>
              <w:jc w:val="center"/>
              <w:rPr>
                <w:sz w:val="21"/>
                <w:szCs w:val="21"/>
              </w:rPr>
            </w:pPr>
            <w:r w:rsidRPr="00FD12DE">
              <w:rPr>
                <w:sz w:val="21"/>
                <w:szCs w:val="21"/>
              </w:rPr>
              <w:t>C</w:t>
            </w:r>
          </w:p>
        </w:tc>
        <w:tc>
          <w:tcPr>
            <w:tcW w:w="1372" w:type="dxa"/>
            <w:vMerge/>
            <w:shd w:val="clear" w:color="auto" w:fill="DBE5F1" w:themeFill="accent1" w:themeFillTint="33"/>
            <w:vAlign w:val="center"/>
          </w:tcPr>
          <w:p w14:paraId="2906AE38" w14:textId="77777777" w:rsidR="006E3493" w:rsidRPr="00FD12DE" w:rsidRDefault="006E3493" w:rsidP="00BD55F0">
            <w:pPr>
              <w:pStyle w:val="Header"/>
              <w:jc w:val="center"/>
              <w:rPr>
                <w:sz w:val="21"/>
                <w:szCs w:val="21"/>
              </w:rPr>
            </w:pPr>
          </w:p>
        </w:tc>
        <w:tc>
          <w:tcPr>
            <w:tcW w:w="1418" w:type="dxa"/>
            <w:vMerge/>
            <w:shd w:val="clear" w:color="auto" w:fill="DBE5F1" w:themeFill="accent1" w:themeFillTint="33"/>
            <w:vAlign w:val="center"/>
          </w:tcPr>
          <w:p w14:paraId="00566B6C" w14:textId="77777777" w:rsidR="006E3493" w:rsidRPr="00FD12DE" w:rsidRDefault="006E3493" w:rsidP="00BD55F0">
            <w:pPr>
              <w:pStyle w:val="Header"/>
              <w:jc w:val="center"/>
              <w:rPr>
                <w:sz w:val="21"/>
                <w:szCs w:val="21"/>
              </w:rPr>
            </w:pPr>
          </w:p>
        </w:tc>
        <w:tc>
          <w:tcPr>
            <w:tcW w:w="1276" w:type="dxa"/>
            <w:vMerge/>
            <w:shd w:val="clear" w:color="auto" w:fill="DBE5F1" w:themeFill="accent1" w:themeFillTint="33"/>
            <w:vAlign w:val="center"/>
          </w:tcPr>
          <w:p w14:paraId="0E63AFE1" w14:textId="77777777" w:rsidR="006E3493" w:rsidRPr="00FD12DE" w:rsidRDefault="006E3493" w:rsidP="00BD55F0">
            <w:pPr>
              <w:pStyle w:val="Header"/>
              <w:jc w:val="center"/>
              <w:rPr>
                <w:sz w:val="21"/>
                <w:szCs w:val="21"/>
              </w:rPr>
            </w:pPr>
          </w:p>
        </w:tc>
      </w:tr>
      <w:tr w:rsidR="006E3493" w:rsidRPr="00FD12DE" w14:paraId="65060258" w14:textId="77777777" w:rsidTr="00BD55F0">
        <w:trPr>
          <w:trHeight w:val="335"/>
        </w:trPr>
        <w:tc>
          <w:tcPr>
            <w:tcW w:w="1275" w:type="dxa"/>
            <w:vMerge/>
            <w:shd w:val="clear" w:color="auto" w:fill="DBE5F1" w:themeFill="accent1" w:themeFillTint="33"/>
            <w:vAlign w:val="center"/>
          </w:tcPr>
          <w:p w14:paraId="577E9F29"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2FACD31E" w14:textId="77777777" w:rsidR="006E3493" w:rsidRPr="00FD12DE" w:rsidRDefault="006E3493" w:rsidP="00BD55F0">
            <w:pPr>
              <w:pStyle w:val="Header"/>
              <w:ind w:left="34" w:right="-109"/>
              <w:rPr>
                <w:sz w:val="21"/>
                <w:szCs w:val="21"/>
              </w:rPr>
            </w:pPr>
            <w:r w:rsidRPr="00FD12DE">
              <w:rPr>
                <w:sz w:val="21"/>
                <w:szCs w:val="21"/>
              </w:rPr>
              <w:t>Greater than or equal to 500 MPa</w:t>
            </w:r>
          </w:p>
        </w:tc>
        <w:tc>
          <w:tcPr>
            <w:tcW w:w="1179" w:type="dxa"/>
            <w:shd w:val="clear" w:color="auto" w:fill="DBE5F1" w:themeFill="accent1" w:themeFillTint="33"/>
            <w:vAlign w:val="center"/>
          </w:tcPr>
          <w:p w14:paraId="142BFCF8" w14:textId="77777777" w:rsidR="006E3493" w:rsidRPr="00FD12DE" w:rsidRDefault="006E3493" w:rsidP="00BD55F0">
            <w:pPr>
              <w:pStyle w:val="Header"/>
              <w:ind w:left="34"/>
              <w:jc w:val="center"/>
              <w:rPr>
                <w:sz w:val="21"/>
                <w:szCs w:val="21"/>
              </w:rPr>
            </w:pPr>
            <w:r w:rsidRPr="00FD12DE">
              <w:rPr>
                <w:sz w:val="21"/>
                <w:szCs w:val="21"/>
              </w:rPr>
              <w:t>D</w:t>
            </w:r>
          </w:p>
        </w:tc>
        <w:tc>
          <w:tcPr>
            <w:tcW w:w="1372" w:type="dxa"/>
            <w:vMerge/>
            <w:shd w:val="clear" w:color="auto" w:fill="DBE5F1" w:themeFill="accent1" w:themeFillTint="33"/>
            <w:vAlign w:val="center"/>
          </w:tcPr>
          <w:p w14:paraId="76946C1D" w14:textId="77777777" w:rsidR="006E3493" w:rsidRPr="00FD12DE" w:rsidRDefault="006E3493" w:rsidP="00BD55F0">
            <w:pPr>
              <w:pStyle w:val="Header"/>
              <w:jc w:val="center"/>
              <w:rPr>
                <w:sz w:val="21"/>
                <w:szCs w:val="21"/>
              </w:rPr>
            </w:pPr>
          </w:p>
        </w:tc>
        <w:tc>
          <w:tcPr>
            <w:tcW w:w="1418" w:type="dxa"/>
            <w:vMerge/>
            <w:shd w:val="clear" w:color="auto" w:fill="DBE5F1" w:themeFill="accent1" w:themeFillTint="33"/>
            <w:vAlign w:val="center"/>
          </w:tcPr>
          <w:p w14:paraId="37049351" w14:textId="77777777" w:rsidR="006E3493" w:rsidRPr="00FD12DE" w:rsidRDefault="006E3493" w:rsidP="00BD55F0">
            <w:pPr>
              <w:pStyle w:val="Header"/>
              <w:jc w:val="center"/>
              <w:rPr>
                <w:sz w:val="21"/>
                <w:szCs w:val="21"/>
              </w:rPr>
            </w:pPr>
          </w:p>
        </w:tc>
        <w:tc>
          <w:tcPr>
            <w:tcW w:w="1276" w:type="dxa"/>
            <w:vMerge/>
            <w:shd w:val="clear" w:color="auto" w:fill="DBE5F1" w:themeFill="accent1" w:themeFillTint="33"/>
            <w:vAlign w:val="center"/>
          </w:tcPr>
          <w:p w14:paraId="45944ACA" w14:textId="77777777" w:rsidR="006E3493" w:rsidRPr="00FD12DE" w:rsidRDefault="006E3493" w:rsidP="00BD55F0">
            <w:pPr>
              <w:pStyle w:val="Header"/>
              <w:jc w:val="center"/>
              <w:rPr>
                <w:sz w:val="21"/>
                <w:szCs w:val="21"/>
              </w:rPr>
            </w:pPr>
          </w:p>
        </w:tc>
      </w:tr>
      <w:tr w:rsidR="006E3493" w:rsidRPr="00FD12DE" w14:paraId="2139FFEE" w14:textId="77777777" w:rsidTr="00BD55F0">
        <w:trPr>
          <w:trHeight w:val="335"/>
        </w:trPr>
        <w:tc>
          <w:tcPr>
            <w:tcW w:w="1275" w:type="dxa"/>
            <w:vMerge w:val="restart"/>
            <w:shd w:val="clear" w:color="auto" w:fill="auto"/>
            <w:vAlign w:val="center"/>
          </w:tcPr>
          <w:p w14:paraId="3294D771" w14:textId="77777777" w:rsidR="006E3493" w:rsidRPr="00FD12DE" w:rsidRDefault="006E3493" w:rsidP="00BD55F0">
            <w:pPr>
              <w:pStyle w:val="Header"/>
              <w:jc w:val="center"/>
              <w:rPr>
                <w:sz w:val="21"/>
                <w:szCs w:val="21"/>
              </w:rPr>
            </w:pPr>
            <w:r w:rsidRPr="00FD12DE">
              <w:rPr>
                <w:sz w:val="21"/>
                <w:szCs w:val="21"/>
              </w:rPr>
              <w:t>Thickness</w:t>
            </w:r>
          </w:p>
        </w:tc>
        <w:tc>
          <w:tcPr>
            <w:tcW w:w="2978" w:type="dxa"/>
            <w:shd w:val="clear" w:color="auto" w:fill="auto"/>
            <w:vAlign w:val="center"/>
          </w:tcPr>
          <w:p w14:paraId="1319CBFE" w14:textId="77777777" w:rsidR="006E3493" w:rsidRPr="00FD12DE" w:rsidRDefault="006E3493" w:rsidP="00BD55F0">
            <w:pPr>
              <w:pStyle w:val="Header"/>
              <w:ind w:left="34" w:right="-109"/>
              <w:rPr>
                <w:sz w:val="21"/>
                <w:szCs w:val="21"/>
              </w:rPr>
            </w:pPr>
            <w:r w:rsidRPr="00FD12DE">
              <w:rPr>
                <w:sz w:val="21"/>
                <w:szCs w:val="21"/>
              </w:rPr>
              <w:t>Minimum cross-sectional thickness less than 11mm</w:t>
            </w:r>
          </w:p>
        </w:tc>
        <w:tc>
          <w:tcPr>
            <w:tcW w:w="1179" w:type="dxa"/>
            <w:shd w:val="clear" w:color="auto" w:fill="auto"/>
            <w:vAlign w:val="center"/>
          </w:tcPr>
          <w:p w14:paraId="5FB37CC1" w14:textId="77777777" w:rsidR="006E3493" w:rsidRPr="00FD12DE" w:rsidRDefault="006E3493" w:rsidP="00BD55F0">
            <w:pPr>
              <w:pStyle w:val="Header"/>
              <w:ind w:left="34"/>
              <w:jc w:val="center"/>
              <w:rPr>
                <w:sz w:val="21"/>
                <w:szCs w:val="21"/>
              </w:rPr>
            </w:pPr>
            <w:r w:rsidRPr="00FD12DE">
              <w:rPr>
                <w:sz w:val="21"/>
                <w:szCs w:val="21"/>
              </w:rPr>
              <w:t>1</w:t>
            </w:r>
          </w:p>
        </w:tc>
        <w:tc>
          <w:tcPr>
            <w:tcW w:w="1372" w:type="dxa"/>
            <w:vMerge w:val="restart"/>
            <w:shd w:val="clear" w:color="auto" w:fill="auto"/>
            <w:vAlign w:val="center"/>
          </w:tcPr>
          <w:p w14:paraId="03C5DBC6" w14:textId="77777777" w:rsidR="006E3493" w:rsidRPr="00FD12DE" w:rsidRDefault="006E3493" w:rsidP="00BD55F0">
            <w:pPr>
              <w:pStyle w:val="Header"/>
              <w:jc w:val="center"/>
              <w:rPr>
                <w:sz w:val="21"/>
                <w:szCs w:val="21"/>
              </w:rPr>
            </w:pPr>
            <w:r w:rsidRPr="00FD12DE">
              <w:rPr>
                <w:sz w:val="21"/>
                <w:szCs w:val="21"/>
              </w:rPr>
              <w:t>Optional</w:t>
            </w:r>
          </w:p>
        </w:tc>
        <w:tc>
          <w:tcPr>
            <w:tcW w:w="1418" w:type="dxa"/>
            <w:vMerge w:val="restart"/>
            <w:shd w:val="clear" w:color="auto" w:fill="auto"/>
            <w:vAlign w:val="center"/>
          </w:tcPr>
          <w:p w14:paraId="588CDE5F" w14:textId="77777777" w:rsidR="006E3493" w:rsidRPr="00FD12DE" w:rsidRDefault="006E3493" w:rsidP="00BD55F0">
            <w:pPr>
              <w:pStyle w:val="Header"/>
              <w:jc w:val="center"/>
              <w:rPr>
                <w:sz w:val="21"/>
                <w:szCs w:val="21"/>
              </w:rPr>
            </w:pPr>
            <w:r w:rsidRPr="00FD12DE">
              <w:rPr>
                <w:sz w:val="21"/>
                <w:szCs w:val="21"/>
              </w:rPr>
              <w:t>Optional</w:t>
            </w:r>
          </w:p>
        </w:tc>
        <w:tc>
          <w:tcPr>
            <w:tcW w:w="1276" w:type="dxa"/>
            <w:vMerge w:val="restart"/>
            <w:shd w:val="clear" w:color="auto" w:fill="auto"/>
            <w:vAlign w:val="center"/>
          </w:tcPr>
          <w:p w14:paraId="2F3BB921" w14:textId="77777777" w:rsidR="006E3493" w:rsidRPr="00FD12DE" w:rsidRDefault="006E3493" w:rsidP="00BD55F0">
            <w:pPr>
              <w:pStyle w:val="Header"/>
              <w:jc w:val="center"/>
              <w:rPr>
                <w:sz w:val="21"/>
                <w:szCs w:val="21"/>
              </w:rPr>
            </w:pPr>
            <w:r w:rsidRPr="00FD12DE">
              <w:rPr>
                <w:sz w:val="21"/>
                <w:szCs w:val="21"/>
              </w:rPr>
              <w:t>No</w:t>
            </w:r>
          </w:p>
        </w:tc>
      </w:tr>
      <w:tr w:rsidR="006E3493" w:rsidRPr="00FD12DE" w14:paraId="53378FB8" w14:textId="77777777" w:rsidTr="00BD55F0">
        <w:trPr>
          <w:trHeight w:val="335"/>
        </w:trPr>
        <w:tc>
          <w:tcPr>
            <w:tcW w:w="1275" w:type="dxa"/>
            <w:vMerge/>
            <w:shd w:val="clear" w:color="auto" w:fill="auto"/>
            <w:vAlign w:val="center"/>
          </w:tcPr>
          <w:p w14:paraId="491C183D" w14:textId="77777777" w:rsidR="006E3493" w:rsidRPr="00FD12DE" w:rsidRDefault="006E3493" w:rsidP="00BD55F0">
            <w:pPr>
              <w:pStyle w:val="Header"/>
              <w:jc w:val="center"/>
              <w:rPr>
                <w:sz w:val="21"/>
                <w:szCs w:val="21"/>
              </w:rPr>
            </w:pPr>
          </w:p>
        </w:tc>
        <w:tc>
          <w:tcPr>
            <w:tcW w:w="2978" w:type="dxa"/>
            <w:shd w:val="clear" w:color="auto" w:fill="auto"/>
            <w:vAlign w:val="center"/>
          </w:tcPr>
          <w:p w14:paraId="55DAC0A3" w14:textId="77777777" w:rsidR="006E3493" w:rsidRPr="00FD12DE" w:rsidRDefault="006E3493" w:rsidP="00BD55F0">
            <w:pPr>
              <w:pStyle w:val="Header"/>
              <w:ind w:left="34" w:right="-109"/>
              <w:rPr>
                <w:sz w:val="21"/>
                <w:szCs w:val="21"/>
              </w:rPr>
            </w:pPr>
            <w:r w:rsidRPr="00FD12DE">
              <w:rPr>
                <w:sz w:val="21"/>
                <w:szCs w:val="21"/>
              </w:rPr>
              <w:t>Minimum cross-sectional thickness greater than or equal to11mm</w:t>
            </w:r>
          </w:p>
        </w:tc>
        <w:tc>
          <w:tcPr>
            <w:tcW w:w="1179" w:type="dxa"/>
            <w:shd w:val="clear" w:color="auto" w:fill="auto"/>
            <w:vAlign w:val="center"/>
          </w:tcPr>
          <w:p w14:paraId="441D1D4F" w14:textId="77777777" w:rsidR="006E3493" w:rsidRPr="00FD12DE" w:rsidRDefault="006E3493" w:rsidP="00BD55F0">
            <w:pPr>
              <w:pStyle w:val="Header"/>
              <w:ind w:left="34"/>
              <w:jc w:val="center"/>
              <w:rPr>
                <w:sz w:val="21"/>
                <w:szCs w:val="21"/>
              </w:rPr>
            </w:pPr>
            <w:r w:rsidRPr="00FD12DE">
              <w:rPr>
                <w:sz w:val="21"/>
                <w:szCs w:val="21"/>
              </w:rPr>
              <w:t>2</w:t>
            </w:r>
          </w:p>
        </w:tc>
        <w:tc>
          <w:tcPr>
            <w:tcW w:w="1372" w:type="dxa"/>
            <w:vMerge/>
            <w:shd w:val="clear" w:color="auto" w:fill="auto"/>
            <w:vAlign w:val="center"/>
          </w:tcPr>
          <w:p w14:paraId="2BFA2F59" w14:textId="77777777" w:rsidR="006E3493" w:rsidRPr="00FD12DE" w:rsidRDefault="006E3493" w:rsidP="00BD55F0">
            <w:pPr>
              <w:pStyle w:val="Header"/>
              <w:jc w:val="center"/>
              <w:rPr>
                <w:sz w:val="21"/>
                <w:szCs w:val="21"/>
              </w:rPr>
            </w:pPr>
          </w:p>
        </w:tc>
        <w:tc>
          <w:tcPr>
            <w:tcW w:w="1418" w:type="dxa"/>
            <w:vMerge/>
            <w:shd w:val="clear" w:color="auto" w:fill="auto"/>
            <w:vAlign w:val="center"/>
          </w:tcPr>
          <w:p w14:paraId="37F74665" w14:textId="77777777" w:rsidR="006E3493" w:rsidRPr="00FD12DE" w:rsidRDefault="006E3493" w:rsidP="00BD55F0">
            <w:pPr>
              <w:pStyle w:val="Header"/>
              <w:jc w:val="center"/>
              <w:rPr>
                <w:sz w:val="21"/>
                <w:szCs w:val="21"/>
              </w:rPr>
            </w:pPr>
          </w:p>
        </w:tc>
        <w:tc>
          <w:tcPr>
            <w:tcW w:w="1276" w:type="dxa"/>
            <w:vMerge/>
            <w:shd w:val="clear" w:color="auto" w:fill="auto"/>
            <w:vAlign w:val="center"/>
          </w:tcPr>
          <w:p w14:paraId="24545B19" w14:textId="77777777" w:rsidR="006E3493" w:rsidRPr="00FD12DE" w:rsidRDefault="006E3493" w:rsidP="00BD55F0">
            <w:pPr>
              <w:pStyle w:val="Header"/>
              <w:jc w:val="center"/>
              <w:rPr>
                <w:sz w:val="21"/>
                <w:szCs w:val="21"/>
              </w:rPr>
            </w:pPr>
          </w:p>
        </w:tc>
      </w:tr>
      <w:tr w:rsidR="006E3493" w:rsidRPr="00FD12DE" w14:paraId="678B99C0" w14:textId="77777777" w:rsidTr="00BD55F0">
        <w:trPr>
          <w:trHeight w:val="335"/>
        </w:trPr>
        <w:tc>
          <w:tcPr>
            <w:tcW w:w="1275" w:type="dxa"/>
            <w:vMerge w:val="restart"/>
            <w:shd w:val="clear" w:color="auto" w:fill="DBE5F1" w:themeFill="accent1" w:themeFillTint="33"/>
            <w:vAlign w:val="center"/>
          </w:tcPr>
          <w:p w14:paraId="1591642E" w14:textId="77777777" w:rsidR="006E3493" w:rsidRPr="00FD12DE" w:rsidRDefault="006E3493" w:rsidP="00BD55F0">
            <w:pPr>
              <w:pStyle w:val="Header"/>
              <w:jc w:val="center"/>
              <w:rPr>
                <w:sz w:val="21"/>
                <w:szCs w:val="21"/>
              </w:rPr>
            </w:pPr>
            <w:r w:rsidRPr="00FD12DE">
              <w:rPr>
                <w:sz w:val="21"/>
                <w:szCs w:val="21"/>
              </w:rPr>
              <w:t>Dimension</w:t>
            </w:r>
          </w:p>
        </w:tc>
        <w:tc>
          <w:tcPr>
            <w:tcW w:w="2978" w:type="dxa"/>
            <w:shd w:val="clear" w:color="auto" w:fill="DBE5F1" w:themeFill="accent1" w:themeFillTint="33"/>
            <w:vAlign w:val="center"/>
          </w:tcPr>
          <w:p w14:paraId="05BD067E" w14:textId="77777777" w:rsidR="006E3493" w:rsidRPr="00FD12DE" w:rsidRDefault="006E3493" w:rsidP="00BD55F0">
            <w:pPr>
              <w:pStyle w:val="Header"/>
              <w:ind w:left="34" w:right="-109"/>
              <w:rPr>
                <w:sz w:val="21"/>
                <w:szCs w:val="21"/>
              </w:rPr>
            </w:pPr>
            <w:r w:rsidRPr="00FD12DE">
              <w:rPr>
                <w:sz w:val="21"/>
                <w:szCs w:val="21"/>
              </w:rPr>
              <w:t>Beam or section height less than 230 mm</w:t>
            </w:r>
          </w:p>
        </w:tc>
        <w:tc>
          <w:tcPr>
            <w:tcW w:w="1179" w:type="dxa"/>
            <w:shd w:val="clear" w:color="auto" w:fill="DBE5F1" w:themeFill="accent1" w:themeFillTint="33"/>
            <w:vAlign w:val="center"/>
          </w:tcPr>
          <w:p w14:paraId="3FAEB1B7" w14:textId="77777777" w:rsidR="006E3493" w:rsidRPr="00FD12DE" w:rsidRDefault="006E3493" w:rsidP="00BD55F0">
            <w:pPr>
              <w:pStyle w:val="Header"/>
              <w:ind w:left="34"/>
              <w:jc w:val="center"/>
              <w:rPr>
                <w:sz w:val="21"/>
                <w:szCs w:val="21"/>
              </w:rPr>
            </w:pPr>
            <w:r w:rsidRPr="00FD12DE">
              <w:rPr>
                <w:sz w:val="21"/>
                <w:szCs w:val="21"/>
              </w:rPr>
              <w:t>S</w:t>
            </w:r>
          </w:p>
        </w:tc>
        <w:tc>
          <w:tcPr>
            <w:tcW w:w="1372" w:type="dxa"/>
            <w:vMerge w:val="restart"/>
            <w:shd w:val="clear" w:color="auto" w:fill="DBE5F1" w:themeFill="accent1" w:themeFillTint="33"/>
            <w:vAlign w:val="center"/>
          </w:tcPr>
          <w:p w14:paraId="2BE49E30" w14:textId="77777777" w:rsidR="006E3493" w:rsidRPr="00FD12DE" w:rsidRDefault="006E3493" w:rsidP="00BD55F0">
            <w:pPr>
              <w:pStyle w:val="Header"/>
              <w:jc w:val="center"/>
              <w:rPr>
                <w:sz w:val="21"/>
                <w:szCs w:val="21"/>
              </w:rPr>
            </w:pPr>
            <w:r w:rsidRPr="00FD12DE">
              <w:rPr>
                <w:sz w:val="21"/>
                <w:szCs w:val="21"/>
              </w:rPr>
              <w:t>Optional</w:t>
            </w:r>
          </w:p>
        </w:tc>
        <w:tc>
          <w:tcPr>
            <w:tcW w:w="1418" w:type="dxa"/>
            <w:vMerge w:val="restart"/>
            <w:shd w:val="clear" w:color="auto" w:fill="DBE5F1" w:themeFill="accent1" w:themeFillTint="33"/>
            <w:vAlign w:val="center"/>
          </w:tcPr>
          <w:p w14:paraId="7C954FB5" w14:textId="77777777" w:rsidR="006E3493" w:rsidRPr="00FD12DE" w:rsidRDefault="006E3493" w:rsidP="00BD55F0">
            <w:pPr>
              <w:pStyle w:val="Header"/>
              <w:jc w:val="center"/>
              <w:rPr>
                <w:sz w:val="21"/>
                <w:szCs w:val="21"/>
              </w:rPr>
            </w:pPr>
            <w:r w:rsidRPr="00FD12DE">
              <w:rPr>
                <w:sz w:val="21"/>
                <w:szCs w:val="21"/>
              </w:rPr>
              <w:t>Optional</w:t>
            </w:r>
          </w:p>
        </w:tc>
        <w:tc>
          <w:tcPr>
            <w:tcW w:w="1276" w:type="dxa"/>
            <w:vMerge w:val="restart"/>
            <w:shd w:val="clear" w:color="auto" w:fill="DBE5F1" w:themeFill="accent1" w:themeFillTint="33"/>
            <w:vAlign w:val="center"/>
          </w:tcPr>
          <w:p w14:paraId="071FBC68" w14:textId="77777777" w:rsidR="006E3493" w:rsidRPr="00FD12DE" w:rsidRDefault="006E3493" w:rsidP="00BD55F0">
            <w:pPr>
              <w:pStyle w:val="Header"/>
              <w:jc w:val="center"/>
              <w:rPr>
                <w:sz w:val="21"/>
                <w:szCs w:val="21"/>
              </w:rPr>
            </w:pPr>
            <w:r w:rsidRPr="00FD12DE">
              <w:rPr>
                <w:sz w:val="21"/>
                <w:szCs w:val="21"/>
              </w:rPr>
              <w:t>No</w:t>
            </w:r>
          </w:p>
        </w:tc>
      </w:tr>
      <w:tr w:rsidR="006E3493" w:rsidRPr="00FD12DE" w14:paraId="3CC02893" w14:textId="77777777" w:rsidTr="00BD55F0">
        <w:trPr>
          <w:trHeight w:val="335"/>
        </w:trPr>
        <w:tc>
          <w:tcPr>
            <w:tcW w:w="1275" w:type="dxa"/>
            <w:vMerge/>
            <w:shd w:val="clear" w:color="auto" w:fill="DBE5F1" w:themeFill="accent1" w:themeFillTint="33"/>
            <w:vAlign w:val="center"/>
          </w:tcPr>
          <w:p w14:paraId="71964EE3" w14:textId="77777777" w:rsidR="006E3493" w:rsidRPr="00FD12DE" w:rsidRDefault="006E3493" w:rsidP="00BD55F0">
            <w:pPr>
              <w:pStyle w:val="Header"/>
              <w:jc w:val="center"/>
              <w:rPr>
                <w:sz w:val="21"/>
                <w:szCs w:val="21"/>
              </w:rPr>
            </w:pPr>
          </w:p>
        </w:tc>
        <w:tc>
          <w:tcPr>
            <w:tcW w:w="2978" w:type="dxa"/>
            <w:shd w:val="clear" w:color="auto" w:fill="DBE5F1" w:themeFill="accent1" w:themeFillTint="33"/>
            <w:vAlign w:val="center"/>
          </w:tcPr>
          <w:p w14:paraId="2E5D4923" w14:textId="77777777" w:rsidR="006E3493" w:rsidRPr="00FD12DE" w:rsidRDefault="006E3493" w:rsidP="00BD55F0">
            <w:pPr>
              <w:pStyle w:val="Header"/>
              <w:ind w:left="34" w:right="-109"/>
              <w:rPr>
                <w:sz w:val="21"/>
                <w:szCs w:val="21"/>
              </w:rPr>
            </w:pPr>
            <w:r w:rsidRPr="00FD12DE">
              <w:rPr>
                <w:sz w:val="21"/>
                <w:szCs w:val="21"/>
              </w:rPr>
              <w:t>Beam or section height equal to or greater than 230 mm</w:t>
            </w:r>
          </w:p>
        </w:tc>
        <w:tc>
          <w:tcPr>
            <w:tcW w:w="1179" w:type="dxa"/>
            <w:shd w:val="clear" w:color="auto" w:fill="DBE5F1" w:themeFill="accent1" w:themeFillTint="33"/>
            <w:vAlign w:val="center"/>
          </w:tcPr>
          <w:p w14:paraId="4BCB8221" w14:textId="77777777" w:rsidR="006E3493" w:rsidRPr="00FD12DE" w:rsidRDefault="006E3493" w:rsidP="00BD55F0">
            <w:pPr>
              <w:pStyle w:val="Header"/>
              <w:ind w:left="34"/>
              <w:jc w:val="center"/>
              <w:rPr>
                <w:sz w:val="21"/>
                <w:szCs w:val="21"/>
              </w:rPr>
            </w:pPr>
            <w:r w:rsidRPr="00FD12DE">
              <w:rPr>
                <w:sz w:val="21"/>
                <w:szCs w:val="21"/>
              </w:rPr>
              <w:t>L</w:t>
            </w:r>
          </w:p>
        </w:tc>
        <w:tc>
          <w:tcPr>
            <w:tcW w:w="1372" w:type="dxa"/>
            <w:vMerge/>
            <w:shd w:val="clear" w:color="auto" w:fill="DBE5F1" w:themeFill="accent1" w:themeFillTint="33"/>
            <w:vAlign w:val="center"/>
          </w:tcPr>
          <w:p w14:paraId="594C1197" w14:textId="77777777" w:rsidR="006E3493" w:rsidRPr="00FD12DE" w:rsidRDefault="006E3493" w:rsidP="00BD55F0">
            <w:pPr>
              <w:pStyle w:val="Header"/>
              <w:jc w:val="center"/>
              <w:rPr>
                <w:sz w:val="21"/>
                <w:szCs w:val="21"/>
              </w:rPr>
            </w:pPr>
          </w:p>
        </w:tc>
        <w:tc>
          <w:tcPr>
            <w:tcW w:w="1418" w:type="dxa"/>
            <w:vMerge/>
            <w:shd w:val="clear" w:color="auto" w:fill="DBE5F1" w:themeFill="accent1" w:themeFillTint="33"/>
            <w:vAlign w:val="center"/>
          </w:tcPr>
          <w:p w14:paraId="564BB362" w14:textId="77777777" w:rsidR="006E3493" w:rsidRPr="00FD12DE" w:rsidRDefault="006E3493" w:rsidP="00BD55F0">
            <w:pPr>
              <w:pStyle w:val="Header"/>
              <w:jc w:val="center"/>
              <w:rPr>
                <w:sz w:val="21"/>
                <w:szCs w:val="21"/>
              </w:rPr>
            </w:pPr>
          </w:p>
        </w:tc>
        <w:tc>
          <w:tcPr>
            <w:tcW w:w="1276" w:type="dxa"/>
            <w:vMerge/>
            <w:shd w:val="clear" w:color="auto" w:fill="DBE5F1" w:themeFill="accent1" w:themeFillTint="33"/>
            <w:vAlign w:val="center"/>
          </w:tcPr>
          <w:p w14:paraId="312D952A" w14:textId="77777777" w:rsidR="006E3493" w:rsidRPr="00FD12DE" w:rsidRDefault="006E3493" w:rsidP="00BD55F0">
            <w:pPr>
              <w:pStyle w:val="Header"/>
              <w:jc w:val="center"/>
              <w:rPr>
                <w:sz w:val="21"/>
                <w:szCs w:val="21"/>
              </w:rPr>
            </w:pPr>
          </w:p>
        </w:tc>
      </w:tr>
      <w:tr w:rsidR="006E3493" w:rsidRPr="00FD12DE" w14:paraId="44D345CD" w14:textId="77777777" w:rsidTr="00BD55F0">
        <w:trPr>
          <w:trHeight w:val="335"/>
        </w:trPr>
        <w:tc>
          <w:tcPr>
            <w:tcW w:w="1275" w:type="dxa"/>
            <w:vMerge w:val="restart"/>
            <w:shd w:val="clear" w:color="auto" w:fill="auto"/>
            <w:vAlign w:val="center"/>
          </w:tcPr>
          <w:p w14:paraId="32E171B6" w14:textId="77777777" w:rsidR="006E3493" w:rsidRPr="00FD12DE" w:rsidRDefault="006E3493" w:rsidP="00BD55F0">
            <w:pPr>
              <w:pStyle w:val="Header"/>
              <w:jc w:val="center"/>
              <w:rPr>
                <w:sz w:val="21"/>
                <w:szCs w:val="21"/>
              </w:rPr>
            </w:pPr>
            <w:r w:rsidRPr="00FD12DE">
              <w:rPr>
                <w:sz w:val="21"/>
                <w:szCs w:val="21"/>
              </w:rPr>
              <w:t>Weldability</w:t>
            </w:r>
          </w:p>
          <w:p w14:paraId="0DD41296" w14:textId="77777777" w:rsidR="006E3493" w:rsidRPr="00FD12DE" w:rsidRDefault="006E3493" w:rsidP="00BD55F0">
            <w:pPr>
              <w:pStyle w:val="Header"/>
              <w:jc w:val="center"/>
              <w:rPr>
                <w:sz w:val="21"/>
                <w:szCs w:val="21"/>
              </w:rPr>
            </w:pPr>
          </w:p>
        </w:tc>
        <w:tc>
          <w:tcPr>
            <w:tcW w:w="2978" w:type="dxa"/>
            <w:shd w:val="clear" w:color="auto" w:fill="auto"/>
            <w:vAlign w:val="center"/>
          </w:tcPr>
          <w:p w14:paraId="1BD9B233" w14:textId="77777777" w:rsidR="006E3493" w:rsidRPr="00FD12DE" w:rsidRDefault="006E3493" w:rsidP="00BD55F0">
            <w:pPr>
              <w:pStyle w:val="Header"/>
              <w:ind w:left="34" w:right="-109"/>
              <w:rPr>
                <w:sz w:val="21"/>
                <w:szCs w:val="21"/>
              </w:rPr>
            </w:pPr>
            <w:r w:rsidRPr="00FD12DE">
              <w:rPr>
                <w:sz w:val="21"/>
                <w:szCs w:val="21"/>
              </w:rPr>
              <w:t xml:space="preserve">Carbon </w:t>
            </w:r>
            <w:r>
              <w:rPr>
                <w:sz w:val="21"/>
                <w:szCs w:val="21"/>
              </w:rPr>
              <w:t>equivalent value</w:t>
            </w:r>
            <w:r w:rsidRPr="00FD12DE">
              <w:rPr>
                <w:sz w:val="21"/>
                <w:szCs w:val="21"/>
              </w:rPr>
              <w:t xml:space="preserve"> specified in relevant standard</w:t>
            </w:r>
          </w:p>
        </w:tc>
        <w:tc>
          <w:tcPr>
            <w:tcW w:w="1179" w:type="dxa"/>
            <w:shd w:val="clear" w:color="auto" w:fill="auto"/>
            <w:vAlign w:val="center"/>
          </w:tcPr>
          <w:p w14:paraId="099620BA" w14:textId="77777777" w:rsidR="006E3493" w:rsidRPr="00FD12DE" w:rsidRDefault="006E3493" w:rsidP="00BD55F0">
            <w:pPr>
              <w:pStyle w:val="Header"/>
              <w:ind w:left="34"/>
              <w:jc w:val="center"/>
              <w:rPr>
                <w:sz w:val="21"/>
                <w:szCs w:val="21"/>
              </w:rPr>
            </w:pPr>
            <w:r w:rsidRPr="00FD12DE">
              <w:rPr>
                <w:sz w:val="21"/>
                <w:szCs w:val="21"/>
              </w:rPr>
              <w:t>Y</w:t>
            </w:r>
          </w:p>
        </w:tc>
        <w:tc>
          <w:tcPr>
            <w:tcW w:w="1372" w:type="dxa"/>
            <w:vMerge w:val="restart"/>
            <w:shd w:val="clear" w:color="auto" w:fill="auto"/>
            <w:vAlign w:val="center"/>
          </w:tcPr>
          <w:p w14:paraId="5F723D03" w14:textId="77777777" w:rsidR="006E3493" w:rsidRPr="00FD12DE" w:rsidRDefault="006E3493" w:rsidP="00BD55F0">
            <w:pPr>
              <w:pStyle w:val="Header"/>
              <w:jc w:val="center"/>
              <w:rPr>
                <w:sz w:val="21"/>
                <w:szCs w:val="21"/>
              </w:rPr>
            </w:pPr>
            <w:r w:rsidRPr="00FD12DE">
              <w:rPr>
                <w:sz w:val="21"/>
                <w:szCs w:val="21"/>
              </w:rPr>
              <w:t>Optional</w:t>
            </w:r>
          </w:p>
        </w:tc>
        <w:tc>
          <w:tcPr>
            <w:tcW w:w="1418" w:type="dxa"/>
            <w:vMerge w:val="restart"/>
            <w:shd w:val="clear" w:color="auto" w:fill="auto"/>
            <w:vAlign w:val="center"/>
          </w:tcPr>
          <w:p w14:paraId="3C9B73D5" w14:textId="77777777" w:rsidR="006E3493" w:rsidRPr="00FD12DE" w:rsidRDefault="006E3493" w:rsidP="00BD55F0">
            <w:pPr>
              <w:pStyle w:val="Header"/>
              <w:jc w:val="center"/>
              <w:rPr>
                <w:sz w:val="21"/>
                <w:szCs w:val="21"/>
              </w:rPr>
            </w:pPr>
            <w:r w:rsidRPr="00FD12DE">
              <w:rPr>
                <w:sz w:val="21"/>
                <w:szCs w:val="21"/>
              </w:rPr>
              <w:t>Optional</w:t>
            </w:r>
          </w:p>
        </w:tc>
        <w:tc>
          <w:tcPr>
            <w:tcW w:w="1276" w:type="dxa"/>
            <w:vMerge w:val="restart"/>
            <w:shd w:val="clear" w:color="auto" w:fill="auto"/>
            <w:vAlign w:val="center"/>
          </w:tcPr>
          <w:p w14:paraId="32B780C1" w14:textId="77777777" w:rsidR="006E3493" w:rsidRPr="00FD12DE" w:rsidRDefault="006E3493" w:rsidP="00BD55F0">
            <w:pPr>
              <w:pStyle w:val="Header"/>
              <w:jc w:val="center"/>
              <w:rPr>
                <w:sz w:val="21"/>
                <w:szCs w:val="21"/>
              </w:rPr>
            </w:pPr>
            <w:r w:rsidRPr="00FD12DE">
              <w:rPr>
                <w:sz w:val="21"/>
                <w:szCs w:val="21"/>
              </w:rPr>
              <w:t xml:space="preserve">No </w:t>
            </w:r>
          </w:p>
        </w:tc>
      </w:tr>
      <w:tr w:rsidR="006E3493" w:rsidRPr="00FD12DE" w14:paraId="33A90426" w14:textId="77777777" w:rsidTr="00BD55F0">
        <w:trPr>
          <w:trHeight w:val="335"/>
        </w:trPr>
        <w:tc>
          <w:tcPr>
            <w:tcW w:w="1275" w:type="dxa"/>
            <w:vMerge/>
            <w:shd w:val="clear" w:color="auto" w:fill="C6D9F1" w:themeFill="text2" w:themeFillTint="33"/>
          </w:tcPr>
          <w:p w14:paraId="7829B391" w14:textId="77777777" w:rsidR="006E3493" w:rsidRPr="00FD12DE" w:rsidRDefault="006E3493" w:rsidP="00BD55F0">
            <w:pPr>
              <w:pStyle w:val="Header"/>
              <w:jc w:val="center"/>
              <w:rPr>
                <w:sz w:val="21"/>
                <w:szCs w:val="21"/>
              </w:rPr>
            </w:pPr>
          </w:p>
        </w:tc>
        <w:tc>
          <w:tcPr>
            <w:tcW w:w="2978" w:type="dxa"/>
            <w:shd w:val="clear" w:color="auto" w:fill="auto"/>
            <w:vAlign w:val="center"/>
          </w:tcPr>
          <w:p w14:paraId="72DAC9AB" w14:textId="77777777" w:rsidR="006E3493" w:rsidRPr="00FD12DE" w:rsidRDefault="006E3493" w:rsidP="00BD55F0">
            <w:pPr>
              <w:pStyle w:val="Header"/>
              <w:ind w:left="34" w:right="-109"/>
              <w:rPr>
                <w:sz w:val="21"/>
                <w:szCs w:val="21"/>
              </w:rPr>
            </w:pPr>
            <w:r w:rsidRPr="00FD12DE">
              <w:rPr>
                <w:sz w:val="21"/>
                <w:szCs w:val="21"/>
              </w:rPr>
              <w:t xml:space="preserve">Carbon </w:t>
            </w:r>
            <w:r>
              <w:rPr>
                <w:sz w:val="21"/>
                <w:szCs w:val="21"/>
              </w:rPr>
              <w:t>equivalent value</w:t>
            </w:r>
            <w:r w:rsidRPr="00FD12DE">
              <w:rPr>
                <w:sz w:val="21"/>
                <w:szCs w:val="21"/>
              </w:rPr>
              <w:t xml:space="preserve"> not specified in relevant standard</w:t>
            </w:r>
          </w:p>
        </w:tc>
        <w:tc>
          <w:tcPr>
            <w:tcW w:w="1179" w:type="dxa"/>
            <w:shd w:val="clear" w:color="auto" w:fill="auto"/>
            <w:vAlign w:val="center"/>
          </w:tcPr>
          <w:p w14:paraId="4E779909" w14:textId="77777777" w:rsidR="006E3493" w:rsidRPr="00FD12DE" w:rsidRDefault="006E3493" w:rsidP="00BD55F0">
            <w:pPr>
              <w:pStyle w:val="Header"/>
              <w:ind w:left="34"/>
              <w:jc w:val="center"/>
              <w:rPr>
                <w:sz w:val="21"/>
                <w:szCs w:val="21"/>
              </w:rPr>
            </w:pPr>
            <w:r w:rsidRPr="00FD12DE">
              <w:rPr>
                <w:sz w:val="21"/>
                <w:szCs w:val="21"/>
              </w:rPr>
              <w:t>N</w:t>
            </w:r>
          </w:p>
        </w:tc>
        <w:tc>
          <w:tcPr>
            <w:tcW w:w="1372" w:type="dxa"/>
            <w:vMerge/>
            <w:shd w:val="clear" w:color="auto" w:fill="C6D9F1" w:themeFill="text2" w:themeFillTint="33"/>
            <w:vAlign w:val="center"/>
          </w:tcPr>
          <w:p w14:paraId="5D36C81B" w14:textId="77777777" w:rsidR="006E3493" w:rsidRPr="00FD12DE" w:rsidRDefault="006E3493" w:rsidP="00BD55F0">
            <w:pPr>
              <w:pStyle w:val="Header"/>
              <w:jc w:val="center"/>
              <w:rPr>
                <w:sz w:val="21"/>
                <w:szCs w:val="21"/>
              </w:rPr>
            </w:pPr>
          </w:p>
        </w:tc>
        <w:tc>
          <w:tcPr>
            <w:tcW w:w="1418" w:type="dxa"/>
            <w:vMerge/>
            <w:shd w:val="clear" w:color="auto" w:fill="C6D9F1" w:themeFill="text2" w:themeFillTint="33"/>
            <w:vAlign w:val="center"/>
          </w:tcPr>
          <w:p w14:paraId="19A7ABD9" w14:textId="77777777" w:rsidR="006E3493" w:rsidRPr="00FD12DE" w:rsidRDefault="006E3493" w:rsidP="00BD55F0">
            <w:pPr>
              <w:pStyle w:val="Header"/>
              <w:jc w:val="center"/>
              <w:rPr>
                <w:sz w:val="21"/>
                <w:szCs w:val="21"/>
              </w:rPr>
            </w:pPr>
          </w:p>
        </w:tc>
        <w:tc>
          <w:tcPr>
            <w:tcW w:w="1276" w:type="dxa"/>
            <w:vMerge/>
            <w:shd w:val="clear" w:color="auto" w:fill="C6D9F1" w:themeFill="text2" w:themeFillTint="33"/>
            <w:vAlign w:val="center"/>
          </w:tcPr>
          <w:p w14:paraId="507856DC" w14:textId="77777777" w:rsidR="006E3493" w:rsidRPr="00FD12DE" w:rsidRDefault="006E3493" w:rsidP="00BD55F0">
            <w:pPr>
              <w:pStyle w:val="Header"/>
              <w:jc w:val="center"/>
              <w:rPr>
                <w:sz w:val="21"/>
                <w:szCs w:val="21"/>
              </w:rPr>
            </w:pPr>
          </w:p>
        </w:tc>
      </w:tr>
    </w:tbl>
    <w:p w14:paraId="7610F18E" w14:textId="77777777" w:rsidR="006E3493" w:rsidRDefault="006E3493" w:rsidP="006E3493">
      <w:pPr>
        <w:rPr>
          <w:highlight w:val="yellow"/>
          <w:lang w:eastAsia="en-AU"/>
        </w:rPr>
      </w:pPr>
    </w:p>
    <w:p w14:paraId="030FC6EE" w14:textId="77777777" w:rsidR="006E3493" w:rsidRPr="00FD12DE" w:rsidRDefault="006E3493" w:rsidP="006E3493">
      <w:pPr>
        <w:pStyle w:val="Header"/>
      </w:pPr>
      <w:r w:rsidRPr="00FD12DE">
        <w:rPr>
          <w:i/>
        </w:rPr>
        <w:t>Prime</w:t>
      </w:r>
      <w:r w:rsidRPr="00FD12DE">
        <w:t xml:space="preserve"> refers to steel that is of acceptable quality for the application for which it is intended and not of some lower level of quality such as </w:t>
      </w:r>
      <w:r w:rsidRPr="00E22399">
        <w:rPr>
          <w:i/>
        </w:rPr>
        <w:t>defective</w:t>
      </w:r>
      <w:r w:rsidRPr="00FD12DE">
        <w:t>.</w:t>
      </w:r>
    </w:p>
    <w:p w14:paraId="0F4F5322" w14:textId="77777777" w:rsidR="006E3493" w:rsidRPr="00FD12DE" w:rsidRDefault="006E3493" w:rsidP="006E3493">
      <w:pPr>
        <w:pStyle w:val="Header"/>
        <w:rPr>
          <w:i/>
        </w:rPr>
      </w:pPr>
      <w:r>
        <w:rPr>
          <w:i/>
        </w:rPr>
        <w:t xml:space="preserve">Shape </w:t>
      </w:r>
      <w:r w:rsidRPr="00FD12DE">
        <w:t xml:space="preserve">refers to </w:t>
      </w:r>
      <w:r>
        <w:t xml:space="preserve">section such as </w:t>
      </w:r>
      <w:r w:rsidRPr="00FD12DE">
        <w:t>beam, column, channel or angle</w:t>
      </w:r>
      <w:r>
        <w:t>.</w:t>
      </w:r>
    </w:p>
    <w:p w14:paraId="7134FB72" w14:textId="77777777" w:rsidR="006E3493" w:rsidRPr="00FD12DE" w:rsidRDefault="006E3493" w:rsidP="006E3493">
      <w:pPr>
        <w:pStyle w:val="Header"/>
      </w:pPr>
      <w:r w:rsidRPr="00FD12DE">
        <w:rPr>
          <w:i/>
        </w:rPr>
        <w:t>Minimum yield strength</w:t>
      </w:r>
      <w:r w:rsidRPr="00FD12DE">
        <w:t xml:space="preserve"> refers </w:t>
      </w:r>
      <w:r>
        <w:t xml:space="preserve">to </w:t>
      </w:r>
      <w:r w:rsidRPr="00FD12DE">
        <w:t xml:space="preserve">steel made to a standard which explicitly specifies minimum yield strength. </w:t>
      </w:r>
    </w:p>
    <w:p w14:paraId="189F28D2" w14:textId="77777777" w:rsidR="006E3493" w:rsidRPr="00FD12DE" w:rsidRDefault="006E3493" w:rsidP="006E3493">
      <w:pPr>
        <w:pStyle w:val="Header"/>
        <w:rPr>
          <w:i/>
        </w:rPr>
      </w:pPr>
      <w:r>
        <w:rPr>
          <w:i/>
        </w:rPr>
        <w:t>Tensile</w:t>
      </w:r>
      <w:r w:rsidRPr="00FD12DE">
        <w:rPr>
          <w:i/>
        </w:rPr>
        <w:t xml:space="preserve"> strength </w:t>
      </w:r>
      <w:r>
        <w:t>refers</w:t>
      </w:r>
      <w:r w:rsidRPr="00FD12DE">
        <w:t xml:space="preserve"> to minimum tensile strengths.</w:t>
      </w:r>
      <w:r w:rsidRPr="00FD12DE">
        <w:rPr>
          <w:i/>
        </w:rPr>
        <w:t xml:space="preserve"> </w:t>
      </w:r>
    </w:p>
    <w:p w14:paraId="2CEDC30D" w14:textId="77777777" w:rsidR="006E3493" w:rsidRDefault="006E3493" w:rsidP="006E3493">
      <w:pPr>
        <w:pStyle w:val="Header"/>
      </w:pPr>
      <w:r w:rsidRPr="00FD12DE">
        <w:rPr>
          <w:i/>
        </w:rPr>
        <w:t>Thickness</w:t>
      </w:r>
      <w:r w:rsidRPr="00FD12DE">
        <w:t xml:space="preserve"> refers to the minimum thickness of flanges or webs.</w:t>
      </w:r>
    </w:p>
    <w:p w14:paraId="38609D7E" w14:textId="77777777" w:rsidR="006E3493" w:rsidRPr="00FD12DE" w:rsidRDefault="006E3493" w:rsidP="006E3493">
      <w:pPr>
        <w:pStyle w:val="Header"/>
      </w:pPr>
      <w:r w:rsidRPr="00FD12DE">
        <w:rPr>
          <w:i/>
        </w:rPr>
        <w:t>Dimension</w:t>
      </w:r>
      <w:r>
        <w:rPr>
          <w:i/>
        </w:rPr>
        <w:t xml:space="preserve"> </w:t>
      </w:r>
      <w:r w:rsidRPr="00FD12DE">
        <w:t>refers to beam, column, channel or angle height.</w:t>
      </w:r>
    </w:p>
    <w:p w14:paraId="6D86C775" w14:textId="77777777" w:rsidR="006E3493" w:rsidRPr="00FD12DE" w:rsidRDefault="006E3493" w:rsidP="006E3493">
      <w:pPr>
        <w:pStyle w:val="Header"/>
      </w:pPr>
      <w:r w:rsidRPr="00FD12DE">
        <w:rPr>
          <w:i/>
        </w:rPr>
        <w:t>Weldability</w:t>
      </w:r>
      <w:r w:rsidRPr="00FD12DE">
        <w:t xml:space="preserve"> refers to steel made to a standard which explicitly specifies a maximum carbon equivalent value.</w:t>
      </w:r>
    </w:p>
    <w:p w14:paraId="669EC7CA" w14:textId="77777777" w:rsidR="006E3493" w:rsidRPr="00FD12DE" w:rsidRDefault="006E3493" w:rsidP="006E3493">
      <w:pPr>
        <w:pStyle w:val="Header"/>
      </w:pPr>
    </w:p>
    <w:p w14:paraId="74638CFC" w14:textId="77777777" w:rsidR="006E3493" w:rsidRPr="003E0D20" w:rsidRDefault="006E3493" w:rsidP="006E3493">
      <w:pPr>
        <w:pStyle w:val="Header"/>
        <w:rPr>
          <w:sz w:val="24"/>
        </w:rPr>
      </w:pPr>
      <w:r w:rsidRPr="00FD12DE">
        <w:t>As an example of how goods will be classified using</w:t>
      </w:r>
      <w:r>
        <w:t xml:space="preserve"> only the mandatory categories of</w:t>
      </w:r>
      <w:r w:rsidRPr="00FD12DE">
        <w:t xml:space="preserve"> this MCC structure: </w:t>
      </w:r>
      <w:r>
        <w:t>P</w:t>
      </w:r>
      <w:r w:rsidRPr="00FD12DE">
        <w:t xml:space="preserve">rime </w:t>
      </w:r>
      <w:r>
        <w:t xml:space="preserve">‘I’ section Universal Beam with minimum yield strength of 400 MPa </w:t>
      </w:r>
      <w:r w:rsidRPr="00FD12DE">
        <w:t xml:space="preserve">would </w:t>
      </w:r>
      <w:r>
        <w:t>have an</w:t>
      </w:r>
      <w:r w:rsidRPr="00FD12DE">
        <w:t xml:space="preserve"> MCC </w:t>
      </w:r>
      <w:r>
        <w:t xml:space="preserve">of </w:t>
      </w:r>
      <w:r w:rsidRPr="00FD12DE">
        <w:t>P-</w:t>
      </w:r>
      <w:r>
        <w:t>I</w:t>
      </w:r>
      <w:r w:rsidRPr="00FD12DE">
        <w:t xml:space="preserve">-B. </w:t>
      </w:r>
    </w:p>
    <w:p w14:paraId="687609E5" w14:textId="40EE253B" w:rsidR="00E52047" w:rsidRPr="006E3493" w:rsidRDefault="00E52047" w:rsidP="00E52047">
      <w:pPr>
        <w:rPr>
          <w:highlight w:val="yellow"/>
          <w:lang w:eastAsia="en-AU"/>
        </w:rPr>
      </w:pPr>
    </w:p>
    <w:p w14:paraId="687609E6" w14:textId="77777777" w:rsidR="006A76C5" w:rsidRPr="00B273A2" w:rsidRDefault="00B249FC" w:rsidP="00E52047">
      <w:pPr>
        <w:rPr>
          <w:b/>
        </w:rPr>
      </w:pPr>
      <w:r w:rsidRPr="00B273A2">
        <w:rPr>
          <w:b/>
        </w:rPr>
        <w:t>C.2</w:t>
      </w:r>
      <w:r w:rsidR="006A76C5" w:rsidRPr="00B273A2">
        <w:rPr>
          <w:b/>
        </w:rPr>
        <w:tab/>
        <w:t>Selling, general and administration expenses</w:t>
      </w:r>
    </w:p>
    <w:p w14:paraId="687609E7" w14:textId="77777777" w:rsidR="006A76C5" w:rsidRPr="00B273A2" w:rsidRDefault="006A76C5" w:rsidP="00E52047"/>
    <w:p w14:paraId="687609E8" w14:textId="77777777" w:rsidR="004059D5" w:rsidRPr="004059D5" w:rsidRDefault="004059D5" w:rsidP="004059D5">
      <w:r w:rsidRPr="004059D5">
        <w:t xml:space="preserve">Please calculate your selling, general and administration costs for HRS for the period </w:t>
      </w:r>
    </w:p>
    <w:p w14:paraId="687609E9" w14:textId="77777777" w:rsidR="006A76C5" w:rsidRPr="00B273A2" w:rsidRDefault="004059D5" w:rsidP="004059D5">
      <w:r w:rsidRPr="004059D5">
        <w:rPr>
          <w:lang w:val="en-US"/>
        </w:rPr>
        <w:t>1 January 2018 to 31 December 2018</w:t>
      </w:r>
      <w:r w:rsidRPr="004059D5">
        <w:t xml:space="preserve"> and enter this information into the “Part B – Cost to import and sell” spreadsheet included in the “HRS Importer Questionnaire Spreadsheets”</w:t>
      </w:r>
    </w:p>
    <w:p w14:paraId="687609EA" w14:textId="77777777" w:rsidR="008C1015" w:rsidRPr="00B273A2" w:rsidRDefault="008C1015" w:rsidP="00E52047"/>
    <w:p w14:paraId="687609EB" w14:textId="77777777" w:rsidR="006A76C5" w:rsidRPr="00B273A2" w:rsidRDefault="006A76C5" w:rsidP="00E52047">
      <w:r w:rsidRPr="00B273A2">
        <w:t xml:space="preserve">These expenses are normally derived from profit and loss statements or other management records and are typically expressed as a percentage of sales revenue.  Where </w:t>
      </w:r>
      <w:r w:rsidR="00936F08" w:rsidRPr="004059D5">
        <w:t>HRS</w:t>
      </w:r>
      <w:r w:rsidRPr="00B273A2">
        <w:t xml:space="preserve"> is only a part of overall company sales, allocations of selling, general and administrative expenses may have to be made.</w:t>
      </w:r>
    </w:p>
    <w:p w14:paraId="687609EC" w14:textId="77777777" w:rsidR="00F02047" w:rsidRDefault="00F02047" w:rsidP="00E52047">
      <w:pPr>
        <w:rPr>
          <w:rFonts w:cs="Arial"/>
        </w:rPr>
      </w:pPr>
    </w:p>
    <w:p w14:paraId="687609ED" w14:textId="77777777" w:rsidR="00E52047" w:rsidRDefault="00F02047" w:rsidP="00E52047">
      <w:pPr>
        <w:rPr>
          <w:rFonts w:cs="Arial"/>
        </w:rPr>
      </w:pPr>
      <w:r>
        <w:rPr>
          <w:rFonts w:cs="Arial"/>
        </w:rPr>
        <w:t>The Commission</w:t>
      </w:r>
      <w:r w:rsidR="006A76C5">
        <w:rPr>
          <w:rFonts w:cs="Arial"/>
        </w:rPr>
        <w:t xml:space="preserve"> will seek to verify your sales data, and your estimate of selling, general and administrative expenses at the importer visit.</w:t>
      </w:r>
    </w:p>
    <w:p w14:paraId="687609EE" w14:textId="77777777" w:rsidR="00E52047" w:rsidRDefault="00E52047">
      <w:pPr>
        <w:rPr>
          <w:rFonts w:cs="Arial"/>
        </w:rPr>
      </w:pPr>
      <w:r>
        <w:rPr>
          <w:rFonts w:cs="Arial"/>
        </w:rPr>
        <w:br w:type="page"/>
      </w:r>
    </w:p>
    <w:p w14:paraId="687609EF" w14:textId="77777777" w:rsidR="007103C6" w:rsidRPr="00E52047" w:rsidRDefault="007103C6" w:rsidP="00E52047">
      <w:pPr>
        <w:rPr>
          <w:b/>
          <w:caps/>
        </w:rPr>
      </w:pPr>
      <w:r w:rsidRPr="00E52047">
        <w:rPr>
          <w:b/>
          <w:sz w:val="28"/>
        </w:rPr>
        <w:lastRenderedPageBreak/>
        <w:t>Checklist</w:t>
      </w:r>
    </w:p>
    <w:p w14:paraId="687609F0" w14:textId="77777777" w:rsidR="007103C6" w:rsidRPr="00D10A4C" w:rsidRDefault="007103C6" w:rsidP="007103C6">
      <w:pPr>
        <w:pStyle w:val="BodyText2"/>
        <w:numPr>
          <w:ilvl w:val="0"/>
          <w:numId w:val="5"/>
        </w:numPr>
        <w:rPr>
          <w:rFonts w:cs="Arial"/>
        </w:rPr>
      </w:pPr>
      <w:r w:rsidRPr="00D10A4C">
        <w:rPr>
          <w:rFonts w:cs="Arial"/>
        </w:rPr>
        <w:t xml:space="preserve"> Return by </w:t>
      </w:r>
      <w:r w:rsidR="004059D5">
        <w:rPr>
          <w:rFonts w:cs="Arial"/>
          <w:b/>
          <w:color w:val="FF0000"/>
        </w:rPr>
        <w:t>10 January 2019</w:t>
      </w:r>
    </w:p>
    <w:p w14:paraId="687609F1"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687609F2" w14:textId="77777777" w:rsidR="007103C6" w:rsidRPr="00D10A4C" w:rsidRDefault="007103C6" w:rsidP="007103C6">
      <w:pPr>
        <w:pStyle w:val="BodyText2"/>
        <w:numPr>
          <w:ilvl w:val="1"/>
          <w:numId w:val="6"/>
        </w:numPr>
        <w:rPr>
          <w:rFonts w:cs="Arial"/>
        </w:rPr>
      </w:pPr>
      <w:r w:rsidRPr="00D10A4C">
        <w:rPr>
          <w:rFonts w:cs="Arial"/>
        </w:rPr>
        <w:t>Your company details</w:t>
      </w:r>
    </w:p>
    <w:p w14:paraId="687609F3"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687609F4"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687609F5" w14:textId="733A2DC8" w:rsidR="007103C6" w:rsidRPr="00D10A4C" w:rsidRDefault="00B129D3" w:rsidP="007103C6">
      <w:pPr>
        <w:pStyle w:val="BodyText2"/>
        <w:numPr>
          <w:ilvl w:val="0"/>
          <w:numId w:val="5"/>
        </w:numPr>
        <w:tabs>
          <w:tab w:val="num" w:pos="993"/>
        </w:tabs>
        <w:spacing w:before="240"/>
        <w:ind w:left="1077" w:hanging="357"/>
        <w:rPr>
          <w:rFonts w:cs="Arial"/>
        </w:rPr>
      </w:pPr>
      <w:r>
        <w:rPr>
          <w:rFonts w:cs="Arial"/>
        </w:rPr>
        <w:t xml:space="preserve"> Return</w:t>
      </w:r>
      <w:r w:rsidR="007103C6" w:rsidRPr="00D10A4C">
        <w:rPr>
          <w:rFonts w:cs="Arial"/>
        </w:rPr>
        <w:t xml:space="preserve"> </w:t>
      </w:r>
      <w:r w:rsidRPr="00B129D3">
        <w:rPr>
          <w:b/>
          <w:color w:val="FF0000"/>
        </w:rPr>
        <w:t>within 21 days of your receipt of the Commission’s spreadsheets of imports.</w:t>
      </w:r>
      <w:r w:rsidR="004059D5">
        <w:rPr>
          <w:rFonts w:cs="Arial"/>
          <w:b/>
          <w:color w:val="FF0000"/>
        </w:rPr>
        <w:t xml:space="preserve"> </w:t>
      </w:r>
    </w:p>
    <w:p w14:paraId="687609F6"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687609F7"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687609F8"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687609F9"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687609FA"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687609FB"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687609FC"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87609FD"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87609FE" w14:textId="77777777" w:rsidR="007103C6" w:rsidRPr="00B02971" w:rsidRDefault="007103C6" w:rsidP="007103C6">
      <w:pPr>
        <w:pStyle w:val="BodyText2"/>
        <w:numPr>
          <w:ilvl w:val="1"/>
          <w:numId w:val="8"/>
        </w:numPr>
        <w:rPr>
          <w:rFonts w:cs="Arial"/>
        </w:rPr>
      </w:pPr>
      <w:r w:rsidRPr="00B02971">
        <w:rPr>
          <w:rFonts w:cs="Arial"/>
        </w:rPr>
        <w:t>Financial statements</w:t>
      </w:r>
    </w:p>
    <w:p w14:paraId="687609FF" w14:textId="77777777" w:rsidR="007103C6" w:rsidRPr="00B02971" w:rsidRDefault="007103C6" w:rsidP="007103C6">
      <w:pPr>
        <w:pStyle w:val="BodyText2"/>
        <w:numPr>
          <w:ilvl w:val="1"/>
          <w:numId w:val="8"/>
        </w:numPr>
        <w:rPr>
          <w:rFonts w:cs="Arial"/>
        </w:rPr>
      </w:pPr>
      <w:r w:rsidRPr="00B02971">
        <w:rPr>
          <w:rFonts w:cs="Arial"/>
        </w:rPr>
        <w:t>Bank records</w:t>
      </w:r>
    </w:p>
    <w:p w14:paraId="68760A00"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68760A01" w14:textId="77777777" w:rsidR="007103C6" w:rsidRPr="00B02971" w:rsidRDefault="007103C6" w:rsidP="007103C6">
      <w:pPr>
        <w:pStyle w:val="BodyText2"/>
        <w:numPr>
          <w:ilvl w:val="1"/>
          <w:numId w:val="8"/>
        </w:numPr>
        <w:rPr>
          <w:rFonts w:cs="Arial"/>
        </w:rPr>
      </w:pPr>
      <w:r w:rsidRPr="00B02971">
        <w:rPr>
          <w:rFonts w:cs="Arial"/>
        </w:rPr>
        <w:t>Sales invoices</w:t>
      </w:r>
    </w:p>
    <w:p w14:paraId="68760A02"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68760A03"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68760A04" w14:textId="77777777" w:rsidR="007103C6" w:rsidRDefault="007103C6"/>
    <w:sectPr w:rsidR="007103C6" w:rsidSect="006E3493">
      <w:headerReference w:type="first" r:id="rId14"/>
      <w:footerReference w:type="first" r:id="rId15"/>
      <w:pgSz w:w="11906" w:h="16838" w:code="9"/>
      <w:pgMar w:top="1440" w:right="849"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60A08" w14:textId="77777777" w:rsidR="000C4E1D" w:rsidRDefault="000C4E1D">
      <w:r>
        <w:separator/>
      </w:r>
    </w:p>
  </w:endnote>
  <w:endnote w:type="continuationSeparator" w:id="0">
    <w:p w14:paraId="68760A09" w14:textId="77777777" w:rsidR="000C4E1D" w:rsidRDefault="000C4E1D">
      <w:r>
        <w:continuationSeparator/>
      </w:r>
    </w:p>
  </w:endnote>
  <w:endnote w:type="continuationNotice" w:id="1">
    <w:p w14:paraId="68760A0A" w14:textId="77777777" w:rsidR="000C4E1D" w:rsidRDefault="000C4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0A0E" w14:textId="77777777" w:rsidR="006B43A5" w:rsidRDefault="006B43A5" w:rsidP="006B43A5">
    <w:pPr>
      <w:pStyle w:val="Footer"/>
      <w:rPr>
        <w:sz w:val="16"/>
        <w:szCs w:val="16"/>
      </w:rPr>
    </w:pPr>
    <w:r>
      <w:rPr>
        <w:noProof/>
        <w:sz w:val="16"/>
        <w:szCs w:val="16"/>
        <w:lang w:eastAsia="en-AU"/>
      </w:rPr>
      <mc:AlternateContent>
        <mc:Choice Requires="wps">
          <w:drawing>
            <wp:anchor distT="0" distB="0" distL="114300" distR="114300" simplePos="0" relativeHeight="251658752" behindDoc="0" locked="0" layoutInCell="1" allowOverlap="1" wp14:anchorId="68760A10" wp14:editId="68760A11">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0EDF3"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68760A0F"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60A05" w14:textId="77777777" w:rsidR="000C4E1D" w:rsidRDefault="000C4E1D">
      <w:r>
        <w:separator/>
      </w:r>
    </w:p>
  </w:footnote>
  <w:footnote w:type="continuationSeparator" w:id="0">
    <w:p w14:paraId="68760A06" w14:textId="77777777" w:rsidR="000C4E1D" w:rsidRDefault="000C4E1D">
      <w:r>
        <w:continuationSeparator/>
      </w:r>
    </w:p>
  </w:footnote>
  <w:footnote w:type="continuationNotice" w:id="1">
    <w:p w14:paraId="68760A07" w14:textId="77777777" w:rsidR="000C4E1D" w:rsidRDefault="000C4E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0A0B" w14:textId="77777777" w:rsidR="006B43A5" w:rsidRPr="00B273A2" w:rsidRDefault="006B43A5" w:rsidP="00AF735F">
    <w:pPr>
      <w:pStyle w:val="Header"/>
      <w:rPr>
        <w:b/>
        <w:color w:val="FF0000"/>
      </w:rPr>
    </w:pPr>
    <w:r>
      <w:tab/>
    </w:r>
    <w:r w:rsidRPr="00B273A2">
      <w:rPr>
        <w:b/>
        <w:color w:val="FF0000"/>
      </w:rPr>
      <w:t>PUBLIC RECORD/FOR OFFICIAL USE ONLY</w:t>
    </w:r>
  </w:p>
  <w:p w14:paraId="68760A0C" w14:textId="77777777" w:rsidR="006B43A5" w:rsidRPr="00B273A2" w:rsidRDefault="006B43A5" w:rsidP="00AF735F">
    <w:pPr>
      <w:pStyle w:val="Header"/>
      <w:rPr>
        <w:b/>
      </w:rPr>
    </w:pPr>
  </w:p>
  <w:p w14:paraId="68760A0D" w14:textId="77777777" w:rsidR="006B43A5" w:rsidRPr="00B273A2" w:rsidRDefault="006B43A5" w:rsidP="00AF735F">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1D"/>
    <w:rsid w:val="00031A2D"/>
    <w:rsid w:val="00072DA4"/>
    <w:rsid w:val="000B47FC"/>
    <w:rsid w:val="000C4E1D"/>
    <w:rsid w:val="000D4093"/>
    <w:rsid w:val="00121113"/>
    <w:rsid w:val="0014303F"/>
    <w:rsid w:val="001662DF"/>
    <w:rsid w:val="00283B91"/>
    <w:rsid w:val="002B3DF2"/>
    <w:rsid w:val="002B4622"/>
    <w:rsid w:val="002E46C1"/>
    <w:rsid w:val="002E547B"/>
    <w:rsid w:val="003323A4"/>
    <w:rsid w:val="003A7117"/>
    <w:rsid w:val="003B6073"/>
    <w:rsid w:val="003E29AF"/>
    <w:rsid w:val="003E44D2"/>
    <w:rsid w:val="0040120D"/>
    <w:rsid w:val="004059D5"/>
    <w:rsid w:val="00413985"/>
    <w:rsid w:val="0041439D"/>
    <w:rsid w:val="0048221E"/>
    <w:rsid w:val="00516BA4"/>
    <w:rsid w:val="005A4147"/>
    <w:rsid w:val="006508CA"/>
    <w:rsid w:val="006A76C5"/>
    <w:rsid w:val="006B43A5"/>
    <w:rsid w:val="006E3493"/>
    <w:rsid w:val="00707EC3"/>
    <w:rsid w:val="007103C6"/>
    <w:rsid w:val="00756E0A"/>
    <w:rsid w:val="00770AF7"/>
    <w:rsid w:val="007822BC"/>
    <w:rsid w:val="00802C97"/>
    <w:rsid w:val="00833D82"/>
    <w:rsid w:val="00883C4E"/>
    <w:rsid w:val="008B27BB"/>
    <w:rsid w:val="008C1015"/>
    <w:rsid w:val="009161BD"/>
    <w:rsid w:val="0092234C"/>
    <w:rsid w:val="00924D03"/>
    <w:rsid w:val="00936F08"/>
    <w:rsid w:val="0098356B"/>
    <w:rsid w:val="009D72DA"/>
    <w:rsid w:val="009F5D8E"/>
    <w:rsid w:val="00A2076C"/>
    <w:rsid w:val="00AA2AAE"/>
    <w:rsid w:val="00AA4FA1"/>
    <w:rsid w:val="00AF735F"/>
    <w:rsid w:val="00B129D3"/>
    <w:rsid w:val="00B249FC"/>
    <w:rsid w:val="00B273A2"/>
    <w:rsid w:val="00B33419"/>
    <w:rsid w:val="00B3481A"/>
    <w:rsid w:val="00BA3EA1"/>
    <w:rsid w:val="00BA6A2C"/>
    <w:rsid w:val="00BC2AAF"/>
    <w:rsid w:val="00C372B1"/>
    <w:rsid w:val="00C42442"/>
    <w:rsid w:val="00C72ABC"/>
    <w:rsid w:val="00C802E7"/>
    <w:rsid w:val="00CB4DCB"/>
    <w:rsid w:val="00D27420"/>
    <w:rsid w:val="00D70A70"/>
    <w:rsid w:val="00D822EC"/>
    <w:rsid w:val="00DD6ABF"/>
    <w:rsid w:val="00E52047"/>
    <w:rsid w:val="00E62B9C"/>
    <w:rsid w:val="00E672F1"/>
    <w:rsid w:val="00E94327"/>
    <w:rsid w:val="00EA7141"/>
    <w:rsid w:val="00F0204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7608A5"/>
  <w15:docId w15:val="{CA49171C-4867-4105-BA2B-269FD5A0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47"/>
    <w:pPr>
      <w:ind w:left="720"/>
      <w:contextualSpacing/>
    </w:pPr>
  </w:style>
  <w:style w:type="character" w:styleId="FollowedHyperlink">
    <w:name w:val="FollowedHyperlink"/>
    <w:basedOn w:val="DefaultParagraphFont"/>
    <w:semiHidden/>
    <w:unhideWhenUsed/>
    <w:rsid w:val="00936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decbf510b3a81715063d4f3aea0da78c">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6cc263366d12b6b2ba0f8e4a31ac9cf"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21EFF-BFBE-438D-B2E8-D355B183F267}"/>
</file>

<file path=customXml/itemProps2.xml><?xml version="1.0" encoding="utf-8"?>
<ds:datastoreItem xmlns:ds="http://schemas.openxmlformats.org/officeDocument/2006/customXml" ds:itemID="{68E060F8-A5E3-44D9-B5E7-18208F2E99F3}"/>
</file>

<file path=customXml/itemProps3.xml><?xml version="1.0" encoding="utf-8"?>
<ds:datastoreItem xmlns:ds="http://schemas.openxmlformats.org/officeDocument/2006/customXml" ds:itemID="{66D3E82A-336A-408D-BD65-5CE952E65BA5}"/>
</file>

<file path=customXml/itemProps4.xml><?xml version="1.0" encoding="utf-8"?>
<ds:datastoreItem xmlns:ds="http://schemas.openxmlformats.org/officeDocument/2006/customXml" ds:itemID="{78F9B5E4-5C46-4BDA-84C3-865547A59577}"/>
</file>

<file path=customXml/itemProps5.xml><?xml version="1.0" encoding="utf-8"?>
<ds:datastoreItem xmlns:ds="http://schemas.openxmlformats.org/officeDocument/2006/customXml" ds:itemID="{1D0F1D3D-14C0-4D79-8473-837627A08FB6}"/>
</file>

<file path=docProps/app.xml><?xml version="1.0" encoding="utf-8"?>
<Properties xmlns="http://schemas.openxmlformats.org/officeDocument/2006/extended-properties" xmlns:vt="http://schemas.openxmlformats.org/officeDocument/2006/docPropsVTypes">
  <Template>Normal</Template>
  <TotalTime>34</TotalTime>
  <Pages>8</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Champness, Brad</dc:creator>
  <cp:lastModifiedBy>Mantynen, Jukka</cp:lastModifiedBy>
  <cp:revision>8</cp:revision>
  <cp:lastPrinted>2004-01-29T06:40:00Z</cp:lastPrinted>
  <dcterms:created xsi:type="dcterms:W3CDTF">2018-12-18T04:09:00Z</dcterms:created>
  <dcterms:modified xsi:type="dcterms:W3CDTF">2018-12-19T03:12:00Z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801770ca-9bc6-4f12-b010-478de36cdf6e</vt:lpwstr>
  </property>
  <property fmtid="{D5CDD505-2E9C-101B-9397-08002B2CF9AE}" pid="8" name="DocHub_Year">
    <vt:lpwstr>1801;#2018|224abc7b-6f7e-4064-b773-6750976429b5</vt:lpwstr>
  </property>
  <property fmtid="{D5CDD505-2E9C-101B-9397-08002B2CF9AE}" pid="9" name="DocHub_DocumentType">
    <vt:lpwstr>66;#Template|9b48ba34-650a-488d-9fe8-e5181e10b797</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133;#Review|27afafd6-6f91-478b-aa86-71bce00b7eb9</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2631;#Liberty Steel|b4d4c277-f046-41a7-add4-e04f4151682f</vt:lpwstr>
  </property>
  <property fmtid="{D5CDD505-2E9C-101B-9397-08002B2CF9AE}" pid="20" name="DocHub_Goods">
    <vt:lpwstr>208;#Hot rolled structural steel|53b4a05f-aa88-4b05-8ab3-45e910655bf1</vt:lpwstr>
  </property>
  <property fmtid="{D5CDD505-2E9C-101B-9397-08002B2CF9AE}" pid="21" name="DocHub_Country">
    <vt:lpwstr>643;#Multiple|85bb9832-2187-4a09-9655-b7eb1fd7f7d5</vt:lpwstr>
  </property>
  <property fmtid="{D5CDD505-2E9C-101B-9397-08002B2CF9AE}" pid="22" name="DocHub_ReportType">
    <vt:lpwstr>236;#Verification Report – Importer|77fc9da0-bc80-4704-9732-b6bd99f5b1d2</vt:lpwstr>
  </property>
  <property fmtid="{D5CDD505-2E9C-101B-9397-08002B2CF9AE}" pid="23" name="DocHub_AttachmentAppendix">
    <vt:lpwstr/>
  </property>
</Properties>
</file>