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EABCAE3" w14:textId="0A179C31" w:rsidR="005D5156" w:rsidRDefault="008258B1" w:rsidP="005D5156">
      <w:pPr>
        <w:pStyle w:val="Title"/>
        <w:ind w:left="1134" w:right="662"/>
      </w:pPr>
      <w:r>
        <w:t xml:space="preserve">Innovation </w:t>
      </w:r>
      <w:r w:rsidR="005D5156">
        <w:t>Precincts</w:t>
      </w:r>
    </w:p>
    <w:p w14:paraId="2DD77DF9" w14:textId="575792E1" w:rsidR="005D5156" w:rsidRDefault="005D5156" w:rsidP="005D5156">
      <w:pPr>
        <w:pStyle w:val="Subtitle"/>
        <w:ind w:left="1134" w:right="662"/>
      </w:pPr>
      <w:r>
        <w:t>Select Bibliography</w:t>
      </w:r>
    </w:p>
    <w:p w14:paraId="28916868" w14:textId="33CE5F93" w:rsidR="00D96A7E" w:rsidRDefault="00D96A7E" w:rsidP="005D5156">
      <w:pPr>
        <w:pStyle w:val="Subtitle"/>
        <w:ind w:left="1134" w:right="662"/>
        <w:sectPr w:rsidR="00D96A7E">
          <w:headerReference w:type="default" r:id="rId11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309997EB" w14:textId="77777777" w:rsidR="005D5156" w:rsidRDefault="005D5156" w:rsidP="000D7674">
      <w:pPr>
        <w:pStyle w:val="Heading1"/>
      </w:pPr>
      <w:r>
        <w:br w:type="page"/>
      </w:r>
    </w:p>
    <w:p w14:paraId="72EA7FA8" w14:textId="2938472A" w:rsidR="00DD5266" w:rsidRDefault="001609FC" w:rsidP="00A84D21">
      <w:r>
        <w:lastRenderedPageBreak/>
        <w:t xml:space="preserve">As an addendum to </w:t>
      </w:r>
      <w:r w:rsidR="00656DF8">
        <w:t>the</w:t>
      </w:r>
      <w:r>
        <w:rPr>
          <w:i/>
        </w:rPr>
        <w:t xml:space="preserve"> Statement of Precincts for Australian Innovation Principles</w:t>
      </w:r>
      <w:r>
        <w:t>, t</w:t>
      </w:r>
      <w:r w:rsidR="001C2ED4">
        <w:t xml:space="preserve">his </w:t>
      </w:r>
      <w:r w:rsidR="00F24FEE">
        <w:t xml:space="preserve">resource </w:t>
      </w:r>
      <w:r w:rsidR="001C2ED4">
        <w:t xml:space="preserve">lists </w:t>
      </w:r>
      <w:r w:rsidR="00381706">
        <w:t xml:space="preserve">some example </w:t>
      </w:r>
      <w:r w:rsidR="00F24FEE">
        <w:t xml:space="preserve">background and guidance documents </w:t>
      </w:r>
      <w:r w:rsidR="001C2ED4">
        <w:t>relating to innovation precincts and place</w:t>
      </w:r>
      <w:r w:rsidR="001C2ED4">
        <w:noBreakHyphen/>
        <w:t>based innovation that stakeholders may find useful</w:t>
      </w:r>
      <w:r w:rsidR="005D312B">
        <w:t xml:space="preserve"> in informing their own approaches and considerations.</w:t>
      </w:r>
    </w:p>
    <w:p w14:paraId="04C448E5" w14:textId="0B75AD13" w:rsidR="00A729D0" w:rsidRDefault="00381706" w:rsidP="00A84D21">
      <w:r>
        <w:t xml:space="preserve">This bibliography is </w:t>
      </w:r>
      <w:r w:rsidR="00A729D0">
        <w:t>not comprehensive. The Australian Government encourages stakeholders to undertake additional research and seek ou</w:t>
      </w:r>
      <w:r w:rsidR="001609FC">
        <w:t>t</w:t>
      </w:r>
      <w:r w:rsidR="00A729D0">
        <w:t xml:space="preserve"> further guidance from specialists, including clustering organisations and communities of practice, and develop an approach to innovation precincts that suites their circumstances and requirements.</w:t>
      </w:r>
    </w:p>
    <w:p w14:paraId="790AC277" w14:textId="0E8A2BA7" w:rsidR="00864F59" w:rsidRDefault="00766EA2" w:rsidP="00766EA2">
      <w:pPr>
        <w:pStyle w:val="Heading2"/>
        <w:numPr>
          <w:ilvl w:val="0"/>
          <w:numId w:val="13"/>
        </w:numPr>
      </w:pPr>
      <w:r>
        <w:t xml:space="preserve">The </w:t>
      </w:r>
      <w:r w:rsidR="00864F59">
        <w:t>Policy Context</w:t>
      </w:r>
    </w:p>
    <w:p w14:paraId="2295E32F" w14:textId="77777777" w:rsidR="00766EA2" w:rsidRDefault="00766EA2" w:rsidP="008860C6">
      <w:pPr>
        <w:pStyle w:val="Bibliography1"/>
      </w:pPr>
      <w:r>
        <w:t xml:space="preserve">Information Technology and Innovation Foundation. 2016. </w:t>
      </w:r>
      <w:r w:rsidRPr="00F50E6D">
        <w:rPr>
          <w:rStyle w:val="Emphasis"/>
        </w:rPr>
        <w:t>Localizing the Economic Impact of Research and Development: Proposals for the Trump Administration and Congress</w:t>
      </w:r>
      <w:r w:rsidRPr="001C2ED4">
        <w:t>.</w:t>
      </w:r>
    </w:p>
    <w:p w14:paraId="6B395578" w14:textId="5C726D0D" w:rsidR="00766EA2" w:rsidRDefault="00766EA2" w:rsidP="008860C6">
      <w:pPr>
        <w:pStyle w:val="Bibliography1"/>
      </w:pPr>
      <w:r>
        <w:t>Innovation an</w:t>
      </w:r>
      <w:r w:rsidR="00465705">
        <w:t xml:space="preserve">d Science Australia. </w:t>
      </w:r>
      <w:r w:rsidRPr="00F50E6D">
        <w:rPr>
          <w:rStyle w:val="Emphasis"/>
        </w:rPr>
        <w:t>Performance Review of the Australian Innovation, Science and Research System, 2016</w:t>
      </w:r>
      <w:r w:rsidRPr="001C2ED4">
        <w:t>.</w:t>
      </w:r>
    </w:p>
    <w:p w14:paraId="08724AE6" w14:textId="77777777" w:rsidR="00766EA2" w:rsidRDefault="00766EA2" w:rsidP="008860C6">
      <w:pPr>
        <w:pStyle w:val="Bibliography1"/>
      </w:pPr>
      <w:r>
        <w:t xml:space="preserve">Office of the Chief Economist. 2015. </w:t>
      </w:r>
      <w:r w:rsidRPr="008860C6">
        <w:rPr>
          <w:rStyle w:val="Emphasis"/>
        </w:rPr>
        <w:t>Australian Geography of Innovative Entrepreneurship.</w:t>
      </w:r>
      <w:r>
        <w:t xml:space="preserve"> Australian Government, Department of Industry, Innovation and Science.</w:t>
      </w:r>
    </w:p>
    <w:p w14:paraId="23B01846" w14:textId="77777777" w:rsidR="00766EA2" w:rsidRDefault="00766EA2" w:rsidP="008860C6">
      <w:pPr>
        <w:pStyle w:val="Bibliography1"/>
      </w:pPr>
      <w:r>
        <w:t xml:space="preserve">Office of the Chief Economist. 2016. </w:t>
      </w:r>
      <w:r w:rsidRPr="008860C6">
        <w:rPr>
          <w:rStyle w:val="Emphasis"/>
        </w:rPr>
        <w:t>How Regional Universities Drive Regional Innovation.</w:t>
      </w:r>
      <w:r>
        <w:t xml:space="preserve"> Australian Government, Department of Industry, Innovation and Science.</w:t>
      </w:r>
    </w:p>
    <w:p w14:paraId="359FEA2E" w14:textId="2F860A57" w:rsidR="00766EA2" w:rsidRDefault="00766EA2" w:rsidP="008860C6">
      <w:pPr>
        <w:pStyle w:val="Bibliography1"/>
      </w:pPr>
      <w:r>
        <w:t xml:space="preserve">Office of the Chief Economist. 2017. </w:t>
      </w:r>
      <w:r w:rsidRPr="008860C6">
        <w:rPr>
          <w:rStyle w:val="Emphasis"/>
        </w:rPr>
        <w:t>The role of spill</w:t>
      </w:r>
      <w:r w:rsidR="00465705" w:rsidRPr="008860C6">
        <w:rPr>
          <w:rStyle w:val="Emphasis"/>
        </w:rPr>
        <w:t>-</w:t>
      </w:r>
      <w:r w:rsidRPr="008860C6">
        <w:rPr>
          <w:rStyle w:val="Emphasis"/>
        </w:rPr>
        <w:t>overs in research and development expenditure in Australian industries</w:t>
      </w:r>
      <w:r w:rsidRPr="001C2ED4">
        <w:t>.</w:t>
      </w:r>
      <w:r>
        <w:t xml:space="preserve"> Australian Government, Department of Industry, Innovation and Science.</w:t>
      </w:r>
    </w:p>
    <w:p w14:paraId="61DF672C" w14:textId="6BA8B6AD" w:rsidR="00766EA2" w:rsidRDefault="00766EA2" w:rsidP="008860C6">
      <w:pPr>
        <w:pStyle w:val="Bibliography1"/>
      </w:pPr>
      <w:r>
        <w:t xml:space="preserve">Productivity Commission. 2017. </w:t>
      </w:r>
      <w:r w:rsidRPr="008860C6">
        <w:rPr>
          <w:rStyle w:val="Emphasis"/>
        </w:rPr>
        <w:t>Transitioning Regional Economies: Initial Report</w:t>
      </w:r>
      <w:r w:rsidRPr="001C2ED4">
        <w:t>.</w:t>
      </w:r>
    </w:p>
    <w:p w14:paraId="201AC0E2" w14:textId="77777777" w:rsidR="00766EA2" w:rsidRDefault="00766EA2" w:rsidP="008860C6">
      <w:pPr>
        <w:pStyle w:val="Bibliography1"/>
      </w:pPr>
      <w:r>
        <w:t>Taylor, Tony. 1983.</w:t>
      </w:r>
      <w:r w:rsidRPr="00E16191">
        <w:t xml:space="preserve"> </w:t>
      </w:r>
      <w:r w:rsidRPr="00E16191">
        <w:rPr>
          <w:rStyle w:val="Emphasis"/>
          <w:i w:val="0"/>
        </w:rPr>
        <w:t>‘High-Technology Industry and the Development of Science Parks’.</w:t>
      </w:r>
      <w:r w:rsidRPr="008860C6">
        <w:rPr>
          <w:rStyle w:val="Emphasis"/>
        </w:rPr>
        <w:t xml:space="preserve"> Built Environment 9</w:t>
      </w:r>
      <w:r>
        <w:t>(1): 72-78.</w:t>
      </w:r>
    </w:p>
    <w:p w14:paraId="70EA584D" w14:textId="0530ECF2" w:rsidR="00390B43" w:rsidRDefault="00390B43" w:rsidP="008860C6">
      <w:pPr>
        <w:pStyle w:val="Bibliography1"/>
      </w:pPr>
      <w:r>
        <w:t xml:space="preserve">Wagner, Julie and Bruce Katz. 2017. </w:t>
      </w:r>
      <w:r w:rsidRPr="008860C6">
        <w:rPr>
          <w:rStyle w:val="Emphasis"/>
        </w:rPr>
        <w:t>Australia’s pathway to innovative growth lies with its universities</w:t>
      </w:r>
      <w:r>
        <w:t>. The Brookings Institution.</w:t>
      </w:r>
    </w:p>
    <w:p w14:paraId="61BF5C5A" w14:textId="41C17F95" w:rsidR="00864F59" w:rsidRDefault="007075DF" w:rsidP="007075DF">
      <w:pPr>
        <w:pStyle w:val="Heading2"/>
        <w:numPr>
          <w:ilvl w:val="0"/>
          <w:numId w:val="13"/>
        </w:numPr>
      </w:pPr>
      <w:r>
        <w:t xml:space="preserve">The Role </w:t>
      </w:r>
      <w:r w:rsidR="00FD5AA1">
        <w:t xml:space="preserve">and Benefits </w:t>
      </w:r>
      <w:r>
        <w:t xml:space="preserve">of </w:t>
      </w:r>
      <w:r w:rsidR="00766EA2">
        <w:t>Innovation</w:t>
      </w:r>
      <w:r>
        <w:t xml:space="preserve"> Precincts and Place</w:t>
      </w:r>
      <w:r>
        <w:noBreakHyphen/>
        <w:t>Based Innovation</w:t>
      </w:r>
    </w:p>
    <w:p w14:paraId="56C18C19" w14:textId="77777777" w:rsidR="00766EA2" w:rsidRDefault="00766EA2" w:rsidP="008860C6">
      <w:pPr>
        <w:pStyle w:val="Bibliography1"/>
      </w:pPr>
      <w:r w:rsidRPr="00927BD0">
        <w:t>Moonen</w:t>
      </w:r>
      <w:r>
        <w:t xml:space="preserve">, Tim, and </w:t>
      </w:r>
      <w:r w:rsidRPr="00927BD0">
        <w:t>Greg Clark</w:t>
      </w:r>
      <w:r>
        <w:t xml:space="preserve">. 2017. </w:t>
      </w:r>
      <w:r w:rsidRPr="00927BD0">
        <w:rPr>
          <w:i/>
        </w:rPr>
        <w:t>The Logic of Innovation Locations</w:t>
      </w:r>
      <w:r>
        <w:t>.</w:t>
      </w:r>
    </w:p>
    <w:p w14:paraId="79F60B5D" w14:textId="77777777" w:rsidR="00D34A38" w:rsidRDefault="00D34A38" w:rsidP="00D34A38">
      <w:pPr>
        <w:pStyle w:val="Bibliography1"/>
        <w:rPr>
          <w:rFonts w:cstheme="minorHAnsi"/>
          <w:szCs w:val="20"/>
        </w:rPr>
      </w:pPr>
      <w:r w:rsidRPr="00A848CA">
        <w:rPr>
          <w:rFonts w:cstheme="minorHAnsi"/>
          <w:szCs w:val="20"/>
        </w:rPr>
        <w:t xml:space="preserve">Clark, Greg; Moonen, Tim; Nunley, Jake. 2018. </w:t>
      </w:r>
      <w:r w:rsidRPr="00A848CA">
        <w:rPr>
          <w:rFonts w:cstheme="minorHAnsi"/>
          <w:i/>
          <w:iCs/>
          <w:szCs w:val="20"/>
        </w:rPr>
        <w:t>The Innov</w:t>
      </w:r>
      <w:r>
        <w:rPr>
          <w:rFonts w:cstheme="minorHAnsi"/>
          <w:i/>
          <w:iCs/>
          <w:szCs w:val="20"/>
        </w:rPr>
        <w:t xml:space="preserve">ation Economy: Implications and </w:t>
      </w:r>
      <w:r w:rsidRPr="00A848CA">
        <w:rPr>
          <w:rFonts w:cstheme="minorHAnsi"/>
          <w:i/>
          <w:iCs/>
          <w:szCs w:val="20"/>
        </w:rPr>
        <w:t>Imperatives for States and Regions.</w:t>
      </w:r>
      <w:r w:rsidRPr="00A848CA">
        <w:rPr>
          <w:rFonts w:cstheme="minorHAnsi"/>
          <w:szCs w:val="20"/>
        </w:rPr>
        <w:t xml:space="preserve"> NSW Innovation</w:t>
      </w:r>
      <w:r>
        <w:rPr>
          <w:rFonts w:cstheme="minorHAnsi"/>
          <w:szCs w:val="20"/>
        </w:rPr>
        <w:t xml:space="preserve"> and Productivity Council – NSW </w:t>
      </w:r>
      <w:r w:rsidRPr="00A848CA">
        <w:rPr>
          <w:rFonts w:cstheme="minorHAnsi"/>
          <w:szCs w:val="20"/>
        </w:rPr>
        <w:t>Government</w:t>
      </w:r>
    </w:p>
    <w:p w14:paraId="5A2881F5" w14:textId="1936FADD" w:rsidR="00766EA2" w:rsidRDefault="00766EA2" w:rsidP="008860C6">
      <w:pPr>
        <w:pStyle w:val="Bibliography1"/>
      </w:pPr>
      <w:r>
        <w:t xml:space="preserve">Charles, David. 2011. ‘The Role of Universities in Building Knowledge Cities in Australia’. </w:t>
      </w:r>
      <w:r>
        <w:rPr>
          <w:i/>
        </w:rPr>
        <w:t>Built Environment</w:t>
      </w:r>
      <w:r>
        <w:t xml:space="preserve"> 37(3): 281 – 298.</w:t>
      </w:r>
    </w:p>
    <w:p w14:paraId="1E4FE149" w14:textId="77777777" w:rsidR="00D34A38" w:rsidRDefault="00D34A38" w:rsidP="00D34A38">
      <w:pPr>
        <w:pStyle w:val="Bibliography1"/>
      </w:pPr>
      <w:r>
        <w:t xml:space="preserve">Donahue, R; Parilla, J; and McDearman, B, 2018. </w:t>
      </w:r>
      <w:r w:rsidRPr="001F2244">
        <w:rPr>
          <w:i/>
        </w:rPr>
        <w:t>Rethinking Cluster Initiatives</w:t>
      </w:r>
      <w:r>
        <w:t>. The Brookings Institution.</w:t>
      </w:r>
    </w:p>
    <w:p w14:paraId="34FE5209" w14:textId="77777777" w:rsidR="00F711BF" w:rsidRDefault="00F711BF" w:rsidP="008860C6">
      <w:pPr>
        <w:pStyle w:val="Bibliography1"/>
      </w:pPr>
      <w:r>
        <w:t xml:space="preserve">Katz, Bruce and Julie Wagner. 2014. </w:t>
      </w:r>
      <w:r w:rsidRPr="001C2ED4">
        <w:rPr>
          <w:i/>
        </w:rPr>
        <w:t>The Rise of the Innovation Districts: A New Geography of Innovation in America.</w:t>
      </w:r>
      <w:r>
        <w:t xml:space="preserve"> The Brookings Institution.</w:t>
      </w:r>
    </w:p>
    <w:p w14:paraId="1B9DEF53" w14:textId="77777777" w:rsidR="00F711BF" w:rsidRDefault="00F711BF" w:rsidP="008860C6">
      <w:pPr>
        <w:pStyle w:val="Bibliography1"/>
      </w:pPr>
      <w:r>
        <w:t xml:space="preserve">Katz, Bruce; Jennifer S Vey; and Julie Wagner. 2015. </w:t>
      </w:r>
      <w:r w:rsidRPr="001C2ED4">
        <w:rPr>
          <w:i/>
        </w:rPr>
        <w:t>One year after: Observations on the rise of innovation districts.</w:t>
      </w:r>
      <w:r>
        <w:rPr>
          <w:i/>
        </w:rPr>
        <w:t xml:space="preserve"> </w:t>
      </w:r>
      <w:r>
        <w:t>The Brookings Institution.</w:t>
      </w:r>
    </w:p>
    <w:p w14:paraId="3DB4B6D1" w14:textId="46A6CB91" w:rsidR="00977095" w:rsidRDefault="00766EA2" w:rsidP="008860C6">
      <w:pPr>
        <w:pStyle w:val="Bibliography1"/>
      </w:pPr>
      <w:r>
        <w:t xml:space="preserve">Martin Prosperity Institute. 2016. </w:t>
      </w:r>
      <w:r>
        <w:rPr>
          <w:i/>
        </w:rPr>
        <w:t>The City as Innovation Machine</w:t>
      </w:r>
      <w:r>
        <w:t>.</w:t>
      </w:r>
    </w:p>
    <w:p w14:paraId="3989D693" w14:textId="77777777" w:rsidR="00D34A38" w:rsidRPr="00A848CA" w:rsidRDefault="00D34A38" w:rsidP="00D34A38">
      <w:pPr>
        <w:pStyle w:val="Bibliography1"/>
        <w:rPr>
          <w:rFonts w:cstheme="minorHAnsi"/>
          <w:szCs w:val="20"/>
        </w:rPr>
      </w:pPr>
      <w:r>
        <w:rPr>
          <w:rFonts w:cstheme="minorHAnsi"/>
          <w:szCs w:val="20"/>
        </w:rPr>
        <w:lastRenderedPageBreak/>
        <w:t xml:space="preserve">NSW Innovation and Productivity Council – NSW Government. 2018. </w:t>
      </w:r>
      <w:r>
        <w:rPr>
          <w:rFonts w:cstheme="minorHAnsi"/>
          <w:i/>
          <w:szCs w:val="20"/>
        </w:rPr>
        <w:t>NSW Innovation and Productivity Scorecard.</w:t>
      </w:r>
    </w:p>
    <w:p w14:paraId="1B71BB12" w14:textId="137C75D8" w:rsidR="0073583B" w:rsidRDefault="00465705" w:rsidP="008860C6">
      <w:pPr>
        <w:pStyle w:val="Bibliography1"/>
        <w:rPr>
          <w:i/>
        </w:rPr>
      </w:pPr>
      <w:bookmarkStart w:id="0" w:name="_GoBack"/>
      <w:bookmarkEnd w:id="0"/>
      <w:r>
        <w:t xml:space="preserve">OECD. 2012. ‘The Cluster </w:t>
      </w:r>
      <w:r w:rsidR="000B56F7">
        <w:t>Scoreboard</w:t>
      </w:r>
      <w:r>
        <w:t xml:space="preserve">: Measuring the Performance of Local Business Clusters in the Knowledge Economy’. </w:t>
      </w:r>
      <w:r>
        <w:rPr>
          <w:i/>
        </w:rPr>
        <w:t>OECD Local Economic and Employment Development Working Papers.</w:t>
      </w:r>
    </w:p>
    <w:p w14:paraId="5551BEF1" w14:textId="1FFE2A51" w:rsidR="00766EA2" w:rsidRDefault="00766EA2" w:rsidP="008860C6">
      <w:pPr>
        <w:pStyle w:val="Bibliography1"/>
      </w:pPr>
      <w:r>
        <w:t xml:space="preserve">OECD. 2013. </w:t>
      </w:r>
      <w:r>
        <w:rPr>
          <w:i/>
        </w:rPr>
        <w:t>Innovation-driven Growth in Regions: The Role of Smart Specialisation</w:t>
      </w:r>
      <w:r>
        <w:t>.</w:t>
      </w:r>
    </w:p>
    <w:p w14:paraId="3392C0E0" w14:textId="32C946CD" w:rsidR="00766EA2" w:rsidRDefault="00766EA2" w:rsidP="008860C6">
      <w:pPr>
        <w:pStyle w:val="Bibliography1"/>
      </w:pPr>
      <w:r>
        <w:t xml:space="preserve">Porter, Michael E. 1998. </w:t>
      </w:r>
      <w:r>
        <w:rPr>
          <w:i/>
        </w:rPr>
        <w:t>Clusters and the New Economics of Competition</w:t>
      </w:r>
      <w:r>
        <w:t>. Harvard Business Review.</w:t>
      </w:r>
    </w:p>
    <w:p w14:paraId="034C8875" w14:textId="0D00EC34" w:rsidR="007075DF" w:rsidRDefault="007075DF" w:rsidP="008860C6">
      <w:pPr>
        <w:pStyle w:val="Bibliography1"/>
      </w:pPr>
      <w:r>
        <w:t xml:space="preserve">VDI / VDE Innovation + Technik GmbH. 2012. </w:t>
      </w:r>
      <w:r>
        <w:rPr>
          <w:i/>
        </w:rPr>
        <w:t>Clusters are Individuals: New Findings from the European Cluster Management and Cluster Program Benchmarking</w:t>
      </w:r>
      <w:r>
        <w:t>.</w:t>
      </w:r>
    </w:p>
    <w:p w14:paraId="0615C070" w14:textId="131B7200" w:rsidR="007075DF" w:rsidRDefault="007075DF" w:rsidP="007075DF">
      <w:pPr>
        <w:pStyle w:val="Heading2"/>
        <w:numPr>
          <w:ilvl w:val="0"/>
          <w:numId w:val="13"/>
        </w:numPr>
      </w:pPr>
      <w:r>
        <w:t>Guidance on Innovation Precinct Development and Place-Based Innovation</w:t>
      </w:r>
    </w:p>
    <w:p w14:paraId="686CAA55" w14:textId="77777777" w:rsidR="00C806E2" w:rsidRPr="00516C59" w:rsidRDefault="00C806E2" w:rsidP="008860C6">
      <w:pPr>
        <w:pStyle w:val="Bibliography1"/>
      </w:pPr>
      <w:r>
        <w:t xml:space="preserve">Baily, Martin Neil, and Nicholas Montalbano. 2017. </w:t>
      </w:r>
      <w:r w:rsidRPr="00FA6829">
        <w:rPr>
          <w:i/>
        </w:rPr>
        <w:t>Clusters and Innovation Districts: Lessons from the United States Experience.</w:t>
      </w:r>
      <w:r>
        <w:t xml:space="preserve"> The Brookings Institution.</w:t>
      </w:r>
    </w:p>
    <w:p w14:paraId="4F75698C" w14:textId="77777777" w:rsidR="00C806E2" w:rsidRDefault="00C806E2" w:rsidP="008860C6">
      <w:pPr>
        <w:pStyle w:val="Bibliography1"/>
      </w:pPr>
      <w:r>
        <w:t xml:space="preserve">Cluster Navigators. 2016. </w:t>
      </w:r>
      <w:r w:rsidRPr="00FA6829">
        <w:rPr>
          <w:i/>
        </w:rPr>
        <w:t>Cluster Development Handbook.</w:t>
      </w:r>
    </w:p>
    <w:p w14:paraId="0B84325A" w14:textId="26970C9C" w:rsidR="007075DF" w:rsidRDefault="00FD5AA1" w:rsidP="008860C6">
      <w:pPr>
        <w:pStyle w:val="Bibliography1"/>
      </w:pPr>
      <w:r>
        <w:t xml:space="preserve">Cortright, Joseph. </w:t>
      </w:r>
      <w:r w:rsidR="007075DF">
        <w:t xml:space="preserve">2006. </w:t>
      </w:r>
      <w:r w:rsidR="007075DF" w:rsidRPr="00FA6829">
        <w:rPr>
          <w:i/>
        </w:rPr>
        <w:t>Making Sense of Clusters: Regional Competitiveness and Economic Development.</w:t>
      </w:r>
      <w:r>
        <w:t xml:space="preserve"> The Brookings Institution.</w:t>
      </w:r>
    </w:p>
    <w:p w14:paraId="252E4325" w14:textId="0BB7E3DD" w:rsidR="007075DF" w:rsidRDefault="007075DF" w:rsidP="008860C6">
      <w:pPr>
        <w:pStyle w:val="Bibliography1"/>
      </w:pPr>
      <w:r>
        <w:t xml:space="preserve">Deloitte. 2015. </w:t>
      </w:r>
      <w:r w:rsidRPr="00FA6829">
        <w:rPr>
          <w:i/>
        </w:rPr>
        <w:t>Building the Lucky</w:t>
      </w:r>
      <w:r w:rsidR="00465705" w:rsidRPr="00FA6829">
        <w:rPr>
          <w:i/>
        </w:rPr>
        <w:t xml:space="preserve"> Country: The purpose of place r</w:t>
      </w:r>
      <w:r w:rsidRPr="00FA6829">
        <w:rPr>
          <w:i/>
        </w:rPr>
        <w:t>econsidered.</w:t>
      </w:r>
    </w:p>
    <w:p w14:paraId="7AD2B41C" w14:textId="77777777" w:rsidR="007075DF" w:rsidRPr="00221C54" w:rsidRDefault="007075DF" w:rsidP="008860C6">
      <w:pPr>
        <w:pStyle w:val="Bibliography1"/>
      </w:pPr>
      <w:r>
        <w:t>European Commission. 2016.</w:t>
      </w:r>
      <w:r w:rsidRPr="001C2ED4">
        <w:t xml:space="preserve"> </w:t>
      </w:r>
      <w:r w:rsidRPr="00FA6829">
        <w:rPr>
          <w:i/>
        </w:rPr>
        <w:t>Smart Guide to Cluster Policy.</w:t>
      </w:r>
    </w:p>
    <w:p w14:paraId="42DB0CE0" w14:textId="38FD2752" w:rsidR="004C5228" w:rsidRPr="004C5228" w:rsidRDefault="007075DF" w:rsidP="008860C6">
      <w:pPr>
        <w:pStyle w:val="Bibliography1"/>
      </w:pPr>
      <w:r>
        <w:t xml:space="preserve">JPMorgan Chase &amp; Co. 2017. </w:t>
      </w:r>
      <w:r w:rsidR="00465705" w:rsidRPr="00FA6829">
        <w:rPr>
          <w:i/>
        </w:rPr>
        <w:t>Building Strong Clusters</w:t>
      </w:r>
      <w:r w:rsidRPr="00FA6829">
        <w:rPr>
          <w:i/>
        </w:rPr>
        <w:t xml:space="preserve"> for Strong Urban Economies: Insights for City Leaders from Four Case Studies in the US.</w:t>
      </w:r>
    </w:p>
    <w:p w14:paraId="61209424" w14:textId="4B48D5EA" w:rsidR="004C5228" w:rsidRDefault="004C5228" w:rsidP="008860C6">
      <w:pPr>
        <w:pStyle w:val="Bibliography1"/>
      </w:pPr>
      <w:r>
        <w:t xml:space="preserve">Katz, Bruce and Kelly Kline. 2015. </w:t>
      </w:r>
      <w:r w:rsidRPr="00FA6829">
        <w:rPr>
          <w:i/>
        </w:rPr>
        <w:t>An advanced manufacturing innovation district grows in Sheffield, England. The Brookings Institution.</w:t>
      </w:r>
    </w:p>
    <w:p w14:paraId="48087366" w14:textId="77777777" w:rsidR="007075DF" w:rsidRPr="00221C54" w:rsidRDefault="007075DF" w:rsidP="008860C6">
      <w:pPr>
        <w:pStyle w:val="Bibliography1"/>
      </w:pPr>
      <w:r>
        <w:t xml:space="preserve">National Academy of Sciences. </w:t>
      </w:r>
      <w:r w:rsidRPr="00221C54">
        <w:t>National Research Council of the National Academies.</w:t>
      </w:r>
      <w:r>
        <w:t xml:space="preserve"> 2009. </w:t>
      </w:r>
      <w:r w:rsidRPr="00FA6829">
        <w:rPr>
          <w:i/>
        </w:rPr>
        <w:t>Understanding Research, Science and Technology Parks: Global Best Practices: Report of a Symposium.</w:t>
      </w:r>
    </w:p>
    <w:p w14:paraId="38EBC289" w14:textId="77777777" w:rsidR="007075DF" w:rsidRDefault="007075DF" w:rsidP="008860C6">
      <w:pPr>
        <w:pStyle w:val="Bibliography1"/>
      </w:pPr>
      <w:r>
        <w:t xml:space="preserve">VDI / VDE Innovation + Technik GmbH. 2012. </w:t>
      </w:r>
      <w:r w:rsidRPr="00FA6829">
        <w:rPr>
          <w:i/>
        </w:rPr>
        <w:t>Let’s Make A Perfect Cluster Policy and Cluster Programme: Smart Recommendations for Policy Makers.</w:t>
      </w:r>
    </w:p>
    <w:p w14:paraId="707A610B" w14:textId="0FFDBC05" w:rsidR="006478EA" w:rsidRDefault="006478EA" w:rsidP="008860C6">
      <w:pPr>
        <w:pStyle w:val="Bibliography1"/>
      </w:pPr>
      <w:r>
        <w:t xml:space="preserve">Vey, Jennifer S.; Scott Andes; Jason Hachadorian; and Bruce Katz. 2017. </w:t>
      </w:r>
      <w:r w:rsidRPr="00FA6829">
        <w:rPr>
          <w:i/>
        </w:rPr>
        <w:t>Connect to compete: Philadelphia’s University City-Center City innovation district.</w:t>
      </w:r>
      <w:r>
        <w:t xml:space="preserve"> The Brookings Institution.</w:t>
      </w:r>
    </w:p>
    <w:p w14:paraId="4B249F0C" w14:textId="111F0377" w:rsidR="00FD5AA1" w:rsidRDefault="00FD5AA1" w:rsidP="008860C6">
      <w:pPr>
        <w:pStyle w:val="Bibliography1"/>
      </w:pPr>
      <w:r>
        <w:t xml:space="preserve">Wagner, </w:t>
      </w:r>
      <w:r w:rsidR="0011741B">
        <w:t>Julie,</w:t>
      </w:r>
      <w:r>
        <w:t xml:space="preserve"> Andes, Scott, Davies, Steve, Storring, Nate and Jennifer S. Vey. 2017. </w:t>
      </w:r>
      <w:r w:rsidRPr="00FA6829">
        <w:rPr>
          <w:i/>
        </w:rPr>
        <w:t>Twelve Principles Guiding Innovation Districts.</w:t>
      </w:r>
      <w:r>
        <w:t xml:space="preserve"> </w:t>
      </w:r>
      <w:r w:rsidR="004F3014">
        <w:t>The Brookings Institution.</w:t>
      </w:r>
    </w:p>
    <w:p w14:paraId="130629EB" w14:textId="5EA586CA" w:rsidR="004C5228" w:rsidRDefault="004C5228" w:rsidP="008860C6">
      <w:pPr>
        <w:pStyle w:val="Bibliography1"/>
      </w:pPr>
      <w:r>
        <w:t xml:space="preserve">Wagner, </w:t>
      </w:r>
      <w:r w:rsidRPr="004C5228">
        <w:t xml:space="preserve">Julie </w:t>
      </w:r>
      <w:r>
        <w:t xml:space="preserve">and Nathan Storring. 2016. </w:t>
      </w:r>
      <w:r w:rsidRPr="00FA6829">
        <w:rPr>
          <w:i/>
        </w:rPr>
        <w:t>So you think you have an innovation district?</w:t>
      </w:r>
      <w:r w:rsidRPr="004C5228">
        <w:t xml:space="preserve"> </w:t>
      </w:r>
      <w:r>
        <w:t>The Brookings Institution.</w:t>
      </w:r>
    </w:p>
    <w:p w14:paraId="1CADD0E6" w14:textId="18CEF878" w:rsidR="007A6830" w:rsidRDefault="00390B43" w:rsidP="008860C6">
      <w:pPr>
        <w:pStyle w:val="Bibliography1"/>
      </w:pPr>
      <w:r w:rsidRPr="00390B43">
        <w:t>Wagner</w:t>
      </w:r>
      <w:r>
        <w:t>,</w:t>
      </w:r>
      <w:r w:rsidRPr="00390B43">
        <w:t xml:space="preserve"> Julie</w:t>
      </w:r>
      <w:r>
        <w:t xml:space="preserve">; Jennifer S. Vey; Steve Davies; and Nathan Storring. 2017. </w:t>
      </w:r>
      <w:r w:rsidRPr="00FA6829">
        <w:rPr>
          <w:i/>
        </w:rPr>
        <w:t>Advancing a new wave of urban competitiveness: The role of mayors in the rise of innovation districts.</w:t>
      </w:r>
      <w:r>
        <w:t xml:space="preserve"> The Brookings Institution.</w:t>
      </w:r>
    </w:p>
    <w:p w14:paraId="40D54296" w14:textId="7EAF4781" w:rsidR="00390B43" w:rsidRDefault="007A6830" w:rsidP="008860C6">
      <w:pPr>
        <w:pStyle w:val="Bibliography1"/>
      </w:pPr>
      <w:r>
        <w:t xml:space="preserve">Wagner, Julie and Dan Watch, 2017. </w:t>
      </w:r>
      <w:r w:rsidRPr="00FA6829">
        <w:rPr>
          <w:i/>
        </w:rPr>
        <w:t>Innovation spaces: The new design of work.</w:t>
      </w:r>
      <w:r>
        <w:t xml:space="preserve"> The Brookings Institution.</w:t>
      </w:r>
    </w:p>
    <w:p w14:paraId="091A36FE" w14:textId="29BBB7E2" w:rsidR="00864F59" w:rsidRDefault="00864F59" w:rsidP="007075DF">
      <w:pPr>
        <w:pStyle w:val="Heading2"/>
        <w:numPr>
          <w:ilvl w:val="0"/>
          <w:numId w:val="13"/>
        </w:numPr>
      </w:pPr>
      <w:r>
        <w:lastRenderedPageBreak/>
        <w:t xml:space="preserve">International Examples of </w:t>
      </w:r>
      <w:r w:rsidR="007075DF">
        <w:t xml:space="preserve">Innovation </w:t>
      </w:r>
      <w:r>
        <w:t>Precinct Policy and Programs</w:t>
      </w:r>
    </w:p>
    <w:p w14:paraId="36EF9808" w14:textId="77777777" w:rsidR="00766EA2" w:rsidRPr="00221C54" w:rsidRDefault="00766EA2" w:rsidP="008860C6">
      <w:pPr>
        <w:pStyle w:val="Bibliography1"/>
      </w:pPr>
      <w:r>
        <w:t xml:space="preserve">European Secretariat for Cluster Analysis. 2013. </w:t>
      </w:r>
      <w:r w:rsidRPr="008860C6">
        <w:rPr>
          <w:rStyle w:val="Emphasis"/>
        </w:rPr>
        <w:t>European Cluster Excellence Initiative (ECEI): The Quality Label for Cluster Organisations (Cluster Management Excellence Label GOLD – Proven for Cluster Excellence): Criteria, Processes, Framework of Implementation</w:t>
      </w:r>
      <w:r>
        <w:t>.</w:t>
      </w:r>
    </w:p>
    <w:p w14:paraId="20A84340" w14:textId="77777777" w:rsidR="00766EA2" w:rsidRPr="00677DED" w:rsidRDefault="00766EA2" w:rsidP="008860C6">
      <w:pPr>
        <w:pStyle w:val="Bibliography1"/>
      </w:pPr>
      <w:r>
        <w:t xml:space="preserve">Federal Ministry of Education and Research. 2015. </w:t>
      </w:r>
      <w:r w:rsidRPr="008860C6">
        <w:rPr>
          <w:rStyle w:val="Emphasis"/>
        </w:rPr>
        <w:t>Accompanying Evaluation of the Funding Instrument “Spitzencluster-Wettberwerb” (Leading Edge Cluster Competition) of the Federal Ministry of Education and Research</w:t>
      </w:r>
      <w:r>
        <w:t>.</w:t>
      </w:r>
    </w:p>
    <w:p w14:paraId="7228A7A4" w14:textId="77777777" w:rsidR="00766EA2" w:rsidRDefault="00766EA2" w:rsidP="008860C6">
      <w:pPr>
        <w:pStyle w:val="Bibliography1"/>
      </w:pPr>
      <w:r>
        <w:t xml:space="preserve">Federal Ministry of Education and Research. 2015. </w:t>
      </w:r>
      <w:r w:rsidRPr="008860C6">
        <w:rPr>
          <w:rStyle w:val="Emphasis"/>
        </w:rPr>
        <w:t>Deutschland’s Spitzencluster: Germany’s Leading-Edge Clusters</w:t>
      </w:r>
      <w:r>
        <w:t>.</w:t>
      </w:r>
    </w:p>
    <w:p w14:paraId="1CB44407" w14:textId="7AF17580" w:rsidR="00766EA2" w:rsidRPr="00687D67" w:rsidRDefault="00766EA2" w:rsidP="008860C6">
      <w:pPr>
        <w:pStyle w:val="Bibliography1"/>
      </w:pPr>
      <w:r w:rsidRPr="00687D67">
        <w:t xml:space="preserve">Innovation Norway. 2015. </w:t>
      </w:r>
      <w:r w:rsidRPr="008860C6">
        <w:rPr>
          <w:rStyle w:val="Emphasis"/>
        </w:rPr>
        <w:t>Norwegian</w:t>
      </w:r>
      <w:r w:rsidR="00D12C8B" w:rsidRPr="008860C6">
        <w:rPr>
          <w:rStyle w:val="Emphasis"/>
        </w:rPr>
        <w:t xml:space="preserve"> Clusters 2015: for the future</w:t>
      </w:r>
      <w:r w:rsidRPr="008860C6">
        <w:rPr>
          <w:rStyle w:val="Emphasis"/>
        </w:rPr>
        <w:t xml:space="preserve"> innovative industries</w:t>
      </w:r>
      <w:r w:rsidRPr="00687D67">
        <w:t>.</w:t>
      </w:r>
    </w:p>
    <w:p w14:paraId="4AA2875A" w14:textId="77777777" w:rsidR="00766EA2" w:rsidRPr="00516C59" w:rsidRDefault="00766EA2" w:rsidP="008860C6">
      <w:pPr>
        <w:pStyle w:val="Bibliography1"/>
      </w:pPr>
      <w:r>
        <w:t xml:space="preserve">Public and Corporate Economic Consultants. 2012. </w:t>
      </w:r>
      <w:r w:rsidRPr="008860C6">
        <w:rPr>
          <w:rStyle w:val="Emphasis"/>
        </w:rPr>
        <w:t>Strengthening the Contribution of English Higher Education Institutions to the Innovation System: Knowledge Exchange and HEIF Funding</w:t>
      </w:r>
      <w:r>
        <w:t>. (Higher Education Innovation Funding).</w:t>
      </w:r>
    </w:p>
    <w:p w14:paraId="582F541F" w14:textId="77777777" w:rsidR="00766EA2" w:rsidRDefault="00766EA2" w:rsidP="008860C6">
      <w:pPr>
        <w:pStyle w:val="Bibliography1"/>
      </w:pPr>
      <w:r>
        <w:t xml:space="preserve">US Small Business Administration. 2013. </w:t>
      </w:r>
      <w:r w:rsidRPr="008860C6">
        <w:rPr>
          <w:rStyle w:val="Emphasis"/>
        </w:rPr>
        <w:t>The Evaluation of the US Small Business Administration’s Regional Clusters Initiative – Year Two Report</w:t>
      </w:r>
      <w:r>
        <w:t>.</w:t>
      </w:r>
    </w:p>
    <w:sectPr w:rsidR="00766EA2" w:rsidSect="005D5156">
      <w:headerReference w:type="default" r:id="rId12"/>
      <w:footerReference w:type="default" r:id="rId13"/>
      <w:type w:val="continuous"/>
      <w:pgSz w:w="11906" w:h="16838"/>
      <w:pgMar w:top="1440" w:right="1440" w:bottom="1440" w:left="1440" w:header="708" w:footer="87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C58AE7D" w14:textId="77777777" w:rsidR="00676C4C" w:rsidRDefault="00676C4C" w:rsidP="009541FE">
      <w:pPr>
        <w:spacing w:after="0" w:line="240" w:lineRule="auto"/>
      </w:pPr>
      <w:r>
        <w:separator/>
      </w:r>
    </w:p>
  </w:endnote>
  <w:endnote w:type="continuationSeparator" w:id="0">
    <w:p w14:paraId="74E903B5" w14:textId="77777777" w:rsidR="00676C4C" w:rsidRDefault="00676C4C" w:rsidP="009541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PGothic">
    <w:altName w:val="ＭＳ Ｐゴシック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28951376"/>
      <w:docPartObj>
        <w:docPartGallery w:val="Page Numbers (Bottom of Page)"/>
        <w:docPartUnique/>
      </w:docPartObj>
    </w:sdtPr>
    <w:sdtEndPr/>
    <w:sdtContent>
      <w:p w14:paraId="326AA368" w14:textId="23029705" w:rsidR="005D5156" w:rsidRDefault="005D5156" w:rsidP="00D96A7E">
        <w:pPr>
          <w:pStyle w:val="Footer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34A38">
          <w:rPr>
            <w:noProof/>
          </w:rPr>
          <w:t>2</w:t>
        </w:r>
        <w:r>
          <w:rPr>
            <w:noProof/>
          </w:rPr>
          <w:fldChar w:fldCharType="end"/>
        </w:r>
      </w:p>
      <w:p w14:paraId="422F94DF" w14:textId="35684DEB" w:rsidR="005D5156" w:rsidRDefault="005D5156" w:rsidP="00D96A7E">
        <w:pPr>
          <w:pStyle w:val="Footer"/>
          <w:rPr>
            <w:noProof/>
          </w:rPr>
        </w:pPr>
        <w:r>
          <w:rPr>
            <w:noProof/>
            <w:lang w:eastAsia="ja-JP"/>
          </w:rPr>
          <w:drawing>
            <wp:anchor distT="0" distB="0" distL="114300" distR="114300" simplePos="0" relativeHeight="251662336" behindDoc="0" locked="0" layoutInCell="1" allowOverlap="1" wp14:anchorId="2E22CAAC" wp14:editId="36EF8392">
              <wp:simplePos x="0" y="0"/>
              <wp:positionH relativeFrom="column">
                <wp:posOffset>-731520</wp:posOffset>
              </wp:positionH>
              <wp:positionV relativeFrom="paragraph">
                <wp:posOffset>158032</wp:posOffset>
              </wp:positionV>
              <wp:extent cx="7195185" cy="341630"/>
              <wp:effectExtent l="0" t="0" r="5715" b="1270"/>
              <wp:wrapTopAndBottom/>
              <wp:docPr id="4" name="Picture 4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0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7195185" cy="341630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DEEC2E6" w14:textId="77777777" w:rsidR="00676C4C" w:rsidRDefault="00676C4C" w:rsidP="009541FE">
      <w:pPr>
        <w:spacing w:after="0" w:line="240" w:lineRule="auto"/>
      </w:pPr>
      <w:r>
        <w:separator/>
      </w:r>
    </w:p>
  </w:footnote>
  <w:footnote w:type="continuationSeparator" w:id="0">
    <w:p w14:paraId="498BFF1E" w14:textId="77777777" w:rsidR="00676C4C" w:rsidRDefault="00676C4C" w:rsidP="009541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28D746" w14:textId="3B55A812" w:rsidR="00D96A7E" w:rsidRDefault="00D96A7E">
    <w:pPr>
      <w:pStyle w:val="Header"/>
    </w:pPr>
    <w:r>
      <w:rPr>
        <w:noProof/>
        <w:lang w:eastAsia="ja-JP"/>
      </w:rPr>
      <w:drawing>
        <wp:anchor distT="0" distB="0" distL="114300" distR="114300" simplePos="0" relativeHeight="251660288" behindDoc="1" locked="0" layoutInCell="1" allowOverlap="1" wp14:anchorId="67442003" wp14:editId="3D00CC4B">
          <wp:simplePos x="0" y="0"/>
          <wp:positionH relativeFrom="column">
            <wp:posOffset>-723265</wp:posOffset>
          </wp:positionH>
          <wp:positionV relativeFrom="paragraph">
            <wp:posOffset>-255574</wp:posOffset>
          </wp:positionV>
          <wp:extent cx="7160400" cy="10130400"/>
          <wp:effectExtent l="0" t="0" r="2540" b="444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17-COM6669 Australian Innovation Precincts_cover2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60400" cy="10130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D50F067" w14:textId="069F3E07" w:rsidR="00D96A7E" w:rsidRDefault="00D96A7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B55E5A0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83"/>
    <w:multiLevelType w:val="singleLevel"/>
    <w:tmpl w:val="C0F05DB2"/>
    <w:lvl w:ilvl="0">
      <w:start w:val="1"/>
      <w:numFmt w:val="bullet"/>
      <w:pStyle w:val="ListBullet2"/>
      <w:lvlText w:val=""/>
      <w:lvlJc w:val="left"/>
      <w:pPr>
        <w:ind w:left="644" w:hanging="360"/>
      </w:pPr>
      <w:rPr>
        <w:rFonts w:ascii="Symbol" w:hAnsi="Symbol" w:hint="default"/>
        <w:b/>
        <w:i w:val="0"/>
        <w:color w:val="005677" w:themeColor="accent1"/>
      </w:rPr>
    </w:lvl>
  </w:abstractNum>
  <w:abstractNum w:abstractNumId="2" w15:restartNumberingAfterBreak="0">
    <w:nsid w:val="FFFFFF89"/>
    <w:multiLevelType w:val="singleLevel"/>
    <w:tmpl w:val="131A1AA8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05677" w:themeColor="accent1"/>
      </w:rPr>
    </w:lvl>
  </w:abstractNum>
  <w:abstractNum w:abstractNumId="3" w15:restartNumberingAfterBreak="0">
    <w:nsid w:val="04F5497D"/>
    <w:multiLevelType w:val="hybridMultilevel"/>
    <w:tmpl w:val="233AC69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2947463"/>
    <w:multiLevelType w:val="hybridMultilevel"/>
    <w:tmpl w:val="7AE0638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A880FB5"/>
    <w:multiLevelType w:val="hybridMultilevel"/>
    <w:tmpl w:val="60F294B2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8A62A93"/>
    <w:multiLevelType w:val="hybridMultilevel"/>
    <w:tmpl w:val="A8B266C8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78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2C121FF"/>
    <w:multiLevelType w:val="hybridMultilevel"/>
    <w:tmpl w:val="C1D4859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48566E2"/>
    <w:multiLevelType w:val="hybridMultilevel"/>
    <w:tmpl w:val="6FA8DAA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98C3D64"/>
    <w:multiLevelType w:val="hybridMultilevel"/>
    <w:tmpl w:val="C51E999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C0A6535"/>
    <w:multiLevelType w:val="hybridMultilevel"/>
    <w:tmpl w:val="D52229F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8741170"/>
    <w:multiLevelType w:val="hybridMultilevel"/>
    <w:tmpl w:val="500EC07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5537E4F"/>
    <w:multiLevelType w:val="hybridMultilevel"/>
    <w:tmpl w:val="63DEAC88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78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4721BDA"/>
    <w:multiLevelType w:val="hybridMultilevel"/>
    <w:tmpl w:val="633EB2D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B5718C1"/>
    <w:multiLevelType w:val="hybridMultilevel"/>
    <w:tmpl w:val="CDEA0E9C"/>
    <w:lvl w:ilvl="0" w:tplc="1B6C71B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D64414D"/>
    <w:multiLevelType w:val="hybridMultilevel"/>
    <w:tmpl w:val="F194628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4"/>
    <w:lvlOverride w:ilvl="0">
      <w:startOverride w:val="1"/>
    </w:lvlOverride>
  </w:num>
  <w:num w:numId="2">
    <w:abstractNumId w:val="6"/>
  </w:num>
  <w:num w:numId="3">
    <w:abstractNumId w:val="10"/>
  </w:num>
  <w:num w:numId="4">
    <w:abstractNumId w:val="13"/>
  </w:num>
  <w:num w:numId="5">
    <w:abstractNumId w:val="4"/>
  </w:num>
  <w:num w:numId="6">
    <w:abstractNumId w:val="8"/>
  </w:num>
  <w:num w:numId="7">
    <w:abstractNumId w:val="3"/>
  </w:num>
  <w:num w:numId="8">
    <w:abstractNumId w:val="11"/>
  </w:num>
  <w:num w:numId="9">
    <w:abstractNumId w:val="15"/>
  </w:num>
  <w:num w:numId="10">
    <w:abstractNumId w:val="12"/>
  </w:num>
  <w:num w:numId="11">
    <w:abstractNumId w:val="9"/>
  </w:num>
  <w:num w:numId="12">
    <w:abstractNumId w:val="7"/>
  </w:num>
  <w:num w:numId="13">
    <w:abstractNumId w:val="5"/>
  </w:num>
  <w:num w:numId="14">
    <w:abstractNumId w:val="0"/>
  </w:num>
  <w:num w:numId="15">
    <w:abstractNumId w:val="2"/>
  </w:num>
  <w:num w:numId="16">
    <w:abstractNumId w:val="2"/>
  </w:num>
  <w:num w:numId="17">
    <w:abstractNumId w:val="1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566B"/>
    <w:rsid w:val="00010528"/>
    <w:rsid w:val="0009080B"/>
    <w:rsid w:val="000B56F7"/>
    <w:rsid w:val="000D7674"/>
    <w:rsid w:val="0011741B"/>
    <w:rsid w:val="00137713"/>
    <w:rsid w:val="00152BFF"/>
    <w:rsid w:val="001609FC"/>
    <w:rsid w:val="00167CB6"/>
    <w:rsid w:val="001C2ED4"/>
    <w:rsid w:val="001E5A2B"/>
    <w:rsid w:val="001F2244"/>
    <w:rsid w:val="00221C54"/>
    <w:rsid w:val="00304F25"/>
    <w:rsid w:val="00323CEA"/>
    <w:rsid w:val="00343865"/>
    <w:rsid w:val="00357006"/>
    <w:rsid w:val="00381706"/>
    <w:rsid w:val="00390B43"/>
    <w:rsid w:val="003A0612"/>
    <w:rsid w:val="003A41D0"/>
    <w:rsid w:val="003B2135"/>
    <w:rsid w:val="003E3904"/>
    <w:rsid w:val="0040060B"/>
    <w:rsid w:val="00411A24"/>
    <w:rsid w:val="00465705"/>
    <w:rsid w:val="004A7D7E"/>
    <w:rsid w:val="004C1473"/>
    <w:rsid w:val="004C2047"/>
    <w:rsid w:val="004C5228"/>
    <w:rsid w:val="004F3014"/>
    <w:rsid w:val="00516C59"/>
    <w:rsid w:val="00540E3F"/>
    <w:rsid w:val="005D0941"/>
    <w:rsid w:val="005D312B"/>
    <w:rsid w:val="005D5156"/>
    <w:rsid w:val="0062707E"/>
    <w:rsid w:val="006478EA"/>
    <w:rsid w:val="006524D1"/>
    <w:rsid w:val="00656DF8"/>
    <w:rsid w:val="00676C4C"/>
    <w:rsid w:val="00677DED"/>
    <w:rsid w:val="0068104B"/>
    <w:rsid w:val="00687D67"/>
    <w:rsid w:val="006D0674"/>
    <w:rsid w:val="006E085A"/>
    <w:rsid w:val="006E3252"/>
    <w:rsid w:val="006F1C93"/>
    <w:rsid w:val="007075DF"/>
    <w:rsid w:val="0073583B"/>
    <w:rsid w:val="007657B9"/>
    <w:rsid w:val="00766EA2"/>
    <w:rsid w:val="007A6830"/>
    <w:rsid w:val="007F7610"/>
    <w:rsid w:val="00814C56"/>
    <w:rsid w:val="008258B1"/>
    <w:rsid w:val="00864F59"/>
    <w:rsid w:val="008860C6"/>
    <w:rsid w:val="008A149D"/>
    <w:rsid w:val="008A409F"/>
    <w:rsid w:val="008A4803"/>
    <w:rsid w:val="008A5A49"/>
    <w:rsid w:val="00927BD0"/>
    <w:rsid w:val="00951D0E"/>
    <w:rsid w:val="009541FE"/>
    <w:rsid w:val="00956A13"/>
    <w:rsid w:val="00977095"/>
    <w:rsid w:val="00A32AF5"/>
    <w:rsid w:val="00A729D0"/>
    <w:rsid w:val="00A848CA"/>
    <w:rsid w:val="00A84D21"/>
    <w:rsid w:val="00AD5B2F"/>
    <w:rsid w:val="00B73CBF"/>
    <w:rsid w:val="00B74F45"/>
    <w:rsid w:val="00C2119A"/>
    <w:rsid w:val="00C52CC2"/>
    <w:rsid w:val="00C806E2"/>
    <w:rsid w:val="00C85D12"/>
    <w:rsid w:val="00D12C8B"/>
    <w:rsid w:val="00D34A38"/>
    <w:rsid w:val="00D73B6E"/>
    <w:rsid w:val="00D96A7E"/>
    <w:rsid w:val="00DD5266"/>
    <w:rsid w:val="00E06E55"/>
    <w:rsid w:val="00E16191"/>
    <w:rsid w:val="00E43713"/>
    <w:rsid w:val="00E57D55"/>
    <w:rsid w:val="00E75535"/>
    <w:rsid w:val="00F1566B"/>
    <w:rsid w:val="00F24FEE"/>
    <w:rsid w:val="00F50E6D"/>
    <w:rsid w:val="00F711BF"/>
    <w:rsid w:val="00FA6829"/>
    <w:rsid w:val="00FB5359"/>
    <w:rsid w:val="00FD5AA1"/>
    <w:rsid w:val="00FE5A25"/>
    <w:rsid w:val="00FF0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4:docId w14:val="1BF65086"/>
  <w15:chartTrackingRefBased/>
  <w15:docId w15:val="{90272317-B524-45DC-9AEE-DC6443976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0528"/>
    <w:pPr>
      <w:spacing w:after="120" w:line="276" w:lineRule="auto"/>
    </w:pPr>
    <w:rPr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0D76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Cs/>
      <w:color w:val="004059" w:themeColor="accent1" w:themeShade="BF"/>
      <w:sz w:val="56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D767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Cs/>
      <w:color w:val="005677" w:themeColor="accent1"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1052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005677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1052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005677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01052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002A3B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7674"/>
    <w:rPr>
      <w:rFonts w:asciiTheme="majorHAnsi" w:eastAsiaTheme="majorEastAsia" w:hAnsiTheme="majorHAnsi" w:cstheme="majorBidi"/>
      <w:bCs/>
      <w:color w:val="004059" w:themeColor="accent1" w:themeShade="BF"/>
      <w:sz w:val="5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0D7674"/>
    <w:rPr>
      <w:rFonts w:asciiTheme="majorHAnsi" w:eastAsiaTheme="majorEastAsia" w:hAnsiTheme="majorHAnsi" w:cstheme="majorBidi"/>
      <w:bCs/>
      <w:color w:val="005677" w:themeColor="accent1"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010528"/>
    <w:rPr>
      <w:rFonts w:asciiTheme="majorHAnsi" w:eastAsiaTheme="majorEastAsia" w:hAnsiTheme="majorHAnsi" w:cstheme="majorBidi"/>
      <w:b/>
      <w:bCs/>
      <w:color w:val="005677" w:themeColor="accent1"/>
      <w:sz w:val="20"/>
    </w:rPr>
  </w:style>
  <w:style w:type="paragraph" w:styleId="ListParagraph">
    <w:name w:val="List Paragraph"/>
    <w:aliases w:val="List Paragraph1,Recommendation,List Paragraph11,L,bullet point list,1 heading,Bullet point,Dot point 1.5 line spacing,List Paragraph - bullets,NFP GP Bulleted List,CV text,FooterText,List Paragraph2,Paragraphe de liste1,numbered,列出段落"/>
    <w:basedOn w:val="Normal"/>
    <w:link w:val="ListParagraphChar"/>
    <w:uiPriority w:val="34"/>
    <w:qFormat/>
    <w:rsid w:val="00F1566B"/>
    <w:pPr>
      <w:ind w:left="720"/>
      <w:contextualSpacing/>
    </w:pPr>
  </w:style>
  <w:style w:type="character" w:customStyle="1" w:styleId="ListParagraphChar">
    <w:name w:val="List Paragraph Char"/>
    <w:aliases w:val="List Paragraph1 Char,Recommendation Char,List Paragraph11 Char,L Char,bullet point list Char,1 heading Char,Bullet point Char,Dot point 1.5 line spacing Char,List Paragraph - bullets Char,NFP GP Bulleted List Char,CV text Char"/>
    <w:basedOn w:val="DefaultParagraphFont"/>
    <w:link w:val="ListParagraph"/>
    <w:uiPriority w:val="34"/>
    <w:qFormat/>
    <w:locked/>
    <w:rsid w:val="00F1566B"/>
  </w:style>
  <w:style w:type="character" w:styleId="CommentReference">
    <w:name w:val="annotation reference"/>
    <w:basedOn w:val="DefaultParagraphFont"/>
    <w:uiPriority w:val="99"/>
    <w:semiHidden/>
    <w:unhideWhenUsed/>
    <w:rsid w:val="00F1566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1566B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1566B"/>
    <w:rPr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010528"/>
    <w:rPr>
      <w:color w:val="005677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105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052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10528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0528"/>
    <w:rPr>
      <w:sz w:val="20"/>
    </w:rPr>
  </w:style>
  <w:style w:type="paragraph" w:styleId="Footer">
    <w:name w:val="footer"/>
    <w:basedOn w:val="Normal"/>
    <w:link w:val="FooterChar"/>
    <w:uiPriority w:val="99"/>
    <w:unhideWhenUsed/>
    <w:rsid w:val="00010528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0528"/>
    <w:rPr>
      <w:sz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52CC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52CC2"/>
    <w:rPr>
      <w:b/>
      <w:bCs/>
      <w:sz w:val="20"/>
      <w:szCs w:val="20"/>
    </w:rPr>
  </w:style>
  <w:style w:type="character" w:styleId="Strong">
    <w:name w:val="Strong"/>
    <w:basedOn w:val="DefaultParagraphFont"/>
    <w:uiPriority w:val="22"/>
    <w:qFormat/>
    <w:rsid w:val="00010528"/>
    <w:rPr>
      <w:b/>
      <w:bCs/>
    </w:rPr>
  </w:style>
  <w:style w:type="paragraph" w:styleId="Caption">
    <w:name w:val="caption"/>
    <w:basedOn w:val="Normal"/>
    <w:next w:val="Normal"/>
    <w:uiPriority w:val="35"/>
    <w:unhideWhenUsed/>
    <w:qFormat/>
    <w:rsid w:val="00010528"/>
    <w:pPr>
      <w:spacing w:after="360" w:line="240" w:lineRule="auto"/>
    </w:pPr>
    <w:rPr>
      <w:bCs/>
      <w:color w:val="005677" w:themeColor="accent1"/>
      <w:sz w:val="18"/>
      <w:szCs w:val="18"/>
    </w:rPr>
  </w:style>
  <w:style w:type="paragraph" w:customStyle="1" w:styleId="Casestudy">
    <w:name w:val="Case study"/>
    <w:basedOn w:val="Normal"/>
    <w:qFormat/>
    <w:rsid w:val="00010528"/>
    <w:pPr>
      <w:pBdr>
        <w:top w:val="single" w:sz="4" w:space="4" w:color="00283E" w:themeColor="accent2"/>
        <w:left w:val="single" w:sz="4" w:space="4" w:color="00283E" w:themeColor="accent2"/>
        <w:bottom w:val="single" w:sz="4" w:space="4" w:color="00283E" w:themeColor="accent2"/>
        <w:right w:val="single" w:sz="4" w:space="4" w:color="00283E" w:themeColor="accent2"/>
      </w:pBdr>
      <w:shd w:val="clear" w:color="auto" w:fill="D1EEFF" w:themeFill="accent2" w:themeFillTint="1A"/>
      <w:ind w:left="113" w:right="113"/>
    </w:pPr>
  </w:style>
  <w:style w:type="paragraph" w:customStyle="1" w:styleId="Casestudysource">
    <w:name w:val="Case study source"/>
    <w:basedOn w:val="Casestudy"/>
    <w:qFormat/>
    <w:rsid w:val="00010528"/>
    <w:pPr>
      <w:spacing w:before="240" w:after="480"/>
    </w:pPr>
    <w:rPr>
      <w:color w:val="00283E" w:themeColor="accent2"/>
      <w:sz w:val="16"/>
    </w:rPr>
  </w:style>
  <w:style w:type="paragraph" w:customStyle="1" w:styleId="Casestudytitle">
    <w:name w:val="Case study title"/>
    <w:basedOn w:val="Casestudy"/>
    <w:qFormat/>
    <w:rsid w:val="00010528"/>
    <w:pPr>
      <w:spacing w:before="360"/>
    </w:pPr>
    <w:rPr>
      <w:color w:val="00283E" w:themeColor="accent2"/>
      <w:sz w:val="28"/>
    </w:rPr>
  </w:style>
  <w:style w:type="paragraph" w:customStyle="1" w:styleId="Credit">
    <w:name w:val="Credit"/>
    <w:basedOn w:val="Caption"/>
    <w:qFormat/>
    <w:rsid w:val="00010528"/>
    <w:rPr>
      <w:color w:val="58595B" w:themeColor="text2"/>
    </w:rPr>
  </w:style>
  <w:style w:type="character" w:styleId="Emphasis">
    <w:name w:val="Emphasis"/>
    <w:basedOn w:val="DefaultParagraphFont"/>
    <w:uiPriority w:val="20"/>
    <w:qFormat/>
    <w:rsid w:val="00010528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010528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010528"/>
    <w:pPr>
      <w:spacing w:after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010528"/>
    <w:rPr>
      <w:sz w:val="20"/>
      <w:szCs w:val="20"/>
    </w:rPr>
  </w:style>
  <w:style w:type="character" w:customStyle="1" w:styleId="Tabletitle">
    <w:name w:val="Table title"/>
    <w:basedOn w:val="DefaultParagraphFont"/>
    <w:uiPriority w:val="1"/>
    <w:qFormat/>
    <w:rsid w:val="00010528"/>
    <w:rPr>
      <w:b/>
      <w:color w:val="005677" w:themeColor="accent1"/>
    </w:rPr>
  </w:style>
  <w:style w:type="character" w:customStyle="1" w:styleId="Figuretitle">
    <w:name w:val="Figure title"/>
    <w:basedOn w:val="Tabletitle"/>
    <w:uiPriority w:val="1"/>
    <w:qFormat/>
    <w:rsid w:val="00010528"/>
    <w:rPr>
      <w:b/>
      <w:color w:val="005677" w:themeColor="accent1"/>
    </w:rPr>
  </w:style>
  <w:style w:type="character" w:styleId="FootnoteReference">
    <w:name w:val="footnote reference"/>
    <w:basedOn w:val="DefaultParagraphFont"/>
    <w:uiPriority w:val="99"/>
    <w:semiHidden/>
    <w:unhideWhenUsed/>
    <w:rsid w:val="00010528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unhideWhenUsed/>
    <w:rsid w:val="00010528"/>
    <w:pPr>
      <w:spacing w:after="60" w:line="240" w:lineRule="auto"/>
    </w:pPr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010528"/>
    <w:rPr>
      <w:sz w:val="16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010528"/>
    <w:rPr>
      <w:rFonts w:asciiTheme="majorHAnsi" w:eastAsiaTheme="majorEastAsia" w:hAnsiTheme="majorHAnsi" w:cstheme="majorBidi"/>
      <w:b/>
      <w:bCs/>
      <w:i/>
      <w:iCs/>
      <w:color w:val="005677" w:themeColor="accent1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rsid w:val="00010528"/>
    <w:rPr>
      <w:rFonts w:asciiTheme="majorHAnsi" w:eastAsiaTheme="majorEastAsia" w:hAnsiTheme="majorHAnsi" w:cstheme="majorBidi"/>
      <w:color w:val="002A3B" w:themeColor="accent1" w:themeShade="7F"/>
      <w:sz w:val="20"/>
    </w:rPr>
  </w:style>
  <w:style w:type="character" w:styleId="IntenseEmphasis">
    <w:name w:val="Intense Emphasis"/>
    <w:basedOn w:val="DefaultParagraphFont"/>
    <w:uiPriority w:val="21"/>
    <w:qFormat/>
    <w:rsid w:val="00010528"/>
    <w:rPr>
      <w:b/>
      <w:bCs/>
      <w:i/>
      <w:iCs/>
      <w:color w:val="005677" w:themeColor="accent1"/>
    </w:rPr>
  </w:style>
  <w:style w:type="table" w:styleId="LightList-Accent1">
    <w:name w:val="Light List Accent 1"/>
    <w:basedOn w:val="TableNormal"/>
    <w:uiPriority w:val="61"/>
    <w:rsid w:val="00010528"/>
    <w:pPr>
      <w:spacing w:after="0" w:line="240" w:lineRule="auto"/>
    </w:pPr>
    <w:tblPr>
      <w:tblStyleRowBandSize w:val="1"/>
      <w:tblStyleColBandSize w:val="1"/>
      <w:tblBorders>
        <w:top w:val="single" w:sz="8" w:space="0" w:color="005677" w:themeColor="accent1"/>
        <w:left w:val="single" w:sz="8" w:space="0" w:color="005677" w:themeColor="accent1"/>
        <w:bottom w:val="single" w:sz="8" w:space="0" w:color="005677" w:themeColor="accent1"/>
        <w:right w:val="single" w:sz="8" w:space="0" w:color="005677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5677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5677" w:themeColor="accent1"/>
          <w:left w:val="single" w:sz="8" w:space="0" w:color="005677" w:themeColor="accent1"/>
          <w:bottom w:val="single" w:sz="8" w:space="0" w:color="005677" w:themeColor="accent1"/>
          <w:right w:val="single" w:sz="8" w:space="0" w:color="005677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5677" w:themeColor="accent1"/>
          <w:left w:val="single" w:sz="8" w:space="0" w:color="005677" w:themeColor="accent1"/>
          <w:bottom w:val="single" w:sz="8" w:space="0" w:color="005677" w:themeColor="accent1"/>
          <w:right w:val="single" w:sz="8" w:space="0" w:color="005677" w:themeColor="accent1"/>
        </w:tcBorders>
      </w:tcPr>
    </w:tblStylePr>
    <w:tblStylePr w:type="band1Horz">
      <w:tblPr/>
      <w:tcPr>
        <w:tcBorders>
          <w:top w:val="single" w:sz="8" w:space="0" w:color="005677" w:themeColor="accent1"/>
          <w:left w:val="single" w:sz="8" w:space="0" w:color="005677" w:themeColor="accent1"/>
          <w:bottom w:val="single" w:sz="8" w:space="0" w:color="005677" w:themeColor="accent1"/>
          <w:right w:val="single" w:sz="8" w:space="0" w:color="005677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010528"/>
    <w:pPr>
      <w:spacing w:after="0" w:line="240" w:lineRule="auto"/>
    </w:pPr>
    <w:tblPr>
      <w:tblStyleRowBandSize w:val="1"/>
      <w:tblStyleColBandSize w:val="1"/>
      <w:tblBorders>
        <w:top w:val="single" w:sz="8" w:space="0" w:color="00283E" w:themeColor="accent2"/>
        <w:left w:val="single" w:sz="8" w:space="0" w:color="00283E" w:themeColor="accent2"/>
        <w:bottom w:val="single" w:sz="8" w:space="0" w:color="00283E" w:themeColor="accent2"/>
        <w:right w:val="single" w:sz="8" w:space="0" w:color="00283E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283E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283E" w:themeColor="accent2"/>
          <w:left w:val="single" w:sz="8" w:space="0" w:color="00283E" w:themeColor="accent2"/>
          <w:bottom w:val="single" w:sz="8" w:space="0" w:color="00283E" w:themeColor="accent2"/>
          <w:right w:val="single" w:sz="8" w:space="0" w:color="00283E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283E" w:themeColor="accent2"/>
          <w:left w:val="single" w:sz="8" w:space="0" w:color="00283E" w:themeColor="accent2"/>
          <w:bottom w:val="single" w:sz="8" w:space="0" w:color="00283E" w:themeColor="accent2"/>
          <w:right w:val="single" w:sz="8" w:space="0" w:color="00283E" w:themeColor="accent2"/>
        </w:tcBorders>
      </w:tcPr>
    </w:tblStylePr>
    <w:tblStylePr w:type="band1Horz">
      <w:tblPr/>
      <w:tcPr>
        <w:tcBorders>
          <w:top w:val="single" w:sz="8" w:space="0" w:color="00283E" w:themeColor="accent2"/>
          <w:left w:val="single" w:sz="8" w:space="0" w:color="00283E" w:themeColor="accent2"/>
          <w:bottom w:val="single" w:sz="8" w:space="0" w:color="00283E" w:themeColor="accent2"/>
          <w:right w:val="single" w:sz="8" w:space="0" w:color="00283E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010528"/>
    <w:pPr>
      <w:spacing w:after="0" w:line="240" w:lineRule="auto"/>
    </w:pPr>
    <w:tblPr>
      <w:tblStyleRowBandSize w:val="1"/>
      <w:tblStyleColBandSize w:val="1"/>
      <w:tblBorders>
        <w:top w:val="single" w:sz="8" w:space="0" w:color="1B9590" w:themeColor="accent3"/>
        <w:left w:val="single" w:sz="8" w:space="0" w:color="1B9590" w:themeColor="accent3"/>
        <w:bottom w:val="single" w:sz="8" w:space="0" w:color="1B9590" w:themeColor="accent3"/>
        <w:right w:val="single" w:sz="8" w:space="0" w:color="1B9590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B9590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B9590" w:themeColor="accent3"/>
          <w:left w:val="single" w:sz="8" w:space="0" w:color="1B9590" w:themeColor="accent3"/>
          <w:bottom w:val="single" w:sz="8" w:space="0" w:color="1B9590" w:themeColor="accent3"/>
          <w:right w:val="single" w:sz="8" w:space="0" w:color="1B9590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B9590" w:themeColor="accent3"/>
          <w:left w:val="single" w:sz="8" w:space="0" w:color="1B9590" w:themeColor="accent3"/>
          <w:bottom w:val="single" w:sz="8" w:space="0" w:color="1B9590" w:themeColor="accent3"/>
          <w:right w:val="single" w:sz="8" w:space="0" w:color="1B9590" w:themeColor="accent3"/>
        </w:tcBorders>
      </w:tcPr>
    </w:tblStylePr>
    <w:tblStylePr w:type="band1Horz">
      <w:tblPr/>
      <w:tcPr>
        <w:tcBorders>
          <w:top w:val="single" w:sz="8" w:space="0" w:color="1B9590" w:themeColor="accent3"/>
          <w:left w:val="single" w:sz="8" w:space="0" w:color="1B9590" w:themeColor="accent3"/>
          <w:bottom w:val="single" w:sz="8" w:space="0" w:color="1B9590" w:themeColor="accent3"/>
          <w:right w:val="single" w:sz="8" w:space="0" w:color="1B9590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010528"/>
    <w:pPr>
      <w:spacing w:after="0" w:line="240" w:lineRule="auto"/>
    </w:pPr>
    <w:tblPr>
      <w:tblStyleRowBandSize w:val="1"/>
      <w:tblStyleColBandSize w:val="1"/>
      <w:tblBorders>
        <w:top w:val="single" w:sz="8" w:space="0" w:color="61C6C6" w:themeColor="accent4"/>
        <w:left w:val="single" w:sz="8" w:space="0" w:color="61C6C6" w:themeColor="accent4"/>
        <w:bottom w:val="single" w:sz="8" w:space="0" w:color="61C6C6" w:themeColor="accent4"/>
        <w:right w:val="single" w:sz="8" w:space="0" w:color="61C6C6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1C6C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1C6C6" w:themeColor="accent4"/>
          <w:left w:val="single" w:sz="8" w:space="0" w:color="61C6C6" w:themeColor="accent4"/>
          <w:bottom w:val="single" w:sz="8" w:space="0" w:color="61C6C6" w:themeColor="accent4"/>
          <w:right w:val="single" w:sz="8" w:space="0" w:color="61C6C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1C6C6" w:themeColor="accent4"/>
          <w:left w:val="single" w:sz="8" w:space="0" w:color="61C6C6" w:themeColor="accent4"/>
          <w:bottom w:val="single" w:sz="8" w:space="0" w:color="61C6C6" w:themeColor="accent4"/>
          <w:right w:val="single" w:sz="8" w:space="0" w:color="61C6C6" w:themeColor="accent4"/>
        </w:tcBorders>
      </w:tcPr>
    </w:tblStylePr>
    <w:tblStylePr w:type="band1Horz">
      <w:tblPr/>
      <w:tcPr>
        <w:tcBorders>
          <w:top w:val="single" w:sz="8" w:space="0" w:color="61C6C6" w:themeColor="accent4"/>
          <w:left w:val="single" w:sz="8" w:space="0" w:color="61C6C6" w:themeColor="accent4"/>
          <w:bottom w:val="single" w:sz="8" w:space="0" w:color="61C6C6" w:themeColor="accent4"/>
          <w:right w:val="single" w:sz="8" w:space="0" w:color="61C6C6" w:themeColor="accent4"/>
        </w:tcBorders>
      </w:tcPr>
    </w:tblStylePr>
  </w:style>
  <w:style w:type="paragraph" w:styleId="ListBullet">
    <w:name w:val="List Bullet"/>
    <w:basedOn w:val="Normal"/>
    <w:uiPriority w:val="99"/>
    <w:unhideWhenUsed/>
    <w:rsid w:val="00010528"/>
    <w:pPr>
      <w:numPr>
        <w:numId w:val="16"/>
      </w:numPr>
      <w:contextualSpacing/>
    </w:pPr>
  </w:style>
  <w:style w:type="paragraph" w:styleId="ListBullet2">
    <w:name w:val="List Bullet 2"/>
    <w:basedOn w:val="Normal"/>
    <w:uiPriority w:val="99"/>
    <w:unhideWhenUsed/>
    <w:rsid w:val="00010528"/>
    <w:pPr>
      <w:numPr>
        <w:numId w:val="18"/>
      </w:numPr>
      <w:contextualSpacing/>
    </w:pPr>
  </w:style>
  <w:style w:type="paragraph" w:styleId="NoSpacing">
    <w:name w:val="No Spacing"/>
    <w:uiPriority w:val="1"/>
    <w:qFormat/>
    <w:rsid w:val="00010528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010528"/>
    <w:pPr>
      <w:pBdr>
        <w:top w:val="single" w:sz="4" w:space="1" w:color="1B9590" w:themeColor="accent3"/>
        <w:bottom w:val="single" w:sz="4" w:space="1" w:color="1B9590" w:themeColor="accent3"/>
      </w:pBdr>
      <w:spacing w:before="240" w:after="240"/>
    </w:pPr>
    <w:rPr>
      <w:i/>
      <w:iCs/>
      <w:color w:val="005677" w:themeColor="accent1"/>
      <w:sz w:val="24"/>
    </w:rPr>
  </w:style>
  <w:style w:type="character" w:customStyle="1" w:styleId="QuoteChar">
    <w:name w:val="Quote Char"/>
    <w:basedOn w:val="DefaultParagraphFont"/>
    <w:link w:val="Quote"/>
    <w:uiPriority w:val="29"/>
    <w:rsid w:val="00010528"/>
    <w:rPr>
      <w:i/>
      <w:iCs/>
      <w:color w:val="005677" w:themeColor="accent1"/>
      <w:sz w:val="24"/>
    </w:rPr>
  </w:style>
  <w:style w:type="table" w:customStyle="1" w:styleId="Style1">
    <w:name w:val="Style1"/>
    <w:basedOn w:val="TableNormal"/>
    <w:uiPriority w:val="99"/>
    <w:rsid w:val="00010528"/>
    <w:pPr>
      <w:spacing w:after="0" w:line="240" w:lineRule="auto"/>
    </w:pPr>
    <w:rPr>
      <w:rFonts w:ascii="Arial" w:hAnsi="Arial"/>
      <w:color w:val="000000" w:themeColor="text1"/>
      <w:sz w:val="20"/>
    </w:rPr>
    <w:tblPr>
      <w:tblBorders>
        <w:bottom w:val="single" w:sz="2" w:space="0" w:color="005677" w:themeColor="accent1"/>
        <w:insideH w:val="single" w:sz="2" w:space="0" w:color="005677" w:themeColor="accent1"/>
      </w:tblBorders>
      <w:tblCellMar>
        <w:top w:w="85" w:type="dxa"/>
        <w:bottom w:w="85" w:type="dxa"/>
      </w:tblCellMar>
    </w:tblPr>
    <w:tcPr>
      <w:shd w:val="clear" w:color="auto" w:fill="auto"/>
      <w:vAlign w:val="center"/>
    </w:tcPr>
    <w:tblStylePr w:type="firstRow">
      <w:pPr>
        <w:jc w:val="left"/>
      </w:pPr>
      <w:rPr>
        <w:rFonts w:ascii="Arial" w:hAnsi="Arial"/>
        <w:b/>
        <w:color w:val="FFFFFF" w:themeColor="background1"/>
        <w:sz w:val="20"/>
      </w:rPr>
      <w:tblPr/>
      <w:tcPr>
        <w:shd w:val="clear" w:color="auto" w:fill="005677" w:themeFill="accent1"/>
      </w:tcPr>
    </w:tblStylePr>
    <w:tblStylePr w:type="lastRow">
      <w:pPr>
        <w:jc w:val="left"/>
      </w:pPr>
      <w:rPr>
        <w:rFonts w:ascii="Arial" w:hAnsi="Arial"/>
        <w:b/>
      </w:rPr>
    </w:tblStylePr>
    <w:tblStylePr w:type="firstCol">
      <w:rPr>
        <w:b/>
      </w:rPr>
    </w:tblStylePr>
  </w:style>
  <w:style w:type="paragraph" w:styleId="Subtitle">
    <w:name w:val="Subtitle"/>
    <w:basedOn w:val="Normal"/>
    <w:next w:val="Normal"/>
    <w:link w:val="SubtitleChar"/>
    <w:uiPriority w:val="11"/>
    <w:qFormat/>
    <w:rsid w:val="00010528"/>
    <w:pPr>
      <w:numPr>
        <w:ilvl w:val="1"/>
      </w:numPr>
    </w:pPr>
    <w:rPr>
      <w:rFonts w:asciiTheme="majorHAnsi" w:eastAsiaTheme="majorEastAsia" w:hAnsiTheme="majorHAnsi" w:cstheme="majorBidi"/>
      <w:iCs/>
      <w:color w:val="939598" w:themeColor="background2"/>
      <w:spacing w:val="15"/>
      <w:sz w:val="40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010528"/>
    <w:rPr>
      <w:rFonts w:asciiTheme="majorHAnsi" w:eastAsiaTheme="majorEastAsia" w:hAnsiTheme="majorHAnsi" w:cstheme="majorBidi"/>
      <w:iCs/>
      <w:color w:val="939598" w:themeColor="background2"/>
      <w:spacing w:val="15"/>
      <w:sz w:val="40"/>
      <w:szCs w:val="24"/>
    </w:rPr>
  </w:style>
  <w:style w:type="character" w:styleId="SubtleEmphasis">
    <w:name w:val="Subtle Emphasis"/>
    <w:basedOn w:val="DefaultParagraphFont"/>
    <w:uiPriority w:val="19"/>
    <w:rsid w:val="00010528"/>
    <w:rPr>
      <w:i/>
      <w:iCs/>
      <w:color w:val="808080" w:themeColor="text1" w:themeTint="7F"/>
      <w:sz w:val="28"/>
    </w:rPr>
  </w:style>
  <w:style w:type="table" w:styleId="TableGrid">
    <w:name w:val="Table Grid"/>
    <w:basedOn w:val="TableNormal"/>
    <w:uiPriority w:val="59"/>
    <w:rsid w:val="000105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5D5156"/>
    <w:pPr>
      <w:spacing w:before="9480" w:after="480" w:line="240" w:lineRule="auto"/>
      <w:contextualSpacing/>
    </w:pPr>
    <w:rPr>
      <w:rFonts w:asciiTheme="majorHAnsi" w:eastAsiaTheme="majorEastAsia" w:hAnsiTheme="majorHAnsi" w:cstheme="majorBidi"/>
      <w:b/>
      <w:color w:val="2C2C2D" w:themeColor="text2" w:themeShade="80"/>
      <w:spacing w:val="5"/>
      <w:kern w:val="28"/>
      <w:sz w:val="64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D5156"/>
    <w:rPr>
      <w:rFonts w:asciiTheme="majorHAnsi" w:eastAsiaTheme="majorEastAsia" w:hAnsiTheme="majorHAnsi" w:cstheme="majorBidi"/>
      <w:b/>
      <w:color w:val="2C2C2D" w:themeColor="text2" w:themeShade="80"/>
      <w:spacing w:val="5"/>
      <w:kern w:val="28"/>
      <w:sz w:val="64"/>
      <w:szCs w:val="52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010528"/>
    <w:pPr>
      <w:spacing w:after="100"/>
    </w:pPr>
    <w:rPr>
      <w:sz w:val="24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010528"/>
    <w:pPr>
      <w:spacing w:after="100"/>
      <w:ind w:left="200"/>
    </w:pPr>
    <w:rPr>
      <w:color w:val="58595B" w:themeColor="text2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010528"/>
    <w:pPr>
      <w:spacing w:after="100"/>
      <w:ind w:left="400"/>
    </w:pPr>
  </w:style>
  <w:style w:type="paragraph" w:styleId="TOCHeading">
    <w:name w:val="TOC Heading"/>
    <w:basedOn w:val="Heading1"/>
    <w:next w:val="Normal"/>
    <w:uiPriority w:val="39"/>
    <w:unhideWhenUsed/>
    <w:qFormat/>
    <w:rsid w:val="00010528"/>
    <w:pPr>
      <w:spacing w:before="0" w:after="240"/>
      <w:outlineLvl w:val="9"/>
    </w:pPr>
    <w:rPr>
      <w:lang w:val="en-US" w:eastAsia="ja-JP"/>
    </w:rPr>
  </w:style>
  <w:style w:type="paragraph" w:customStyle="1" w:styleId="Bibliography1">
    <w:name w:val="Bibliography1"/>
    <w:basedOn w:val="Normal"/>
    <w:qFormat/>
    <w:rsid w:val="008860C6"/>
    <w:pPr>
      <w:spacing w:before="240" w:after="240" w:line="240" w:lineRule="auto"/>
      <w:ind w:left="720" w:hanging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100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6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Corporate Them">
  <a:themeElements>
    <a:clrScheme name="Corporate Test">
      <a:dk1>
        <a:sysClr val="windowText" lastClr="000000"/>
      </a:dk1>
      <a:lt1>
        <a:sysClr val="window" lastClr="FFFFFF"/>
      </a:lt1>
      <a:dk2>
        <a:srgbClr val="58595B"/>
      </a:dk2>
      <a:lt2>
        <a:srgbClr val="939598"/>
      </a:lt2>
      <a:accent1>
        <a:srgbClr val="005677"/>
      </a:accent1>
      <a:accent2>
        <a:srgbClr val="00283E"/>
      </a:accent2>
      <a:accent3>
        <a:srgbClr val="1B9590"/>
      </a:accent3>
      <a:accent4>
        <a:srgbClr val="61C6C6"/>
      </a:accent4>
      <a:accent5>
        <a:srgbClr val="9CD9E0"/>
      </a:accent5>
      <a:accent6>
        <a:srgbClr val="C973AF"/>
      </a:accent6>
      <a:hlink>
        <a:srgbClr val="005677"/>
      </a:hlink>
      <a:folHlink>
        <a:srgbClr val="C973AF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995990499AC4543A1851E92F8A8172E" ma:contentTypeVersion="17" ma:contentTypeDescription="Create a new document." ma:contentTypeScope="" ma:versionID="49c499c4420c74cea46e88d8e885228a">
  <xsd:schema xmlns:xsd="http://www.w3.org/2001/XMLSchema" xmlns:xs="http://www.w3.org/2001/XMLSchema" xmlns:p="http://schemas.microsoft.com/office/2006/metadata/properties" xmlns:ns1="http://schemas.microsoft.com/sharepoint/v3" xmlns:ns2="498945f5-0448-4b4c-97d9-fcd4d7a5a1b1" targetNamespace="http://schemas.microsoft.com/office/2006/metadata/properties" ma:root="true" ma:fieldsID="a1397b5f237a7163e91159aae2d6dc07" ns1:_="" ns2:_="">
    <xsd:import namespace="http://schemas.microsoft.com/sharepoint/v3"/>
    <xsd:import namespace="498945f5-0448-4b4c-97d9-fcd4d7a5a1b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aa25a1a23adf4c92a153145de6afe324" minOccurs="0"/>
                <xsd:element ref="ns2:TaxCatchAll" minOccurs="0"/>
                <xsd:element ref="ns2:pe2555c81638466f9eb614edb9ecde52" minOccurs="0"/>
                <xsd:element ref="ns2:g7bcb40ba23249a78edca7d43a67c1c9" minOccurs="0"/>
                <xsd:element ref="ns2:adb9bed2e36e4a93af574aeb444da63e" minOccurs="0"/>
                <xsd:element ref="ns2:n99e4c9942c6404eb103464a00e6097b" minOccurs="0"/>
                <xsd:element ref="ns1:Comments" minOccurs="0"/>
                <xsd:element ref="ns2:DocHub_PDMSNumber" minOccurs="0"/>
                <xsd:element ref="ns2:h562caa41cd8435eb8b6f0bdc23e20a9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omments" ma:index="22" nillable="true" ma:displayName="Comments" ma:internalName="Comm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8945f5-0448-4b4c-97d9-fcd4d7a5a1b1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aa25a1a23adf4c92a153145de6afe324" ma:index="12" ma:taxonomy="true" ma:internalName="aa25a1a23adf4c92a153145de6afe324" ma:taxonomyFieldName="DocHub_SecurityClassification" ma:displayName="Security Classification" ma:fieldId="{aa25a1a2-3adf-4c92-a153-145de6afe324}" ma:sspId="fb0313f7-9433-48c0-866e-9e0bbee59a50" ma:termSetId="f68a6a0b-bd85-4d9d-9c73-c45af096016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3" nillable="true" ma:displayName="Taxonomy Catch All Column" ma:hidden="true" ma:list="{32c53e56-ba7a-482a-8980-6f177a156077}" ma:internalName="TaxCatchAll" ma:showField="CatchAllData" ma:web="498945f5-0448-4b4c-97d9-fcd4d7a5a1b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e2555c81638466f9eb614edb9ecde52" ma:index="15" ma:taxonomy="true" ma:internalName="pe2555c81638466f9eb614edb9ecde52" ma:taxonomyFieldName="DocHub_DocumentType" ma:displayName="Document Type" ma:indexed="true" ma:fieldId="{9e2555c8-1638-466f-9eb6-14edb9ecde52}" ma:sspId="fb0313f7-9433-48c0-866e-9e0bbee59a50" ma:termSetId="0e4c18c5-28eb-4f9e-8056-b3cddd4b5d9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g7bcb40ba23249a78edca7d43a67c1c9" ma:index="17" nillable="true" ma:taxonomy="true" ma:internalName="g7bcb40ba23249a78edca7d43a67c1c9" ma:taxonomyFieldName="DocHub_WorkActivity" ma:displayName="Work Activity" ma:indexed="true" ma:fieldId="{07bcb40b-a232-49a7-8edc-a7d43a67c1c9}" ma:sspId="fb0313f7-9433-48c0-866e-9e0bbee59a50" ma:termSetId="6713ebbd-194a-499f-ab84-a4d70e145fb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adb9bed2e36e4a93af574aeb444da63e" ma:index="19" nillable="true" ma:taxonomy="true" ma:internalName="adb9bed2e36e4a93af574aeb444da63e" ma:taxonomyFieldName="DocHub_Keywords" ma:displayName="Division Keywords" ma:fieldId="{adb9bed2-e36e-4a93-af57-4aeb444da63e}" ma:taxonomyMulti="true" ma:sspId="fb0313f7-9433-48c0-866e-9e0bbee59a50" ma:termSetId="2bfc713d-067c-4d39-b284-75f65e0f335d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n99e4c9942c6404eb103464a00e6097b" ma:index="21" nillable="true" ma:taxonomy="true" ma:internalName="n99e4c9942c6404eb103464a00e6097b" ma:taxonomyFieldName="DocHub_Year" ma:displayName="Year" ma:indexed="true" ma:fieldId="{799e4c99-42c6-404e-b103-464a00e6097b}" ma:sspId="fb0313f7-9433-48c0-866e-9e0bbee59a50" ma:termSetId="07e1743d-d980-4fe7-a67d-b87ecf7f18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ocHub_PDMSNumber" ma:index="23" nillable="true" ma:displayName="PDMS Number" ma:description="Parliamentary Document Management System (PDMS) Reference Number" ma:indexed="true" ma:internalName="DocHub_PDMSNumber">
      <xsd:simpleType>
        <xsd:restriction base="dms:Text"/>
      </xsd:simpleType>
    </xsd:element>
    <xsd:element name="h562caa41cd8435eb8b6f0bdc23e20a9" ma:index="25" nillable="true" ma:taxonomy="true" ma:internalName="h562caa41cd8435eb8b6f0bdc23e20a9" ma:taxonomyFieldName="DocHub_BriefingCorrespondenceType" ma:displayName="Briefing / Correspondence Type" ma:fieldId="{1562caa4-1cd8-435e-b8b6-f0bdc23e20a9}" ma:sspId="fb0313f7-9433-48c0-866e-9e0bbee59a50" ma:termSetId="caaae84e-cb57-45e4-b635-a2aae71a9e6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aredWithUsers" ma:index="27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e2555c81638466f9eb614edb9ecde52 xmlns="498945f5-0448-4b4c-97d9-fcd4d7a5a1b1">
      <Terms xmlns="http://schemas.microsoft.com/office/infopath/2007/PartnerControls">
        <TermInfo xmlns="http://schemas.microsoft.com/office/infopath/2007/PartnerControls">
          <TermName>Reference Material</TermName>
          <TermId>c04d10d9-856c-458a-b85d-90120a3c74a8</TermId>
        </TermInfo>
      </Terms>
    </pe2555c81638466f9eb614edb9ecde52>
    <TaxCatchAll xmlns="498945f5-0448-4b4c-97d9-fcd4d7a5a1b1">
      <Value>1050</Value>
      <Value>1404</Value>
      <Value>25</Value>
      <Value>90</Value>
      <Value>360</Value>
      <Value>238</Value>
    </TaxCatchAll>
    <g7bcb40ba23249a78edca7d43a67c1c9 xmlns="498945f5-0448-4b4c-97d9-fcd4d7a5a1b1">
      <Terms xmlns="http://schemas.microsoft.com/office/infopath/2007/PartnerControls">
        <TermInfo xmlns="http://schemas.microsoft.com/office/infopath/2007/PartnerControls">
          <TermName xmlns="http://schemas.microsoft.com/office/infopath/2007/PartnerControls">Policy Development</TermName>
          <TermId xmlns="http://schemas.microsoft.com/office/infopath/2007/PartnerControls">a935a4a9-2ceb-46c7-85bb-0ace72ac3f60</TermId>
        </TermInfo>
      </Terms>
    </g7bcb40ba23249a78edca7d43a67c1c9>
    <h562caa41cd8435eb8b6f0bdc23e20a9 xmlns="498945f5-0448-4b4c-97d9-fcd4d7a5a1b1">
      <Terms xmlns="http://schemas.microsoft.com/office/infopath/2007/PartnerControls"/>
    </h562caa41cd8435eb8b6f0bdc23e20a9>
    <n99e4c9942c6404eb103464a00e6097b xmlns="498945f5-0448-4b4c-97d9-fcd4d7a5a1b1">
      <Terms xmlns="http://schemas.microsoft.com/office/infopath/2007/PartnerControls">
        <TermInfo xmlns="http://schemas.microsoft.com/office/infopath/2007/PartnerControls">
          <TermName>2017</TermName>
          <TermId>5f6de30b-6e1e-4c09-9e51-982258231536</TermId>
        </TermInfo>
      </Terms>
    </n99e4c9942c6404eb103464a00e6097b>
    <adb9bed2e36e4a93af574aeb444da63e xmlns="498945f5-0448-4b4c-97d9-fcd4d7a5a1b1">
      <Terms xmlns="http://schemas.microsoft.com/office/infopath/2007/PartnerControls">
        <TermInfo xmlns="http://schemas.microsoft.com/office/infopath/2007/PartnerControls">
          <TermName>Precincts</TermName>
          <TermId>c7fe4d94-3407-47bc-8fe2-fa632e65a167</TermId>
        </TermInfo>
        <TermInfo xmlns="http://schemas.microsoft.com/office/infopath/2007/PartnerControls">
          <TermName>Precincts/University-Industry Collaboration</TermName>
          <TermId>798baf4e-0327-4dac-a208-9db440d31faf</TermId>
        </TermInfo>
      </Terms>
    </adb9bed2e36e4a93af574aeb444da63e>
    <DocHub_PDMSNumber xmlns="498945f5-0448-4b4c-97d9-fcd4d7a5a1b1" xsi:nil="true"/>
    <aa25a1a23adf4c92a153145de6afe324 xmlns="498945f5-0448-4b4c-97d9-fcd4d7a5a1b1">
      <Terms xmlns="http://schemas.microsoft.com/office/infopath/2007/PartnerControls">
        <TermInfo xmlns="http://schemas.microsoft.com/office/infopath/2007/PartnerControls">
          <TermName>For Official Use Only</TermName>
          <TermId>11f6fb0b-52ce-4109-8f7f-521b2a62f692</TermId>
        </TermInfo>
      </Terms>
    </aa25a1a23adf4c92a153145de6afe324>
    <Comments xmlns="http://schemas.microsoft.com/sharepoint/v3" xsi:nil="true"/>
    <_dlc_DocId xmlns="498945f5-0448-4b4c-97d9-fcd4d7a5a1b1">A3PSR54DD4M5-48945680-371</_dlc_DocId>
    <_dlc_DocIdUrl xmlns="498945f5-0448-4b4c-97d9-fcd4d7a5a1b1">
      <Url>https://dochub/div/sectoralgrowthpolicy/programmesprojectstaskforces/universityprecinctspolicy/_layouts/15/DocIdRedir.aspx?ID=A3PSR54DD4M5-48945680-371</Url>
      <Description>A3PSR54DD4M5-48945680-371</Description>
    </_dlc_DocIdUrl>
  </documentManagement>
</p:properti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DE0D47-3D02-4D31-8CB1-6F7882CCA363}"/>
</file>

<file path=customXml/itemProps2.xml><?xml version="1.0" encoding="utf-8"?>
<ds:datastoreItem xmlns:ds="http://schemas.openxmlformats.org/officeDocument/2006/customXml" ds:itemID="{BDBE43DA-1FC0-44DD-8B87-9397B172948C}"/>
</file>

<file path=customXml/itemProps3.xml><?xml version="1.0" encoding="utf-8"?>
<ds:datastoreItem xmlns:ds="http://schemas.openxmlformats.org/officeDocument/2006/customXml" ds:itemID="{EE6276FC-0A7B-42B0-8A1B-90F6B4A7EA8E}"/>
</file>

<file path=customXml/itemProps4.xml><?xml version="1.0" encoding="utf-8"?>
<ds:datastoreItem xmlns:ds="http://schemas.openxmlformats.org/officeDocument/2006/customXml" ds:itemID="{F2E6A363-BF9E-40E8-836A-D8BD8270866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4</Pages>
  <Words>955</Words>
  <Characters>5449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Industry, Innovation and Science</Company>
  <LinksUpToDate>false</LinksUpToDate>
  <CharactersWithSpaces>6392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Lee, Richard</dc:creator>
  <cp:keywords/>
  <dc:description/>
  <cp:lastModifiedBy>Lee, Rachel</cp:lastModifiedBy>
  <cp:revision>4</cp:revision>
  <cp:lastPrinted>2017-10-31T05:36:00Z</cp:lastPrinted>
  <dcterms:created xsi:type="dcterms:W3CDTF">2018-09-27T00:51:00Z</dcterms:created>
  <dcterms:modified xsi:type="dcterms:W3CDTF">2018-09-27T02:27:00Z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0x0101002995990499AC4543A1851E92F8A8172E</vt:lpwstr>
  </property>
  <property fmtid="{D5CDD505-2E9C-101B-9397-08002B2CF9AE}" pid="3" name="DocHub_Year">
    <vt:lpwstr>360;#2017|5f6de30b-6e1e-4c09-9e51-982258231536</vt:lpwstr>
  </property>
  <property fmtid="{D5CDD505-2E9C-101B-9397-08002B2CF9AE}" pid="4" name="DocHub_DocumentType">
    <vt:lpwstr>1404;#Reference Material|c04d10d9-856c-458a-b85d-90120a3c74a8</vt:lpwstr>
  </property>
  <property fmtid="{D5CDD505-2E9C-101B-9397-08002B2CF9AE}" pid="5" name="DocHub_SecurityClassification">
    <vt:lpwstr>25;#For Official Use Only|11f6fb0b-52ce-4109-8f7f-521b2a62f692</vt:lpwstr>
  </property>
  <property fmtid="{D5CDD505-2E9C-101B-9397-08002B2CF9AE}" pid="6" name="DocHub_Keywords">
    <vt:lpwstr>238;#Precincts|c7fe4d94-3407-47bc-8fe2-fa632e65a167;#1050;#Precincts/University-Industry Collaboration|798baf4e-0327-4dac-a208-9db440d31faf</vt:lpwstr>
  </property>
  <property fmtid="{D5CDD505-2E9C-101B-9397-08002B2CF9AE}" pid="7" name="DocHub_BriefingCorrespondenceType">
    <vt:lpwstr/>
  </property>
  <property fmtid="{D5CDD505-2E9C-101B-9397-08002B2CF9AE}" pid="8" name="DocHub_WorkActivity">
    <vt:lpwstr>90;#Policy Development|a935a4a9-2ceb-46c7-85bb-0ace72ac3f60</vt:lpwstr>
  </property>
  <property fmtid="{D5CDD505-2E9C-101B-9397-08002B2CF9AE}" pid="9" name="_dlc_DocIdItemGuid">
    <vt:lpwstr>7ce85db1-87e7-489c-a065-45e524b4865a</vt:lpwstr>
  </property>
</Properties>
</file>