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header27.xml" ContentType="application/vnd.openxmlformats-officedocument.wordprocessingml.header+xml"/>
  <Override PartName="/word/footer1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header33.xml" ContentType="application/vnd.openxmlformats-officedocument.wordprocessingml.header+xml"/>
  <Override PartName="/word/footer21.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8AE66" w14:textId="77777777" w:rsidR="00D471AD" w:rsidRDefault="00D471AD" w:rsidP="00875D8B">
      <w:pPr>
        <w:pStyle w:val="Heading1"/>
        <w:sectPr w:rsidR="00D471AD" w:rsidSect="00D471AD">
          <w:headerReference w:type="even" r:id="rId11"/>
          <w:headerReference w:type="default" r:id="rId12"/>
          <w:footerReference w:type="even" r:id="rId13"/>
          <w:footerReference w:type="default" r:id="rId14"/>
          <w:headerReference w:type="first" r:id="rId15"/>
          <w:footerReference w:type="first" r:id="rId16"/>
          <w:footnotePr>
            <w:numFmt w:val="upperRoman"/>
          </w:footnotePr>
          <w:endnotePr>
            <w:numFmt w:val="decimal"/>
          </w:endnotePr>
          <w:pgSz w:w="11906" w:h="16838" w:code="9"/>
          <w:pgMar w:top="1440" w:right="1020" w:bottom="1440" w:left="992" w:header="709" w:footer="709" w:gutter="0"/>
          <w:cols w:space="708"/>
          <w:titlePg/>
          <w:docGrid w:linePitch="360"/>
        </w:sectPr>
      </w:pPr>
      <w:bookmarkStart w:id="0" w:name="_GoBack"/>
      <w:r w:rsidRPr="000D502B">
        <w:rPr>
          <w:noProof/>
          <w:lang w:eastAsia="en-AU"/>
        </w:rPr>
        <w:drawing>
          <wp:anchor distT="0" distB="0" distL="114300" distR="114300" simplePos="0" relativeHeight="251659264" behindDoc="0" locked="0" layoutInCell="1" allowOverlap="1" wp14:anchorId="7418C5FB" wp14:editId="7418C5FC">
            <wp:simplePos x="0" y="0"/>
            <wp:positionH relativeFrom="page">
              <wp:align>left</wp:align>
            </wp:positionH>
            <wp:positionV relativeFrom="paragraph">
              <wp:posOffset>-913329</wp:posOffset>
            </wp:positionV>
            <wp:extent cx="7769078" cy="10911385"/>
            <wp:effectExtent l="0" t="0" r="3810" b="4445"/>
            <wp:wrapNone/>
            <wp:docPr id="24" name="Picture 24" descr="Tilte page features Office of the Chief Economist logo, report logo and the words 'Australian Innovation System Report, 2016, www.industry.gov.au/innovation report.' Image is a tessalation of hexagons. Representing the variation and interconnectedness of the innovation system. "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CE\Visual Analytics and Dissemination\2014-15 Vis Analytics and Data Vis\Projects\AIS Report\2016\AIS Team Files\AIS Team Files 9.9.16\AIS Report cov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69078" cy="1091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29A3">
        <w:t xml:space="preserve"> </w:t>
      </w:r>
    </w:p>
    <w:bookmarkEnd w:id="0"/>
    <w:p w14:paraId="7418AE67" w14:textId="77777777" w:rsidR="00D471AD" w:rsidRPr="000D502B" w:rsidRDefault="00D471AD" w:rsidP="00D471AD">
      <w:pPr>
        <w:pStyle w:val="BodyText"/>
      </w:pPr>
      <w:r w:rsidRPr="000D502B">
        <w:rPr>
          <w:noProof/>
          <w:lang w:eastAsia="en-AU"/>
        </w:rPr>
        <w:lastRenderedPageBreak/>
        <w:drawing>
          <wp:inline distT="0" distB="0" distL="0" distR="0" wp14:anchorId="7418C5FD" wp14:editId="7418C5FE">
            <wp:extent cx="5717575" cy="7473078"/>
            <wp:effectExtent l="0" t="0" r="0" b="0"/>
            <wp:docPr id="25" name="Picture 25" descr="Feature Office fo the Chief Economist logo, report logo and the words 'Australian Innovation System Report, 2016, www.industry.gov.au/innovation report" title="Inside cover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IS Report inside cover.png"/>
                    <pic:cNvPicPr/>
                  </pic:nvPicPr>
                  <pic:blipFill>
                    <a:blip r:embed="rId18">
                      <a:extLst>
                        <a:ext uri="{28A0092B-C50C-407E-A947-70E740481C1C}">
                          <a14:useLocalDpi xmlns:a14="http://schemas.microsoft.com/office/drawing/2010/main" val="0"/>
                        </a:ext>
                      </a:extLst>
                    </a:blip>
                    <a:stretch>
                      <a:fillRect/>
                    </a:stretch>
                  </pic:blipFill>
                  <pic:spPr>
                    <a:xfrm>
                      <a:off x="0" y="0"/>
                      <a:ext cx="5717575" cy="7473078"/>
                    </a:xfrm>
                    <a:prstGeom prst="rect">
                      <a:avLst/>
                    </a:prstGeom>
                  </pic:spPr>
                </pic:pic>
              </a:graphicData>
            </a:graphic>
          </wp:inline>
        </w:drawing>
      </w:r>
    </w:p>
    <w:p w14:paraId="7418AE68" w14:textId="77777777" w:rsidR="00D471AD" w:rsidRDefault="00D471AD" w:rsidP="00D471AD">
      <w:pPr>
        <w:spacing w:after="200" w:line="276" w:lineRule="auto"/>
        <w:sectPr w:rsidR="00D471AD" w:rsidSect="00D471AD">
          <w:footnotePr>
            <w:numFmt w:val="upperRoman"/>
          </w:footnotePr>
          <w:endnotePr>
            <w:numFmt w:val="decimal"/>
          </w:endnotePr>
          <w:pgSz w:w="11906" w:h="16838" w:code="9"/>
          <w:pgMar w:top="1440" w:right="1020" w:bottom="1440" w:left="992" w:header="709" w:footer="709" w:gutter="0"/>
          <w:cols w:space="708"/>
          <w:titlePg/>
          <w:docGrid w:linePitch="360"/>
        </w:sectPr>
      </w:pPr>
    </w:p>
    <w:p w14:paraId="7418AE69" w14:textId="77777777" w:rsidR="00D471AD" w:rsidRDefault="00D471AD" w:rsidP="00D471AD">
      <w:pPr>
        <w:sectPr w:rsidR="00D471AD" w:rsidSect="00D471AD">
          <w:headerReference w:type="even" r:id="rId19"/>
          <w:headerReference w:type="default" r:id="rId20"/>
          <w:footerReference w:type="even" r:id="rId21"/>
          <w:headerReference w:type="first" r:id="rId22"/>
          <w:footerReference w:type="first" r:id="rId23"/>
          <w:footnotePr>
            <w:numFmt w:val="upperRoman"/>
          </w:footnotePr>
          <w:endnotePr>
            <w:numFmt w:val="decimal"/>
          </w:endnotePr>
          <w:pgSz w:w="11906" w:h="16838" w:code="9"/>
          <w:pgMar w:top="1440" w:right="1020" w:bottom="1440" w:left="992" w:header="709" w:footer="709" w:gutter="0"/>
          <w:cols w:space="708"/>
          <w:titlePg/>
          <w:docGrid w:linePitch="360"/>
        </w:sectPr>
      </w:pPr>
      <w:r w:rsidRPr="000D502B">
        <w:rPr>
          <w:noProof/>
          <w:lang w:eastAsia="en-AU"/>
        </w:rPr>
        <w:lastRenderedPageBreak/>
        <w:drawing>
          <wp:anchor distT="0" distB="0" distL="114300" distR="114300" simplePos="0" relativeHeight="251660288" behindDoc="0" locked="0" layoutInCell="1" allowOverlap="1" wp14:anchorId="7418C5FF" wp14:editId="7418C600">
            <wp:simplePos x="0" y="0"/>
            <wp:positionH relativeFrom="page">
              <wp:posOffset>0</wp:posOffset>
            </wp:positionH>
            <wp:positionV relativeFrom="paragraph">
              <wp:posOffset>-940279</wp:posOffset>
            </wp:positionV>
            <wp:extent cx="7581306" cy="10723880"/>
            <wp:effectExtent l="0" t="0" r="635" b="1270"/>
            <wp:wrapNone/>
            <wp:docPr id="52" name="Picture 52" descr="Special acknowledgement. Contains the text: 'We would like to make a special acknowledgement of the contribution of our late colleague, Roger Smith, who was a valued member of our team and the lead author/editor of the 2015 Australian Innovation System Report' -Project Team" title="Special 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7581306" cy="10723880"/>
                    </a:xfrm>
                    <a:prstGeom prst="rect">
                      <a:avLst/>
                    </a:prstGeom>
                    <a:noFill/>
                  </pic:spPr>
                </pic:pic>
              </a:graphicData>
            </a:graphic>
            <wp14:sizeRelH relativeFrom="page">
              <wp14:pctWidth>0</wp14:pctWidth>
            </wp14:sizeRelH>
            <wp14:sizeRelV relativeFrom="page">
              <wp14:pctHeight>0</wp14:pctHeight>
            </wp14:sizeRelV>
          </wp:anchor>
        </w:drawing>
      </w:r>
    </w:p>
    <w:p w14:paraId="7418AE6A" w14:textId="77777777" w:rsidR="00D471AD" w:rsidRDefault="00D471AD" w:rsidP="00D471AD">
      <w:pPr>
        <w:sectPr w:rsidR="00D471AD" w:rsidSect="00D471AD">
          <w:footnotePr>
            <w:numFmt w:val="upperRoman"/>
          </w:footnotePr>
          <w:endnotePr>
            <w:numFmt w:val="decimal"/>
          </w:endnotePr>
          <w:pgSz w:w="11906" w:h="16838" w:code="9"/>
          <w:pgMar w:top="1440" w:right="1020" w:bottom="1440" w:left="992" w:header="709" w:footer="709" w:gutter="0"/>
          <w:cols w:space="708"/>
          <w:titlePg/>
          <w:docGrid w:linePitch="360"/>
        </w:sectPr>
      </w:pPr>
      <w:r w:rsidRPr="000D502B">
        <w:rPr>
          <w:noProof/>
          <w:lang w:eastAsia="en-AU"/>
        </w:rPr>
        <w:drawing>
          <wp:anchor distT="0" distB="0" distL="114300" distR="114300" simplePos="0" relativeHeight="251661312" behindDoc="0" locked="0" layoutInCell="1" allowOverlap="1" wp14:anchorId="7418C601" wp14:editId="7418C602">
            <wp:simplePos x="0" y="0"/>
            <wp:positionH relativeFrom="page">
              <wp:align>right</wp:align>
            </wp:positionH>
            <wp:positionV relativeFrom="paragraph">
              <wp:posOffset>-914161</wp:posOffset>
            </wp:positionV>
            <wp:extent cx="7559040" cy="10692384"/>
            <wp:effectExtent l="0" t="0" r="3810" b="0"/>
            <wp:wrapNone/>
            <wp:docPr id="60" name="Picture 60" descr="Includes contact details, project team list, acknowledgements, ISSN 2207-0680 and images provided by shutterstock. &#10;&#10;Report is copyrighted by Commonwealth of Australia 2016 and is licenced under Creative Commons Attribution 3.0." title="Front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7559040" cy="10692384"/>
                    </a:xfrm>
                    <a:prstGeom prst="rect">
                      <a:avLst/>
                    </a:prstGeom>
                    <a:noFill/>
                  </pic:spPr>
                </pic:pic>
              </a:graphicData>
            </a:graphic>
            <wp14:sizeRelH relativeFrom="page">
              <wp14:pctWidth>0</wp14:pctWidth>
            </wp14:sizeRelH>
            <wp14:sizeRelV relativeFrom="page">
              <wp14:pctHeight>0</wp14:pctHeight>
            </wp14:sizeRelV>
          </wp:anchor>
        </w:drawing>
      </w:r>
    </w:p>
    <w:p w14:paraId="7418AE6B" w14:textId="77777777" w:rsidR="00D471AD" w:rsidRDefault="00D471AD" w:rsidP="00D471AD">
      <w:pPr>
        <w:spacing w:after="200" w:line="276" w:lineRule="auto"/>
        <w:sectPr w:rsidR="00D471AD" w:rsidSect="00D471AD">
          <w:footnotePr>
            <w:numFmt w:val="upperRoman"/>
          </w:footnotePr>
          <w:endnotePr>
            <w:numFmt w:val="decimal"/>
          </w:endnotePr>
          <w:pgSz w:w="11906" w:h="16838" w:code="9"/>
          <w:pgMar w:top="1440" w:right="1020" w:bottom="1440" w:left="992" w:header="709" w:footer="709" w:gutter="0"/>
          <w:cols w:space="708"/>
          <w:titlePg/>
          <w:docGrid w:linePitch="360"/>
        </w:sectPr>
      </w:pPr>
    </w:p>
    <w:p w14:paraId="7418AE6C" w14:textId="77777777" w:rsidR="00D471AD" w:rsidRDefault="00D471AD" w:rsidP="00D471AD">
      <w:pPr>
        <w:pStyle w:val="BodyText"/>
      </w:pPr>
      <w:r>
        <w:rPr>
          <w:noProof/>
          <w:lang w:eastAsia="en-AU"/>
        </w:rPr>
        <w:drawing>
          <wp:inline distT="0" distB="0" distL="0" distR="0" wp14:anchorId="7418C603" wp14:editId="7418C604">
            <wp:extent cx="1774209" cy="1756440"/>
            <wp:effectExtent l="0" t="0" r="0" b="0"/>
            <wp:docPr id="26" name="Picture 26" descr="Chief Economist, Department of Industry, Innovation and Science" title="Mark C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rk Cull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9116" cy="1761298"/>
                    </a:xfrm>
                    <a:prstGeom prst="rect">
                      <a:avLst/>
                    </a:prstGeom>
                  </pic:spPr>
                </pic:pic>
              </a:graphicData>
            </a:graphic>
          </wp:inline>
        </w:drawing>
      </w:r>
    </w:p>
    <w:p w14:paraId="7418AE6D" w14:textId="77777777" w:rsidR="00D471AD" w:rsidRDefault="00D471AD" w:rsidP="00D471AD">
      <w:pPr>
        <w:pStyle w:val="Glossary"/>
      </w:pPr>
      <w:bookmarkStart w:id="1" w:name="_Toc465862785"/>
      <w:r>
        <w:t>Foreword</w:t>
      </w:r>
      <w:bookmarkEnd w:id="1"/>
    </w:p>
    <w:p w14:paraId="7418AE6E" w14:textId="77777777" w:rsidR="00D471AD" w:rsidRDefault="00D471AD" w:rsidP="00D471AD">
      <w:pPr>
        <w:pStyle w:val="BodyText"/>
      </w:pPr>
      <w:r>
        <w:t>With the winding up of the once-in-a-generation mining boom, innovation has once again become a major focal point for policy, as decision makers across the country scan the horizon to identify new sources of growth. To assist with that task, this report provides crucial information on the state and performance of Australia’s innovation system. It is worth pausing for a moment to reflect on the remarkable technological and social achievements made possible by human ingenuity.</w:t>
      </w:r>
    </w:p>
    <w:p w14:paraId="7418AE6F" w14:textId="77777777" w:rsidR="00D471AD" w:rsidRDefault="00D471AD" w:rsidP="00D471AD">
      <w:pPr>
        <w:pStyle w:val="BodyText"/>
      </w:pPr>
      <w:r>
        <w:t>For much of human history, economic progress was virtually non-existent. The oft quoted words of Thomas Hobbes describing humankind’s natural condition as ‘nasty, brutish, and short’ can serve as a lucid reminder of the human value of economic and social progress.</w:t>
      </w:r>
    </w:p>
    <w:p w14:paraId="7418AE70" w14:textId="77777777" w:rsidR="00D471AD" w:rsidRDefault="00D471AD" w:rsidP="00D471AD">
      <w:pPr>
        <w:pStyle w:val="BodyText"/>
      </w:pPr>
      <w:r>
        <w:t xml:space="preserve">It is only in the last 200 years or so that living conditions improved dramatically, resulting in the doubling of life expectancy. A great deal of this improvement is underpinned by innovations across a whole spectrum of human endeavours. </w:t>
      </w:r>
    </w:p>
    <w:p w14:paraId="7418AE71" w14:textId="77777777" w:rsidR="00D471AD" w:rsidRDefault="00D471AD" w:rsidP="00D471AD">
      <w:pPr>
        <w:pStyle w:val="BodyText"/>
      </w:pPr>
      <w:r>
        <w:t xml:space="preserve">A key insight from economic literature is that sustained economic growth depends on continuous technological progress, which is underpinned by the accumulation and application of knowledge. A handful of major ground-breaking discoveries — followed by a vast array of subsequent applications, refinements and modifications — have led to the kind of economic growth that has transformed the agrarian societies of a few centuries ago into today’s high-tech service-based economies. </w:t>
      </w:r>
    </w:p>
    <w:p w14:paraId="7418AE72" w14:textId="77777777" w:rsidR="00D471AD" w:rsidRDefault="00D471AD" w:rsidP="00D471AD">
      <w:pPr>
        <w:pStyle w:val="BodyText"/>
      </w:pPr>
      <w:r>
        <w:t>We have come a long way on the road of discovery but the journey has not been without cost. Mistakes have been made, policies have failed and resources have been wasted. Indeed, it is fair to say that the road to our success is littered with failure. Yet, failure is something from which we can learn, without needing to dwell on it. As we continue on his road, here in the lucky country, we should remind ourselves that Australian living standards are now among the highest in the world.</w:t>
      </w:r>
    </w:p>
    <w:p w14:paraId="7418AE73" w14:textId="77777777" w:rsidR="00D471AD" w:rsidRDefault="00D471AD" w:rsidP="00D471AD">
      <w:pPr>
        <w:pStyle w:val="BodyText"/>
      </w:pPr>
      <w:r>
        <w:t>In terms of what we can measure, we cracked GDP in the 1930s. We know now that knowledge is the basis for what drives growth in our living standards and wellbeing, and that innovation systems transmit and diffuse new knowledge. But production is becoming increasingly knowledge-intensive, networked and digitally-enabled. Businesses invest significant resources in building their knowledge capital and using it as a source of competitive advantage. In some OECD countries, business investment in various intangible assets significantly exceeds the investment in machinery, equipment and buildings.</w:t>
      </w:r>
    </w:p>
    <w:p w14:paraId="7418AE74" w14:textId="77777777" w:rsidR="00D471AD" w:rsidRDefault="00D471AD" w:rsidP="00D471AD">
      <w:pPr>
        <w:pStyle w:val="BodyText"/>
      </w:pPr>
      <w:r>
        <w:t>Obviously, it is hard to measure the transmission and diffusion of something weightless — or as Alfred Marshall famously put it ‘in the air’ — like knowledge and ideas. We attempt to do this by observing what goes on within businesses, based on asking business owners and managers about their innovation activities. And we extend this by using business performance records to examine the association between what business owners say they do, and their subsequent performance.</w:t>
      </w:r>
    </w:p>
    <w:p w14:paraId="7418AE75" w14:textId="77777777" w:rsidR="00D471AD" w:rsidRDefault="00D471AD" w:rsidP="00D471AD">
      <w:pPr>
        <w:pStyle w:val="BodyText"/>
      </w:pPr>
      <w:r>
        <w:t>Going forward, as more information becomes available, it offers the potential for new insights about the society in which we live, and the opportunities and challenges we face. The value of this information comes not only from a better understanding of the world around us but also from its relevance to making important decisions about the future. This year’s report features a number of novel indicators based on data that were previously unavailable.</w:t>
      </w:r>
    </w:p>
    <w:p w14:paraId="7418AE76" w14:textId="77777777" w:rsidR="00D471AD" w:rsidRDefault="00D471AD" w:rsidP="00D471AD">
      <w:pPr>
        <w:pStyle w:val="BodyText"/>
      </w:pPr>
      <w:r>
        <w:t>A well-functioning innovation system requires the participation of a range of actors across the spectrum of business, government, academia and other parts of the community. By continuing to take a systemic view, the report follows in the tradition established in the previous reports as it tries to shed light on a whole range of different aspects of innovation in Australia and our relative standing compared to our peers. It provides high quality, up-to-date information to support policy decisions and stimulate the ongoing national dialogue about Australia’s economic future.</w:t>
      </w:r>
    </w:p>
    <w:p w14:paraId="7418AE77" w14:textId="77777777" w:rsidR="00D471AD" w:rsidRDefault="00D471AD" w:rsidP="00D471AD">
      <w:pPr>
        <w:pStyle w:val="BodyText"/>
      </w:pPr>
      <w:r>
        <w:rPr>
          <w:noProof/>
          <w:lang w:eastAsia="en-AU"/>
        </w:rPr>
        <w:drawing>
          <wp:inline distT="0" distB="0" distL="0" distR="0" wp14:anchorId="7418C605" wp14:editId="7418C606">
            <wp:extent cx="765544" cy="524445"/>
            <wp:effectExtent l="0" t="0" r="0" b="9525"/>
            <wp:docPr id="20" name="Picture 20" title="Mark Cull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rk Cully Signature-Grey-RGB-JPE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5544" cy="524445"/>
                    </a:xfrm>
                    <a:prstGeom prst="rect">
                      <a:avLst/>
                    </a:prstGeom>
                  </pic:spPr>
                </pic:pic>
              </a:graphicData>
            </a:graphic>
          </wp:inline>
        </w:drawing>
      </w:r>
    </w:p>
    <w:p w14:paraId="7418AE78" w14:textId="77777777" w:rsidR="00D471AD" w:rsidRDefault="00D471AD" w:rsidP="00D471AD">
      <w:pPr>
        <w:pStyle w:val="BodyText"/>
        <w:jc w:val="left"/>
        <w:sectPr w:rsidR="00D471AD" w:rsidSect="00D471AD">
          <w:footnotePr>
            <w:numFmt w:val="upperRoman"/>
          </w:footnotePr>
          <w:endnotePr>
            <w:numFmt w:val="decimal"/>
          </w:endnotePr>
          <w:type w:val="continuous"/>
          <w:pgSz w:w="11906" w:h="16838" w:code="9"/>
          <w:pgMar w:top="1440" w:right="1020" w:bottom="1440" w:left="992" w:header="709" w:footer="709" w:gutter="0"/>
          <w:cols w:num="2" w:space="708"/>
          <w:titlePg/>
          <w:docGrid w:linePitch="360"/>
        </w:sectPr>
      </w:pPr>
      <w:r>
        <w:t>Mark Cully</w:t>
      </w:r>
      <w:r>
        <w:br/>
        <w:t>Chief Economist</w:t>
      </w:r>
      <w:r>
        <w:br/>
        <w:t>Department of Industry, Innovation and Science</w:t>
      </w:r>
      <w:r>
        <w:br/>
        <w:t>November 2016</w:t>
      </w:r>
    </w:p>
    <w:bookmarkStart w:id="2" w:name="_Toc465862786" w:displacedByCustomXml="next"/>
    <w:sdt>
      <w:sdtPr>
        <w:rPr>
          <w:rFonts w:asciiTheme="minorHAnsi" w:eastAsiaTheme="minorHAnsi" w:hAnsiTheme="minorHAnsi" w:cstheme="minorBidi"/>
          <w:b w:val="0"/>
          <w:color w:val="595A5B"/>
          <w:kern w:val="0"/>
          <w:sz w:val="22"/>
          <w:szCs w:val="22"/>
          <w:lang w:val="en-AU"/>
        </w:rPr>
        <w:id w:val="2083637366"/>
        <w:docPartObj>
          <w:docPartGallery w:val="Table of Contents"/>
          <w:docPartUnique/>
        </w:docPartObj>
      </w:sdtPr>
      <w:sdtEndPr>
        <w:rPr>
          <w:rFonts w:ascii="Arial" w:hAnsi="Arial"/>
        </w:rPr>
      </w:sdtEndPr>
      <w:sdtContent>
        <w:p w14:paraId="7418AE79" w14:textId="77777777" w:rsidR="00D471AD" w:rsidRPr="00675A97" w:rsidRDefault="00D471AD" w:rsidP="00D471AD">
          <w:pPr>
            <w:pStyle w:val="Glossary"/>
            <w:rPr>
              <w:lang w:val="en-AU"/>
            </w:rPr>
          </w:pPr>
          <w:r w:rsidRPr="00F6068B">
            <w:t>Contents</w:t>
          </w:r>
          <w:bookmarkEnd w:id="2"/>
        </w:p>
        <w:p w14:paraId="7418AE7A" w14:textId="77777777" w:rsidR="00D471AD" w:rsidRDefault="00D471AD" w:rsidP="00D471AD">
          <w:pPr>
            <w:pStyle w:val="TOC1"/>
            <w:rPr>
              <w:rFonts w:asciiTheme="minorHAnsi" w:eastAsiaTheme="minorEastAsia" w:hAnsiTheme="minorHAnsi"/>
              <w:b w:val="0"/>
              <w:color w:val="auto"/>
              <w:szCs w:val="22"/>
              <w:lang w:eastAsia="en-AU"/>
            </w:rPr>
          </w:pPr>
          <w:r>
            <w:rPr>
              <w:rFonts w:cs="Arial"/>
              <w:b w:val="0"/>
              <w:sz w:val="20"/>
              <w:szCs w:val="20"/>
            </w:rPr>
            <w:fldChar w:fldCharType="begin"/>
          </w:r>
          <w:r>
            <w:rPr>
              <w:rFonts w:cs="Arial"/>
              <w:b w:val="0"/>
              <w:sz w:val="20"/>
              <w:szCs w:val="20"/>
            </w:rPr>
            <w:instrText xml:space="preserve"> TOC \o "1-3" \h \z \t "Heading 6,1,Glossary,1" </w:instrText>
          </w:r>
          <w:r>
            <w:rPr>
              <w:rFonts w:cs="Arial"/>
              <w:b w:val="0"/>
              <w:sz w:val="20"/>
              <w:szCs w:val="20"/>
            </w:rPr>
            <w:fldChar w:fldCharType="separate"/>
          </w:r>
          <w:hyperlink w:anchor="_Toc465862785" w:history="1">
            <w:r w:rsidRPr="00D33D55">
              <w:rPr>
                <w:rStyle w:val="Hyperlink"/>
              </w:rPr>
              <w:t>Foreword</w:t>
            </w:r>
            <w:r>
              <w:rPr>
                <w:webHidden/>
              </w:rPr>
              <w:tab/>
            </w:r>
            <w:r>
              <w:rPr>
                <w:webHidden/>
              </w:rPr>
              <w:fldChar w:fldCharType="begin"/>
            </w:r>
            <w:r>
              <w:rPr>
                <w:webHidden/>
              </w:rPr>
              <w:instrText xml:space="preserve"> PAGEREF _Toc465862785 \h </w:instrText>
            </w:r>
            <w:r>
              <w:rPr>
                <w:webHidden/>
              </w:rPr>
            </w:r>
            <w:r>
              <w:rPr>
                <w:webHidden/>
              </w:rPr>
              <w:fldChar w:fldCharType="separate"/>
            </w:r>
            <w:r>
              <w:rPr>
                <w:webHidden/>
              </w:rPr>
              <w:t>5</w:t>
            </w:r>
            <w:r>
              <w:rPr>
                <w:webHidden/>
              </w:rPr>
              <w:fldChar w:fldCharType="end"/>
            </w:r>
          </w:hyperlink>
        </w:p>
        <w:p w14:paraId="7418AE7B" w14:textId="77777777" w:rsidR="00D471AD" w:rsidRDefault="004A31A9" w:rsidP="00D471AD">
          <w:pPr>
            <w:pStyle w:val="TOC1"/>
            <w:rPr>
              <w:rFonts w:asciiTheme="minorHAnsi" w:eastAsiaTheme="minorEastAsia" w:hAnsiTheme="minorHAnsi"/>
              <w:b w:val="0"/>
              <w:color w:val="auto"/>
              <w:szCs w:val="22"/>
              <w:lang w:eastAsia="en-AU"/>
            </w:rPr>
          </w:pPr>
          <w:hyperlink w:anchor="_Toc465862786" w:history="1">
            <w:r w:rsidR="00D471AD" w:rsidRPr="00D33D55">
              <w:rPr>
                <w:rStyle w:val="Hyperlink"/>
              </w:rPr>
              <w:t>Contents</w:t>
            </w:r>
            <w:r w:rsidR="00D471AD">
              <w:rPr>
                <w:webHidden/>
              </w:rPr>
              <w:tab/>
            </w:r>
            <w:r w:rsidR="00D471AD">
              <w:rPr>
                <w:webHidden/>
              </w:rPr>
              <w:fldChar w:fldCharType="begin"/>
            </w:r>
            <w:r w:rsidR="00D471AD">
              <w:rPr>
                <w:webHidden/>
              </w:rPr>
              <w:instrText xml:space="preserve"> PAGEREF _Toc465862786 \h </w:instrText>
            </w:r>
            <w:r w:rsidR="00D471AD">
              <w:rPr>
                <w:webHidden/>
              </w:rPr>
            </w:r>
            <w:r w:rsidR="00D471AD">
              <w:rPr>
                <w:webHidden/>
              </w:rPr>
              <w:fldChar w:fldCharType="separate"/>
            </w:r>
            <w:r w:rsidR="00D471AD">
              <w:rPr>
                <w:webHidden/>
              </w:rPr>
              <w:t>6</w:t>
            </w:r>
            <w:r w:rsidR="00D471AD">
              <w:rPr>
                <w:webHidden/>
              </w:rPr>
              <w:fldChar w:fldCharType="end"/>
            </w:r>
          </w:hyperlink>
        </w:p>
        <w:p w14:paraId="7418AE7C" w14:textId="77777777" w:rsidR="00D471AD" w:rsidRDefault="004A31A9" w:rsidP="00D471AD">
          <w:pPr>
            <w:pStyle w:val="TOC1"/>
            <w:rPr>
              <w:rFonts w:asciiTheme="minorHAnsi" w:eastAsiaTheme="minorEastAsia" w:hAnsiTheme="minorHAnsi"/>
              <w:b w:val="0"/>
              <w:color w:val="auto"/>
              <w:szCs w:val="22"/>
              <w:lang w:eastAsia="en-AU"/>
            </w:rPr>
          </w:pPr>
          <w:hyperlink w:anchor="_Toc465862787" w:history="1">
            <w:r w:rsidR="00D471AD" w:rsidRPr="00D33D55">
              <w:rPr>
                <w:rStyle w:val="Hyperlink"/>
              </w:rPr>
              <w:t>List of figures</w:t>
            </w:r>
            <w:r w:rsidR="00D471AD">
              <w:rPr>
                <w:webHidden/>
              </w:rPr>
              <w:tab/>
            </w:r>
            <w:r w:rsidR="00D471AD">
              <w:rPr>
                <w:webHidden/>
              </w:rPr>
              <w:fldChar w:fldCharType="begin"/>
            </w:r>
            <w:r w:rsidR="00D471AD">
              <w:rPr>
                <w:webHidden/>
              </w:rPr>
              <w:instrText xml:space="preserve"> PAGEREF _Toc465862787 \h </w:instrText>
            </w:r>
            <w:r w:rsidR="00D471AD">
              <w:rPr>
                <w:webHidden/>
              </w:rPr>
            </w:r>
            <w:r w:rsidR="00D471AD">
              <w:rPr>
                <w:webHidden/>
              </w:rPr>
              <w:fldChar w:fldCharType="separate"/>
            </w:r>
            <w:r w:rsidR="00D471AD">
              <w:rPr>
                <w:webHidden/>
              </w:rPr>
              <w:t>8</w:t>
            </w:r>
            <w:r w:rsidR="00D471AD">
              <w:rPr>
                <w:webHidden/>
              </w:rPr>
              <w:fldChar w:fldCharType="end"/>
            </w:r>
          </w:hyperlink>
        </w:p>
        <w:p w14:paraId="7418AE7D" w14:textId="77777777" w:rsidR="00D471AD" w:rsidRDefault="004A31A9" w:rsidP="00D471AD">
          <w:pPr>
            <w:pStyle w:val="TOC1"/>
            <w:rPr>
              <w:rFonts w:asciiTheme="minorHAnsi" w:eastAsiaTheme="minorEastAsia" w:hAnsiTheme="minorHAnsi"/>
              <w:b w:val="0"/>
              <w:color w:val="auto"/>
              <w:szCs w:val="22"/>
              <w:lang w:eastAsia="en-AU"/>
            </w:rPr>
          </w:pPr>
          <w:hyperlink w:anchor="_Toc465862788" w:history="1">
            <w:r w:rsidR="00D471AD" w:rsidRPr="00D33D55">
              <w:rPr>
                <w:rStyle w:val="Hyperlink"/>
              </w:rPr>
              <w:t>Executive summary</w:t>
            </w:r>
            <w:r w:rsidR="00D471AD">
              <w:rPr>
                <w:webHidden/>
              </w:rPr>
              <w:tab/>
            </w:r>
            <w:r w:rsidR="00D471AD">
              <w:rPr>
                <w:webHidden/>
              </w:rPr>
              <w:fldChar w:fldCharType="begin"/>
            </w:r>
            <w:r w:rsidR="00D471AD">
              <w:rPr>
                <w:webHidden/>
              </w:rPr>
              <w:instrText xml:space="preserve"> PAGEREF _Toc465862788 \h </w:instrText>
            </w:r>
            <w:r w:rsidR="00D471AD">
              <w:rPr>
                <w:webHidden/>
              </w:rPr>
            </w:r>
            <w:r w:rsidR="00D471AD">
              <w:rPr>
                <w:webHidden/>
              </w:rPr>
              <w:fldChar w:fldCharType="separate"/>
            </w:r>
            <w:r w:rsidR="00D471AD">
              <w:rPr>
                <w:webHidden/>
              </w:rPr>
              <w:t>11</w:t>
            </w:r>
            <w:r w:rsidR="00D471AD">
              <w:rPr>
                <w:webHidden/>
              </w:rPr>
              <w:fldChar w:fldCharType="end"/>
            </w:r>
          </w:hyperlink>
        </w:p>
        <w:p w14:paraId="7418AE7E" w14:textId="77777777" w:rsidR="00D471AD" w:rsidRDefault="004A31A9" w:rsidP="00D471AD">
          <w:pPr>
            <w:pStyle w:val="TOC1"/>
            <w:rPr>
              <w:rFonts w:asciiTheme="minorHAnsi" w:eastAsiaTheme="minorEastAsia" w:hAnsiTheme="minorHAnsi"/>
              <w:b w:val="0"/>
              <w:color w:val="auto"/>
              <w:szCs w:val="22"/>
              <w:lang w:eastAsia="en-AU"/>
            </w:rPr>
          </w:pPr>
          <w:hyperlink w:anchor="_Toc465862789" w:history="1">
            <w:r w:rsidR="00D471AD" w:rsidRPr="00D33D55">
              <w:rPr>
                <w:rStyle w:val="Hyperlink"/>
              </w:rPr>
              <w:t>Introduction: the evolution of innovation indicators</w:t>
            </w:r>
            <w:r w:rsidR="00D471AD">
              <w:rPr>
                <w:webHidden/>
              </w:rPr>
              <w:tab/>
            </w:r>
            <w:r w:rsidR="00D471AD">
              <w:rPr>
                <w:webHidden/>
              </w:rPr>
              <w:fldChar w:fldCharType="begin"/>
            </w:r>
            <w:r w:rsidR="00D471AD">
              <w:rPr>
                <w:webHidden/>
              </w:rPr>
              <w:instrText xml:space="preserve"> PAGEREF _Toc465862789 \h </w:instrText>
            </w:r>
            <w:r w:rsidR="00D471AD">
              <w:rPr>
                <w:webHidden/>
              </w:rPr>
            </w:r>
            <w:r w:rsidR="00D471AD">
              <w:rPr>
                <w:webHidden/>
              </w:rPr>
              <w:fldChar w:fldCharType="separate"/>
            </w:r>
            <w:r w:rsidR="00D471AD">
              <w:rPr>
                <w:webHidden/>
              </w:rPr>
              <w:t>15</w:t>
            </w:r>
            <w:r w:rsidR="00D471AD">
              <w:rPr>
                <w:webHidden/>
              </w:rPr>
              <w:fldChar w:fldCharType="end"/>
            </w:r>
          </w:hyperlink>
        </w:p>
        <w:p w14:paraId="7418AE7F" w14:textId="77777777" w:rsidR="00D471AD" w:rsidRDefault="004A31A9" w:rsidP="00D471AD">
          <w:pPr>
            <w:pStyle w:val="TOC1"/>
            <w:tabs>
              <w:tab w:val="left" w:pos="1276"/>
            </w:tabs>
            <w:rPr>
              <w:rFonts w:asciiTheme="minorHAnsi" w:eastAsiaTheme="minorEastAsia" w:hAnsiTheme="minorHAnsi"/>
              <w:b w:val="0"/>
              <w:color w:val="auto"/>
              <w:szCs w:val="22"/>
              <w:lang w:eastAsia="en-AU"/>
            </w:rPr>
          </w:pPr>
          <w:hyperlink w:anchor="_Toc465862790" w:history="1">
            <w:r w:rsidR="00D471AD" w:rsidRPr="00D33D55">
              <w:rPr>
                <w:rStyle w:val="Hyperlink"/>
              </w:rPr>
              <w:t>1.</w:t>
            </w:r>
            <w:r w:rsidR="00D471AD">
              <w:rPr>
                <w:rFonts w:asciiTheme="minorHAnsi" w:eastAsiaTheme="minorEastAsia" w:hAnsiTheme="minorHAnsi"/>
                <w:b w:val="0"/>
                <w:color w:val="auto"/>
                <w:szCs w:val="22"/>
                <w:lang w:eastAsia="en-AU"/>
              </w:rPr>
              <w:tab/>
            </w:r>
            <w:r w:rsidR="00D471AD" w:rsidRPr="00D33D55">
              <w:rPr>
                <w:rStyle w:val="Hyperlink"/>
              </w:rPr>
              <w:t>Key innovation concepts</w:t>
            </w:r>
            <w:r w:rsidR="00D471AD">
              <w:rPr>
                <w:webHidden/>
              </w:rPr>
              <w:tab/>
            </w:r>
            <w:r w:rsidR="00D471AD">
              <w:rPr>
                <w:webHidden/>
              </w:rPr>
              <w:fldChar w:fldCharType="begin"/>
            </w:r>
            <w:r w:rsidR="00D471AD">
              <w:rPr>
                <w:webHidden/>
              </w:rPr>
              <w:instrText xml:space="preserve"> PAGEREF _Toc465862790 \h </w:instrText>
            </w:r>
            <w:r w:rsidR="00D471AD">
              <w:rPr>
                <w:webHidden/>
              </w:rPr>
            </w:r>
            <w:r w:rsidR="00D471AD">
              <w:rPr>
                <w:webHidden/>
              </w:rPr>
              <w:fldChar w:fldCharType="separate"/>
            </w:r>
            <w:r w:rsidR="00D471AD">
              <w:rPr>
                <w:webHidden/>
              </w:rPr>
              <w:t>18</w:t>
            </w:r>
            <w:r w:rsidR="00D471AD">
              <w:rPr>
                <w:webHidden/>
              </w:rPr>
              <w:fldChar w:fldCharType="end"/>
            </w:r>
          </w:hyperlink>
        </w:p>
        <w:p w14:paraId="7418AE80"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791" w:history="1">
            <w:r w:rsidR="00D471AD" w:rsidRPr="00D33D55">
              <w:rPr>
                <w:rStyle w:val="Hyperlink"/>
              </w:rPr>
              <w:t>1.1</w:t>
            </w:r>
            <w:r w:rsidR="00D471AD">
              <w:rPr>
                <w:rFonts w:asciiTheme="minorHAnsi" w:eastAsiaTheme="minorEastAsia" w:hAnsiTheme="minorHAnsi"/>
                <w:color w:val="auto"/>
                <w:lang w:eastAsia="en-AU"/>
              </w:rPr>
              <w:tab/>
            </w:r>
            <w:r w:rsidR="00D471AD" w:rsidRPr="00D33D55">
              <w:rPr>
                <w:rStyle w:val="Hyperlink"/>
              </w:rPr>
              <w:t>Defining innovation</w:t>
            </w:r>
            <w:r w:rsidR="00D471AD">
              <w:rPr>
                <w:webHidden/>
              </w:rPr>
              <w:tab/>
            </w:r>
            <w:r w:rsidR="00D471AD">
              <w:rPr>
                <w:webHidden/>
              </w:rPr>
              <w:fldChar w:fldCharType="begin"/>
            </w:r>
            <w:r w:rsidR="00D471AD">
              <w:rPr>
                <w:webHidden/>
              </w:rPr>
              <w:instrText xml:space="preserve"> PAGEREF _Toc465862791 \h </w:instrText>
            </w:r>
            <w:r w:rsidR="00D471AD">
              <w:rPr>
                <w:webHidden/>
              </w:rPr>
            </w:r>
            <w:r w:rsidR="00D471AD">
              <w:rPr>
                <w:webHidden/>
              </w:rPr>
              <w:fldChar w:fldCharType="separate"/>
            </w:r>
            <w:r w:rsidR="00D471AD">
              <w:rPr>
                <w:webHidden/>
              </w:rPr>
              <w:t>18</w:t>
            </w:r>
            <w:r w:rsidR="00D471AD">
              <w:rPr>
                <w:webHidden/>
              </w:rPr>
              <w:fldChar w:fldCharType="end"/>
            </w:r>
          </w:hyperlink>
        </w:p>
        <w:p w14:paraId="7418AE81"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792" w:history="1">
            <w:r w:rsidR="00D471AD" w:rsidRPr="00D33D55">
              <w:rPr>
                <w:rStyle w:val="Hyperlink"/>
              </w:rPr>
              <w:t>1.2</w:t>
            </w:r>
            <w:r w:rsidR="00D471AD">
              <w:rPr>
                <w:rFonts w:asciiTheme="minorHAnsi" w:eastAsiaTheme="minorEastAsia" w:hAnsiTheme="minorHAnsi"/>
                <w:color w:val="auto"/>
                <w:lang w:eastAsia="en-AU"/>
              </w:rPr>
              <w:tab/>
            </w:r>
            <w:r w:rsidR="00D471AD" w:rsidRPr="00D33D55">
              <w:rPr>
                <w:rStyle w:val="Hyperlink"/>
              </w:rPr>
              <w:t>Defining the innovation system</w:t>
            </w:r>
            <w:r w:rsidR="00D471AD">
              <w:rPr>
                <w:webHidden/>
              </w:rPr>
              <w:tab/>
            </w:r>
            <w:r w:rsidR="00D471AD">
              <w:rPr>
                <w:webHidden/>
              </w:rPr>
              <w:fldChar w:fldCharType="begin"/>
            </w:r>
            <w:r w:rsidR="00D471AD">
              <w:rPr>
                <w:webHidden/>
              </w:rPr>
              <w:instrText xml:space="preserve"> PAGEREF _Toc465862792 \h </w:instrText>
            </w:r>
            <w:r w:rsidR="00D471AD">
              <w:rPr>
                <w:webHidden/>
              </w:rPr>
            </w:r>
            <w:r w:rsidR="00D471AD">
              <w:rPr>
                <w:webHidden/>
              </w:rPr>
              <w:fldChar w:fldCharType="separate"/>
            </w:r>
            <w:r w:rsidR="00D471AD">
              <w:rPr>
                <w:webHidden/>
              </w:rPr>
              <w:t>18</w:t>
            </w:r>
            <w:r w:rsidR="00D471AD">
              <w:rPr>
                <w:webHidden/>
              </w:rPr>
              <w:fldChar w:fldCharType="end"/>
            </w:r>
          </w:hyperlink>
        </w:p>
        <w:p w14:paraId="7418AE82"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793" w:history="1">
            <w:r w:rsidR="00D471AD" w:rsidRPr="00D33D55">
              <w:rPr>
                <w:rStyle w:val="Hyperlink"/>
              </w:rPr>
              <w:t>1.3</w:t>
            </w:r>
            <w:r w:rsidR="00D471AD">
              <w:rPr>
                <w:rFonts w:asciiTheme="minorHAnsi" w:eastAsiaTheme="minorEastAsia" w:hAnsiTheme="minorHAnsi"/>
                <w:color w:val="auto"/>
                <w:lang w:eastAsia="en-AU"/>
              </w:rPr>
              <w:tab/>
            </w:r>
            <w:r w:rsidR="00D471AD" w:rsidRPr="00D33D55">
              <w:rPr>
                <w:rStyle w:val="Hyperlink"/>
              </w:rPr>
              <w:t>The evolution of innovation indicators</w:t>
            </w:r>
            <w:r w:rsidR="00D471AD">
              <w:rPr>
                <w:webHidden/>
              </w:rPr>
              <w:tab/>
            </w:r>
            <w:r w:rsidR="00D471AD">
              <w:rPr>
                <w:webHidden/>
              </w:rPr>
              <w:fldChar w:fldCharType="begin"/>
            </w:r>
            <w:r w:rsidR="00D471AD">
              <w:rPr>
                <w:webHidden/>
              </w:rPr>
              <w:instrText xml:space="preserve"> PAGEREF _Toc465862793 \h </w:instrText>
            </w:r>
            <w:r w:rsidR="00D471AD">
              <w:rPr>
                <w:webHidden/>
              </w:rPr>
            </w:r>
            <w:r w:rsidR="00D471AD">
              <w:rPr>
                <w:webHidden/>
              </w:rPr>
              <w:fldChar w:fldCharType="separate"/>
            </w:r>
            <w:r w:rsidR="00D471AD">
              <w:rPr>
                <w:webHidden/>
              </w:rPr>
              <w:t>20</w:t>
            </w:r>
            <w:r w:rsidR="00D471AD">
              <w:rPr>
                <w:webHidden/>
              </w:rPr>
              <w:fldChar w:fldCharType="end"/>
            </w:r>
          </w:hyperlink>
        </w:p>
        <w:p w14:paraId="7418AE83" w14:textId="77777777" w:rsidR="00D471AD" w:rsidRDefault="004A31A9" w:rsidP="00D471AD">
          <w:pPr>
            <w:pStyle w:val="TOC3"/>
            <w:rPr>
              <w:rFonts w:asciiTheme="minorHAnsi" w:eastAsiaTheme="minorEastAsia" w:hAnsiTheme="minorHAnsi"/>
              <w:color w:val="auto"/>
              <w:lang w:eastAsia="en-AU"/>
            </w:rPr>
          </w:pPr>
          <w:hyperlink w:anchor="_Toc465862794" w:history="1">
            <w:r w:rsidR="00D471AD" w:rsidRPr="00D33D55">
              <w:rPr>
                <w:rStyle w:val="Hyperlink"/>
              </w:rPr>
              <w:t>New innovation data</w:t>
            </w:r>
            <w:r w:rsidR="00D471AD">
              <w:rPr>
                <w:webHidden/>
              </w:rPr>
              <w:tab/>
            </w:r>
            <w:r w:rsidR="00D471AD">
              <w:rPr>
                <w:webHidden/>
              </w:rPr>
              <w:fldChar w:fldCharType="begin"/>
            </w:r>
            <w:r w:rsidR="00D471AD">
              <w:rPr>
                <w:webHidden/>
              </w:rPr>
              <w:instrText xml:space="preserve"> PAGEREF _Toc465862794 \h </w:instrText>
            </w:r>
            <w:r w:rsidR="00D471AD">
              <w:rPr>
                <w:webHidden/>
              </w:rPr>
            </w:r>
            <w:r w:rsidR="00D471AD">
              <w:rPr>
                <w:webHidden/>
              </w:rPr>
              <w:fldChar w:fldCharType="separate"/>
            </w:r>
            <w:r w:rsidR="00D471AD">
              <w:rPr>
                <w:webHidden/>
              </w:rPr>
              <w:t>21</w:t>
            </w:r>
            <w:r w:rsidR="00D471AD">
              <w:rPr>
                <w:webHidden/>
              </w:rPr>
              <w:fldChar w:fldCharType="end"/>
            </w:r>
          </w:hyperlink>
        </w:p>
        <w:p w14:paraId="7418AE84" w14:textId="77777777" w:rsidR="00D471AD" w:rsidRDefault="004A31A9" w:rsidP="00D471AD">
          <w:pPr>
            <w:pStyle w:val="TOC2"/>
            <w:rPr>
              <w:rFonts w:asciiTheme="minorHAnsi" w:eastAsiaTheme="minorEastAsia" w:hAnsiTheme="minorHAnsi"/>
              <w:color w:val="auto"/>
              <w:lang w:eastAsia="en-AU"/>
            </w:rPr>
          </w:pPr>
          <w:hyperlink w:anchor="_Toc465862795" w:history="1">
            <w:r w:rsidR="00D471AD" w:rsidRPr="00D33D55">
              <w:rPr>
                <w:rStyle w:val="Hyperlink"/>
              </w:rPr>
              <w:t>Feature article: Innovating the innovation indicators</w:t>
            </w:r>
            <w:r w:rsidR="00D471AD">
              <w:rPr>
                <w:webHidden/>
              </w:rPr>
              <w:tab/>
            </w:r>
            <w:r w:rsidR="00D471AD">
              <w:rPr>
                <w:webHidden/>
              </w:rPr>
              <w:fldChar w:fldCharType="begin"/>
            </w:r>
            <w:r w:rsidR="00D471AD">
              <w:rPr>
                <w:webHidden/>
              </w:rPr>
              <w:instrText xml:space="preserve"> PAGEREF _Toc465862795 \h </w:instrText>
            </w:r>
            <w:r w:rsidR="00D471AD">
              <w:rPr>
                <w:webHidden/>
              </w:rPr>
            </w:r>
            <w:r w:rsidR="00D471AD">
              <w:rPr>
                <w:webHidden/>
              </w:rPr>
              <w:fldChar w:fldCharType="separate"/>
            </w:r>
            <w:r w:rsidR="00D471AD">
              <w:rPr>
                <w:webHidden/>
              </w:rPr>
              <w:t>23</w:t>
            </w:r>
            <w:r w:rsidR="00D471AD">
              <w:rPr>
                <w:webHidden/>
              </w:rPr>
              <w:fldChar w:fldCharType="end"/>
            </w:r>
          </w:hyperlink>
        </w:p>
        <w:p w14:paraId="7418AE85" w14:textId="77777777" w:rsidR="00D471AD" w:rsidRDefault="004A31A9" w:rsidP="00D471AD">
          <w:pPr>
            <w:pStyle w:val="TOC2"/>
            <w:rPr>
              <w:rFonts w:asciiTheme="minorHAnsi" w:eastAsiaTheme="minorEastAsia" w:hAnsiTheme="minorHAnsi"/>
              <w:color w:val="auto"/>
              <w:lang w:eastAsia="en-AU"/>
            </w:rPr>
          </w:pPr>
          <w:hyperlink w:anchor="_Toc465862796" w:history="1">
            <w:r w:rsidR="00D471AD" w:rsidRPr="00D33D55">
              <w:rPr>
                <w:rStyle w:val="Hyperlink"/>
              </w:rPr>
              <w:t>Feature article: theSPACE</w:t>
            </w:r>
            <w:r w:rsidR="00D471AD">
              <w:rPr>
                <w:webHidden/>
              </w:rPr>
              <w:tab/>
            </w:r>
            <w:r w:rsidR="00D471AD">
              <w:rPr>
                <w:webHidden/>
              </w:rPr>
              <w:fldChar w:fldCharType="begin"/>
            </w:r>
            <w:r w:rsidR="00D471AD">
              <w:rPr>
                <w:webHidden/>
              </w:rPr>
              <w:instrText xml:space="preserve"> PAGEREF _Toc465862796 \h </w:instrText>
            </w:r>
            <w:r w:rsidR="00D471AD">
              <w:rPr>
                <w:webHidden/>
              </w:rPr>
            </w:r>
            <w:r w:rsidR="00D471AD">
              <w:rPr>
                <w:webHidden/>
              </w:rPr>
              <w:fldChar w:fldCharType="separate"/>
            </w:r>
            <w:r w:rsidR="00D471AD">
              <w:rPr>
                <w:webHidden/>
              </w:rPr>
              <w:t>25</w:t>
            </w:r>
            <w:r w:rsidR="00D471AD">
              <w:rPr>
                <w:webHidden/>
              </w:rPr>
              <w:fldChar w:fldCharType="end"/>
            </w:r>
          </w:hyperlink>
        </w:p>
        <w:p w14:paraId="7418AE86" w14:textId="77777777" w:rsidR="00D471AD" w:rsidRDefault="004A31A9" w:rsidP="00D471AD">
          <w:pPr>
            <w:pStyle w:val="TOC1"/>
            <w:tabs>
              <w:tab w:val="left" w:pos="1276"/>
            </w:tabs>
            <w:rPr>
              <w:rFonts w:asciiTheme="minorHAnsi" w:eastAsiaTheme="minorEastAsia" w:hAnsiTheme="minorHAnsi"/>
              <w:b w:val="0"/>
              <w:color w:val="auto"/>
              <w:szCs w:val="22"/>
              <w:lang w:eastAsia="en-AU"/>
            </w:rPr>
          </w:pPr>
          <w:hyperlink w:anchor="_Toc465862797" w:history="1">
            <w:r w:rsidR="00D471AD" w:rsidRPr="00D33D55">
              <w:rPr>
                <w:rStyle w:val="Hyperlink"/>
              </w:rPr>
              <w:t>2.</w:t>
            </w:r>
            <w:r w:rsidR="00D471AD">
              <w:rPr>
                <w:rFonts w:asciiTheme="minorHAnsi" w:eastAsiaTheme="minorEastAsia" w:hAnsiTheme="minorHAnsi"/>
                <w:b w:val="0"/>
                <w:color w:val="auto"/>
                <w:szCs w:val="22"/>
                <w:lang w:eastAsia="en-AU"/>
              </w:rPr>
              <w:tab/>
            </w:r>
            <w:r w:rsidR="00D471AD" w:rsidRPr="00D33D55">
              <w:rPr>
                <w:rStyle w:val="Hyperlink"/>
              </w:rPr>
              <w:t>Why is innovation important?</w:t>
            </w:r>
            <w:r w:rsidR="00D471AD">
              <w:rPr>
                <w:webHidden/>
              </w:rPr>
              <w:tab/>
            </w:r>
            <w:r w:rsidR="00D471AD">
              <w:rPr>
                <w:webHidden/>
              </w:rPr>
              <w:fldChar w:fldCharType="begin"/>
            </w:r>
            <w:r w:rsidR="00D471AD">
              <w:rPr>
                <w:webHidden/>
              </w:rPr>
              <w:instrText xml:space="preserve"> PAGEREF _Toc465862797 \h </w:instrText>
            </w:r>
            <w:r w:rsidR="00D471AD">
              <w:rPr>
                <w:webHidden/>
              </w:rPr>
            </w:r>
            <w:r w:rsidR="00D471AD">
              <w:rPr>
                <w:webHidden/>
              </w:rPr>
              <w:fldChar w:fldCharType="separate"/>
            </w:r>
            <w:r w:rsidR="00D471AD">
              <w:rPr>
                <w:webHidden/>
              </w:rPr>
              <w:t>28</w:t>
            </w:r>
            <w:r w:rsidR="00D471AD">
              <w:rPr>
                <w:webHidden/>
              </w:rPr>
              <w:fldChar w:fldCharType="end"/>
            </w:r>
          </w:hyperlink>
        </w:p>
        <w:p w14:paraId="7418AE87"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798" w:history="1">
            <w:r w:rsidR="00D471AD" w:rsidRPr="00D33D55">
              <w:rPr>
                <w:rStyle w:val="Hyperlink"/>
              </w:rPr>
              <w:t>2.1</w:t>
            </w:r>
            <w:r w:rsidR="00D471AD">
              <w:rPr>
                <w:rFonts w:asciiTheme="minorHAnsi" w:eastAsiaTheme="minorEastAsia" w:hAnsiTheme="minorHAnsi"/>
                <w:color w:val="auto"/>
                <w:lang w:eastAsia="en-AU"/>
              </w:rPr>
              <w:tab/>
            </w:r>
            <w:r w:rsidR="00D471AD" w:rsidRPr="00D33D55">
              <w:rPr>
                <w:rStyle w:val="Hyperlink"/>
              </w:rPr>
              <w:t>Innovation is a key factor for competitiveness</w:t>
            </w:r>
            <w:r w:rsidR="00D471AD">
              <w:rPr>
                <w:webHidden/>
              </w:rPr>
              <w:tab/>
            </w:r>
            <w:r w:rsidR="00D471AD">
              <w:rPr>
                <w:webHidden/>
              </w:rPr>
              <w:fldChar w:fldCharType="begin"/>
            </w:r>
            <w:r w:rsidR="00D471AD">
              <w:rPr>
                <w:webHidden/>
              </w:rPr>
              <w:instrText xml:space="preserve"> PAGEREF _Toc465862798 \h </w:instrText>
            </w:r>
            <w:r w:rsidR="00D471AD">
              <w:rPr>
                <w:webHidden/>
              </w:rPr>
            </w:r>
            <w:r w:rsidR="00D471AD">
              <w:rPr>
                <w:webHidden/>
              </w:rPr>
              <w:fldChar w:fldCharType="separate"/>
            </w:r>
            <w:r w:rsidR="00D471AD">
              <w:rPr>
                <w:webHidden/>
              </w:rPr>
              <w:t>28</w:t>
            </w:r>
            <w:r w:rsidR="00D471AD">
              <w:rPr>
                <w:webHidden/>
              </w:rPr>
              <w:fldChar w:fldCharType="end"/>
            </w:r>
          </w:hyperlink>
        </w:p>
        <w:p w14:paraId="7418AE88"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799" w:history="1">
            <w:r w:rsidR="00D471AD" w:rsidRPr="00D33D55">
              <w:rPr>
                <w:rStyle w:val="Hyperlink"/>
              </w:rPr>
              <w:t>2.2</w:t>
            </w:r>
            <w:r w:rsidR="00D471AD">
              <w:rPr>
                <w:rFonts w:asciiTheme="minorHAnsi" w:eastAsiaTheme="minorEastAsia" w:hAnsiTheme="minorHAnsi"/>
                <w:color w:val="auto"/>
                <w:lang w:eastAsia="en-AU"/>
              </w:rPr>
              <w:tab/>
            </w:r>
            <w:r w:rsidR="00D471AD" w:rsidRPr="00D33D55">
              <w:rPr>
                <w:rStyle w:val="Hyperlink"/>
              </w:rPr>
              <w:t>Measuring the outcomes of the innovation system</w:t>
            </w:r>
            <w:r w:rsidR="00D471AD">
              <w:rPr>
                <w:webHidden/>
              </w:rPr>
              <w:tab/>
            </w:r>
            <w:r w:rsidR="00D471AD">
              <w:rPr>
                <w:webHidden/>
              </w:rPr>
              <w:fldChar w:fldCharType="begin"/>
            </w:r>
            <w:r w:rsidR="00D471AD">
              <w:rPr>
                <w:webHidden/>
              </w:rPr>
              <w:instrText xml:space="preserve"> PAGEREF _Toc465862799 \h </w:instrText>
            </w:r>
            <w:r w:rsidR="00D471AD">
              <w:rPr>
                <w:webHidden/>
              </w:rPr>
            </w:r>
            <w:r w:rsidR="00D471AD">
              <w:rPr>
                <w:webHidden/>
              </w:rPr>
              <w:fldChar w:fldCharType="separate"/>
            </w:r>
            <w:r w:rsidR="00D471AD">
              <w:rPr>
                <w:webHidden/>
              </w:rPr>
              <w:t>28</w:t>
            </w:r>
            <w:r w:rsidR="00D471AD">
              <w:rPr>
                <w:webHidden/>
              </w:rPr>
              <w:fldChar w:fldCharType="end"/>
            </w:r>
          </w:hyperlink>
        </w:p>
        <w:p w14:paraId="7418AE89"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00" w:history="1">
            <w:r w:rsidR="00D471AD" w:rsidRPr="00D33D55">
              <w:rPr>
                <w:rStyle w:val="Hyperlink"/>
              </w:rPr>
              <w:t>2.3</w:t>
            </w:r>
            <w:r w:rsidR="00D471AD">
              <w:rPr>
                <w:rFonts w:asciiTheme="minorHAnsi" w:eastAsiaTheme="minorEastAsia" w:hAnsiTheme="minorHAnsi"/>
                <w:color w:val="auto"/>
                <w:lang w:eastAsia="en-AU"/>
              </w:rPr>
              <w:tab/>
            </w:r>
            <w:r w:rsidR="00D471AD" w:rsidRPr="00D33D55">
              <w:rPr>
                <w:rStyle w:val="Hyperlink"/>
              </w:rPr>
              <w:t>The economic contribution of innovative businesses</w:t>
            </w:r>
            <w:r w:rsidR="00D471AD">
              <w:rPr>
                <w:webHidden/>
              </w:rPr>
              <w:tab/>
            </w:r>
            <w:r w:rsidR="00D471AD">
              <w:rPr>
                <w:webHidden/>
              </w:rPr>
              <w:fldChar w:fldCharType="begin"/>
            </w:r>
            <w:r w:rsidR="00D471AD">
              <w:rPr>
                <w:webHidden/>
              </w:rPr>
              <w:instrText xml:space="preserve"> PAGEREF _Toc465862800 \h </w:instrText>
            </w:r>
            <w:r w:rsidR="00D471AD">
              <w:rPr>
                <w:webHidden/>
              </w:rPr>
            </w:r>
            <w:r w:rsidR="00D471AD">
              <w:rPr>
                <w:webHidden/>
              </w:rPr>
              <w:fldChar w:fldCharType="separate"/>
            </w:r>
            <w:r w:rsidR="00D471AD">
              <w:rPr>
                <w:webHidden/>
              </w:rPr>
              <w:t>29</w:t>
            </w:r>
            <w:r w:rsidR="00D471AD">
              <w:rPr>
                <w:webHidden/>
              </w:rPr>
              <w:fldChar w:fldCharType="end"/>
            </w:r>
          </w:hyperlink>
        </w:p>
        <w:p w14:paraId="7418AE8A"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01" w:history="1">
            <w:r w:rsidR="00D471AD" w:rsidRPr="00D33D55">
              <w:rPr>
                <w:rStyle w:val="Hyperlink"/>
              </w:rPr>
              <w:t>2.4</w:t>
            </w:r>
            <w:r w:rsidR="00D471AD">
              <w:rPr>
                <w:rFonts w:asciiTheme="minorHAnsi" w:eastAsiaTheme="minorEastAsia" w:hAnsiTheme="minorHAnsi"/>
                <w:color w:val="auto"/>
                <w:lang w:eastAsia="en-AU"/>
              </w:rPr>
              <w:tab/>
            </w:r>
            <w:r w:rsidR="00D471AD" w:rsidRPr="00D33D55">
              <w:rPr>
                <w:rStyle w:val="Hyperlink"/>
              </w:rPr>
              <w:t>The economic contribution of high-growth businesses</w:t>
            </w:r>
            <w:r w:rsidR="00D471AD">
              <w:rPr>
                <w:webHidden/>
              </w:rPr>
              <w:tab/>
            </w:r>
            <w:r w:rsidR="00D471AD">
              <w:rPr>
                <w:webHidden/>
              </w:rPr>
              <w:fldChar w:fldCharType="begin"/>
            </w:r>
            <w:r w:rsidR="00D471AD">
              <w:rPr>
                <w:webHidden/>
              </w:rPr>
              <w:instrText xml:space="preserve"> PAGEREF _Toc465862801 \h </w:instrText>
            </w:r>
            <w:r w:rsidR="00D471AD">
              <w:rPr>
                <w:webHidden/>
              </w:rPr>
            </w:r>
            <w:r w:rsidR="00D471AD">
              <w:rPr>
                <w:webHidden/>
              </w:rPr>
              <w:fldChar w:fldCharType="separate"/>
            </w:r>
            <w:r w:rsidR="00D471AD">
              <w:rPr>
                <w:webHidden/>
              </w:rPr>
              <w:t>30</w:t>
            </w:r>
            <w:r w:rsidR="00D471AD">
              <w:rPr>
                <w:webHidden/>
              </w:rPr>
              <w:fldChar w:fldCharType="end"/>
            </w:r>
          </w:hyperlink>
        </w:p>
        <w:p w14:paraId="7418AE8B" w14:textId="77777777" w:rsidR="00D471AD" w:rsidRDefault="004A31A9" w:rsidP="00D471AD">
          <w:pPr>
            <w:pStyle w:val="TOC3"/>
            <w:rPr>
              <w:rFonts w:asciiTheme="minorHAnsi" w:eastAsiaTheme="minorEastAsia" w:hAnsiTheme="minorHAnsi"/>
              <w:color w:val="auto"/>
              <w:lang w:eastAsia="en-AU"/>
            </w:rPr>
          </w:pPr>
          <w:hyperlink w:anchor="_Toc465862802" w:history="1">
            <w:r w:rsidR="00D471AD" w:rsidRPr="00D33D55">
              <w:rPr>
                <w:rStyle w:val="Hyperlink"/>
              </w:rPr>
              <w:t>Start-ups and growth</w:t>
            </w:r>
            <w:r w:rsidR="00D471AD">
              <w:rPr>
                <w:webHidden/>
              </w:rPr>
              <w:tab/>
            </w:r>
            <w:r w:rsidR="00D471AD">
              <w:rPr>
                <w:webHidden/>
              </w:rPr>
              <w:fldChar w:fldCharType="begin"/>
            </w:r>
            <w:r w:rsidR="00D471AD">
              <w:rPr>
                <w:webHidden/>
              </w:rPr>
              <w:instrText xml:space="preserve"> PAGEREF _Toc465862802 \h </w:instrText>
            </w:r>
            <w:r w:rsidR="00D471AD">
              <w:rPr>
                <w:webHidden/>
              </w:rPr>
            </w:r>
            <w:r w:rsidR="00D471AD">
              <w:rPr>
                <w:webHidden/>
              </w:rPr>
              <w:fldChar w:fldCharType="separate"/>
            </w:r>
            <w:r w:rsidR="00D471AD">
              <w:rPr>
                <w:webHidden/>
              </w:rPr>
              <w:t>31</w:t>
            </w:r>
            <w:r w:rsidR="00D471AD">
              <w:rPr>
                <w:webHidden/>
              </w:rPr>
              <w:fldChar w:fldCharType="end"/>
            </w:r>
          </w:hyperlink>
        </w:p>
        <w:p w14:paraId="7418AE8C"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03" w:history="1">
            <w:r w:rsidR="00D471AD" w:rsidRPr="00D33D55">
              <w:rPr>
                <w:rStyle w:val="Hyperlink"/>
              </w:rPr>
              <w:t>2.5</w:t>
            </w:r>
            <w:r w:rsidR="00D471AD">
              <w:rPr>
                <w:rFonts w:asciiTheme="minorHAnsi" w:eastAsiaTheme="minorEastAsia" w:hAnsiTheme="minorHAnsi"/>
                <w:color w:val="auto"/>
                <w:lang w:eastAsia="en-AU"/>
              </w:rPr>
              <w:tab/>
            </w:r>
            <w:r w:rsidR="00D471AD" w:rsidRPr="00D33D55">
              <w:rPr>
                <w:rStyle w:val="Hyperlink"/>
              </w:rPr>
              <w:t>The benefits of innovation</w:t>
            </w:r>
            <w:r w:rsidR="00D471AD">
              <w:rPr>
                <w:webHidden/>
              </w:rPr>
              <w:tab/>
            </w:r>
            <w:r w:rsidR="00D471AD">
              <w:rPr>
                <w:webHidden/>
              </w:rPr>
              <w:fldChar w:fldCharType="begin"/>
            </w:r>
            <w:r w:rsidR="00D471AD">
              <w:rPr>
                <w:webHidden/>
              </w:rPr>
              <w:instrText xml:space="preserve"> PAGEREF _Toc465862803 \h </w:instrText>
            </w:r>
            <w:r w:rsidR="00D471AD">
              <w:rPr>
                <w:webHidden/>
              </w:rPr>
            </w:r>
            <w:r w:rsidR="00D471AD">
              <w:rPr>
                <w:webHidden/>
              </w:rPr>
              <w:fldChar w:fldCharType="separate"/>
            </w:r>
            <w:r w:rsidR="00D471AD">
              <w:rPr>
                <w:webHidden/>
              </w:rPr>
              <w:t>34</w:t>
            </w:r>
            <w:r w:rsidR="00D471AD">
              <w:rPr>
                <w:webHidden/>
              </w:rPr>
              <w:fldChar w:fldCharType="end"/>
            </w:r>
          </w:hyperlink>
        </w:p>
        <w:p w14:paraId="7418AE8D"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04" w:history="1">
            <w:r w:rsidR="00D471AD" w:rsidRPr="00D33D55">
              <w:rPr>
                <w:rStyle w:val="Hyperlink"/>
              </w:rPr>
              <w:t>2.6</w:t>
            </w:r>
            <w:r w:rsidR="00D471AD">
              <w:rPr>
                <w:rFonts w:asciiTheme="minorHAnsi" w:eastAsiaTheme="minorEastAsia" w:hAnsiTheme="minorHAnsi"/>
                <w:color w:val="auto"/>
                <w:lang w:eastAsia="en-AU"/>
              </w:rPr>
              <w:tab/>
            </w:r>
            <w:r w:rsidR="00D471AD" w:rsidRPr="00D33D55">
              <w:rPr>
                <w:rStyle w:val="Hyperlink"/>
              </w:rPr>
              <w:t>The relationship between innovation and firm growth</w:t>
            </w:r>
            <w:r w:rsidR="00D471AD">
              <w:rPr>
                <w:webHidden/>
              </w:rPr>
              <w:tab/>
            </w:r>
            <w:r w:rsidR="00D471AD">
              <w:rPr>
                <w:webHidden/>
              </w:rPr>
              <w:fldChar w:fldCharType="begin"/>
            </w:r>
            <w:r w:rsidR="00D471AD">
              <w:rPr>
                <w:webHidden/>
              </w:rPr>
              <w:instrText xml:space="preserve"> PAGEREF _Toc465862804 \h </w:instrText>
            </w:r>
            <w:r w:rsidR="00D471AD">
              <w:rPr>
                <w:webHidden/>
              </w:rPr>
            </w:r>
            <w:r w:rsidR="00D471AD">
              <w:rPr>
                <w:webHidden/>
              </w:rPr>
              <w:fldChar w:fldCharType="separate"/>
            </w:r>
            <w:r w:rsidR="00D471AD">
              <w:rPr>
                <w:webHidden/>
              </w:rPr>
              <w:t>35</w:t>
            </w:r>
            <w:r w:rsidR="00D471AD">
              <w:rPr>
                <w:webHidden/>
              </w:rPr>
              <w:fldChar w:fldCharType="end"/>
            </w:r>
          </w:hyperlink>
        </w:p>
        <w:p w14:paraId="7418AE8E"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05" w:history="1">
            <w:r w:rsidR="00D471AD" w:rsidRPr="00D33D55">
              <w:rPr>
                <w:rStyle w:val="Hyperlink"/>
              </w:rPr>
              <w:t>2.7</w:t>
            </w:r>
            <w:r w:rsidR="00D471AD">
              <w:rPr>
                <w:rFonts w:asciiTheme="minorHAnsi" w:eastAsiaTheme="minorEastAsia" w:hAnsiTheme="minorHAnsi"/>
                <w:color w:val="auto"/>
                <w:lang w:eastAsia="en-AU"/>
              </w:rPr>
              <w:tab/>
            </w:r>
            <w:r w:rsidR="00D471AD" w:rsidRPr="00D33D55">
              <w:rPr>
                <w:rStyle w:val="Hyperlink"/>
              </w:rPr>
              <w:t>A new indicator for the impact of innovation</w:t>
            </w:r>
            <w:r w:rsidR="00D471AD">
              <w:rPr>
                <w:webHidden/>
              </w:rPr>
              <w:tab/>
            </w:r>
            <w:r w:rsidR="00D471AD">
              <w:rPr>
                <w:webHidden/>
              </w:rPr>
              <w:fldChar w:fldCharType="begin"/>
            </w:r>
            <w:r w:rsidR="00D471AD">
              <w:rPr>
                <w:webHidden/>
              </w:rPr>
              <w:instrText xml:space="preserve"> PAGEREF _Toc465862805 \h </w:instrText>
            </w:r>
            <w:r w:rsidR="00D471AD">
              <w:rPr>
                <w:webHidden/>
              </w:rPr>
            </w:r>
            <w:r w:rsidR="00D471AD">
              <w:rPr>
                <w:webHidden/>
              </w:rPr>
              <w:fldChar w:fldCharType="separate"/>
            </w:r>
            <w:r w:rsidR="00D471AD">
              <w:rPr>
                <w:webHidden/>
              </w:rPr>
              <w:t>38</w:t>
            </w:r>
            <w:r w:rsidR="00D471AD">
              <w:rPr>
                <w:webHidden/>
              </w:rPr>
              <w:fldChar w:fldCharType="end"/>
            </w:r>
          </w:hyperlink>
        </w:p>
        <w:p w14:paraId="7418AE8F" w14:textId="77777777" w:rsidR="00D471AD" w:rsidRDefault="004A31A9" w:rsidP="00D471AD">
          <w:pPr>
            <w:pStyle w:val="TOC3"/>
            <w:rPr>
              <w:rFonts w:asciiTheme="minorHAnsi" w:eastAsiaTheme="minorEastAsia" w:hAnsiTheme="minorHAnsi"/>
              <w:color w:val="auto"/>
              <w:lang w:eastAsia="en-AU"/>
            </w:rPr>
          </w:pPr>
          <w:hyperlink w:anchor="_Toc465862806" w:history="1">
            <w:r w:rsidR="00D471AD" w:rsidRPr="00D33D55">
              <w:rPr>
                <w:rStyle w:val="Hyperlink"/>
              </w:rPr>
              <w:t>Income from goods and services innovation</w:t>
            </w:r>
            <w:r w:rsidR="00D471AD">
              <w:rPr>
                <w:webHidden/>
              </w:rPr>
              <w:tab/>
            </w:r>
            <w:r w:rsidR="00D471AD">
              <w:rPr>
                <w:webHidden/>
              </w:rPr>
              <w:fldChar w:fldCharType="begin"/>
            </w:r>
            <w:r w:rsidR="00D471AD">
              <w:rPr>
                <w:webHidden/>
              </w:rPr>
              <w:instrText xml:space="preserve"> PAGEREF _Toc465862806 \h </w:instrText>
            </w:r>
            <w:r w:rsidR="00D471AD">
              <w:rPr>
                <w:webHidden/>
              </w:rPr>
            </w:r>
            <w:r w:rsidR="00D471AD">
              <w:rPr>
                <w:webHidden/>
              </w:rPr>
              <w:fldChar w:fldCharType="separate"/>
            </w:r>
            <w:r w:rsidR="00D471AD">
              <w:rPr>
                <w:webHidden/>
              </w:rPr>
              <w:t>40</w:t>
            </w:r>
            <w:r w:rsidR="00D471AD">
              <w:rPr>
                <w:webHidden/>
              </w:rPr>
              <w:fldChar w:fldCharType="end"/>
            </w:r>
          </w:hyperlink>
        </w:p>
        <w:p w14:paraId="7418AE90" w14:textId="77777777" w:rsidR="00D471AD" w:rsidRDefault="004A31A9" w:rsidP="00D471AD">
          <w:pPr>
            <w:pStyle w:val="TOC3"/>
            <w:rPr>
              <w:rFonts w:asciiTheme="minorHAnsi" w:eastAsiaTheme="minorEastAsia" w:hAnsiTheme="minorHAnsi"/>
              <w:color w:val="auto"/>
              <w:lang w:eastAsia="en-AU"/>
            </w:rPr>
          </w:pPr>
          <w:hyperlink w:anchor="_Toc465862807" w:history="1">
            <w:r w:rsidR="00D471AD" w:rsidRPr="00D33D55">
              <w:rPr>
                <w:rStyle w:val="Hyperlink"/>
              </w:rPr>
              <w:t>A new measure of innovation system efficiency</w:t>
            </w:r>
            <w:r w:rsidR="00D471AD">
              <w:rPr>
                <w:webHidden/>
              </w:rPr>
              <w:tab/>
            </w:r>
            <w:r w:rsidR="00D471AD">
              <w:rPr>
                <w:webHidden/>
              </w:rPr>
              <w:fldChar w:fldCharType="begin"/>
            </w:r>
            <w:r w:rsidR="00D471AD">
              <w:rPr>
                <w:webHidden/>
              </w:rPr>
              <w:instrText xml:space="preserve"> PAGEREF _Toc465862807 \h </w:instrText>
            </w:r>
            <w:r w:rsidR="00D471AD">
              <w:rPr>
                <w:webHidden/>
              </w:rPr>
            </w:r>
            <w:r w:rsidR="00D471AD">
              <w:rPr>
                <w:webHidden/>
              </w:rPr>
              <w:fldChar w:fldCharType="separate"/>
            </w:r>
            <w:r w:rsidR="00D471AD">
              <w:rPr>
                <w:webHidden/>
              </w:rPr>
              <w:t>40</w:t>
            </w:r>
            <w:r w:rsidR="00D471AD">
              <w:rPr>
                <w:webHidden/>
              </w:rPr>
              <w:fldChar w:fldCharType="end"/>
            </w:r>
          </w:hyperlink>
        </w:p>
        <w:p w14:paraId="7418AE91"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08" w:history="1">
            <w:r w:rsidR="00D471AD" w:rsidRPr="00D33D55">
              <w:rPr>
                <w:rStyle w:val="Hyperlink"/>
              </w:rPr>
              <w:t>2.8</w:t>
            </w:r>
            <w:r w:rsidR="00D471AD">
              <w:rPr>
                <w:rFonts w:asciiTheme="minorHAnsi" w:eastAsiaTheme="minorEastAsia" w:hAnsiTheme="minorHAnsi"/>
                <w:color w:val="auto"/>
                <w:lang w:eastAsia="en-AU"/>
              </w:rPr>
              <w:tab/>
            </w:r>
            <w:r w:rsidR="00D471AD" w:rsidRPr="00D33D55">
              <w:rPr>
                <w:rStyle w:val="Hyperlink"/>
              </w:rPr>
              <w:t>Feature article: CSIRO Futures</w:t>
            </w:r>
            <w:r w:rsidR="00D471AD">
              <w:rPr>
                <w:webHidden/>
              </w:rPr>
              <w:tab/>
            </w:r>
            <w:r w:rsidR="00D471AD">
              <w:rPr>
                <w:webHidden/>
              </w:rPr>
              <w:fldChar w:fldCharType="begin"/>
            </w:r>
            <w:r w:rsidR="00D471AD">
              <w:rPr>
                <w:webHidden/>
              </w:rPr>
              <w:instrText xml:space="preserve"> PAGEREF _Toc465862808 \h </w:instrText>
            </w:r>
            <w:r w:rsidR="00D471AD">
              <w:rPr>
                <w:webHidden/>
              </w:rPr>
            </w:r>
            <w:r w:rsidR="00D471AD">
              <w:rPr>
                <w:webHidden/>
              </w:rPr>
              <w:fldChar w:fldCharType="separate"/>
            </w:r>
            <w:r w:rsidR="00D471AD">
              <w:rPr>
                <w:webHidden/>
              </w:rPr>
              <w:t>41</w:t>
            </w:r>
            <w:r w:rsidR="00D471AD">
              <w:rPr>
                <w:webHidden/>
              </w:rPr>
              <w:fldChar w:fldCharType="end"/>
            </w:r>
          </w:hyperlink>
        </w:p>
        <w:p w14:paraId="7418AE92" w14:textId="77777777" w:rsidR="00D471AD" w:rsidRDefault="004A31A9" w:rsidP="00D471AD">
          <w:pPr>
            <w:pStyle w:val="TOC1"/>
            <w:tabs>
              <w:tab w:val="left" w:pos="1276"/>
            </w:tabs>
            <w:rPr>
              <w:rFonts w:asciiTheme="minorHAnsi" w:eastAsiaTheme="minorEastAsia" w:hAnsiTheme="minorHAnsi"/>
              <w:b w:val="0"/>
              <w:color w:val="auto"/>
              <w:szCs w:val="22"/>
              <w:lang w:eastAsia="en-AU"/>
            </w:rPr>
          </w:pPr>
          <w:hyperlink w:anchor="_Toc465862809" w:history="1">
            <w:r w:rsidR="00D471AD" w:rsidRPr="00D33D55">
              <w:rPr>
                <w:rStyle w:val="Hyperlink"/>
              </w:rPr>
              <w:t>3.</w:t>
            </w:r>
            <w:r w:rsidR="00D471AD">
              <w:rPr>
                <w:rFonts w:asciiTheme="minorHAnsi" w:eastAsiaTheme="minorEastAsia" w:hAnsiTheme="minorHAnsi"/>
                <w:b w:val="0"/>
                <w:color w:val="auto"/>
                <w:szCs w:val="22"/>
                <w:lang w:eastAsia="en-AU"/>
              </w:rPr>
              <w:tab/>
            </w:r>
            <w:r w:rsidR="00D471AD" w:rsidRPr="00D33D55">
              <w:rPr>
                <w:rStyle w:val="Hyperlink"/>
              </w:rPr>
              <w:t>Activities in the innovation system</w:t>
            </w:r>
            <w:r w:rsidR="00D471AD">
              <w:rPr>
                <w:webHidden/>
              </w:rPr>
              <w:tab/>
            </w:r>
            <w:r w:rsidR="00D471AD">
              <w:rPr>
                <w:webHidden/>
              </w:rPr>
              <w:fldChar w:fldCharType="begin"/>
            </w:r>
            <w:r w:rsidR="00D471AD">
              <w:rPr>
                <w:webHidden/>
              </w:rPr>
              <w:instrText xml:space="preserve"> PAGEREF _Toc465862809 \h </w:instrText>
            </w:r>
            <w:r w:rsidR="00D471AD">
              <w:rPr>
                <w:webHidden/>
              </w:rPr>
            </w:r>
            <w:r w:rsidR="00D471AD">
              <w:rPr>
                <w:webHidden/>
              </w:rPr>
              <w:fldChar w:fldCharType="separate"/>
            </w:r>
            <w:r w:rsidR="00D471AD">
              <w:rPr>
                <w:webHidden/>
              </w:rPr>
              <w:t>43</w:t>
            </w:r>
            <w:r w:rsidR="00D471AD">
              <w:rPr>
                <w:webHidden/>
              </w:rPr>
              <w:fldChar w:fldCharType="end"/>
            </w:r>
          </w:hyperlink>
        </w:p>
        <w:p w14:paraId="7418AE93"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10" w:history="1">
            <w:r w:rsidR="00D471AD" w:rsidRPr="00D33D55">
              <w:rPr>
                <w:rStyle w:val="Hyperlink"/>
              </w:rPr>
              <w:t>3.1</w:t>
            </w:r>
            <w:r w:rsidR="00D471AD">
              <w:rPr>
                <w:rFonts w:asciiTheme="minorHAnsi" w:eastAsiaTheme="minorEastAsia" w:hAnsiTheme="minorHAnsi"/>
                <w:color w:val="auto"/>
                <w:lang w:eastAsia="en-AU"/>
              </w:rPr>
              <w:tab/>
            </w:r>
            <w:r w:rsidR="00D471AD" w:rsidRPr="00D33D55">
              <w:rPr>
                <w:rStyle w:val="Hyperlink"/>
              </w:rPr>
              <w:t>Trends in entrepreneurship and innovation</w:t>
            </w:r>
            <w:r w:rsidR="00D471AD">
              <w:rPr>
                <w:webHidden/>
              </w:rPr>
              <w:tab/>
            </w:r>
            <w:r w:rsidR="00D471AD">
              <w:rPr>
                <w:webHidden/>
              </w:rPr>
              <w:fldChar w:fldCharType="begin"/>
            </w:r>
            <w:r w:rsidR="00D471AD">
              <w:rPr>
                <w:webHidden/>
              </w:rPr>
              <w:instrText xml:space="preserve"> PAGEREF _Toc465862810 \h </w:instrText>
            </w:r>
            <w:r w:rsidR="00D471AD">
              <w:rPr>
                <w:webHidden/>
              </w:rPr>
            </w:r>
            <w:r w:rsidR="00D471AD">
              <w:rPr>
                <w:webHidden/>
              </w:rPr>
              <w:fldChar w:fldCharType="separate"/>
            </w:r>
            <w:r w:rsidR="00D471AD">
              <w:rPr>
                <w:webHidden/>
              </w:rPr>
              <w:t>43</w:t>
            </w:r>
            <w:r w:rsidR="00D471AD">
              <w:rPr>
                <w:webHidden/>
              </w:rPr>
              <w:fldChar w:fldCharType="end"/>
            </w:r>
          </w:hyperlink>
        </w:p>
        <w:p w14:paraId="7418AE94" w14:textId="77777777" w:rsidR="00D471AD" w:rsidRDefault="004A31A9" w:rsidP="00D471AD">
          <w:pPr>
            <w:pStyle w:val="TOC3"/>
            <w:rPr>
              <w:rFonts w:asciiTheme="minorHAnsi" w:eastAsiaTheme="minorEastAsia" w:hAnsiTheme="minorHAnsi"/>
              <w:color w:val="auto"/>
              <w:lang w:eastAsia="en-AU"/>
            </w:rPr>
          </w:pPr>
          <w:hyperlink w:anchor="_Toc465862811" w:history="1">
            <w:r w:rsidR="00D471AD" w:rsidRPr="00D33D55">
              <w:rPr>
                <w:rStyle w:val="Hyperlink"/>
              </w:rPr>
              <w:t>Innovation rates are improving slowly</w:t>
            </w:r>
            <w:r w:rsidR="00D471AD">
              <w:rPr>
                <w:webHidden/>
              </w:rPr>
              <w:tab/>
            </w:r>
            <w:r w:rsidR="00D471AD">
              <w:rPr>
                <w:webHidden/>
              </w:rPr>
              <w:fldChar w:fldCharType="begin"/>
            </w:r>
            <w:r w:rsidR="00D471AD">
              <w:rPr>
                <w:webHidden/>
              </w:rPr>
              <w:instrText xml:space="preserve"> PAGEREF _Toc465862811 \h </w:instrText>
            </w:r>
            <w:r w:rsidR="00D471AD">
              <w:rPr>
                <w:webHidden/>
              </w:rPr>
            </w:r>
            <w:r w:rsidR="00D471AD">
              <w:rPr>
                <w:webHidden/>
              </w:rPr>
              <w:fldChar w:fldCharType="separate"/>
            </w:r>
            <w:r w:rsidR="00D471AD">
              <w:rPr>
                <w:webHidden/>
              </w:rPr>
              <w:t>43</w:t>
            </w:r>
            <w:r w:rsidR="00D471AD">
              <w:rPr>
                <w:webHidden/>
              </w:rPr>
              <w:fldChar w:fldCharType="end"/>
            </w:r>
          </w:hyperlink>
        </w:p>
        <w:p w14:paraId="7418AE95" w14:textId="77777777" w:rsidR="00D471AD" w:rsidRDefault="004A31A9" w:rsidP="00D471AD">
          <w:pPr>
            <w:pStyle w:val="TOC3"/>
            <w:rPr>
              <w:rFonts w:asciiTheme="minorHAnsi" w:eastAsiaTheme="minorEastAsia" w:hAnsiTheme="minorHAnsi"/>
              <w:color w:val="auto"/>
              <w:lang w:eastAsia="en-AU"/>
            </w:rPr>
          </w:pPr>
          <w:hyperlink w:anchor="_Toc465862812" w:history="1">
            <w:r w:rsidR="00D471AD" w:rsidRPr="00D33D55">
              <w:rPr>
                <w:rStyle w:val="Hyperlink"/>
              </w:rPr>
              <w:t>Technological vs non-technological innovation</w:t>
            </w:r>
            <w:r w:rsidR="00D471AD">
              <w:rPr>
                <w:webHidden/>
              </w:rPr>
              <w:tab/>
            </w:r>
            <w:r w:rsidR="00D471AD">
              <w:rPr>
                <w:webHidden/>
              </w:rPr>
              <w:fldChar w:fldCharType="begin"/>
            </w:r>
            <w:r w:rsidR="00D471AD">
              <w:rPr>
                <w:webHidden/>
              </w:rPr>
              <w:instrText xml:space="preserve"> PAGEREF _Toc465862812 \h </w:instrText>
            </w:r>
            <w:r w:rsidR="00D471AD">
              <w:rPr>
                <w:webHidden/>
              </w:rPr>
            </w:r>
            <w:r w:rsidR="00D471AD">
              <w:rPr>
                <w:webHidden/>
              </w:rPr>
              <w:fldChar w:fldCharType="separate"/>
            </w:r>
            <w:r w:rsidR="00D471AD">
              <w:rPr>
                <w:webHidden/>
              </w:rPr>
              <w:t>44</w:t>
            </w:r>
            <w:r w:rsidR="00D471AD">
              <w:rPr>
                <w:webHidden/>
              </w:rPr>
              <w:fldChar w:fldCharType="end"/>
            </w:r>
          </w:hyperlink>
        </w:p>
        <w:p w14:paraId="7418AE96"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13" w:history="1">
            <w:r w:rsidR="00D471AD" w:rsidRPr="00D33D55">
              <w:rPr>
                <w:rStyle w:val="Hyperlink"/>
              </w:rPr>
              <w:t>3.2</w:t>
            </w:r>
            <w:r w:rsidR="00D471AD">
              <w:rPr>
                <w:rFonts w:asciiTheme="minorHAnsi" w:eastAsiaTheme="minorEastAsia" w:hAnsiTheme="minorHAnsi"/>
                <w:color w:val="auto"/>
                <w:lang w:eastAsia="en-AU"/>
              </w:rPr>
              <w:tab/>
            </w:r>
            <w:r w:rsidR="00D471AD" w:rsidRPr="00D33D55">
              <w:rPr>
                <w:rStyle w:val="Hyperlink"/>
              </w:rPr>
              <w:t>Innovation novelty</w:t>
            </w:r>
            <w:r w:rsidR="00D471AD">
              <w:rPr>
                <w:webHidden/>
              </w:rPr>
              <w:tab/>
            </w:r>
            <w:r w:rsidR="00D471AD">
              <w:rPr>
                <w:webHidden/>
              </w:rPr>
              <w:fldChar w:fldCharType="begin"/>
            </w:r>
            <w:r w:rsidR="00D471AD">
              <w:rPr>
                <w:webHidden/>
              </w:rPr>
              <w:instrText xml:space="preserve"> PAGEREF _Toc465862813 \h </w:instrText>
            </w:r>
            <w:r w:rsidR="00D471AD">
              <w:rPr>
                <w:webHidden/>
              </w:rPr>
            </w:r>
            <w:r w:rsidR="00D471AD">
              <w:rPr>
                <w:webHidden/>
              </w:rPr>
              <w:fldChar w:fldCharType="separate"/>
            </w:r>
            <w:r w:rsidR="00D471AD">
              <w:rPr>
                <w:webHidden/>
              </w:rPr>
              <w:t>45</w:t>
            </w:r>
            <w:r w:rsidR="00D471AD">
              <w:rPr>
                <w:webHidden/>
              </w:rPr>
              <w:fldChar w:fldCharType="end"/>
            </w:r>
          </w:hyperlink>
        </w:p>
        <w:p w14:paraId="7418AE97"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14" w:history="1">
            <w:r w:rsidR="00D471AD" w:rsidRPr="00D33D55">
              <w:rPr>
                <w:rStyle w:val="Hyperlink"/>
              </w:rPr>
              <w:t>3.3</w:t>
            </w:r>
            <w:r w:rsidR="00D471AD">
              <w:rPr>
                <w:rFonts w:asciiTheme="minorHAnsi" w:eastAsiaTheme="minorEastAsia" w:hAnsiTheme="minorHAnsi"/>
                <w:color w:val="auto"/>
                <w:lang w:eastAsia="en-AU"/>
              </w:rPr>
              <w:tab/>
            </w:r>
            <w:r w:rsidR="00D471AD" w:rsidRPr="00D33D55">
              <w:rPr>
                <w:rStyle w:val="Hyperlink"/>
              </w:rPr>
              <w:t>A new measure of innovation frequency</w:t>
            </w:r>
            <w:r w:rsidR="00D471AD">
              <w:rPr>
                <w:webHidden/>
              </w:rPr>
              <w:tab/>
            </w:r>
            <w:r w:rsidR="00D471AD">
              <w:rPr>
                <w:webHidden/>
              </w:rPr>
              <w:fldChar w:fldCharType="begin"/>
            </w:r>
            <w:r w:rsidR="00D471AD">
              <w:rPr>
                <w:webHidden/>
              </w:rPr>
              <w:instrText xml:space="preserve"> PAGEREF _Toc465862814 \h </w:instrText>
            </w:r>
            <w:r w:rsidR="00D471AD">
              <w:rPr>
                <w:webHidden/>
              </w:rPr>
            </w:r>
            <w:r w:rsidR="00D471AD">
              <w:rPr>
                <w:webHidden/>
              </w:rPr>
              <w:fldChar w:fldCharType="separate"/>
            </w:r>
            <w:r w:rsidR="00D471AD">
              <w:rPr>
                <w:webHidden/>
              </w:rPr>
              <w:t>47</w:t>
            </w:r>
            <w:r w:rsidR="00D471AD">
              <w:rPr>
                <w:webHidden/>
              </w:rPr>
              <w:fldChar w:fldCharType="end"/>
            </w:r>
          </w:hyperlink>
        </w:p>
        <w:p w14:paraId="7418AE98"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15" w:history="1">
            <w:r w:rsidR="00D471AD" w:rsidRPr="00D33D55">
              <w:rPr>
                <w:rStyle w:val="Hyperlink"/>
              </w:rPr>
              <w:t>3.4</w:t>
            </w:r>
            <w:r w:rsidR="00D471AD">
              <w:rPr>
                <w:rFonts w:asciiTheme="minorHAnsi" w:eastAsiaTheme="minorEastAsia" w:hAnsiTheme="minorHAnsi"/>
                <w:color w:val="auto"/>
                <w:lang w:eastAsia="en-AU"/>
              </w:rPr>
              <w:tab/>
            </w:r>
            <w:r w:rsidR="00D471AD" w:rsidRPr="00D33D55">
              <w:rPr>
                <w:rStyle w:val="Hyperlink"/>
              </w:rPr>
              <w:t>Improving our measurement of innovation investment</w:t>
            </w:r>
            <w:r w:rsidR="00D471AD">
              <w:rPr>
                <w:webHidden/>
              </w:rPr>
              <w:tab/>
            </w:r>
            <w:r w:rsidR="00D471AD">
              <w:rPr>
                <w:webHidden/>
              </w:rPr>
              <w:fldChar w:fldCharType="begin"/>
            </w:r>
            <w:r w:rsidR="00D471AD">
              <w:rPr>
                <w:webHidden/>
              </w:rPr>
              <w:instrText xml:space="preserve"> PAGEREF _Toc465862815 \h </w:instrText>
            </w:r>
            <w:r w:rsidR="00D471AD">
              <w:rPr>
                <w:webHidden/>
              </w:rPr>
            </w:r>
            <w:r w:rsidR="00D471AD">
              <w:rPr>
                <w:webHidden/>
              </w:rPr>
              <w:fldChar w:fldCharType="separate"/>
            </w:r>
            <w:r w:rsidR="00D471AD">
              <w:rPr>
                <w:webHidden/>
              </w:rPr>
              <w:t>48</w:t>
            </w:r>
            <w:r w:rsidR="00D471AD">
              <w:rPr>
                <w:webHidden/>
              </w:rPr>
              <w:fldChar w:fldCharType="end"/>
            </w:r>
          </w:hyperlink>
        </w:p>
        <w:p w14:paraId="7418AE99"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16" w:history="1">
            <w:r w:rsidR="00D471AD" w:rsidRPr="00D33D55">
              <w:rPr>
                <w:rStyle w:val="Hyperlink"/>
              </w:rPr>
              <w:t>3.5</w:t>
            </w:r>
            <w:r w:rsidR="00D471AD">
              <w:rPr>
                <w:rFonts w:asciiTheme="minorHAnsi" w:eastAsiaTheme="minorEastAsia" w:hAnsiTheme="minorHAnsi"/>
                <w:color w:val="auto"/>
                <w:lang w:eastAsia="en-AU"/>
              </w:rPr>
              <w:tab/>
            </w:r>
            <w:r w:rsidR="00D471AD" w:rsidRPr="00D33D55">
              <w:rPr>
                <w:rStyle w:val="Hyperlink"/>
              </w:rPr>
              <w:t>Research and development in Australia</w:t>
            </w:r>
            <w:r w:rsidR="00D471AD">
              <w:rPr>
                <w:webHidden/>
              </w:rPr>
              <w:tab/>
            </w:r>
            <w:r w:rsidR="00D471AD">
              <w:rPr>
                <w:webHidden/>
              </w:rPr>
              <w:fldChar w:fldCharType="begin"/>
            </w:r>
            <w:r w:rsidR="00D471AD">
              <w:rPr>
                <w:webHidden/>
              </w:rPr>
              <w:instrText xml:space="preserve"> PAGEREF _Toc465862816 \h </w:instrText>
            </w:r>
            <w:r w:rsidR="00D471AD">
              <w:rPr>
                <w:webHidden/>
              </w:rPr>
            </w:r>
            <w:r w:rsidR="00D471AD">
              <w:rPr>
                <w:webHidden/>
              </w:rPr>
              <w:fldChar w:fldCharType="separate"/>
            </w:r>
            <w:r w:rsidR="00D471AD">
              <w:rPr>
                <w:webHidden/>
              </w:rPr>
              <w:t>50</w:t>
            </w:r>
            <w:r w:rsidR="00D471AD">
              <w:rPr>
                <w:webHidden/>
              </w:rPr>
              <w:fldChar w:fldCharType="end"/>
            </w:r>
          </w:hyperlink>
        </w:p>
        <w:p w14:paraId="7418AE9A" w14:textId="77777777" w:rsidR="00D471AD" w:rsidRDefault="004A31A9" w:rsidP="00D471AD">
          <w:pPr>
            <w:pStyle w:val="TOC3"/>
            <w:rPr>
              <w:rFonts w:asciiTheme="minorHAnsi" w:eastAsiaTheme="minorEastAsia" w:hAnsiTheme="minorHAnsi"/>
              <w:color w:val="auto"/>
              <w:lang w:eastAsia="en-AU"/>
            </w:rPr>
          </w:pPr>
          <w:hyperlink w:anchor="_Toc465862817" w:history="1">
            <w:r w:rsidR="00D471AD" w:rsidRPr="00D33D55">
              <w:rPr>
                <w:rStyle w:val="Hyperlink"/>
              </w:rPr>
              <w:t>The impact of R&amp;D on innovation activity</w:t>
            </w:r>
            <w:r w:rsidR="00D471AD">
              <w:rPr>
                <w:webHidden/>
              </w:rPr>
              <w:tab/>
            </w:r>
            <w:r w:rsidR="00D471AD">
              <w:rPr>
                <w:webHidden/>
              </w:rPr>
              <w:fldChar w:fldCharType="begin"/>
            </w:r>
            <w:r w:rsidR="00D471AD">
              <w:rPr>
                <w:webHidden/>
              </w:rPr>
              <w:instrText xml:space="preserve"> PAGEREF _Toc465862817 \h </w:instrText>
            </w:r>
            <w:r w:rsidR="00D471AD">
              <w:rPr>
                <w:webHidden/>
              </w:rPr>
            </w:r>
            <w:r w:rsidR="00D471AD">
              <w:rPr>
                <w:webHidden/>
              </w:rPr>
              <w:fldChar w:fldCharType="separate"/>
            </w:r>
            <w:r w:rsidR="00D471AD">
              <w:rPr>
                <w:webHidden/>
              </w:rPr>
              <w:t>50</w:t>
            </w:r>
            <w:r w:rsidR="00D471AD">
              <w:rPr>
                <w:webHidden/>
              </w:rPr>
              <w:fldChar w:fldCharType="end"/>
            </w:r>
          </w:hyperlink>
        </w:p>
        <w:p w14:paraId="7418AE9B" w14:textId="77777777" w:rsidR="00D471AD" w:rsidRDefault="004A31A9" w:rsidP="00D471AD">
          <w:pPr>
            <w:pStyle w:val="TOC3"/>
            <w:rPr>
              <w:rFonts w:asciiTheme="minorHAnsi" w:eastAsiaTheme="minorEastAsia" w:hAnsiTheme="minorHAnsi"/>
              <w:color w:val="auto"/>
              <w:lang w:eastAsia="en-AU"/>
            </w:rPr>
          </w:pPr>
          <w:hyperlink w:anchor="_Toc465862818" w:history="1">
            <w:r w:rsidR="00D471AD" w:rsidRPr="00D33D55">
              <w:rPr>
                <w:rStyle w:val="Hyperlink"/>
              </w:rPr>
              <w:t>Trends in R&amp;D activity</w:t>
            </w:r>
            <w:r w:rsidR="00D471AD">
              <w:rPr>
                <w:webHidden/>
              </w:rPr>
              <w:tab/>
            </w:r>
            <w:r w:rsidR="00D471AD">
              <w:rPr>
                <w:webHidden/>
              </w:rPr>
              <w:fldChar w:fldCharType="begin"/>
            </w:r>
            <w:r w:rsidR="00D471AD">
              <w:rPr>
                <w:webHidden/>
              </w:rPr>
              <w:instrText xml:space="preserve"> PAGEREF _Toc465862818 \h </w:instrText>
            </w:r>
            <w:r w:rsidR="00D471AD">
              <w:rPr>
                <w:webHidden/>
              </w:rPr>
            </w:r>
            <w:r w:rsidR="00D471AD">
              <w:rPr>
                <w:webHidden/>
              </w:rPr>
              <w:fldChar w:fldCharType="separate"/>
            </w:r>
            <w:r w:rsidR="00D471AD">
              <w:rPr>
                <w:webHidden/>
              </w:rPr>
              <w:t>52</w:t>
            </w:r>
            <w:r w:rsidR="00D471AD">
              <w:rPr>
                <w:webHidden/>
              </w:rPr>
              <w:fldChar w:fldCharType="end"/>
            </w:r>
          </w:hyperlink>
        </w:p>
        <w:p w14:paraId="7418AE9C" w14:textId="77777777" w:rsidR="00D471AD" w:rsidRDefault="004A31A9" w:rsidP="00D471AD">
          <w:pPr>
            <w:pStyle w:val="TOC3"/>
            <w:rPr>
              <w:rFonts w:asciiTheme="minorHAnsi" w:eastAsiaTheme="minorEastAsia" w:hAnsiTheme="minorHAnsi"/>
              <w:color w:val="auto"/>
              <w:lang w:eastAsia="en-AU"/>
            </w:rPr>
          </w:pPr>
          <w:hyperlink w:anchor="_Toc465862819" w:history="1">
            <w:r w:rsidR="00D471AD" w:rsidRPr="00D33D55">
              <w:rPr>
                <w:rStyle w:val="Hyperlink"/>
              </w:rPr>
              <w:t>Investment in R&amp;D</w:t>
            </w:r>
            <w:r w:rsidR="00D471AD">
              <w:rPr>
                <w:webHidden/>
              </w:rPr>
              <w:tab/>
            </w:r>
            <w:r w:rsidR="00D471AD">
              <w:rPr>
                <w:webHidden/>
              </w:rPr>
              <w:fldChar w:fldCharType="begin"/>
            </w:r>
            <w:r w:rsidR="00D471AD">
              <w:rPr>
                <w:webHidden/>
              </w:rPr>
              <w:instrText xml:space="preserve"> PAGEREF _Toc465862819 \h </w:instrText>
            </w:r>
            <w:r w:rsidR="00D471AD">
              <w:rPr>
                <w:webHidden/>
              </w:rPr>
            </w:r>
            <w:r w:rsidR="00D471AD">
              <w:rPr>
                <w:webHidden/>
              </w:rPr>
              <w:fldChar w:fldCharType="separate"/>
            </w:r>
            <w:r w:rsidR="00D471AD">
              <w:rPr>
                <w:webHidden/>
              </w:rPr>
              <w:t>52</w:t>
            </w:r>
            <w:r w:rsidR="00D471AD">
              <w:rPr>
                <w:webHidden/>
              </w:rPr>
              <w:fldChar w:fldCharType="end"/>
            </w:r>
          </w:hyperlink>
        </w:p>
        <w:p w14:paraId="7418AE9D"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20" w:history="1">
            <w:r w:rsidR="00D471AD" w:rsidRPr="00D33D55">
              <w:rPr>
                <w:rStyle w:val="Hyperlink"/>
              </w:rPr>
              <w:t>3.6</w:t>
            </w:r>
            <w:r w:rsidR="00D471AD">
              <w:rPr>
                <w:rFonts w:asciiTheme="minorHAnsi" w:eastAsiaTheme="minorEastAsia" w:hAnsiTheme="minorHAnsi"/>
                <w:color w:val="auto"/>
                <w:lang w:eastAsia="en-AU"/>
              </w:rPr>
              <w:tab/>
            </w:r>
            <w:r w:rsidR="00D471AD" w:rsidRPr="00D33D55">
              <w:rPr>
                <w:rStyle w:val="Hyperlink"/>
              </w:rPr>
              <w:t>Trends in business expenditure on experimental development</w:t>
            </w:r>
            <w:r w:rsidR="00D471AD">
              <w:rPr>
                <w:webHidden/>
              </w:rPr>
              <w:tab/>
            </w:r>
            <w:r w:rsidR="00D471AD">
              <w:rPr>
                <w:webHidden/>
              </w:rPr>
              <w:fldChar w:fldCharType="begin"/>
            </w:r>
            <w:r w:rsidR="00D471AD">
              <w:rPr>
                <w:webHidden/>
              </w:rPr>
              <w:instrText xml:space="preserve"> PAGEREF _Toc465862820 \h </w:instrText>
            </w:r>
            <w:r w:rsidR="00D471AD">
              <w:rPr>
                <w:webHidden/>
              </w:rPr>
            </w:r>
            <w:r w:rsidR="00D471AD">
              <w:rPr>
                <w:webHidden/>
              </w:rPr>
              <w:fldChar w:fldCharType="separate"/>
            </w:r>
            <w:r w:rsidR="00D471AD">
              <w:rPr>
                <w:webHidden/>
              </w:rPr>
              <w:t>55</w:t>
            </w:r>
            <w:r w:rsidR="00D471AD">
              <w:rPr>
                <w:webHidden/>
              </w:rPr>
              <w:fldChar w:fldCharType="end"/>
            </w:r>
          </w:hyperlink>
        </w:p>
        <w:p w14:paraId="7418AE9E"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21" w:history="1">
            <w:r w:rsidR="00D471AD" w:rsidRPr="00D33D55">
              <w:rPr>
                <w:rStyle w:val="Hyperlink"/>
              </w:rPr>
              <w:t>3.7</w:t>
            </w:r>
            <w:r w:rsidR="00D471AD">
              <w:rPr>
                <w:rFonts w:asciiTheme="minorHAnsi" w:eastAsiaTheme="minorEastAsia" w:hAnsiTheme="minorHAnsi"/>
                <w:color w:val="auto"/>
                <w:lang w:eastAsia="en-AU"/>
              </w:rPr>
              <w:tab/>
            </w:r>
            <w:r w:rsidR="00D471AD" w:rsidRPr="00D33D55">
              <w:rPr>
                <w:rStyle w:val="Hyperlink"/>
              </w:rPr>
              <w:t>Innovation activity is clustered in cities</w:t>
            </w:r>
            <w:r w:rsidR="00D471AD">
              <w:rPr>
                <w:webHidden/>
              </w:rPr>
              <w:tab/>
            </w:r>
            <w:r w:rsidR="00D471AD">
              <w:rPr>
                <w:webHidden/>
              </w:rPr>
              <w:fldChar w:fldCharType="begin"/>
            </w:r>
            <w:r w:rsidR="00D471AD">
              <w:rPr>
                <w:webHidden/>
              </w:rPr>
              <w:instrText xml:space="preserve"> PAGEREF _Toc465862821 \h </w:instrText>
            </w:r>
            <w:r w:rsidR="00D471AD">
              <w:rPr>
                <w:webHidden/>
              </w:rPr>
            </w:r>
            <w:r w:rsidR="00D471AD">
              <w:rPr>
                <w:webHidden/>
              </w:rPr>
              <w:fldChar w:fldCharType="separate"/>
            </w:r>
            <w:r w:rsidR="00D471AD">
              <w:rPr>
                <w:webHidden/>
              </w:rPr>
              <w:t>56</w:t>
            </w:r>
            <w:r w:rsidR="00D471AD">
              <w:rPr>
                <w:webHidden/>
              </w:rPr>
              <w:fldChar w:fldCharType="end"/>
            </w:r>
          </w:hyperlink>
        </w:p>
        <w:p w14:paraId="7418AE9F" w14:textId="77777777" w:rsidR="00D471AD" w:rsidRDefault="004A31A9" w:rsidP="00D471AD">
          <w:pPr>
            <w:pStyle w:val="TOC3"/>
            <w:rPr>
              <w:rFonts w:asciiTheme="minorHAnsi" w:eastAsiaTheme="minorEastAsia" w:hAnsiTheme="minorHAnsi"/>
              <w:color w:val="auto"/>
              <w:lang w:eastAsia="en-AU"/>
            </w:rPr>
          </w:pPr>
          <w:hyperlink w:anchor="_Toc465862822" w:history="1">
            <w:r w:rsidR="00D471AD" w:rsidRPr="00D33D55">
              <w:rPr>
                <w:rStyle w:val="Hyperlink"/>
              </w:rPr>
              <w:t>Refining the map</w:t>
            </w:r>
            <w:r w:rsidR="00D471AD">
              <w:rPr>
                <w:webHidden/>
              </w:rPr>
              <w:tab/>
            </w:r>
            <w:r w:rsidR="00D471AD">
              <w:rPr>
                <w:webHidden/>
              </w:rPr>
              <w:fldChar w:fldCharType="begin"/>
            </w:r>
            <w:r w:rsidR="00D471AD">
              <w:rPr>
                <w:webHidden/>
              </w:rPr>
              <w:instrText xml:space="preserve"> PAGEREF _Toc465862822 \h </w:instrText>
            </w:r>
            <w:r w:rsidR="00D471AD">
              <w:rPr>
                <w:webHidden/>
              </w:rPr>
            </w:r>
            <w:r w:rsidR="00D471AD">
              <w:rPr>
                <w:webHidden/>
              </w:rPr>
              <w:fldChar w:fldCharType="separate"/>
            </w:r>
            <w:r w:rsidR="00D471AD">
              <w:rPr>
                <w:webHidden/>
              </w:rPr>
              <w:t>56</w:t>
            </w:r>
            <w:r w:rsidR="00D471AD">
              <w:rPr>
                <w:webHidden/>
              </w:rPr>
              <w:fldChar w:fldCharType="end"/>
            </w:r>
          </w:hyperlink>
        </w:p>
        <w:p w14:paraId="7418AEA0" w14:textId="77777777" w:rsidR="00D471AD" w:rsidRDefault="004A31A9" w:rsidP="00D471AD">
          <w:pPr>
            <w:pStyle w:val="TOC2"/>
            <w:rPr>
              <w:rFonts w:asciiTheme="minorHAnsi" w:eastAsiaTheme="minorEastAsia" w:hAnsiTheme="minorHAnsi"/>
              <w:color w:val="auto"/>
              <w:lang w:eastAsia="en-AU"/>
            </w:rPr>
          </w:pPr>
          <w:hyperlink w:anchor="_Toc465862823" w:history="1">
            <w:r w:rsidR="00D471AD" w:rsidRPr="00D33D55">
              <w:rPr>
                <w:rStyle w:val="Hyperlink"/>
              </w:rPr>
              <w:t>Enablis: A case study of an innovative, high-growth firm</w:t>
            </w:r>
            <w:r w:rsidR="00D471AD">
              <w:rPr>
                <w:webHidden/>
              </w:rPr>
              <w:tab/>
            </w:r>
            <w:r w:rsidR="00D471AD">
              <w:rPr>
                <w:webHidden/>
              </w:rPr>
              <w:fldChar w:fldCharType="begin"/>
            </w:r>
            <w:r w:rsidR="00D471AD">
              <w:rPr>
                <w:webHidden/>
              </w:rPr>
              <w:instrText xml:space="preserve"> PAGEREF _Toc465862823 \h </w:instrText>
            </w:r>
            <w:r w:rsidR="00D471AD">
              <w:rPr>
                <w:webHidden/>
              </w:rPr>
            </w:r>
            <w:r w:rsidR="00D471AD">
              <w:rPr>
                <w:webHidden/>
              </w:rPr>
              <w:fldChar w:fldCharType="separate"/>
            </w:r>
            <w:r w:rsidR="00D471AD">
              <w:rPr>
                <w:webHidden/>
              </w:rPr>
              <w:t>59</w:t>
            </w:r>
            <w:r w:rsidR="00D471AD">
              <w:rPr>
                <w:webHidden/>
              </w:rPr>
              <w:fldChar w:fldCharType="end"/>
            </w:r>
          </w:hyperlink>
        </w:p>
        <w:p w14:paraId="7418AEA1" w14:textId="77777777" w:rsidR="00D471AD" w:rsidRDefault="004A31A9" w:rsidP="00D471AD">
          <w:pPr>
            <w:pStyle w:val="TOC1"/>
            <w:tabs>
              <w:tab w:val="left" w:pos="1276"/>
            </w:tabs>
            <w:rPr>
              <w:rFonts w:asciiTheme="minorHAnsi" w:eastAsiaTheme="minorEastAsia" w:hAnsiTheme="minorHAnsi"/>
              <w:b w:val="0"/>
              <w:color w:val="auto"/>
              <w:szCs w:val="22"/>
              <w:lang w:eastAsia="en-AU"/>
            </w:rPr>
          </w:pPr>
          <w:hyperlink w:anchor="_Toc465862824" w:history="1">
            <w:r w:rsidR="00D471AD" w:rsidRPr="00D33D55">
              <w:rPr>
                <w:rStyle w:val="Hyperlink"/>
              </w:rPr>
              <w:t>4.</w:t>
            </w:r>
            <w:r w:rsidR="00D471AD">
              <w:rPr>
                <w:rFonts w:asciiTheme="minorHAnsi" w:eastAsiaTheme="minorEastAsia" w:hAnsiTheme="minorHAnsi"/>
                <w:b w:val="0"/>
                <w:color w:val="auto"/>
                <w:szCs w:val="22"/>
                <w:lang w:eastAsia="en-AU"/>
              </w:rPr>
              <w:tab/>
            </w:r>
            <w:r w:rsidR="00D471AD" w:rsidRPr="00D33D55">
              <w:rPr>
                <w:rStyle w:val="Hyperlink"/>
              </w:rPr>
              <w:t>Networks and collaboration</w:t>
            </w:r>
            <w:r w:rsidR="00D471AD">
              <w:rPr>
                <w:webHidden/>
              </w:rPr>
              <w:tab/>
            </w:r>
            <w:r w:rsidR="00D471AD">
              <w:rPr>
                <w:webHidden/>
              </w:rPr>
              <w:fldChar w:fldCharType="begin"/>
            </w:r>
            <w:r w:rsidR="00D471AD">
              <w:rPr>
                <w:webHidden/>
              </w:rPr>
              <w:instrText xml:space="preserve"> PAGEREF _Toc465862824 \h </w:instrText>
            </w:r>
            <w:r w:rsidR="00D471AD">
              <w:rPr>
                <w:webHidden/>
              </w:rPr>
            </w:r>
            <w:r w:rsidR="00D471AD">
              <w:rPr>
                <w:webHidden/>
              </w:rPr>
              <w:fldChar w:fldCharType="separate"/>
            </w:r>
            <w:r w:rsidR="00D471AD">
              <w:rPr>
                <w:webHidden/>
              </w:rPr>
              <w:t>61</w:t>
            </w:r>
            <w:r w:rsidR="00D471AD">
              <w:rPr>
                <w:webHidden/>
              </w:rPr>
              <w:fldChar w:fldCharType="end"/>
            </w:r>
          </w:hyperlink>
        </w:p>
        <w:p w14:paraId="7418AEA2"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25" w:history="1">
            <w:r w:rsidR="00D471AD" w:rsidRPr="00D33D55">
              <w:rPr>
                <w:rStyle w:val="Hyperlink"/>
              </w:rPr>
              <w:t>4.1</w:t>
            </w:r>
            <w:r w:rsidR="00D471AD">
              <w:rPr>
                <w:rFonts w:asciiTheme="minorHAnsi" w:eastAsiaTheme="minorEastAsia" w:hAnsiTheme="minorHAnsi"/>
                <w:color w:val="auto"/>
                <w:lang w:eastAsia="en-AU"/>
              </w:rPr>
              <w:tab/>
            </w:r>
            <w:r w:rsidR="00D471AD" w:rsidRPr="00D33D55">
              <w:rPr>
                <w:rStyle w:val="Hyperlink"/>
              </w:rPr>
              <w:t>The state of business collaboration in Australia</w:t>
            </w:r>
            <w:r w:rsidR="00D471AD">
              <w:rPr>
                <w:webHidden/>
              </w:rPr>
              <w:tab/>
            </w:r>
            <w:r w:rsidR="00D471AD">
              <w:rPr>
                <w:webHidden/>
              </w:rPr>
              <w:fldChar w:fldCharType="begin"/>
            </w:r>
            <w:r w:rsidR="00D471AD">
              <w:rPr>
                <w:webHidden/>
              </w:rPr>
              <w:instrText xml:space="preserve"> PAGEREF _Toc465862825 \h </w:instrText>
            </w:r>
            <w:r w:rsidR="00D471AD">
              <w:rPr>
                <w:webHidden/>
              </w:rPr>
            </w:r>
            <w:r w:rsidR="00D471AD">
              <w:rPr>
                <w:webHidden/>
              </w:rPr>
              <w:fldChar w:fldCharType="separate"/>
            </w:r>
            <w:r w:rsidR="00D471AD">
              <w:rPr>
                <w:webHidden/>
              </w:rPr>
              <w:t>61</w:t>
            </w:r>
            <w:r w:rsidR="00D471AD">
              <w:rPr>
                <w:webHidden/>
              </w:rPr>
              <w:fldChar w:fldCharType="end"/>
            </w:r>
          </w:hyperlink>
        </w:p>
        <w:p w14:paraId="7418AEA3" w14:textId="77777777" w:rsidR="00D471AD" w:rsidRDefault="004A31A9" w:rsidP="00D471AD">
          <w:pPr>
            <w:pStyle w:val="TOC3"/>
            <w:rPr>
              <w:rFonts w:asciiTheme="minorHAnsi" w:eastAsiaTheme="minorEastAsia" w:hAnsiTheme="minorHAnsi"/>
              <w:color w:val="auto"/>
              <w:lang w:eastAsia="en-AU"/>
            </w:rPr>
          </w:pPr>
          <w:hyperlink w:anchor="_Toc465862826" w:history="1">
            <w:r w:rsidR="00D471AD" w:rsidRPr="00D33D55">
              <w:rPr>
                <w:rStyle w:val="Hyperlink"/>
              </w:rPr>
              <w:t>Collaboration and the frequency of innovation</w:t>
            </w:r>
            <w:r w:rsidR="00D471AD">
              <w:rPr>
                <w:webHidden/>
              </w:rPr>
              <w:tab/>
            </w:r>
            <w:r w:rsidR="00D471AD">
              <w:rPr>
                <w:webHidden/>
              </w:rPr>
              <w:fldChar w:fldCharType="begin"/>
            </w:r>
            <w:r w:rsidR="00D471AD">
              <w:rPr>
                <w:webHidden/>
              </w:rPr>
              <w:instrText xml:space="preserve"> PAGEREF _Toc465862826 \h </w:instrText>
            </w:r>
            <w:r w:rsidR="00D471AD">
              <w:rPr>
                <w:webHidden/>
              </w:rPr>
            </w:r>
            <w:r w:rsidR="00D471AD">
              <w:rPr>
                <w:webHidden/>
              </w:rPr>
              <w:fldChar w:fldCharType="separate"/>
            </w:r>
            <w:r w:rsidR="00D471AD">
              <w:rPr>
                <w:webHidden/>
              </w:rPr>
              <w:t>62</w:t>
            </w:r>
            <w:r w:rsidR="00D471AD">
              <w:rPr>
                <w:webHidden/>
              </w:rPr>
              <w:fldChar w:fldCharType="end"/>
            </w:r>
          </w:hyperlink>
        </w:p>
        <w:p w14:paraId="7418AEA4"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27" w:history="1">
            <w:r w:rsidR="00D471AD" w:rsidRPr="00D33D55">
              <w:rPr>
                <w:rStyle w:val="Hyperlink"/>
              </w:rPr>
              <w:t>4.2</w:t>
            </w:r>
            <w:r w:rsidR="00D471AD">
              <w:rPr>
                <w:rFonts w:asciiTheme="minorHAnsi" w:eastAsiaTheme="minorEastAsia" w:hAnsiTheme="minorHAnsi"/>
                <w:color w:val="auto"/>
                <w:lang w:eastAsia="en-AU"/>
              </w:rPr>
              <w:tab/>
            </w:r>
            <w:r w:rsidR="00D471AD" w:rsidRPr="00D33D55">
              <w:rPr>
                <w:rStyle w:val="Hyperlink"/>
              </w:rPr>
              <w:t>Business-research sector collaboration</w:t>
            </w:r>
            <w:r w:rsidR="00D471AD">
              <w:rPr>
                <w:webHidden/>
              </w:rPr>
              <w:tab/>
            </w:r>
            <w:r w:rsidR="00D471AD">
              <w:rPr>
                <w:webHidden/>
              </w:rPr>
              <w:fldChar w:fldCharType="begin"/>
            </w:r>
            <w:r w:rsidR="00D471AD">
              <w:rPr>
                <w:webHidden/>
              </w:rPr>
              <w:instrText xml:space="preserve"> PAGEREF _Toc465862827 \h </w:instrText>
            </w:r>
            <w:r w:rsidR="00D471AD">
              <w:rPr>
                <w:webHidden/>
              </w:rPr>
            </w:r>
            <w:r w:rsidR="00D471AD">
              <w:rPr>
                <w:webHidden/>
              </w:rPr>
              <w:fldChar w:fldCharType="separate"/>
            </w:r>
            <w:r w:rsidR="00D471AD">
              <w:rPr>
                <w:webHidden/>
              </w:rPr>
              <w:t>62</w:t>
            </w:r>
            <w:r w:rsidR="00D471AD">
              <w:rPr>
                <w:webHidden/>
              </w:rPr>
              <w:fldChar w:fldCharType="end"/>
            </w:r>
          </w:hyperlink>
        </w:p>
        <w:p w14:paraId="7418AEA5" w14:textId="77777777" w:rsidR="00D471AD" w:rsidRDefault="004A31A9" w:rsidP="00D471AD">
          <w:pPr>
            <w:pStyle w:val="TOC3"/>
            <w:rPr>
              <w:rFonts w:asciiTheme="minorHAnsi" w:eastAsiaTheme="minorEastAsia" w:hAnsiTheme="minorHAnsi"/>
              <w:color w:val="auto"/>
              <w:lang w:eastAsia="en-AU"/>
            </w:rPr>
          </w:pPr>
          <w:hyperlink w:anchor="_Toc465862828" w:history="1">
            <w:r w:rsidR="00D471AD" w:rsidRPr="00D33D55">
              <w:rPr>
                <w:rStyle w:val="Hyperlink"/>
              </w:rPr>
              <w:t>How Australia compares</w:t>
            </w:r>
            <w:r w:rsidR="00D471AD">
              <w:rPr>
                <w:webHidden/>
              </w:rPr>
              <w:tab/>
            </w:r>
            <w:r w:rsidR="00D471AD">
              <w:rPr>
                <w:webHidden/>
              </w:rPr>
              <w:fldChar w:fldCharType="begin"/>
            </w:r>
            <w:r w:rsidR="00D471AD">
              <w:rPr>
                <w:webHidden/>
              </w:rPr>
              <w:instrText xml:space="preserve"> PAGEREF _Toc465862828 \h </w:instrText>
            </w:r>
            <w:r w:rsidR="00D471AD">
              <w:rPr>
                <w:webHidden/>
              </w:rPr>
            </w:r>
            <w:r w:rsidR="00D471AD">
              <w:rPr>
                <w:webHidden/>
              </w:rPr>
              <w:fldChar w:fldCharType="separate"/>
            </w:r>
            <w:r w:rsidR="00D471AD">
              <w:rPr>
                <w:webHidden/>
              </w:rPr>
              <w:t>62</w:t>
            </w:r>
            <w:r w:rsidR="00D471AD">
              <w:rPr>
                <w:webHidden/>
              </w:rPr>
              <w:fldChar w:fldCharType="end"/>
            </w:r>
          </w:hyperlink>
        </w:p>
        <w:p w14:paraId="7418AEA6" w14:textId="77777777" w:rsidR="00D471AD" w:rsidRDefault="004A31A9" w:rsidP="00D471AD">
          <w:pPr>
            <w:pStyle w:val="TOC3"/>
            <w:rPr>
              <w:rFonts w:asciiTheme="minorHAnsi" w:eastAsiaTheme="minorEastAsia" w:hAnsiTheme="minorHAnsi"/>
              <w:color w:val="auto"/>
              <w:lang w:eastAsia="en-AU"/>
            </w:rPr>
          </w:pPr>
          <w:hyperlink w:anchor="_Toc465862829" w:history="1">
            <w:r w:rsidR="00D471AD" w:rsidRPr="00D33D55">
              <w:rPr>
                <w:rStyle w:val="Hyperlink"/>
              </w:rPr>
              <w:t>Collaboration within research organisations</w:t>
            </w:r>
            <w:r w:rsidR="00D471AD">
              <w:rPr>
                <w:webHidden/>
              </w:rPr>
              <w:tab/>
            </w:r>
            <w:r w:rsidR="00D471AD">
              <w:rPr>
                <w:webHidden/>
              </w:rPr>
              <w:fldChar w:fldCharType="begin"/>
            </w:r>
            <w:r w:rsidR="00D471AD">
              <w:rPr>
                <w:webHidden/>
              </w:rPr>
              <w:instrText xml:space="preserve"> PAGEREF _Toc465862829 \h </w:instrText>
            </w:r>
            <w:r w:rsidR="00D471AD">
              <w:rPr>
                <w:webHidden/>
              </w:rPr>
            </w:r>
            <w:r w:rsidR="00D471AD">
              <w:rPr>
                <w:webHidden/>
              </w:rPr>
              <w:fldChar w:fldCharType="separate"/>
            </w:r>
            <w:r w:rsidR="00D471AD">
              <w:rPr>
                <w:webHidden/>
              </w:rPr>
              <w:t>63</w:t>
            </w:r>
            <w:r w:rsidR="00D471AD">
              <w:rPr>
                <w:webHidden/>
              </w:rPr>
              <w:fldChar w:fldCharType="end"/>
            </w:r>
          </w:hyperlink>
        </w:p>
        <w:p w14:paraId="7418AEA7"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30" w:history="1">
            <w:r w:rsidR="00D471AD" w:rsidRPr="00D33D55">
              <w:rPr>
                <w:rStyle w:val="Hyperlink"/>
              </w:rPr>
              <w:t>4.3</w:t>
            </w:r>
            <w:r w:rsidR="00D471AD">
              <w:rPr>
                <w:rFonts w:asciiTheme="minorHAnsi" w:eastAsiaTheme="minorEastAsia" w:hAnsiTheme="minorHAnsi"/>
                <w:color w:val="auto"/>
                <w:lang w:eastAsia="en-AU"/>
              </w:rPr>
              <w:tab/>
            </w:r>
            <w:r w:rsidR="00D471AD" w:rsidRPr="00D33D55">
              <w:rPr>
                <w:rStyle w:val="Hyperlink"/>
              </w:rPr>
              <w:t>Absorptive capacity</w:t>
            </w:r>
            <w:r w:rsidR="00D471AD">
              <w:rPr>
                <w:webHidden/>
              </w:rPr>
              <w:tab/>
            </w:r>
            <w:r w:rsidR="00D471AD">
              <w:rPr>
                <w:webHidden/>
              </w:rPr>
              <w:fldChar w:fldCharType="begin"/>
            </w:r>
            <w:r w:rsidR="00D471AD">
              <w:rPr>
                <w:webHidden/>
              </w:rPr>
              <w:instrText xml:space="preserve"> PAGEREF _Toc465862830 \h </w:instrText>
            </w:r>
            <w:r w:rsidR="00D471AD">
              <w:rPr>
                <w:webHidden/>
              </w:rPr>
            </w:r>
            <w:r w:rsidR="00D471AD">
              <w:rPr>
                <w:webHidden/>
              </w:rPr>
              <w:fldChar w:fldCharType="separate"/>
            </w:r>
            <w:r w:rsidR="00D471AD">
              <w:rPr>
                <w:webHidden/>
              </w:rPr>
              <w:t>64</w:t>
            </w:r>
            <w:r w:rsidR="00D471AD">
              <w:rPr>
                <w:webHidden/>
              </w:rPr>
              <w:fldChar w:fldCharType="end"/>
            </w:r>
          </w:hyperlink>
        </w:p>
        <w:p w14:paraId="7418AEA8" w14:textId="77777777" w:rsidR="00D471AD" w:rsidRDefault="004A31A9" w:rsidP="00D471AD">
          <w:pPr>
            <w:pStyle w:val="TOC3"/>
            <w:rPr>
              <w:rFonts w:asciiTheme="minorHAnsi" w:eastAsiaTheme="minorEastAsia" w:hAnsiTheme="minorHAnsi"/>
              <w:color w:val="auto"/>
              <w:lang w:eastAsia="en-AU"/>
            </w:rPr>
          </w:pPr>
          <w:hyperlink w:anchor="_Toc465862831" w:history="1">
            <w:r w:rsidR="00D471AD" w:rsidRPr="00D33D55">
              <w:rPr>
                <w:rStyle w:val="Hyperlink"/>
              </w:rPr>
              <w:t>Source of ideas and information for innovation</w:t>
            </w:r>
            <w:r w:rsidR="00D471AD">
              <w:rPr>
                <w:webHidden/>
              </w:rPr>
              <w:tab/>
            </w:r>
            <w:r w:rsidR="00D471AD">
              <w:rPr>
                <w:webHidden/>
              </w:rPr>
              <w:fldChar w:fldCharType="begin"/>
            </w:r>
            <w:r w:rsidR="00D471AD">
              <w:rPr>
                <w:webHidden/>
              </w:rPr>
              <w:instrText xml:space="preserve"> PAGEREF _Toc465862831 \h </w:instrText>
            </w:r>
            <w:r w:rsidR="00D471AD">
              <w:rPr>
                <w:webHidden/>
              </w:rPr>
            </w:r>
            <w:r w:rsidR="00D471AD">
              <w:rPr>
                <w:webHidden/>
              </w:rPr>
              <w:fldChar w:fldCharType="separate"/>
            </w:r>
            <w:r w:rsidR="00D471AD">
              <w:rPr>
                <w:webHidden/>
              </w:rPr>
              <w:t>64</w:t>
            </w:r>
            <w:r w:rsidR="00D471AD">
              <w:rPr>
                <w:webHidden/>
              </w:rPr>
              <w:fldChar w:fldCharType="end"/>
            </w:r>
          </w:hyperlink>
        </w:p>
        <w:p w14:paraId="7418AEA9" w14:textId="77777777" w:rsidR="00D471AD" w:rsidRDefault="004A31A9" w:rsidP="00D471AD">
          <w:pPr>
            <w:pStyle w:val="TOC3"/>
            <w:rPr>
              <w:rFonts w:asciiTheme="minorHAnsi" w:eastAsiaTheme="minorEastAsia" w:hAnsiTheme="minorHAnsi"/>
              <w:color w:val="auto"/>
              <w:lang w:eastAsia="en-AU"/>
            </w:rPr>
          </w:pPr>
          <w:hyperlink w:anchor="_Toc465862832" w:history="1">
            <w:r w:rsidR="00D471AD" w:rsidRPr="00D33D55">
              <w:rPr>
                <w:rStyle w:val="Hyperlink"/>
              </w:rPr>
              <w:t>Researchers in business</w:t>
            </w:r>
            <w:r w:rsidR="00D471AD">
              <w:rPr>
                <w:webHidden/>
              </w:rPr>
              <w:tab/>
            </w:r>
            <w:r w:rsidR="00D471AD">
              <w:rPr>
                <w:webHidden/>
              </w:rPr>
              <w:fldChar w:fldCharType="begin"/>
            </w:r>
            <w:r w:rsidR="00D471AD">
              <w:rPr>
                <w:webHidden/>
              </w:rPr>
              <w:instrText xml:space="preserve"> PAGEREF _Toc465862832 \h </w:instrText>
            </w:r>
            <w:r w:rsidR="00D471AD">
              <w:rPr>
                <w:webHidden/>
              </w:rPr>
            </w:r>
            <w:r w:rsidR="00D471AD">
              <w:rPr>
                <w:webHidden/>
              </w:rPr>
              <w:fldChar w:fldCharType="separate"/>
            </w:r>
            <w:r w:rsidR="00D471AD">
              <w:rPr>
                <w:webHidden/>
              </w:rPr>
              <w:t>67</w:t>
            </w:r>
            <w:r w:rsidR="00D471AD">
              <w:rPr>
                <w:webHidden/>
              </w:rPr>
              <w:fldChar w:fldCharType="end"/>
            </w:r>
          </w:hyperlink>
        </w:p>
        <w:p w14:paraId="7418AEAA" w14:textId="77777777" w:rsidR="00D471AD" w:rsidRDefault="004A31A9" w:rsidP="00D471AD">
          <w:pPr>
            <w:pStyle w:val="TOC1"/>
            <w:tabs>
              <w:tab w:val="left" w:pos="1276"/>
            </w:tabs>
            <w:rPr>
              <w:rFonts w:asciiTheme="minorHAnsi" w:eastAsiaTheme="minorEastAsia" w:hAnsiTheme="minorHAnsi"/>
              <w:b w:val="0"/>
              <w:color w:val="auto"/>
              <w:szCs w:val="22"/>
              <w:lang w:eastAsia="en-AU"/>
            </w:rPr>
          </w:pPr>
          <w:hyperlink w:anchor="_Toc465862833" w:history="1">
            <w:r w:rsidR="00D471AD" w:rsidRPr="00D33D55">
              <w:rPr>
                <w:rStyle w:val="Hyperlink"/>
              </w:rPr>
              <w:t>5.</w:t>
            </w:r>
            <w:r w:rsidR="00D471AD">
              <w:rPr>
                <w:rFonts w:asciiTheme="minorHAnsi" w:eastAsiaTheme="minorEastAsia" w:hAnsiTheme="minorHAnsi"/>
                <w:b w:val="0"/>
                <w:color w:val="auto"/>
                <w:szCs w:val="22"/>
                <w:lang w:eastAsia="en-AU"/>
              </w:rPr>
              <w:tab/>
            </w:r>
            <w:r w:rsidR="00D471AD" w:rsidRPr="00D33D55">
              <w:rPr>
                <w:rStyle w:val="Hyperlink"/>
              </w:rPr>
              <w:t>Framework conditions</w:t>
            </w:r>
            <w:r w:rsidR="00D471AD">
              <w:rPr>
                <w:webHidden/>
              </w:rPr>
              <w:tab/>
            </w:r>
            <w:r w:rsidR="00D471AD">
              <w:rPr>
                <w:webHidden/>
              </w:rPr>
              <w:fldChar w:fldCharType="begin"/>
            </w:r>
            <w:r w:rsidR="00D471AD">
              <w:rPr>
                <w:webHidden/>
              </w:rPr>
              <w:instrText xml:space="preserve"> PAGEREF _Toc465862833 \h </w:instrText>
            </w:r>
            <w:r w:rsidR="00D471AD">
              <w:rPr>
                <w:webHidden/>
              </w:rPr>
            </w:r>
            <w:r w:rsidR="00D471AD">
              <w:rPr>
                <w:webHidden/>
              </w:rPr>
              <w:fldChar w:fldCharType="separate"/>
            </w:r>
            <w:r w:rsidR="00D471AD">
              <w:rPr>
                <w:webHidden/>
              </w:rPr>
              <w:t>70</w:t>
            </w:r>
            <w:r w:rsidR="00D471AD">
              <w:rPr>
                <w:webHidden/>
              </w:rPr>
              <w:fldChar w:fldCharType="end"/>
            </w:r>
          </w:hyperlink>
        </w:p>
        <w:p w14:paraId="7418AEAB"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34" w:history="1">
            <w:r w:rsidR="00D471AD" w:rsidRPr="00D33D55">
              <w:rPr>
                <w:rStyle w:val="Hyperlink"/>
              </w:rPr>
              <w:t>5.1</w:t>
            </w:r>
            <w:r w:rsidR="00D471AD">
              <w:rPr>
                <w:rFonts w:asciiTheme="minorHAnsi" w:eastAsiaTheme="minorEastAsia" w:hAnsiTheme="minorHAnsi"/>
                <w:color w:val="auto"/>
                <w:lang w:eastAsia="en-AU"/>
              </w:rPr>
              <w:tab/>
            </w:r>
            <w:r w:rsidR="00D471AD" w:rsidRPr="00D33D55">
              <w:rPr>
                <w:rStyle w:val="Hyperlink"/>
              </w:rPr>
              <w:t>Broad indicators of framework conditions in Australia</w:t>
            </w:r>
            <w:r w:rsidR="00D471AD">
              <w:rPr>
                <w:webHidden/>
              </w:rPr>
              <w:tab/>
            </w:r>
            <w:r w:rsidR="00D471AD">
              <w:rPr>
                <w:webHidden/>
              </w:rPr>
              <w:fldChar w:fldCharType="begin"/>
            </w:r>
            <w:r w:rsidR="00D471AD">
              <w:rPr>
                <w:webHidden/>
              </w:rPr>
              <w:instrText xml:space="preserve"> PAGEREF _Toc465862834 \h </w:instrText>
            </w:r>
            <w:r w:rsidR="00D471AD">
              <w:rPr>
                <w:webHidden/>
              </w:rPr>
            </w:r>
            <w:r w:rsidR="00D471AD">
              <w:rPr>
                <w:webHidden/>
              </w:rPr>
              <w:fldChar w:fldCharType="separate"/>
            </w:r>
            <w:r w:rsidR="00D471AD">
              <w:rPr>
                <w:webHidden/>
              </w:rPr>
              <w:t>70</w:t>
            </w:r>
            <w:r w:rsidR="00D471AD">
              <w:rPr>
                <w:webHidden/>
              </w:rPr>
              <w:fldChar w:fldCharType="end"/>
            </w:r>
          </w:hyperlink>
        </w:p>
        <w:p w14:paraId="7418AEAC"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35" w:history="1">
            <w:r w:rsidR="00D471AD" w:rsidRPr="00D33D55">
              <w:rPr>
                <w:rStyle w:val="Hyperlink"/>
              </w:rPr>
              <w:t>5.2</w:t>
            </w:r>
            <w:r w:rsidR="00D471AD">
              <w:rPr>
                <w:rFonts w:asciiTheme="minorHAnsi" w:eastAsiaTheme="minorEastAsia" w:hAnsiTheme="minorHAnsi"/>
                <w:color w:val="auto"/>
                <w:lang w:eastAsia="en-AU"/>
              </w:rPr>
              <w:tab/>
            </w:r>
            <w:r w:rsidR="00D471AD" w:rsidRPr="00D33D55">
              <w:rPr>
                <w:rStyle w:val="Hyperlink"/>
              </w:rPr>
              <w:t>Intellectual property protection trends in Australia</w:t>
            </w:r>
            <w:r w:rsidR="00D471AD">
              <w:rPr>
                <w:webHidden/>
              </w:rPr>
              <w:tab/>
            </w:r>
            <w:r w:rsidR="00D471AD">
              <w:rPr>
                <w:webHidden/>
              </w:rPr>
              <w:fldChar w:fldCharType="begin"/>
            </w:r>
            <w:r w:rsidR="00D471AD">
              <w:rPr>
                <w:webHidden/>
              </w:rPr>
              <w:instrText xml:space="preserve"> PAGEREF _Toc465862835 \h </w:instrText>
            </w:r>
            <w:r w:rsidR="00D471AD">
              <w:rPr>
                <w:webHidden/>
              </w:rPr>
            </w:r>
            <w:r w:rsidR="00D471AD">
              <w:rPr>
                <w:webHidden/>
              </w:rPr>
              <w:fldChar w:fldCharType="separate"/>
            </w:r>
            <w:r w:rsidR="00D471AD">
              <w:rPr>
                <w:webHidden/>
              </w:rPr>
              <w:t>70</w:t>
            </w:r>
            <w:r w:rsidR="00D471AD">
              <w:rPr>
                <w:webHidden/>
              </w:rPr>
              <w:fldChar w:fldCharType="end"/>
            </w:r>
          </w:hyperlink>
        </w:p>
        <w:p w14:paraId="7418AEAD"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36" w:history="1">
            <w:r w:rsidR="00D471AD" w:rsidRPr="00D33D55">
              <w:rPr>
                <w:rStyle w:val="Hyperlink"/>
              </w:rPr>
              <w:t>5.3</w:t>
            </w:r>
            <w:r w:rsidR="00D471AD">
              <w:rPr>
                <w:rFonts w:asciiTheme="minorHAnsi" w:eastAsiaTheme="minorEastAsia" w:hAnsiTheme="minorHAnsi"/>
                <w:color w:val="auto"/>
                <w:lang w:eastAsia="en-AU"/>
              </w:rPr>
              <w:tab/>
            </w:r>
            <w:r w:rsidR="00D471AD" w:rsidRPr="00D33D55">
              <w:rPr>
                <w:rStyle w:val="Hyperlink"/>
              </w:rPr>
              <w:t>Venture capital trends in Australia</w:t>
            </w:r>
            <w:r w:rsidR="00D471AD">
              <w:rPr>
                <w:webHidden/>
              </w:rPr>
              <w:tab/>
            </w:r>
            <w:r w:rsidR="00D471AD">
              <w:rPr>
                <w:webHidden/>
              </w:rPr>
              <w:fldChar w:fldCharType="begin"/>
            </w:r>
            <w:r w:rsidR="00D471AD">
              <w:rPr>
                <w:webHidden/>
              </w:rPr>
              <w:instrText xml:space="preserve"> PAGEREF _Toc465862836 \h </w:instrText>
            </w:r>
            <w:r w:rsidR="00D471AD">
              <w:rPr>
                <w:webHidden/>
              </w:rPr>
            </w:r>
            <w:r w:rsidR="00D471AD">
              <w:rPr>
                <w:webHidden/>
              </w:rPr>
              <w:fldChar w:fldCharType="separate"/>
            </w:r>
            <w:r w:rsidR="00D471AD">
              <w:rPr>
                <w:webHidden/>
              </w:rPr>
              <w:t>71</w:t>
            </w:r>
            <w:r w:rsidR="00D471AD">
              <w:rPr>
                <w:webHidden/>
              </w:rPr>
              <w:fldChar w:fldCharType="end"/>
            </w:r>
          </w:hyperlink>
        </w:p>
        <w:p w14:paraId="7418AEAE"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37" w:history="1">
            <w:r w:rsidR="00D471AD" w:rsidRPr="00D33D55">
              <w:rPr>
                <w:rStyle w:val="Hyperlink"/>
              </w:rPr>
              <w:t>5.4</w:t>
            </w:r>
            <w:r w:rsidR="00D471AD">
              <w:rPr>
                <w:rFonts w:asciiTheme="minorHAnsi" w:eastAsiaTheme="minorEastAsia" w:hAnsiTheme="minorHAnsi"/>
                <w:color w:val="auto"/>
                <w:lang w:eastAsia="en-AU"/>
              </w:rPr>
              <w:tab/>
            </w:r>
            <w:r w:rsidR="00D471AD" w:rsidRPr="00D33D55">
              <w:rPr>
                <w:rStyle w:val="Hyperlink"/>
              </w:rPr>
              <w:t>Product market regulation</w:t>
            </w:r>
            <w:r w:rsidR="00D471AD">
              <w:rPr>
                <w:webHidden/>
              </w:rPr>
              <w:tab/>
            </w:r>
            <w:r w:rsidR="00D471AD">
              <w:rPr>
                <w:webHidden/>
              </w:rPr>
              <w:fldChar w:fldCharType="begin"/>
            </w:r>
            <w:r w:rsidR="00D471AD">
              <w:rPr>
                <w:webHidden/>
              </w:rPr>
              <w:instrText xml:space="preserve"> PAGEREF _Toc465862837 \h </w:instrText>
            </w:r>
            <w:r w:rsidR="00D471AD">
              <w:rPr>
                <w:webHidden/>
              </w:rPr>
            </w:r>
            <w:r w:rsidR="00D471AD">
              <w:rPr>
                <w:webHidden/>
              </w:rPr>
              <w:fldChar w:fldCharType="separate"/>
            </w:r>
            <w:r w:rsidR="00D471AD">
              <w:rPr>
                <w:webHidden/>
              </w:rPr>
              <w:t>73</w:t>
            </w:r>
            <w:r w:rsidR="00D471AD">
              <w:rPr>
                <w:webHidden/>
              </w:rPr>
              <w:fldChar w:fldCharType="end"/>
            </w:r>
          </w:hyperlink>
        </w:p>
        <w:p w14:paraId="7418AEAF"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38" w:history="1">
            <w:r w:rsidR="00D471AD" w:rsidRPr="00D33D55">
              <w:rPr>
                <w:rStyle w:val="Hyperlink"/>
              </w:rPr>
              <w:t>5.5</w:t>
            </w:r>
            <w:r w:rsidR="00D471AD">
              <w:rPr>
                <w:rFonts w:asciiTheme="minorHAnsi" w:eastAsiaTheme="minorEastAsia" w:hAnsiTheme="minorHAnsi"/>
                <w:color w:val="auto"/>
                <w:lang w:eastAsia="en-AU"/>
              </w:rPr>
              <w:tab/>
            </w:r>
            <w:r w:rsidR="00D471AD" w:rsidRPr="00D33D55">
              <w:rPr>
                <w:rStyle w:val="Hyperlink"/>
              </w:rPr>
              <w:t>Australian Employee Share Schemes</w:t>
            </w:r>
            <w:r w:rsidR="00D471AD">
              <w:rPr>
                <w:webHidden/>
              </w:rPr>
              <w:tab/>
            </w:r>
            <w:r w:rsidR="00D471AD">
              <w:rPr>
                <w:webHidden/>
              </w:rPr>
              <w:fldChar w:fldCharType="begin"/>
            </w:r>
            <w:r w:rsidR="00D471AD">
              <w:rPr>
                <w:webHidden/>
              </w:rPr>
              <w:instrText xml:space="preserve"> PAGEREF _Toc465862838 \h </w:instrText>
            </w:r>
            <w:r w:rsidR="00D471AD">
              <w:rPr>
                <w:webHidden/>
              </w:rPr>
            </w:r>
            <w:r w:rsidR="00D471AD">
              <w:rPr>
                <w:webHidden/>
              </w:rPr>
              <w:fldChar w:fldCharType="separate"/>
            </w:r>
            <w:r w:rsidR="00D471AD">
              <w:rPr>
                <w:webHidden/>
              </w:rPr>
              <w:t>74</w:t>
            </w:r>
            <w:r w:rsidR="00D471AD">
              <w:rPr>
                <w:webHidden/>
              </w:rPr>
              <w:fldChar w:fldCharType="end"/>
            </w:r>
          </w:hyperlink>
        </w:p>
        <w:p w14:paraId="7418AEB0"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39" w:history="1">
            <w:r w:rsidR="00D471AD" w:rsidRPr="00D33D55">
              <w:rPr>
                <w:rStyle w:val="Hyperlink"/>
              </w:rPr>
              <w:t>5.6</w:t>
            </w:r>
            <w:r w:rsidR="00D471AD">
              <w:rPr>
                <w:rFonts w:asciiTheme="minorHAnsi" w:eastAsiaTheme="minorEastAsia" w:hAnsiTheme="minorHAnsi"/>
                <w:color w:val="auto"/>
                <w:lang w:eastAsia="en-AU"/>
              </w:rPr>
              <w:tab/>
            </w:r>
            <w:r w:rsidR="00D471AD" w:rsidRPr="00D33D55">
              <w:rPr>
                <w:rStyle w:val="Hyperlink"/>
              </w:rPr>
              <w:t>Australia’s skills base is growing</w:t>
            </w:r>
            <w:r w:rsidR="00D471AD">
              <w:rPr>
                <w:webHidden/>
              </w:rPr>
              <w:tab/>
            </w:r>
            <w:r w:rsidR="00D471AD">
              <w:rPr>
                <w:webHidden/>
              </w:rPr>
              <w:fldChar w:fldCharType="begin"/>
            </w:r>
            <w:r w:rsidR="00D471AD">
              <w:rPr>
                <w:webHidden/>
              </w:rPr>
              <w:instrText xml:space="preserve"> PAGEREF _Toc465862839 \h </w:instrText>
            </w:r>
            <w:r w:rsidR="00D471AD">
              <w:rPr>
                <w:webHidden/>
              </w:rPr>
            </w:r>
            <w:r w:rsidR="00D471AD">
              <w:rPr>
                <w:webHidden/>
              </w:rPr>
              <w:fldChar w:fldCharType="separate"/>
            </w:r>
            <w:r w:rsidR="00D471AD">
              <w:rPr>
                <w:webHidden/>
              </w:rPr>
              <w:t>77</w:t>
            </w:r>
            <w:r w:rsidR="00D471AD">
              <w:rPr>
                <w:webHidden/>
              </w:rPr>
              <w:fldChar w:fldCharType="end"/>
            </w:r>
          </w:hyperlink>
        </w:p>
        <w:p w14:paraId="7418AEB1"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40" w:history="1">
            <w:r w:rsidR="00D471AD" w:rsidRPr="00D33D55">
              <w:rPr>
                <w:rStyle w:val="Hyperlink"/>
              </w:rPr>
              <w:t>5.7</w:t>
            </w:r>
            <w:r w:rsidR="00D471AD">
              <w:rPr>
                <w:rFonts w:asciiTheme="minorHAnsi" w:eastAsiaTheme="minorEastAsia" w:hAnsiTheme="minorHAnsi"/>
                <w:color w:val="auto"/>
                <w:lang w:eastAsia="en-AU"/>
              </w:rPr>
              <w:tab/>
            </w:r>
            <w:r w:rsidR="00D471AD" w:rsidRPr="00D33D55">
              <w:rPr>
                <w:rStyle w:val="Hyperlink"/>
              </w:rPr>
              <w:t>Academic research trends</w:t>
            </w:r>
            <w:r w:rsidR="00D471AD">
              <w:rPr>
                <w:webHidden/>
              </w:rPr>
              <w:tab/>
            </w:r>
            <w:r w:rsidR="00D471AD">
              <w:rPr>
                <w:webHidden/>
              </w:rPr>
              <w:fldChar w:fldCharType="begin"/>
            </w:r>
            <w:r w:rsidR="00D471AD">
              <w:rPr>
                <w:webHidden/>
              </w:rPr>
              <w:instrText xml:space="preserve"> PAGEREF _Toc465862840 \h </w:instrText>
            </w:r>
            <w:r w:rsidR="00D471AD">
              <w:rPr>
                <w:webHidden/>
              </w:rPr>
            </w:r>
            <w:r w:rsidR="00D471AD">
              <w:rPr>
                <w:webHidden/>
              </w:rPr>
              <w:fldChar w:fldCharType="separate"/>
            </w:r>
            <w:r w:rsidR="00D471AD">
              <w:rPr>
                <w:webHidden/>
              </w:rPr>
              <w:t>79</w:t>
            </w:r>
            <w:r w:rsidR="00D471AD">
              <w:rPr>
                <w:webHidden/>
              </w:rPr>
              <w:fldChar w:fldCharType="end"/>
            </w:r>
          </w:hyperlink>
        </w:p>
        <w:p w14:paraId="7418AEB2" w14:textId="77777777" w:rsidR="00D471AD" w:rsidRDefault="004A31A9" w:rsidP="00D471AD">
          <w:pPr>
            <w:pStyle w:val="TOC3"/>
            <w:rPr>
              <w:rFonts w:asciiTheme="minorHAnsi" w:eastAsiaTheme="minorEastAsia" w:hAnsiTheme="minorHAnsi"/>
              <w:color w:val="auto"/>
              <w:lang w:eastAsia="en-AU"/>
            </w:rPr>
          </w:pPr>
          <w:hyperlink w:anchor="_Toc465862841" w:history="1">
            <w:r w:rsidR="00D471AD" w:rsidRPr="00D33D55">
              <w:rPr>
                <w:rStyle w:val="Hyperlink"/>
              </w:rPr>
              <w:t>Outputs: academic publications</w:t>
            </w:r>
            <w:r w:rsidR="00D471AD">
              <w:rPr>
                <w:webHidden/>
              </w:rPr>
              <w:tab/>
            </w:r>
            <w:r w:rsidR="00D471AD">
              <w:rPr>
                <w:webHidden/>
              </w:rPr>
              <w:fldChar w:fldCharType="begin"/>
            </w:r>
            <w:r w:rsidR="00D471AD">
              <w:rPr>
                <w:webHidden/>
              </w:rPr>
              <w:instrText xml:space="preserve"> PAGEREF _Toc465862841 \h </w:instrText>
            </w:r>
            <w:r w:rsidR="00D471AD">
              <w:rPr>
                <w:webHidden/>
              </w:rPr>
            </w:r>
            <w:r w:rsidR="00D471AD">
              <w:rPr>
                <w:webHidden/>
              </w:rPr>
              <w:fldChar w:fldCharType="separate"/>
            </w:r>
            <w:r w:rsidR="00D471AD">
              <w:rPr>
                <w:webHidden/>
              </w:rPr>
              <w:t>79</w:t>
            </w:r>
            <w:r w:rsidR="00D471AD">
              <w:rPr>
                <w:webHidden/>
              </w:rPr>
              <w:fldChar w:fldCharType="end"/>
            </w:r>
          </w:hyperlink>
        </w:p>
        <w:p w14:paraId="7418AEB3" w14:textId="77777777" w:rsidR="00D471AD" w:rsidRDefault="004A31A9" w:rsidP="00D471AD">
          <w:pPr>
            <w:pStyle w:val="TOC3"/>
            <w:rPr>
              <w:rFonts w:asciiTheme="minorHAnsi" w:eastAsiaTheme="minorEastAsia" w:hAnsiTheme="minorHAnsi"/>
              <w:color w:val="auto"/>
              <w:lang w:eastAsia="en-AU"/>
            </w:rPr>
          </w:pPr>
          <w:hyperlink w:anchor="_Toc465862842" w:history="1">
            <w:r w:rsidR="00D471AD" w:rsidRPr="00D33D55">
              <w:rPr>
                <w:rStyle w:val="Hyperlink"/>
              </w:rPr>
              <w:t>Outputs: graduating students</w:t>
            </w:r>
            <w:r w:rsidR="00D471AD">
              <w:rPr>
                <w:webHidden/>
              </w:rPr>
              <w:tab/>
            </w:r>
            <w:r w:rsidR="00D471AD">
              <w:rPr>
                <w:webHidden/>
              </w:rPr>
              <w:fldChar w:fldCharType="begin"/>
            </w:r>
            <w:r w:rsidR="00D471AD">
              <w:rPr>
                <w:webHidden/>
              </w:rPr>
              <w:instrText xml:space="preserve"> PAGEREF _Toc465862842 \h </w:instrText>
            </w:r>
            <w:r w:rsidR="00D471AD">
              <w:rPr>
                <w:webHidden/>
              </w:rPr>
            </w:r>
            <w:r w:rsidR="00D471AD">
              <w:rPr>
                <w:webHidden/>
              </w:rPr>
              <w:fldChar w:fldCharType="separate"/>
            </w:r>
            <w:r w:rsidR="00D471AD">
              <w:rPr>
                <w:webHidden/>
              </w:rPr>
              <w:t>79</w:t>
            </w:r>
            <w:r w:rsidR="00D471AD">
              <w:rPr>
                <w:webHidden/>
              </w:rPr>
              <w:fldChar w:fldCharType="end"/>
            </w:r>
          </w:hyperlink>
        </w:p>
        <w:p w14:paraId="7418AEB4" w14:textId="77777777" w:rsidR="00D471AD" w:rsidRDefault="004A31A9" w:rsidP="00D471AD">
          <w:pPr>
            <w:pStyle w:val="TOC2"/>
            <w:rPr>
              <w:rFonts w:asciiTheme="minorHAnsi" w:eastAsiaTheme="minorEastAsia" w:hAnsiTheme="minorHAnsi"/>
              <w:color w:val="auto"/>
              <w:lang w:eastAsia="en-AU"/>
            </w:rPr>
          </w:pPr>
          <w:hyperlink w:anchor="_Toc465862843" w:history="1">
            <w:r w:rsidR="00D471AD" w:rsidRPr="00D33D55">
              <w:rPr>
                <w:rStyle w:val="Hyperlink"/>
              </w:rPr>
              <w:t>Appen: A case study of an innovative, high-growth firm</w:t>
            </w:r>
            <w:r w:rsidR="00D471AD">
              <w:rPr>
                <w:webHidden/>
              </w:rPr>
              <w:tab/>
            </w:r>
            <w:r w:rsidR="00D471AD">
              <w:rPr>
                <w:webHidden/>
              </w:rPr>
              <w:fldChar w:fldCharType="begin"/>
            </w:r>
            <w:r w:rsidR="00D471AD">
              <w:rPr>
                <w:webHidden/>
              </w:rPr>
              <w:instrText xml:space="preserve"> PAGEREF _Toc465862843 \h </w:instrText>
            </w:r>
            <w:r w:rsidR="00D471AD">
              <w:rPr>
                <w:webHidden/>
              </w:rPr>
            </w:r>
            <w:r w:rsidR="00D471AD">
              <w:rPr>
                <w:webHidden/>
              </w:rPr>
              <w:fldChar w:fldCharType="separate"/>
            </w:r>
            <w:r w:rsidR="00D471AD">
              <w:rPr>
                <w:webHidden/>
              </w:rPr>
              <w:t>80</w:t>
            </w:r>
            <w:r w:rsidR="00D471AD">
              <w:rPr>
                <w:webHidden/>
              </w:rPr>
              <w:fldChar w:fldCharType="end"/>
            </w:r>
          </w:hyperlink>
        </w:p>
        <w:p w14:paraId="7418AEB5" w14:textId="77777777" w:rsidR="00D471AD" w:rsidRDefault="004A31A9" w:rsidP="00D471AD">
          <w:pPr>
            <w:pStyle w:val="TOC2"/>
            <w:tabs>
              <w:tab w:val="left" w:pos="1843"/>
            </w:tabs>
            <w:rPr>
              <w:rFonts w:asciiTheme="minorHAnsi" w:eastAsiaTheme="minorEastAsia" w:hAnsiTheme="minorHAnsi"/>
              <w:color w:val="auto"/>
              <w:lang w:eastAsia="en-AU"/>
            </w:rPr>
          </w:pPr>
          <w:hyperlink w:anchor="_Toc465862844" w:history="1">
            <w:r w:rsidR="00D471AD" w:rsidRPr="00D33D55">
              <w:rPr>
                <w:rStyle w:val="Hyperlink"/>
              </w:rPr>
              <w:t>5.8</w:t>
            </w:r>
            <w:r w:rsidR="00D471AD">
              <w:rPr>
                <w:rFonts w:asciiTheme="minorHAnsi" w:eastAsiaTheme="minorEastAsia" w:hAnsiTheme="minorHAnsi"/>
                <w:color w:val="auto"/>
                <w:lang w:eastAsia="en-AU"/>
              </w:rPr>
              <w:tab/>
            </w:r>
            <w:r w:rsidR="00D471AD" w:rsidRPr="00D33D55">
              <w:rPr>
                <w:rStyle w:val="Hyperlink"/>
              </w:rPr>
              <w:t>The role of government in the innovation system</w:t>
            </w:r>
            <w:r w:rsidR="00D471AD">
              <w:rPr>
                <w:webHidden/>
              </w:rPr>
              <w:tab/>
            </w:r>
            <w:r w:rsidR="00D471AD">
              <w:rPr>
                <w:webHidden/>
              </w:rPr>
              <w:fldChar w:fldCharType="begin"/>
            </w:r>
            <w:r w:rsidR="00D471AD">
              <w:rPr>
                <w:webHidden/>
              </w:rPr>
              <w:instrText xml:space="preserve"> PAGEREF _Toc465862844 \h </w:instrText>
            </w:r>
            <w:r w:rsidR="00D471AD">
              <w:rPr>
                <w:webHidden/>
              </w:rPr>
            </w:r>
            <w:r w:rsidR="00D471AD">
              <w:rPr>
                <w:webHidden/>
              </w:rPr>
              <w:fldChar w:fldCharType="separate"/>
            </w:r>
            <w:r w:rsidR="00D471AD">
              <w:rPr>
                <w:webHidden/>
              </w:rPr>
              <w:t>82</w:t>
            </w:r>
            <w:r w:rsidR="00D471AD">
              <w:rPr>
                <w:webHidden/>
              </w:rPr>
              <w:fldChar w:fldCharType="end"/>
            </w:r>
          </w:hyperlink>
        </w:p>
        <w:p w14:paraId="7418AEB6" w14:textId="77777777" w:rsidR="00D471AD" w:rsidRDefault="004A31A9" w:rsidP="00D471AD">
          <w:pPr>
            <w:pStyle w:val="TOC3"/>
            <w:rPr>
              <w:rFonts w:asciiTheme="minorHAnsi" w:eastAsiaTheme="minorEastAsia" w:hAnsiTheme="minorHAnsi"/>
              <w:color w:val="auto"/>
              <w:lang w:eastAsia="en-AU"/>
            </w:rPr>
          </w:pPr>
          <w:hyperlink w:anchor="_Toc465862845" w:history="1">
            <w:r w:rsidR="00D471AD" w:rsidRPr="00D33D55">
              <w:rPr>
                <w:rStyle w:val="Hyperlink"/>
              </w:rPr>
              <w:t>The Australian Government’s role in supporting R&amp;D</w:t>
            </w:r>
            <w:r w:rsidR="00D471AD">
              <w:rPr>
                <w:webHidden/>
              </w:rPr>
              <w:tab/>
            </w:r>
            <w:r w:rsidR="00D471AD">
              <w:rPr>
                <w:webHidden/>
              </w:rPr>
              <w:fldChar w:fldCharType="begin"/>
            </w:r>
            <w:r w:rsidR="00D471AD">
              <w:rPr>
                <w:webHidden/>
              </w:rPr>
              <w:instrText xml:space="preserve"> PAGEREF _Toc465862845 \h </w:instrText>
            </w:r>
            <w:r w:rsidR="00D471AD">
              <w:rPr>
                <w:webHidden/>
              </w:rPr>
            </w:r>
            <w:r w:rsidR="00D471AD">
              <w:rPr>
                <w:webHidden/>
              </w:rPr>
              <w:fldChar w:fldCharType="separate"/>
            </w:r>
            <w:r w:rsidR="00D471AD">
              <w:rPr>
                <w:webHidden/>
              </w:rPr>
              <w:t>83</w:t>
            </w:r>
            <w:r w:rsidR="00D471AD">
              <w:rPr>
                <w:webHidden/>
              </w:rPr>
              <w:fldChar w:fldCharType="end"/>
            </w:r>
          </w:hyperlink>
        </w:p>
        <w:p w14:paraId="7418AEB7" w14:textId="77777777" w:rsidR="00D471AD" w:rsidRDefault="004A31A9" w:rsidP="00D471AD">
          <w:pPr>
            <w:pStyle w:val="TOC3"/>
            <w:rPr>
              <w:rFonts w:asciiTheme="minorHAnsi" w:eastAsiaTheme="minorEastAsia" w:hAnsiTheme="minorHAnsi"/>
              <w:color w:val="auto"/>
              <w:lang w:eastAsia="en-AU"/>
            </w:rPr>
          </w:pPr>
          <w:hyperlink w:anchor="_Toc465862846" w:history="1">
            <w:r w:rsidR="00D471AD" w:rsidRPr="00D33D55">
              <w:rPr>
                <w:rStyle w:val="Hyperlink"/>
              </w:rPr>
              <w:t>Tax incentives and subsidies</w:t>
            </w:r>
            <w:r w:rsidR="00D471AD">
              <w:rPr>
                <w:webHidden/>
              </w:rPr>
              <w:tab/>
            </w:r>
            <w:r w:rsidR="00D471AD">
              <w:rPr>
                <w:webHidden/>
              </w:rPr>
              <w:fldChar w:fldCharType="begin"/>
            </w:r>
            <w:r w:rsidR="00D471AD">
              <w:rPr>
                <w:webHidden/>
              </w:rPr>
              <w:instrText xml:space="preserve"> PAGEREF _Toc465862846 \h </w:instrText>
            </w:r>
            <w:r w:rsidR="00D471AD">
              <w:rPr>
                <w:webHidden/>
              </w:rPr>
            </w:r>
            <w:r w:rsidR="00D471AD">
              <w:rPr>
                <w:webHidden/>
              </w:rPr>
              <w:fldChar w:fldCharType="separate"/>
            </w:r>
            <w:r w:rsidR="00D471AD">
              <w:rPr>
                <w:webHidden/>
              </w:rPr>
              <w:t>84</w:t>
            </w:r>
            <w:r w:rsidR="00D471AD">
              <w:rPr>
                <w:webHidden/>
              </w:rPr>
              <w:fldChar w:fldCharType="end"/>
            </w:r>
          </w:hyperlink>
        </w:p>
        <w:p w14:paraId="7418AEB8" w14:textId="77777777" w:rsidR="00D471AD" w:rsidRDefault="004A31A9" w:rsidP="00D471AD">
          <w:pPr>
            <w:pStyle w:val="TOC1"/>
            <w:rPr>
              <w:rFonts w:asciiTheme="minorHAnsi" w:eastAsiaTheme="minorEastAsia" w:hAnsiTheme="minorHAnsi"/>
              <w:b w:val="0"/>
              <w:color w:val="auto"/>
              <w:szCs w:val="22"/>
              <w:lang w:eastAsia="en-AU"/>
            </w:rPr>
          </w:pPr>
          <w:hyperlink w:anchor="_Toc465862847" w:history="1">
            <w:r w:rsidR="00D471AD" w:rsidRPr="00D33D55">
              <w:rPr>
                <w:rStyle w:val="Hyperlink"/>
              </w:rPr>
              <w:t>Appendix A Data tables</w:t>
            </w:r>
            <w:r w:rsidR="00D471AD">
              <w:rPr>
                <w:webHidden/>
              </w:rPr>
              <w:tab/>
            </w:r>
            <w:r w:rsidR="00D471AD">
              <w:rPr>
                <w:webHidden/>
              </w:rPr>
              <w:fldChar w:fldCharType="begin"/>
            </w:r>
            <w:r w:rsidR="00D471AD">
              <w:rPr>
                <w:webHidden/>
              </w:rPr>
              <w:instrText xml:space="preserve"> PAGEREF _Toc465862847 \h </w:instrText>
            </w:r>
            <w:r w:rsidR="00D471AD">
              <w:rPr>
                <w:webHidden/>
              </w:rPr>
            </w:r>
            <w:r w:rsidR="00D471AD">
              <w:rPr>
                <w:webHidden/>
              </w:rPr>
              <w:fldChar w:fldCharType="separate"/>
            </w:r>
            <w:r w:rsidR="00D471AD">
              <w:rPr>
                <w:webHidden/>
              </w:rPr>
              <w:t>85</w:t>
            </w:r>
            <w:r w:rsidR="00D471AD">
              <w:rPr>
                <w:webHidden/>
              </w:rPr>
              <w:fldChar w:fldCharType="end"/>
            </w:r>
          </w:hyperlink>
        </w:p>
        <w:p w14:paraId="7418AEB9" w14:textId="77777777" w:rsidR="00D471AD" w:rsidRDefault="004A31A9" w:rsidP="00D471AD">
          <w:pPr>
            <w:pStyle w:val="TOC1"/>
            <w:rPr>
              <w:rFonts w:asciiTheme="minorHAnsi" w:eastAsiaTheme="minorEastAsia" w:hAnsiTheme="minorHAnsi"/>
              <w:b w:val="0"/>
              <w:color w:val="auto"/>
              <w:szCs w:val="22"/>
              <w:lang w:eastAsia="en-AU"/>
            </w:rPr>
          </w:pPr>
          <w:hyperlink w:anchor="_Toc465862848" w:history="1">
            <w:r w:rsidR="00D471AD" w:rsidRPr="00D33D55">
              <w:rPr>
                <w:rStyle w:val="Hyperlink"/>
              </w:rPr>
              <w:t>Glossary of terms</w:t>
            </w:r>
            <w:r w:rsidR="00D471AD">
              <w:rPr>
                <w:webHidden/>
              </w:rPr>
              <w:tab/>
            </w:r>
            <w:r w:rsidR="00D471AD">
              <w:rPr>
                <w:webHidden/>
              </w:rPr>
              <w:fldChar w:fldCharType="begin"/>
            </w:r>
            <w:r w:rsidR="00D471AD">
              <w:rPr>
                <w:webHidden/>
              </w:rPr>
              <w:instrText xml:space="preserve"> PAGEREF _Toc465862848 \h </w:instrText>
            </w:r>
            <w:r w:rsidR="00D471AD">
              <w:rPr>
                <w:webHidden/>
              </w:rPr>
            </w:r>
            <w:r w:rsidR="00D471AD">
              <w:rPr>
                <w:webHidden/>
              </w:rPr>
              <w:fldChar w:fldCharType="separate"/>
            </w:r>
            <w:r w:rsidR="00D471AD">
              <w:rPr>
                <w:webHidden/>
              </w:rPr>
              <w:t>112</w:t>
            </w:r>
            <w:r w:rsidR="00D471AD">
              <w:rPr>
                <w:webHidden/>
              </w:rPr>
              <w:fldChar w:fldCharType="end"/>
            </w:r>
          </w:hyperlink>
        </w:p>
        <w:p w14:paraId="7418AEBA" w14:textId="77777777" w:rsidR="00D471AD" w:rsidRDefault="004A31A9" w:rsidP="00D471AD">
          <w:pPr>
            <w:pStyle w:val="TOC1"/>
            <w:rPr>
              <w:rFonts w:asciiTheme="minorHAnsi" w:eastAsiaTheme="minorEastAsia" w:hAnsiTheme="minorHAnsi"/>
              <w:b w:val="0"/>
              <w:color w:val="auto"/>
              <w:szCs w:val="22"/>
              <w:lang w:eastAsia="en-AU"/>
            </w:rPr>
          </w:pPr>
          <w:hyperlink w:anchor="_Toc465862849" w:history="1">
            <w:r w:rsidR="00D471AD" w:rsidRPr="00D33D55">
              <w:rPr>
                <w:rStyle w:val="Hyperlink"/>
              </w:rPr>
              <w:t>References</w:t>
            </w:r>
            <w:r w:rsidR="00D471AD">
              <w:rPr>
                <w:webHidden/>
              </w:rPr>
              <w:tab/>
            </w:r>
            <w:r w:rsidR="00D471AD">
              <w:rPr>
                <w:webHidden/>
              </w:rPr>
              <w:fldChar w:fldCharType="begin"/>
            </w:r>
            <w:r w:rsidR="00D471AD">
              <w:rPr>
                <w:webHidden/>
              </w:rPr>
              <w:instrText xml:space="preserve"> PAGEREF _Toc465862849 \h </w:instrText>
            </w:r>
            <w:r w:rsidR="00D471AD">
              <w:rPr>
                <w:webHidden/>
              </w:rPr>
            </w:r>
            <w:r w:rsidR="00D471AD">
              <w:rPr>
                <w:webHidden/>
              </w:rPr>
              <w:fldChar w:fldCharType="separate"/>
            </w:r>
            <w:r w:rsidR="00D471AD">
              <w:rPr>
                <w:webHidden/>
              </w:rPr>
              <w:t>119</w:t>
            </w:r>
            <w:r w:rsidR="00D471AD">
              <w:rPr>
                <w:webHidden/>
              </w:rPr>
              <w:fldChar w:fldCharType="end"/>
            </w:r>
          </w:hyperlink>
        </w:p>
        <w:p w14:paraId="7418AEBB" w14:textId="77777777" w:rsidR="00D471AD" w:rsidRPr="000D502B" w:rsidRDefault="00D471AD" w:rsidP="00D471AD">
          <w:r>
            <w:rPr>
              <w:rFonts w:eastAsia="Times New Roman" w:cs="Arial"/>
              <w:b/>
              <w:noProof/>
              <w:sz w:val="20"/>
              <w:szCs w:val="20"/>
            </w:rPr>
            <w:fldChar w:fldCharType="end"/>
          </w:r>
        </w:p>
      </w:sdtContent>
    </w:sdt>
    <w:p w14:paraId="7418AEBC" w14:textId="77777777" w:rsidR="00D471AD" w:rsidRPr="000D502B" w:rsidRDefault="00D471AD" w:rsidP="00D471AD">
      <w:pPr>
        <w:spacing w:after="200" w:line="276" w:lineRule="auto"/>
      </w:pPr>
      <w:r w:rsidRPr="000D502B">
        <w:br w:type="page"/>
      </w:r>
    </w:p>
    <w:p w14:paraId="7418AEBD" w14:textId="77777777" w:rsidR="00D471AD" w:rsidRPr="001729A3" w:rsidRDefault="00D471AD" w:rsidP="00D471AD">
      <w:pPr>
        <w:pStyle w:val="Glossary"/>
        <w:rPr>
          <w:lang w:val="en-AU"/>
        </w:rPr>
      </w:pPr>
      <w:bookmarkStart w:id="3" w:name="_Toc461180053"/>
      <w:bookmarkStart w:id="4" w:name="_Toc461180502"/>
      <w:bookmarkStart w:id="5" w:name="_Toc461183210"/>
      <w:bookmarkStart w:id="6" w:name="_Toc461186856"/>
      <w:bookmarkStart w:id="7" w:name="_Toc461198265"/>
      <w:bookmarkStart w:id="8" w:name="_Toc461198807"/>
      <w:bookmarkStart w:id="9" w:name="_Toc461204095"/>
      <w:bookmarkStart w:id="10" w:name="_Toc461527539"/>
      <w:bookmarkStart w:id="11" w:name="_Toc461624442"/>
      <w:bookmarkStart w:id="12" w:name="_Toc461629667"/>
      <w:bookmarkStart w:id="13" w:name="_Toc461632997"/>
      <w:bookmarkStart w:id="14" w:name="_Toc461634267"/>
      <w:bookmarkStart w:id="15" w:name="_Toc465862787"/>
      <w:r w:rsidRPr="001729A3">
        <w:rPr>
          <w:lang w:val="en-AU"/>
        </w:rPr>
        <w:t>List of figures</w:t>
      </w:r>
      <w:bookmarkEnd w:id="3"/>
      <w:bookmarkEnd w:id="4"/>
      <w:bookmarkEnd w:id="5"/>
      <w:bookmarkEnd w:id="6"/>
      <w:bookmarkEnd w:id="7"/>
      <w:bookmarkEnd w:id="8"/>
      <w:bookmarkEnd w:id="9"/>
      <w:bookmarkEnd w:id="10"/>
      <w:bookmarkEnd w:id="11"/>
      <w:bookmarkEnd w:id="12"/>
      <w:bookmarkEnd w:id="13"/>
      <w:bookmarkEnd w:id="14"/>
      <w:bookmarkEnd w:id="15"/>
    </w:p>
    <w:p w14:paraId="7418AEBE" w14:textId="77777777" w:rsidR="00D471AD" w:rsidRDefault="00D471AD" w:rsidP="00D471AD">
      <w:pPr>
        <w:pStyle w:val="TableofFigures"/>
        <w:tabs>
          <w:tab w:val="right" w:leader="dot" w:pos="9884"/>
        </w:tabs>
        <w:rPr>
          <w:rFonts w:asciiTheme="minorHAnsi" w:eastAsiaTheme="minorEastAsia" w:hAnsiTheme="minorHAnsi"/>
          <w:noProof/>
          <w:color w:val="auto"/>
          <w:lang w:eastAsia="en-AU"/>
        </w:rPr>
      </w:pPr>
      <w:r w:rsidRPr="0014374C">
        <w:rPr>
          <w:rStyle w:val="Hyperlink"/>
          <w:noProof/>
          <w:sz w:val="20"/>
        </w:rPr>
        <w:fldChar w:fldCharType="begin"/>
      </w:r>
      <w:r w:rsidRPr="0014374C">
        <w:rPr>
          <w:rStyle w:val="Hyperlink"/>
          <w:noProof/>
          <w:sz w:val="20"/>
        </w:rPr>
        <w:instrText xml:space="preserve"> TOC \h \z \c "Figure" </w:instrText>
      </w:r>
      <w:r w:rsidRPr="0014374C">
        <w:rPr>
          <w:rStyle w:val="Hyperlink"/>
          <w:noProof/>
          <w:sz w:val="20"/>
        </w:rPr>
        <w:fldChar w:fldCharType="separate"/>
      </w:r>
      <w:hyperlink w:anchor="_Toc465864565" w:history="1">
        <w:r w:rsidRPr="002F7E5B">
          <w:rPr>
            <w:rStyle w:val="Hyperlink"/>
            <w:noProof/>
          </w:rPr>
          <w:t>Figure 1.1: The innovation cycle</w:t>
        </w:r>
        <w:r>
          <w:rPr>
            <w:noProof/>
            <w:webHidden/>
          </w:rPr>
          <w:tab/>
        </w:r>
        <w:r>
          <w:rPr>
            <w:noProof/>
            <w:webHidden/>
          </w:rPr>
          <w:fldChar w:fldCharType="begin"/>
        </w:r>
        <w:r>
          <w:rPr>
            <w:noProof/>
            <w:webHidden/>
          </w:rPr>
          <w:instrText xml:space="preserve"> PAGEREF _Toc465864565 \h </w:instrText>
        </w:r>
        <w:r>
          <w:rPr>
            <w:noProof/>
            <w:webHidden/>
          </w:rPr>
        </w:r>
        <w:r>
          <w:rPr>
            <w:noProof/>
            <w:webHidden/>
          </w:rPr>
          <w:fldChar w:fldCharType="separate"/>
        </w:r>
        <w:r>
          <w:rPr>
            <w:noProof/>
            <w:webHidden/>
          </w:rPr>
          <w:t>19</w:t>
        </w:r>
        <w:r>
          <w:rPr>
            <w:noProof/>
            <w:webHidden/>
          </w:rPr>
          <w:fldChar w:fldCharType="end"/>
        </w:r>
      </w:hyperlink>
    </w:p>
    <w:p w14:paraId="7418AEBF"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66" w:history="1">
        <w:r w:rsidR="00D471AD" w:rsidRPr="002F7E5B">
          <w:rPr>
            <w:rStyle w:val="Hyperlink"/>
            <w:noProof/>
          </w:rPr>
          <w:t>Figure 1.2: Total expenditures on external activities for innovation, 2014</w:t>
        </w:r>
        <w:r w:rsidR="00D471AD">
          <w:rPr>
            <w:noProof/>
            <w:webHidden/>
          </w:rPr>
          <w:tab/>
        </w:r>
        <w:r w:rsidR="00D471AD">
          <w:rPr>
            <w:noProof/>
            <w:webHidden/>
          </w:rPr>
          <w:fldChar w:fldCharType="begin"/>
        </w:r>
        <w:r w:rsidR="00D471AD">
          <w:rPr>
            <w:noProof/>
            <w:webHidden/>
          </w:rPr>
          <w:instrText xml:space="preserve"> PAGEREF _Toc465864566 \h </w:instrText>
        </w:r>
        <w:r w:rsidR="00D471AD">
          <w:rPr>
            <w:noProof/>
            <w:webHidden/>
          </w:rPr>
        </w:r>
        <w:r w:rsidR="00D471AD">
          <w:rPr>
            <w:noProof/>
            <w:webHidden/>
          </w:rPr>
          <w:fldChar w:fldCharType="separate"/>
        </w:r>
        <w:r w:rsidR="00D471AD">
          <w:rPr>
            <w:noProof/>
            <w:webHidden/>
          </w:rPr>
          <w:t>24</w:t>
        </w:r>
        <w:r w:rsidR="00D471AD">
          <w:rPr>
            <w:noProof/>
            <w:webHidden/>
          </w:rPr>
          <w:fldChar w:fldCharType="end"/>
        </w:r>
      </w:hyperlink>
    </w:p>
    <w:p w14:paraId="7418AEC0"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67" w:history="1">
        <w:r w:rsidR="00D471AD" w:rsidRPr="002F7E5B">
          <w:rPr>
            <w:rStyle w:val="Hyperlink"/>
            <w:noProof/>
          </w:rPr>
          <w:t>Figure 1.3: Person-months required to develop most important innovation in 2014</w:t>
        </w:r>
        <w:r w:rsidR="00D471AD">
          <w:rPr>
            <w:noProof/>
            <w:webHidden/>
          </w:rPr>
          <w:tab/>
        </w:r>
        <w:r w:rsidR="00D471AD">
          <w:rPr>
            <w:noProof/>
            <w:webHidden/>
          </w:rPr>
          <w:fldChar w:fldCharType="begin"/>
        </w:r>
        <w:r w:rsidR="00D471AD">
          <w:rPr>
            <w:noProof/>
            <w:webHidden/>
          </w:rPr>
          <w:instrText xml:space="preserve"> PAGEREF _Toc465864567 \h </w:instrText>
        </w:r>
        <w:r w:rsidR="00D471AD">
          <w:rPr>
            <w:noProof/>
            <w:webHidden/>
          </w:rPr>
        </w:r>
        <w:r w:rsidR="00D471AD">
          <w:rPr>
            <w:noProof/>
            <w:webHidden/>
          </w:rPr>
          <w:fldChar w:fldCharType="separate"/>
        </w:r>
        <w:r w:rsidR="00D471AD">
          <w:rPr>
            <w:noProof/>
            <w:webHidden/>
          </w:rPr>
          <w:t>24</w:t>
        </w:r>
        <w:r w:rsidR="00D471AD">
          <w:rPr>
            <w:noProof/>
            <w:webHidden/>
          </w:rPr>
          <w:fldChar w:fldCharType="end"/>
        </w:r>
      </w:hyperlink>
    </w:p>
    <w:p w14:paraId="7418AEC1"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68" w:history="1">
        <w:r w:rsidR="00D471AD" w:rsidRPr="002F7E5B">
          <w:rPr>
            <w:rStyle w:val="Hyperlink"/>
            <w:noProof/>
          </w:rPr>
          <w:t>Figure 2.1: Total estimated number of employing businesses that are innovation-active, and their contribution to employment, income and capital expenditure, 2014–15</w:t>
        </w:r>
        <w:r w:rsidR="00D471AD">
          <w:rPr>
            <w:noProof/>
            <w:webHidden/>
          </w:rPr>
          <w:tab/>
        </w:r>
        <w:r w:rsidR="00D471AD">
          <w:rPr>
            <w:noProof/>
            <w:webHidden/>
          </w:rPr>
          <w:fldChar w:fldCharType="begin"/>
        </w:r>
        <w:r w:rsidR="00D471AD">
          <w:rPr>
            <w:noProof/>
            <w:webHidden/>
          </w:rPr>
          <w:instrText xml:space="preserve"> PAGEREF _Toc465864568 \h </w:instrText>
        </w:r>
        <w:r w:rsidR="00D471AD">
          <w:rPr>
            <w:noProof/>
            <w:webHidden/>
          </w:rPr>
        </w:r>
        <w:r w:rsidR="00D471AD">
          <w:rPr>
            <w:noProof/>
            <w:webHidden/>
          </w:rPr>
          <w:fldChar w:fldCharType="separate"/>
        </w:r>
        <w:r w:rsidR="00D471AD">
          <w:rPr>
            <w:noProof/>
            <w:webHidden/>
          </w:rPr>
          <w:t>30</w:t>
        </w:r>
        <w:r w:rsidR="00D471AD">
          <w:rPr>
            <w:noProof/>
            <w:webHidden/>
          </w:rPr>
          <w:fldChar w:fldCharType="end"/>
        </w:r>
      </w:hyperlink>
    </w:p>
    <w:p w14:paraId="7418AEC2"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69" w:history="1">
        <w:r w:rsidR="00D471AD" w:rsidRPr="002F7E5B">
          <w:rPr>
            <w:rStyle w:val="Hyperlink"/>
            <w:noProof/>
          </w:rPr>
          <w:t>Figure 2.2: The net contribution of businesses to economic growth, by business age and average annualised growth class, 2004–05 to 2010–11</w:t>
        </w:r>
        <w:r w:rsidR="00D471AD">
          <w:rPr>
            <w:noProof/>
            <w:webHidden/>
          </w:rPr>
          <w:tab/>
        </w:r>
        <w:r w:rsidR="00D471AD">
          <w:rPr>
            <w:noProof/>
            <w:webHidden/>
          </w:rPr>
          <w:fldChar w:fldCharType="begin"/>
        </w:r>
        <w:r w:rsidR="00D471AD">
          <w:rPr>
            <w:noProof/>
            <w:webHidden/>
          </w:rPr>
          <w:instrText xml:space="preserve"> PAGEREF _Toc465864569 \h </w:instrText>
        </w:r>
        <w:r w:rsidR="00D471AD">
          <w:rPr>
            <w:noProof/>
            <w:webHidden/>
          </w:rPr>
        </w:r>
        <w:r w:rsidR="00D471AD">
          <w:rPr>
            <w:noProof/>
            <w:webHidden/>
          </w:rPr>
          <w:fldChar w:fldCharType="separate"/>
        </w:r>
        <w:r w:rsidR="00D471AD">
          <w:rPr>
            <w:noProof/>
            <w:webHidden/>
          </w:rPr>
          <w:t>32</w:t>
        </w:r>
        <w:r w:rsidR="00D471AD">
          <w:rPr>
            <w:noProof/>
            <w:webHidden/>
          </w:rPr>
          <w:fldChar w:fldCharType="end"/>
        </w:r>
      </w:hyperlink>
    </w:p>
    <w:p w14:paraId="7418AEC3"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70" w:history="1">
        <w:r w:rsidR="00D471AD" w:rsidRPr="002F7E5B">
          <w:rPr>
            <w:rStyle w:val="Hyperlink"/>
            <w:noProof/>
          </w:rPr>
          <w:t>Figure 2.3: The net contribution of businesses to employment growth, by business age and average annualised growth class, 2004–05 to 2010-11</w:t>
        </w:r>
        <w:r w:rsidR="00D471AD">
          <w:rPr>
            <w:noProof/>
            <w:webHidden/>
          </w:rPr>
          <w:tab/>
        </w:r>
        <w:r w:rsidR="00D471AD">
          <w:rPr>
            <w:noProof/>
            <w:webHidden/>
          </w:rPr>
          <w:fldChar w:fldCharType="begin"/>
        </w:r>
        <w:r w:rsidR="00D471AD">
          <w:rPr>
            <w:noProof/>
            <w:webHidden/>
          </w:rPr>
          <w:instrText xml:space="preserve"> PAGEREF _Toc465864570 \h </w:instrText>
        </w:r>
        <w:r w:rsidR="00D471AD">
          <w:rPr>
            <w:noProof/>
            <w:webHidden/>
          </w:rPr>
        </w:r>
        <w:r w:rsidR="00D471AD">
          <w:rPr>
            <w:noProof/>
            <w:webHidden/>
          </w:rPr>
          <w:fldChar w:fldCharType="separate"/>
        </w:r>
        <w:r w:rsidR="00D471AD">
          <w:rPr>
            <w:noProof/>
            <w:webHidden/>
          </w:rPr>
          <w:t>32</w:t>
        </w:r>
        <w:r w:rsidR="00D471AD">
          <w:rPr>
            <w:noProof/>
            <w:webHidden/>
          </w:rPr>
          <w:fldChar w:fldCharType="end"/>
        </w:r>
      </w:hyperlink>
    </w:p>
    <w:p w14:paraId="7418AEC4"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71" w:history="1">
        <w:r w:rsidR="00D471AD" w:rsidRPr="002F7E5B">
          <w:rPr>
            <w:rStyle w:val="Hyperlink"/>
            <w:noProof/>
          </w:rPr>
          <w:t>Figure 2.4: Contribution of businesses of different ages to growth relative to their share of employment, total sales, export sales or value added in Australia, 2004–05 to 2010–11</w:t>
        </w:r>
        <w:r w:rsidR="00D471AD">
          <w:rPr>
            <w:noProof/>
            <w:webHidden/>
          </w:rPr>
          <w:tab/>
        </w:r>
        <w:r w:rsidR="00D471AD">
          <w:rPr>
            <w:noProof/>
            <w:webHidden/>
          </w:rPr>
          <w:fldChar w:fldCharType="begin"/>
        </w:r>
        <w:r w:rsidR="00D471AD">
          <w:rPr>
            <w:noProof/>
            <w:webHidden/>
          </w:rPr>
          <w:instrText xml:space="preserve"> PAGEREF _Toc465864571 \h </w:instrText>
        </w:r>
        <w:r w:rsidR="00D471AD">
          <w:rPr>
            <w:noProof/>
            <w:webHidden/>
          </w:rPr>
        </w:r>
        <w:r w:rsidR="00D471AD">
          <w:rPr>
            <w:noProof/>
            <w:webHidden/>
          </w:rPr>
          <w:fldChar w:fldCharType="separate"/>
        </w:r>
        <w:r w:rsidR="00D471AD">
          <w:rPr>
            <w:noProof/>
            <w:webHidden/>
          </w:rPr>
          <w:t>33</w:t>
        </w:r>
        <w:r w:rsidR="00D471AD">
          <w:rPr>
            <w:noProof/>
            <w:webHidden/>
          </w:rPr>
          <w:fldChar w:fldCharType="end"/>
        </w:r>
      </w:hyperlink>
    </w:p>
    <w:p w14:paraId="7418AEC5"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72" w:history="1">
        <w:r w:rsidR="00D471AD" w:rsidRPr="002F7E5B">
          <w:rPr>
            <w:rStyle w:val="Hyperlink"/>
            <w:noProof/>
          </w:rPr>
          <w:t>Figure 2.5: Increases in business performance and activities compared to the previous year, by innovation status, 2014–15</w:t>
        </w:r>
        <w:r w:rsidR="00D471AD">
          <w:rPr>
            <w:noProof/>
            <w:webHidden/>
          </w:rPr>
          <w:tab/>
        </w:r>
        <w:r w:rsidR="00D471AD">
          <w:rPr>
            <w:noProof/>
            <w:webHidden/>
          </w:rPr>
          <w:fldChar w:fldCharType="begin"/>
        </w:r>
        <w:r w:rsidR="00D471AD">
          <w:rPr>
            <w:noProof/>
            <w:webHidden/>
          </w:rPr>
          <w:instrText xml:space="preserve"> PAGEREF _Toc465864572 \h </w:instrText>
        </w:r>
        <w:r w:rsidR="00D471AD">
          <w:rPr>
            <w:noProof/>
            <w:webHidden/>
          </w:rPr>
        </w:r>
        <w:r w:rsidR="00D471AD">
          <w:rPr>
            <w:noProof/>
            <w:webHidden/>
          </w:rPr>
          <w:fldChar w:fldCharType="separate"/>
        </w:r>
        <w:r w:rsidR="00D471AD">
          <w:rPr>
            <w:noProof/>
            <w:webHidden/>
          </w:rPr>
          <w:t>34</w:t>
        </w:r>
        <w:r w:rsidR="00D471AD">
          <w:rPr>
            <w:noProof/>
            <w:webHidden/>
          </w:rPr>
          <w:fldChar w:fldCharType="end"/>
        </w:r>
      </w:hyperlink>
    </w:p>
    <w:p w14:paraId="7418AEC6"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73" w:history="1">
        <w:r w:rsidR="00D471AD" w:rsidRPr="002F7E5B">
          <w:rPr>
            <w:rStyle w:val="Hyperlink"/>
            <w:noProof/>
          </w:rPr>
          <w:t>Figure 2.6: Median growth of annual sales (panel A), value added (panel B), gross operating profit (panel C) and employment growth (panel D), by innovation persistence, 2008–09 to 2010–11</w:t>
        </w:r>
        <w:r w:rsidR="00D471AD">
          <w:rPr>
            <w:noProof/>
            <w:webHidden/>
          </w:rPr>
          <w:tab/>
        </w:r>
        <w:r w:rsidR="00D471AD">
          <w:rPr>
            <w:noProof/>
            <w:webHidden/>
          </w:rPr>
          <w:fldChar w:fldCharType="begin"/>
        </w:r>
        <w:r w:rsidR="00D471AD">
          <w:rPr>
            <w:noProof/>
            <w:webHidden/>
          </w:rPr>
          <w:instrText xml:space="preserve"> PAGEREF _Toc465864573 \h </w:instrText>
        </w:r>
        <w:r w:rsidR="00D471AD">
          <w:rPr>
            <w:noProof/>
            <w:webHidden/>
          </w:rPr>
        </w:r>
        <w:r w:rsidR="00D471AD">
          <w:rPr>
            <w:noProof/>
            <w:webHidden/>
          </w:rPr>
          <w:fldChar w:fldCharType="separate"/>
        </w:r>
        <w:r w:rsidR="00D471AD">
          <w:rPr>
            <w:noProof/>
            <w:webHidden/>
          </w:rPr>
          <w:t>36</w:t>
        </w:r>
        <w:r w:rsidR="00D471AD">
          <w:rPr>
            <w:noProof/>
            <w:webHidden/>
          </w:rPr>
          <w:fldChar w:fldCharType="end"/>
        </w:r>
      </w:hyperlink>
    </w:p>
    <w:p w14:paraId="7418AEC7"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74" w:history="1">
        <w:r w:rsidR="00D471AD" w:rsidRPr="002F7E5B">
          <w:rPr>
            <w:rStyle w:val="Hyperlink"/>
            <w:noProof/>
          </w:rPr>
          <w:t>Figure 2.7: Total business income derived from sales of new goods and/or services, by size, 2014–15</w:t>
        </w:r>
        <w:r w:rsidR="00D471AD">
          <w:rPr>
            <w:noProof/>
            <w:webHidden/>
          </w:rPr>
          <w:tab/>
        </w:r>
        <w:r w:rsidR="00D471AD">
          <w:rPr>
            <w:noProof/>
            <w:webHidden/>
          </w:rPr>
          <w:fldChar w:fldCharType="begin"/>
        </w:r>
        <w:r w:rsidR="00D471AD">
          <w:rPr>
            <w:noProof/>
            <w:webHidden/>
          </w:rPr>
          <w:instrText xml:space="preserve"> PAGEREF _Toc465864574 \h </w:instrText>
        </w:r>
        <w:r w:rsidR="00D471AD">
          <w:rPr>
            <w:noProof/>
            <w:webHidden/>
          </w:rPr>
        </w:r>
        <w:r w:rsidR="00D471AD">
          <w:rPr>
            <w:noProof/>
            <w:webHidden/>
          </w:rPr>
          <w:fldChar w:fldCharType="separate"/>
        </w:r>
        <w:r w:rsidR="00D471AD">
          <w:rPr>
            <w:noProof/>
            <w:webHidden/>
          </w:rPr>
          <w:t>38</w:t>
        </w:r>
        <w:r w:rsidR="00D471AD">
          <w:rPr>
            <w:noProof/>
            <w:webHidden/>
          </w:rPr>
          <w:fldChar w:fldCharType="end"/>
        </w:r>
      </w:hyperlink>
    </w:p>
    <w:p w14:paraId="7418AEC8"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75" w:history="1">
        <w:r w:rsidR="00D471AD" w:rsidRPr="002F7E5B">
          <w:rPr>
            <w:rStyle w:val="Hyperlink"/>
            <w:noProof/>
          </w:rPr>
          <w:t>Figure 2.8: Total estimated business sales from innovation goods and services, by sector, 2014–15</w:t>
        </w:r>
        <w:r w:rsidR="00D471AD">
          <w:rPr>
            <w:noProof/>
            <w:webHidden/>
          </w:rPr>
          <w:tab/>
        </w:r>
        <w:r w:rsidR="00D471AD">
          <w:rPr>
            <w:noProof/>
            <w:webHidden/>
          </w:rPr>
          <w:fldChar w:fldCharType="begin"/>
        </w:r>
        <w:r w:rsidR="00D471AD">
          <w:rPr>
            <w:noProof/>
            <w:webHidden/>
          </w:rPr>
          <w:instrText xml:space="preserve"> PAGEREF _Toc465864575 \h </w:instrText>
        </w:r>
        <w:r w:rsidR="00D471AD">
          <w:rPr>
            <w:noProof/>
            <w:webHidden/>
          </w:rPr>
        </w:r>
        <w:r w:rsidR="00D471AD">
          <w:rPr>
            <w:noProof/>
            <w:webHidden/>
          </w:rPr>
          <w:fldChar w:fldCharType="separate"/>
        </w:r>
        <w:r w:rsidR="00D471AD">
          <w:rPr>
            <w:noProof/>
            <w:webHidden/>
          </w:rPr>
          <w:t>39</w:t>
        </w:r>
        <w:r w:rsidR="00D471AD">
          <w:rPr>
            <w:noProof/>
            <w:webHidden/>
          </w:rPr>
          <w:fldChar w:fldCharType="end"/>
        </w:r>
      </w:hyperlink>
    </w:p>
    <w:p w14:paraId="7418AEC9"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76" w:history="1">
        <w:r w:rsidR="00D471AD" w:rsidRPr="002F7E5B">
          <w:rPr>
            <w:rStyle w:val="Hyperlink"/>
            <w:noProof/>
          </w:rPr>
          <w:t>Figure 2.9: Share of income from new or significantly improved goods and services, by country, 2012</w:t>
        </w:r>
        <w:r w:rsidR="00D471AD">
          <w:rPr>
            <w:noProof/>
            <w:webHidden/>
          </w:rPr>
          <w:tab/>
        </w:r>
        <w:r w:rsidR="00D471AD">
          <w:rPr>
            <w:noProof/>
            <w:webHidden/>
          </w:rPr>
          <w:fldChar w:fldCharType="begin"/>
        </w:r>
        <w:r w:rsidR="00D471AD">
          <w:rPr>
            <w:noProof/>
            <w:webHidden/>
          </w:rPr>
          <w:instrText xml:space="preserve"> PAGEREF _Toc465864576 \h </w:instrText>
        </w:r>
        <w:r w:rsidR="00D471AD">
          <w:rPr>
            <w:noProof/>
            <w:webHidden/>
          </w:rPr>
        </w:r>
        <w:r w:rsidR="00D471AD">
          <w:rPr>
            <w:noProof/>
            <w:webHidden/>
          </w:rPr>
          <w:fldChar w:fldCharType="separate"/>
        </w:r>
        <w:r w:rsidR="00D471AD">
          <w:rPr>
            <w:noProof/>
            <w:webHidden/>
          </w:rPr>
          <w:t>40</w:t>
        </w:r>
        <w:r w:rsidR="00D471AD">
          <w:rPr>
            <w:noProof/>
            <w:webHidden/>
          </w:rPr>
          <w:fldChar w:fldCharType="end"/>
        </w:r>
      </w:hyperlink>
    </w:p>
    <w:p w14:paraId="7418AECA"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77" w:history="1">
        <w:r w:rsidR="00D471AD" w:rsidRPr="002F7E5B">
          <w:rPr>
            <w:rStyle w:val="Hyperlink"/>
            <w:noProof/>
          </w:rPr>
          <w:t>Figure 3.1: Innovation activity in Australia, 2006–15</w:t>
        </w:r>
        <w:r w:rsidR="00D471AD">
          <w:rPr>
            <w:noProof/>
            <w:webHidden/>
          </w:rPr>
          <w:tab/>
        </w:r>
        <w:r w:rsidR="00D471AD">
          <w:rPr>
            <w:noProof/>
            <w:webHidden/>
          </w:rPr>
          <w:fldChar w:fldCharType="begin"/>
        </w:r>
        <w:r w:rsidR="00D471AD">
          <w:rPr>
            <w:noProof/>
            <w:webHidden/>
          </w:rPr>
          <w:instrText xml:space="preserve"> PAGEREF _Toc465864577 \h </w:instrText>
        </w:r>
        <w:r w:rsidR="00D471AD">
          <w:rPr>
            <w:noProof/>
            <w:webHidden/>
          </w:rPr>
        </w:r>
        <w:r w:rsidR="00D471AD">
          <w:rPr>
            <w:noProof/>
            <w:webHidden/>
          </w:rPr>
          <w:fldChar w:fldCharType="separate"/>
        </w:r>
        <w:r w:rsidR="00D471AD">
          <w:rPr>
            <w:noProof/>
            <w:webHidden/>
          </w:rPr>
          <w:t>43</w:t>
        </w:r>
        <w:r w:rsidR="00D471AD">
          <w:rPr>
            <w:noProof/>
            <w:webHidden/>
          </w:rPr>
          <w:fldChar w:fldCharType="end"/>
        </w:r>
      </w:hyperlink>
    </w:p>
    <w:p w14:paraId="7418AECB"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78" w:history="1">
        <w:r w:rsidR="00D471AD" w:rsidRPr="002F7E5B">
          <w:rPr>
            <w:rStyle w:val="Hyperlink"/>
            <w:noProof/>
          </w:rPr>
          <w:t>Figure 3.2: International ranking on innovation-activity, 2010-2012</w:t>
        </w:r>
        <w:r w:rsidR="00D471AD">
          <w:rPr>
            <w:noProof/>
            <w:webHidden/>
          </w:rPr>
          <w:tab/>
        </w:r>
        <w:r w:rsidR="00D471AD">
          <w:rPr>
            <w:noProof/>
            <w:webHidden/>
          </w:rPr>
          <w:fldChar w:fldCharType="begin"/>
        </w:r>
        <w:r w:rsidR="00D471AD">
          <w:rPr>
            <w:noProof/>
            <w:webHidden/>
          </w:rPr>
          <w:instrText xml:space="preserve"> PAGEREF _Toc465864578 \h </w:instrText>
        </w:r>
        <w:r w:rsidR="00D471AD">
          <w:rPr>
            <w:noProof/>
            <w:webHidden/>
          </w:rPr>
        </w:r>
        <w:r w:rsidR="00D471AD">
          <w:rPr>
            <w:noProof/>
            <w:webHidden/>
          </w:rPr>
          <w:fldChar w:fldCharType="separate"/>
        </w:r>
        <w:r w:rsidR="00D471AD">
          <w:rPr>
            <w:noProof/>
            <w:webHidden/>
          </w:rPr>
          <w:t>44</w:t>
        </w:r>
        <w:r w:rsidR="00D471AD">
          <w:rPr>
            <w:noProof/>
            <w:webHidden/>
          </w:rPr>
          <w:fldChar w:fldCharType="end"/>
        </w:r>
      </w:hyperlink>
    </w:p>
    <w:p w14:paraId="7418AECC"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79" w:history="1">
        <w:r w:rsidR="00D471AD" w:rsidRPr="002F7E5B">
          <w:rPr>
            <w:rStyle w:val="Hyperlink"/>
            <w:noProof/>
          </w:rPr>
          <w:t>Figure 3.3: Degree of innovation novelty in Australian goods and services innovation, 2001–03 to 2014–15</w:t>
        </w:r>
        <w:r w:rsidR="00D471AD">
          <w:rPr>
            <w:noProof/>
            <w:webHidden/>
          </w:rPr>
          <w:tab/>
        </w:r>
        <w:r w:rsidR="00D471AD">
          <w:rPr>
            <w:noProof/>
            <w:webHidden/>
          </w:rPr>
          <w:fldChar w:fldCharType="begin"/>
        </w:r>
        <w:r w:rsidR="00D471AD">
          <w:rPr>
            <w:noProof/>
            <w:webHidden/>
          </w:rPr>
          <w:instrText xml:space="preserve"> PAGEREF _Toc465864579 \h </w:instrText>
        </w:r>
        <w:r w:rsidR="00D471AD">
          <w:rPr>
            <w:noProof/>
            <w:webHidden/>
          </w:rPr>
        </w:r>
        <w:r w:rsidR="00D471AD">
          <w:rPr>
            <w:noProof/>
            <w:webHidden/>
          </w:rPr>
          <w:fldChar w:fldCharType="separate"/>
        </w:r>
        <w:r w:rsidR="00D471AD">
          <w:rPr>
            <w:noProof/>
            <w:webHidden/>
          </w:rPr>
          <w:t>47</w:t>
        </w:r>
        <w:r w:rsidR="00D471AD">
          <w:rPr>
            <w:noProof/>
            <w:webHidden/>
          </w:rPr>
          <w:fldChar w:fldCharType="end"/>
        </w:r>
      </w:hyperlink>
    </w:p>
    <w:p w14:paraId="7418AECD"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80" w:history="1">
        <w:r w:rsidR="00D471AD" w:rsidRPr="002F7E5B">
          <w:rPr>
            <w:rStyle w:val="Hyperlink"/>
            <w:noProof/>
          </w:rPr>
          <w:t>Figure 3.4: International ranking on new to market innovation, 2010-12</w:t>
        </w:r>
        <w:r w:rsidR="00D471AD">
          <w:rPr>
            <w:noProof/>
            <w:webHidden/>
          </w:rPr>
          <w:tab/>
        </w:r>
        <w:r w:rsidR="00D471AD">
          <w:rPr>
            <w:noProof/>
            <w:webHidden/>
          </w:rPr>
          <w:fldChar w:fldCharType="begin"/>
        </w:r>
        <w:r w:rsidR="00D471AD">
          <w:rPr>
            <w:noProof/>
            <w:webHidden/>
          </w:rPr>
          <w:instrText xml:space="preserve"> PAGEREF _Toc465864580 \h </w:instrText>
        </w:r>
        <w:r w:rsidR="00D471AD">
          <w:rPr>
            <w:noProof/>
            <w:webHidden/>
          </w:rPr>
        </w:r>
        <w:r w:rsidR="00D471AD">
          <w:rPr>
            <w:noProof/>
            <w:webHidden/>
          </w:rPr>
          <w:fldChar w:fldCharType="separate"/>
        </w:r>
        <w:r w:rsidR="00D471AD">
          <w:rPr>
            <w:noProof/>
            <w:webHidden/>
          </w:rPr>
          <w:t>47</w:t>
        </w:r>
        <w:r w:rsidR="00D471AD">
          <w:rPr>
            <w:noProof/>
            <w:webHidden/>
          </w:rPr>
          <w:fldChar w:fldCharType="end"/>
        </w:r>
      </w:hyperlink>
    </w:p>
    <w:p w14:paraId="7418AECE"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81" w:history="1">
        <w:r w:rsidR="00D471AD" w:rsidRPr="002F7E5B">
          <w:rPr>
            <w:rStyle w:val="Hyperlink"/>
            <w:noProof/>
          </w:rPr>
          <w:t>Figure 3.5: The relationship between innovation frequency and innovation novelty, by number of innovations, 2014–15</w:t>
        </w:r>
        <w:r w:rsidR="00D471AD">
          <w:rPr>
            <w:noProof/>
            <w:webHidden/>
          </w:rPr>
          <w:tab/>
        </w:r>
        <w:r w:rsidR="00D471AD">
          <w:rPr>
            <w:noProof/>
            <w:webHidden/>
          </w:rPr>
          <w:fldChar w:fldCharType="begin"/>
        </w:r>
        <w:r w:rsidR="00D471AD">
          <w:rPr>
            <w:noProof/>
            <w:webHidden/>
          </w:rPr>
          <w:instrText xml:space="preserve"> PAGEREF _Toc465864581 \h </w:instrText>
        </w:r>
        <w:r w:rsidR="00D471AD">
          <w:rPr>
            <w:noProof/>
            <w:webHidden/>
          </w:rPr>
        </w:r>
        <w:r w:rsidR="00D471AD">
          <w:rPr>
            <w:noProof/>
            <w:webHidden/>
          </w:rPr>
          <w:fldChar w:fldCharType="separate"/>
        </w:r>
        <w:r w:rsidR="00D471AD">
          <w:rPr>
            <w:noProof/>
            <w:webHidden/>
          </w:rPr>
          <w:t>48</w:t>
        </w:r>
        <w:r w:rsidR="00D471AD">
          <w:rPr>
            <w:noProof/>
            <w:webHidden/>
          </w:rPr>
          <w:fldChar w:fldCharType="end"/>
        </w:r>
      </w:hyperlink>
    </w:p>
    <w:p w14:paraId="7418AECF"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82" w:history="1">
        <w:r w:rsidR="00D471AD" w:rsidRPr="002F7E5B">
          <w:rPr>
            <w:rStyle w:val="Hyperlink"/>
            <w:noProof/>
          </w:rPr>
          <w:t>Figure 3.6: Percentage of innovation-active businesses investing in innovation, by range of investment and employment size, 2014–15</w:t>
        </w:r>
        <w:r w:rsidR="00D471AD">
          <w:rPr>
            <w:noProof/>
            <w:webHidden/>
          </w:rPr>
          <w:tab/>
        </w:r>
        <w:r w:rsidR="00D471AD">
          <w:rPr>
            <w:noProof/>
            <w:webHidden/>
          </w:rPr>
          <w:fldChar w:fldCharType="begin"/>
        </w:r>
        <w:r w:rsidR="00D471AD">
          <w:rPr>
            <w:noProof/>
            <w:webHidden/>
          </w:rPr>
          <w:instrText xml:space="preserve"> PAGEREF _Toc465864582 \h </w:instrText>
        </w:r>
        <w:r w:rsidR="00D471AD">
          <w:rPr>
            <w:noProof/>
            <w:webHidden/>
          </w:rPr>
        </w:r>
        <w:r w:rsidR="00D471AD">
          <w:rPr>
            <w:noProof/>
            <w:webHidden/>
          </w:rPr>
          <w:fldChar w:fldCharType="separate"/>
        </w:r>
        <w:r w:rsidR="00D471AD">
          <w:rPr>
            <w:noProof/>
            <w:webHidden/>
          </w:rPr>
          <w:t>49</w:t>
        </w:r>
        <w:r w:rsidR="00D471AD">
          <w:rPr>
            <w:noProof/>
            <w:webHidden/>
          </w:rPr>
          <w:fldChar w:fldCharType="end"/>
        </w:r>
      </w:hyperlink>
    </w:p>
    <w:p w14:paraId="7418AED0"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83" w:history="1">
        <w:r w:rsidR="00D471AD" w:rsidRPr="002F7E5B">
          <w:rPr>
            <w:rStyle w:val="Hyperlink"/>
            <w:noProof/>
          </w:rPr>
          <w:t>Figure 3.7: Proportion of businesses receiving 25 per cent or more of their income from new goods and services, by investment in machinery, equipment or technology, 2014–15</w:t>
        </w:r>
        <w:r w:rsidR="00D471AD">
          <w:rPr>
            <w:noProof/>
            <w:webHidden/>
          </w:rPr>
          <w:tab/>
        </w:r>
        <w:r w:rsidR="00D471AD">
          <w:rPr>
            <w:noProof/>
            <w:webHidden/>
          </w:rPr>
          <w:fldChar w:fldCharType="begin"/>
        </w:r>
        <w:r w:rsidR="00D471AD">
          <w:rPr>
            <w:noProof/>
            <w:webHidden/>
          </w:rPr>
          <w:instrText xml:space="preserve"> PAGEREF _Toc465864583 \h </w:instrText>
        </w:r>
        <w:r w:rsidR="00D471AD">
          <w:rPr>
            <w:noProof/>
            <w:webHidden/>
          </w:rPr>
        </w:r>
        <w:r w:rsidR="00D471AD">
          <w:rPr>
            <w:noProof/>
            <w:webHidden/>
          </w:rPr>
          <w:fldChar w:fldCharType="separate"/>
        </w:r>
        <w:r w:rsidR="00D471AD">
          <w:rPr>
            <w:noProof/>
            <w:webHidden/>
          </w:rPr>
          <w:t>49</w:t>
        </w:r>
        <w:r w:rsidR="00D471AD">
          <w:rPr>
            <w:noProof/>
            <w:webHidden/>
          </w:rPr>
          <w:fldChar w:fldCharType="end"/>
        </w:r>
      </w:hyperlink>
    </w:p>
    <w:p w14:paraId="7418AED1"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84" w:history="1">
        <w:r w:rsidR="00D471AD" w:rsidRPr="002F7E5B">
          <w:rPr>
            <w:rStyle w:val="Hyperlink"/>
            <w:noProof/>
          </w:rPr>
          <w:t>Figure 3.8: Innovation-active businesses, as a percentage of total R&amp;D-active businesses, 2010–12</w:t>
        </w:r>
        <w:r w:rsidR="00D471AD">
          <w:rPr>
            <w:noProof/>
            <w:webHidden/>
          </w:rPr>
          <w:tab/>
        </w:r>
        <w:r w:rsidR="00D471AD">
          <w:rPr>
            <w:noProof/>
            <w:webHidden/>
          </w:rPr>
          <w:fldChar w:fldCharType="begin"/>
        </w:r>
        <w:r w:rsidR="00D471AD">
          <w:rPr>
            <w:noProof/>
            <w:webHidden/>
          </w:rPr>
          <w:instrText xml:space="preserve"> PAGEREF _Toc465864584 \h </w:instrText>
        </w:r>
        <w:r w:rsidR="00D471AD">
          <w:rPr>
            <w:noProof/>
            <w:webHidden/>
          </w:rPr>
        </w:r>
        <w:r w:rsidR="00D471AD">
          <w:rPr>
            <w:noProof/>
            <w:webHidden/>
          </w:rPr>
          <w:fldChar w:fldCharType="separate"/>
        </w:r>
        <w:r w:rsidR="00D471AD">
          <w:rPr>
            <w:noProof/>
            <w:webHidden/>
          </w:rPr>
          <w:t>50</w:t>
        </w:r>
        <w:r w:rsidR="00D471AD">
          <w:rPr>
            <w:noProof/>
            <w:webHidden/>
          </w:rPr>
          <w:fldChar w:fldCharType="end"/>
        </w:r>
      </w:hyperlink>
    </w:p>
    <w:p w14:paraId="7418AED2"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85" w:history="1">
        <w:r w:rsidR="00D471AD" w:rsidRPr="002F7E5B">
          <w:rPr>
            <w:rStyle w:val="Hyperlink"/>
            <w:noProof/>
          </w:rPr>
          <w:t>Figure 3.9: Innovation-active businesses, as a percentage of total businesses with no R&amp;D, 2010–12</w:t>
        </w:r>
        <w:r w:rsidR="00D471AD">
          <w:rPr>
            <w:noProof/>
            <w:webHidden/>
          </w:rPr>
          <w:tab/>
        </w:r>
        <w:r w:rsidR="00D471AD">
          <w:rPr>
            <w:noProof/>
            <w:webHidden/>
          </w:rPr>
          <w:fldChar w:fldCharType="begin"/>
        </w:r>
        <w:r w:rsidR="00D471AD">
          <w:rPr>
            <w:noProof/>
            <w:webHidden/>
          </w:rPr>
          <w:instrText xml:space="preserve"> PAGEREF _Toc465864585 \h </w:instrText>
        </w:r>
        <w:r w:rsidR="00D471AD">
          <w:rPr>
            <w:noProof/>
            <w:webHidden/>
          </w:rPr>
        </w:r>
        <w:r w:rsidR="00D471AD">
          <w:rPr>
            <w:noProof/>
            <w:webHidden/>
          </w:rPr>
          <w:fldChar w:fldCharType="separate"/>
        </w:r>
        <w:r w:rsidR="00D471AD">
          <w:rPr>
            <w:noProof/>
            <w:webHidden/>
          </w:rPr>
          <w:t>51</w:t>
        </w:r>
        <w:r w:rsidR="00D471AD">
          <w:rPr>
            <w:noProof/>
            <w:webHidden/>
          </w:rPr>
          <w:fldChar w:fldCharType="end"/>
        </w:r>
      </w:hyperlink>
    </w:p>
    <w:p w14:paraId="7418AED3"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86" w:history="1">
        <w:r w:rsidR="00D471AD" w:rsidRPr="002F7E5B">
          <w:rPr>
            <w:rStyle w:val="Hyperlink"/>
            <w:noProof/>
          </w:rPr>
          <w:t>Figure 3.10: Product/process innovators that are R&amp;D active, 2010–12</w:t>
        </w:r>
        <w:r w:rsidR="00D471AD">
          <w:rPr>
            <w:noProof/>
            <w:webHidden/>
          </w:rPr>
          <w:tab/>
        </w:r>
        <w:r w:rsidR="00D471AD">
          <w:rPr>
            <w:noProof/>
            <w:webHidden/>
          </w:rPr>
          <w:fldChar w:fldCharType="begin"/>
        </w:r>
        <w:r w:rsidR="00D471AD">
          <w:rPr>
            <w:noProof/>
            <w:webHidden/>
          </w:rPr>
          <w:instrText xml:space="preserve"> PAGEREF _Toc465864586 \h </w:instrText>
        </w:r>
        <w:r w:rsidR="00D471AD">
          <w:rPr>
            <w:noProof/>
            <w:webHidden/>
          </w:rPr>
        </w:r>
        <w:r w:rsidR="00D471AD">
          <w:rPr>
            <w:noProof/>
            <w:webHidden/>
          </w:rPr>
          <w:fldChar w:fldCharType="separate"/>
        </w:r>
        <w:r w:rsidR="00D471AD">
          <w:rPr>
            <w:noProof/>
            <w:webHidden/>
          </w:rPr>
          <w:t>51</w:t>
        </w:r>
        <w:r w:rsidR="00D471AD">
          <w:rPr>
            <w:noProof/>
            <w:webHidden/>
          </w:rPr>
          <w:fldChar w:fldCharType="end"/>
        </w:r>
      </w:hyperlink>
    </w:p>
    <w:p w14:paraId="7418AED4"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87" w:history="1">
        <w:r w:rsidR="00D471AD" w:rsidRPr="002F7E5B">
          <w:rPr>
            <w:rStyle w:val="Hyperlink"/>
            <w:noProof/>
          </w:rPr>
          <w:t>Figure 3.11: R&amp;D-active businesses operating in international markets, 2010–12</w:t>
        </w:r>
        <w:r w:rsidR="00D471AD">
          <w:rPr>
            <w:noProof/>
            <w:webHidden/>
          </w:rPr>
          <w:tab/>
        </w:r>
        <w:r w:rsidR="00D471AD">
          <w:rPr>
            <w:noProof/>
            <w:webHidden/>
          </w:rPr>
          <w:fldChar w:fldCharType="begin"/>
        </w:r>
        <w:r w:rsidR="00D471AD">
          <w:rPr>
            <w:noProof/>
            <w:webHidden/>
          </w:rPr>
          <w:instrText xml:space="preserve"> PAGEREF _Toc465864587 \h </w:instrText>
        </w:r>
        <w:r w:rsidR="00D471AD">
          <w:rPr>
            <w:noProof/>
            <w:webHidden/>
          </w:rPr>
        </w:r>
        <w:r w:rsidR="00D471AD">
          <w:rPr>
            <w:noProof/>
            <w:webHidden/>
          </w:rPr>
          <w:fldChar w:fldCharType="separate"/>
        </w:r>
        <w:r w:rsidR="00D471AD">
          <w:rPr>
            <w:noProof/>
            <w:webHidden/>
          </w:rPr>
          <w:t>52</w:t>
        </w:r>
        <w:r w:rsidR="00D471AD">
          <w:rPr>
            <w:noProof/>
            <w:webHidden/>
          </w:rPr>
          <w:fldChar w:fldCharType="end"/>
        </w:r>
      </w:hyperlink>
    </w:p>
    <w:p w14:paraId="7418AED5"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88" w:history="1">
        <w:r w:rsidR="00D471AD" w:rsidRPr="002F7E5B">
          <w:rPr>
            <w:rStyle w:val="Hyperlink"/>
            <w:noProof/>
          </w:rPr>
          <w:t>Figure 3.12: Businesses with no R&amp;D operating in international markets, 2010–12</w:t>
        </w:r>
        <w:r w:rsidR="00D471AD">
          <w:rPr>
            <w:noProof/>
            <w:webHidden/>
          </w:rPr>
          <w:tab/>
        </w:r>
        <w:r w:rsidR="00D471AD">
          <w:rPr>
            <w:noProof/>
            <w:webHidden/>
          </w:rPr>
          <w:fldChar w:fldCharType="begin"/>
        </w:r>
        <w:r w:rsidR="00D471AD">
          <w:rPr>
            <w:noProof/>
            <w:webHidden/>
          </w:rPr>
          <w:instrText xml:space="preserve"> PAGEREF _Toc465864588 \h </w:instrText>
        </w:r>
        <w:r w:rsidR="00D471AD">
          <w:rPr>
            <w:noProof/>
            <w:webHidden/>
          </w:rPr>
        </w:r>
        <w:r w:rsidR="00D471AD">
          <w:rPr>
            <w:noProof/>
            <w:webHidden/>
          </w:rPr>
          <w:fldChar w:fldCharType="separate"/>
        </w:r>
        <w:r w:rsidR="00D471AD">
          <w:rPr>
            <w:noProof/>
            <w:webHidden/>
          </w:rPr>
          <w:t>52</w:t>
        </w:r>
        <w:r w:rsidR="00D471AD">
          <w:rPr>
            <w:noProof/>
            <w:webHidden/>
          </w:rPr>
          <w:fldChar w:fldCharType="end"/>
        </w:r>
      </w:hyperlink>
    </w:p>
    <w:p w14:paraId="7418AED6"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89" w:history="1">
        <w:r w:rsidR="00D471AD" w:rsidRPr="002F7E5B">
          <w:rPr>
            <w:rStyle w:val="Hyperlink"/>
            <w:noProof/>
          </w:rPr>
          <w:t>Figure 3.13: Australia’s GERD and BERD intensity, 1990–2013</w:t>
        </w:r>
        <w:r w:rsidR="00D471AD">
          <w:rPr>
            <w:noProof/>
            <w:webHidden/>
          </w:rPr>
          <w:tab/>
        </w:r>
        <w:r w:rsidR="00D471AD">
          <w:rPr>
            <w:noProof/>
            <w:webHidden/>
          </w:rPr>
          <w:fldChar w:fldCharType="begin"/>
        </w:r>
        <w:r w:rsidR="00D471AD">
          <w:rPr>
            <w:noProof/>
            <w:webHidden/>
          </w:rPr>
          <w:instrText xml:space="preserve"> PAGEREF _Toc465864589 \h </w:instrText>
        </w:r>
        <w:r w:rsidR="00D471AD">
          <w:rPr>
            <w:noProof/>
            <w:webHidden/>
          </w:rPr>
        </w:r>
        <w:r w:rsidR="00D471AD">
          <w:rPr>
            <w:noProof/>
            <w:webHidden/>
          </w:rPr>
          <w:fldChar w:fldCharType="separate"/>
        </w:r>
        <w:r w:rsidR="00D471AD">
          <w:rPr>
            <w:noProof/>
            <w:webHidden/>
          </w:rPr>
          <w:t>53</w:t>
        </w:r>
        <w:r w:rsidR="00D471AD">
          <w:rPr>
            <w:noProof/>
            <w:webHidden/>
          </w:rPr>
          <w:fldChar w:fldCharType="end"/>
        </w:r>
      </w:hyperlink>
    </w:p>
    <w:p w14:paraId="7418AED7"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90" w:history="1">
        <w:r w:rsidR="00D471AD" w:rsidRPr="002F7E5B">
          <w:rPr>
            <w:rStyle w:val="Hyperlink"/>
            <w:noProof/>
          </w:rPr>
          <w:t>Figure 3.14: Major flows of R&amp;D investment, 2013–14</w:t>
        </w:r>
        <w:r w:rsidR="00D471AD">
          <w:rPr>
            <w:noProof/>
            <w:webHidden/>
          </w:rPr>
          <w:tab/>
        </w:r>
        <w:r w:rsidR="00D471AD">
          <w:rPr>
            <w:noProof/>
            <w:webHidden/>
          </w:rPr>
          <w:fldChar w:fldCharType="begin"/>
        </w:r>
        <w:r w:rsidR="00D471AD">
          <w:rPr>
            <w:noProof/>
            <w:webHidden/>
          </w:rPr>
          <w:instrText xml:space="preserve"> PAGEREF _Toc465864590 \h </w:instrText>
        </w:r>
        <w:r w:rsidR="00D471AD">
          <w:rPr>
            <w:noProof/>
            <w:webHidden/>
          </w:rPr>
        </w:r>
        <w:r w:rsidR="00D471AD">
          <w:rPr>
            <w:noProof/>
            <w:webHidden/>
          </w:rPr>
          <w:fldChar w:fldCharType="separate"/>
        </w:r>
        <w:r w:rsidR="00D471AD">
          <w:rPr>
            <w:noProof/>
            <w:webHidden/>
          </w:rPr>
          <w:t>54</w:t>
        </w:r>
        <w:r w:rsidR="00D471AD">
          <w:rPr>
            <w:noProof/>
            <w:webHidden/>
          </w:rPr>
          <w:fldChar w:fldCharType="end"/>
        </w:r>
      </w:hyperlink>
    </w:p>
    <w:p w14:paraId="7418AED8"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91" w:history="1">
        <w:r w:rsidR="00D471AD" w:rsidRPr="002F7E5B">
          <w:rPr>
            <w:rStyle w:val="Hyperlink"/>
            <w:noProof/>
          </w:rPr>
          <w:t>Figure 3.15: Business experimental development as a percentage of GDP, 2013.</w:t>
        </w:r>
        <w:r w:rsidR="00D471AD">
          <w:rPr>
            <w:noProof/>
            <w:webHidden/>
          </w:rPr>
          <w:tab/>
        </w:r>
        <w:r w:rsidR="00D471AD">
          <w:rPr>
            <w:noProof/>
            <w:webHidden/>
          </w:rPr>
          <w:fldChar w:fldCharType="begin"/>
        </w:r>
        <w:r w:rsidR="00D471AD">
          <w:rPr>
            <w:noProof/>
            <w:webHidden/>
          </w:rPr>
          <w:instrText xml:space="preserve"> PAGEREF _Toc465864591 \h </w:instrText>
        </w:r>
        <w:r w:rsidR="00D471AD">
          <w:rPr>
            <w:noProof/>
            <w:webHidden/>
          </w:rPr>
        </w:r>
        <w:r w:rsidR="00D471AD">
          <w:rPr>
            <w:noProof/>
            <w:webHidden/>
          </w:rPr>
          <w:fldChar w:fldCharType="separate"/>
        </w:r>
        <w:r w:rsidR="00D471AD">
          <w:rPr>
            <w:noProof/>
            <w:webHidden/>
          </w:rPr>
          <w:t>55</w:t>
        </w:r>
        <w:r w:rsidR="00D471AD">
          <w:rPr>
            <w:noProof/>
            <w:webHidden/>
          </w:rPr>
          <w:fldChar w:fldCharType="end"/>
        </w:r>
      </w:hyperlink>
    </w:p>
    <w:p w14:paraId="7418AED9"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92" w:history="1">
        <w:r w:rsidR="00D471AD" w:rsidRPr="002F7E5B">
          <w:rPr>
            <w:rStyle w:val="Hyperlink"/>
            <w:noProof/>
          </w:rPr>
          <w:t>Figure 3.16: Business expenditure on experimental development as a percentage of GDP, 1996–2013.</w:t>
        </w:r>
        <w:r w:rsidR="00D471AD">
          <w:rPr>
            <w:noProof/>
            <w:webHidden/>
          </w:rPr>
          <w:tab/>
        </w:r>
        <w:r w:rsidR="00D471AD">
          <w:rPr>
            <w:noProof/>
            <w:webHidden/>
          </w:rPr>
          <w:fldChar w:fldCharType="begin"/>
        </w:r>
        <w:r w:rsidR="00D471AD">
          <w:rPr>
            <w:noProof/>
            <w:webHidden/>
          </w:rPr>
          <w:instrText xml:space="preserve"> PAGEREF _Toc465864592 \h </w:instrText>
        </w:r>
        <w:r w:rsidR="00D471AD">
          <w:rPr>
            <w:noProof/>
            <w:webHidden/>
          </w:rPr>
        </w:r>
        <w:r w:rsidR="00D471AD">
          <w:rPr>
            <w:noProof/>
            <w:webHidden/>
          </w:rPr>
          <w:fldChar w:fldCharType="separate"/>
        </w:r>
        <w:r w:rsidR="00D471AD">
          <w:rPr>
            <w:noProof/>
            <w:webHidden/>
          </w:rPr>
          <w:t>55</w:t>
        </w:r>
        <w:r w:rsidR="00D471AD">
          <w:rPr>
            <w:noProof/>
            <w:webHidden/>
          </w:rPr>
          <w:fldChar w:fldCharType="end"/>
        </w:r>
      </w:hyperlink>
    </w:p>
    <w:p w14:paraId="7418AEDA"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93" w:history="1">
        <w:r w:rsidR="00D471AD" w:rsidRPr="002F7E5B">
          <w:rPr>
            <w:rStyle w:val="Hyperlink"/>
            <w:noProof/>
          </w:rPr>
          <w:t>Figure 3.17: Mean annual expenditure in R&amp;D per 10 000 inhabitants by SA3 region, 2008–2014</w:t>
        </w:r>
        <w:r w:rsidR="00D471AD">
          <w:rPr>
            <w:noProof/>
            <w:webHidden/>
          </w:rPr>
          <w:tab/>
        </w:r>
        <w:r w:rsidR="00D471AD">
          <w:rPr>
            <w:noProof/>
            <w:webHidden/>
          </w:rPr>
          <w:fldChar w:fldCharType="begin"/>
        </w:r>
        <w:r w:rsidR="00D471AD">
          <w:rPr>
            <w:noProof/>
            <w:webHidden/>
          </w:rPr>
          <w:instrText xml:space="preserve"> PAGEREF _Toc465864593 \h </w:instrText>
        </w:r>
        <w:r w:rsidR="00D471AD">
          <w:rPr>
            <w:noProof/>
            <w:webHidden/>
          </w:rPr>
        </w:r>
        <w:r w:rsidR="00D471AD">
          <w:rPr>
            <w:noProof/>
            <w:webHidden/>
          </w:rPr>
          <w:fldChar w:fldCharType="separate"/>
        </w:r>
        <w:r w:rsidR="00D471AD">
          <w:rPr>
            <w:noProof/>
            <w:webHidden/>
          </w:rPr>
          <w:t>57</w:t>
        </w:r>
        <w:r w:rsidR="00D471AD">
          <w:rPr>
            <w:noProof/>
            <w:webHidden/>
          </w:rPr>
          <w:fldChar w:fldCharType="end"/>
        </w:r>
      </w:hyperlink>
    </w:p>
    <w:p w14:paraId="7418AEDB"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94" w:history="1">
        <w:r w:rsidR="00D471AD" w:rsidRPr="002F7E5B">
          <w:rPr>
            <w:rStyle w:val="Hyperlink"/>
            <w:noProof/>
          </w:rPr>
          <w:t>Figure 3.18: Mean patent application counts per 10 000 inhabitants by SA3 region, 2008–2015</w:t>
        </w:r>
        <w:r w:rsidR="00D471AD">
          <w:rPr>
            <w:noProof/>
            <w:webHidden/>
          </w:rPr>
          <w:tab/>
        </w:r>
        <w:r w:rsidR="00D471AD">
          <w:rPr>
            <w:noProof/>
            <w:webHidden/>
          </w:rPr>
          <w:fldChar w:fldCharType="begin"/>
        </w:r>
        <w:r w:rsidR="00D471AD">
          <w:rPr>
            <w:noProof/>
            <w:webHidden/>
          </w:rPr>
          <w:instrText xml:space="preserve"> PAGEREF _Toc465864594 \h </w:instrText>
        </w:r>
        <w:r w:rsidR="00D471AD">
          <w:rPr>
            <w:noProof/>
            <w:webHidden/>
          </w:rPr>
        </w:r>
        <w:r w:rsidR="00D471AD">
          <w:rPr>
            <w:noProof/>
            <w:webHidden/>
          </w:rPr>
          <w:fldChar w:fldCharType="separate"/>
        </w:r>
        <w:r w:rsidR="00D471AD">
          <w:rPr>
            <w:noProof/>
            <w:webHidden/>
          </w:rPr>
          <w:t>58</w:t>
        </w:r>
        <w:r w:rsidR="00D471AD">
          <w:rPr>
            <w:noProof/>
            <w:webHidden/>
          </w:rPr>
          <w:fldChar w:fldCharType="end"/>
        </w:r>
      </w:hyperlink>
    </w:p>
    <w:p w14:paraId="7418AEDC"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95" w:history="1">
        <w:r w:rsidR="00D471AD" w:rsidRPr="002F7E5B">
          <w:rPr>
            <w:rStyle w:val="Hyperlink"/>
            <w:noProof/>
          </w:rPr>
          <w:t>Figure 3.19: Enablis’ growth, indexed, 2005–06 to  2015–16</w:t>
        </w:r>
        <w:r w:rsidR="00D471AD">
          <w:rPr>
            <w:noProof/>
            <w:webHidden/>
          </w:rPr>
          <w:tab/>
        </w:r>
        <w:r w:rsidR="00D471AD">
          <w:rPr>
            <w:noProof/>
            <w:webHidden/>
          </w:rPr>
          <w:fldChar w:fldCharType="begin"/>
        </w:r>
        <w:r w:rsidR="00D471AD">
          <w:rPr>
            <w:noProof/>
            <w:webHidden/>
          </w:rPr>
          <w:instrText xml:space="preserve"> PAGEREF _Toc465864595 \h </w:instrText>
        </w:r>
        <w:r w:rsidR="00D471AD">
          <w:rPr>
            <w:noProof/>
            <w:webHidden/>
          </w:rPr>
        </w:r>
        <w:r w:rsidR="00D471AD">
          <w:rPr>
            <w:noProof/>
            <w:webHidden/>
          </w:rPr>
          <w:fldChar w:fldCharType="separate"/>
        </w:r>
        <w:r w:rsidR="00D471AD">
          <w:rPr>
            <w:noProof/>
            <w:webHidden/>
          </w:rPr>
          <w:t>60</w:t>
        </w:r>
        <w:r w:rsidR="00D471AD">
          <w:rPr>
            <w:noProof/>
            <w:webHidden/>
          </w:rPr>
          <w:fldChar w:fldCharType="end"/>
        </w:r>
      </w:hyperlink>
    </w:p>
    <w:p w14:paraId="7418AEDD"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96" w:history="1">
        <w:r w:rsidR="00D471AD" w:rsidRPr="002F7E5B">
          <w:rPr>
            <w:rStyle w:val="Hyperlink"/>
            <w:noProof/>
          </w:rPr>
          <w:t>Figure 4.1: Businesses collaborating on innovation activities (as a percentage of innovation-active businesses undertaking product and/or process innovation), 2010–12</w:t>
        </w:r>
        <w:r w:rsidR="00D471AD">
          <w:rPr>
            <w:noProof/>
            <w:webHidden/>
          </w:rPr>
          <w:tab/>
        </w:r>
        <w:r w:rsidR="00D471AD">
          <w:rPr>
            <w:noProof/>
            <w:webHidden/>
          </w:rPr>
          <w:fldChar w:fldCharType="begin"/>
        </w:r>
        <w:r w:rsidR="00D471AD">
          <w:rPr>
            <w:noProof/>
            <w:webHidden/>
          </w:rPr>
          <w:instrText xml:space="preserve"> PAGEREF _Toc465864596 \h </w:instrText>
        </w:r>
        <w:r w:rsidR="00D471AD">
          <w:rPr>
            <w:noProof/>
            <w:webHidden/>
          </w:rPr>
        </w:r>
        <w:r w:rsidR="00D471AD">
          <w:rPr>
            <w:noProof/>
            <w:webHidden/>
          </w:rPr>
          <w:fldChar w:fldCharType="separate"/>
        </w:r>
        <w:r w:rsidR="00D471AD">
          <w:rPr>
            <w:noProof/>
            <w:webHidden/>
          </w:rPr>
          <w:t>61</w:t>
        </w:r>
        <w:r w:rsidR="00D471AD">
          <w:rPr>
            <w:noProof/>
            <w:webHidden/>
          </w:rPr>
          <w:fldChar w:fldCharType="end"/>
        </w:r>
      </w:hyperlink>
    </w:p>
    <w:p w14:paraId="7418AEDE"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97" w:history="1">
        <w:r w:rsidR="00D471AD" w:rsidRPr="002F7E5B">
          <w:rPr>
            <w:rStyle w:val="Hyperlink"/>
            <w:noProof/>
          </w:rPr>
          <w:t>Figure 4.2: Percentage of businesses undertaking collaboration, by frequency of innovation, 2014–15</w:t>
        </w:r>
        <w:r w:rsidR="00D471AD">
          <w:rPr>
            <w:noProof/>
            <w:webHidden/>
          </w:rPr>
          <w:tab/>
        </w:r>
        <w:r w:rsidR="00D471AD">
          <w:rPr>
            <w:noProof/>
            <w:webHidden/>
          </w:rPr>
          <w:fldChar w:fldCharType="begin"/>
        </w:r>
        <w:r w:rsidR="00D471AD">
          <w:rPr>
            <w:noProof/>
            <w:webHidden/>
          </w:rPr>
          <w:instrText xml:space="preserve"> PAGEREF _Toc465864597 \h </w:instrText>
        </w:r>
        <w:r w:rsidR="00D471AD">
          <w:rPr>
            <w:noProof/>
            <w:webHidden/>
          </w:rPr>
        </w:r>
        <w:r w:rsidR="00D471AD">
          <w:rPr>
            <w:noProof/>
            <w:webHidden/>
          </w:rPr>
          <w:fldChar w:fldCharType="separate"/>
        </w:r>
        <w:r w:rsidR="00D471AD">
          <w:rPr>
            <w:noProof/>
            <w:webHidden/>
          </w:rPr>
          <w:t>62</w:t>
        </w:r>
        <w:r w:rsidR="00D471AD">
          <w:rPr>
            <w:noProof/>
            <w:webHidden/>
          </w:rPr>
          <w:fldChar w:fldCharType="end"/>
        </w:r>
      </w:hyperlink>
    </w:p>
    <w:p w14:paraId="7418AEDF"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98" w:history="1">
        <w:r w:rsidR="00D471AD" w:rsidRPr="002F7E5B">
          <w:rPr>
            <w:rStyle w:val="Hyperlink"/>
            <w:noProof/>
          </w:rPr>
          <w:t>Figure 4.3: Businesses collaborating on innovation with higher education or research institutions, by size,  2010–12</w:t>
        </w:r>
        <w:r w:rsidR="00D471AD">
          <w:rPr>
            <w:noProof/>
            <w:webHidden/>
          </w:rPr>
          <w:tab/>
        </w:r>
        <w:r w:rsidR="00D471AD">
          <w:rPr>
            <w:noProof/>
            <w:webHidden/>
          </w:rPr>
          <w:fldChar w:fldCharType="begin"/>
        </w:r>
        <w:r w:rsidR="00D471AD">
          <w:rPr>
            <w:noProof/>
            <w:webHidden/>
          </w:rPr>
          <w:instrText xml:space="preserve"> PAGEREF _Toc465864598 \h </w:instrText>
        </w:r>
        <w:r w:rsidR="00D471AD">
          <w:rPr>
            <w:noProof/>
            <w:webHidden/>
          </w:rPr>
        </w:r>
        <w:r w:rsidR="00D471AD">
          <w:rPr>
            <w:noProof/>
            <w:webHidden/>
          </w:rPr>
          <w:fldChar w:fldCharType="separate"/>
        </w:r>
        <w:r w:rsidR="00D471AD">
          <w:rPr>
            <w:noProof/>
            <w:webHidden/>
          </w:rPr>
          <w:t>63</w:t>
        </w:r>
        <w:r w:rsidR="00D471AD">
          <w:rPr>
            <w:noProof/>
            <w:webHidden/>
          </w:rPr>
          <w:fldChar w:fldCharType="end"/>
        </w:r>
      </w:hyperlink>
    </w:p>
    <w:p w14:paraId="7418AEE0"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599" w:history="1">
        <w:r w:rsidR="00D471AD" w:rsidRPr="002F7E5B">
          <w:rPr>
            <w:rStyle w:val="Hyperlink"/>
            <w:noProof/>
          </w:rPr>
          <w:t>Figure 4.4: Self-reported business performance and innovation, by business absorptive capacity, 2013</w:t>
        </w:r>
        <w:r w:rsidR="00D471AD">
          <w:rPr>
            <w:noProof/>
            <w:webHidden/>
          </w:rPr>
          <w:tab/>
        </w:r>
        <w:r w:rsidR="00D471AD">
          <w:rPr>
            <w:noProof/>
            <w:webHidden/>
          </w:rPr>
          <w:fldChar w:fldCharType="begin"/>
        </w:r>
        <w:r w:rsidR="00D471AD">
          <w:rPr>
            <w:noProof/>
            <w:webHidden/>
          </w:rPr>
          <w:instrText xml:space="preserve"> PAGEREF _Toc465864599 \h </w:instrText>
        </w:r>
        <w:r w:rsidR="00D471AD">
          <w:rPr>
            <w:noProof/>
            <w:webHidden/>
          </w:rPr>
        </w:r>
        <w:r w:rsidR="00D471AD">
          <w:rPr>
            <w:noProof/>
            <w:webHidden/>
          </w:rPr>
          <w:fldChar w:fldCharType="separate"/>
        </w:r>
        <w:r w:rsidR="00D471AD">
          <w:rPr>
            <w:noProof/>
            <w:webHidden/>
          </w:rPr>
          <w:t>65</w:t>
        </w:r>
        <w:r w:rsidR="00D471AD">
          <w:rPr>
            <w:noProof/>
            <w:webHidden/>
          </w:rPr>
          <w:fldChar w:fldCharType="end"/>
        </w:r>
      </w:hyperlink>
    </w:p>
    <w:p w14:paraId="7418AEE1"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600" w:history="1">
        <w:r w:rsidR="00D471AD" w:rsidRPr="002F7E5B">
          <w:rPr>
            <w:rStyle w:val="Hyperlink"/>
            <w:noProof/>
          </w:rPr>
          <w:t>Figure 4.5: Sources of ideas or information for innovation, 2006–07 and 2014-15</w:t>
        </w:r>
        <w:r w:rsidR="00D471AD">
          <w:rPr>
            <w:noProof/>
            <w:webHidden/>
          </w:rPr>
          <w:tab/>
        </w:r>
        <w:r w:rsidR="00D471AD">
          <w:rPr>
            <w:noProof/>
            <w:webHidden/>
          </w:rPr>
          <w:fldChar w:fldCharType="begin"/>
        </w:r>
        <w:r w:rsidR="00D471AD">
          <w:rPr>
            <w:noProof/>
            <w:webHidden/>
          </w:rPr>
          <w:instrText xml:space="preserve"> PAGEREF _Toc465864600 \h </w:instrText>
        </w:r>
        <w:r w:rsidR="00D471AD">
          <w:rPr>
            <w:noProof/>
            <w:webHidden/>
          </w:rPr>
        </w:r>
        <w:r w:rsidR="00D471AD">
          <w:rPr>
            <w:noProof/>
            <w:webHidden/>
          </w:rPr>
          <w:fldChar w:fldCharType="separate"/>
        </w:r>
        <w:r w:rsidR="00D471AD">
          <w:rPr>
            <w:noProof/>
            <w:webHidden/>
          </w:rPr>
          <w:t>66</w:t>
        </w:r>
        <w:r w:rsidR="00D471AD">
          <w:rPr>
            <w:noProof/>
            <w:webHidden/>
          </w:rPr>
          <w:fldChar w:fldCharType="end"/>
        </w:r>
      </w:hyperlink>
    </w:p>
    <w:p w14:paraId="7418AEE2"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601" w:history="1">
        <w:r w:rsidR="00D471AD" w:rsidRPr="002F7E5B">
          <w:rPr>
            <w:rStyle w:val="Hyperlink"/>
            <w:noProof/>
          </w:rPr>
          <w:t>Figure 4.6: Businesses citing market sources as highly important for innovation, 2010–12</w:t>
        </w:r>
        <w:r w:rsidR="00D471AD">
          <w:rPr>
            <w:noProof/>
            <w:webHidden/>
          </w:rPr>
          <w:tab/>
        </w:r>
        <w:r w:rsidR="00D471AD">
          <w:rPr>
            <w:noProof/>
            <w:webHidden/>
          </w:rPr>
          <w:fldChar w:fldCharType="begin"/>
        </w:r>
        <w:r w:rsidR="00D471AD">
          <w:rPr>
            <w:noProof/>
            <w:webHidden/>
          </w:rPr>
          <w:instrText xml:space="preserve"> PAGEREF _Toc465864601 \h </w:instrText>
        </w:r>
        <w:r w:rsidR="00D471AD">
          <w:rPr>
            <w:noProof/>
            <w:webHidden/>
          </w:rPr>
        </w:r>
        <w:r w:rsidR="00D471AD">
          <w:rPr>
            <w:noProof/>
            <w:webHidden/>
          </w:rPr>
          <w:fldChar w:fldCharType="separate"/>
        </w:r>
        <w:r w:rsidR="00D471AD">
          <w:rPr>
            <w:noProof/>
            <w:webHidden/>
          </w:rPr>
          <w:t>66</w:t>
        </w:r>
        <w:r w:rsidR="00D471AD">
          <w:rPr>
            <w:noProof/>
            <w:webHidden/>
          </w:rPr>
          <w:fldChar w:fldCharType="end"/>
        </w:r>
      </w:hyperlink>
    </w:p>
    <w:p w14:paraId="7418AEE3"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602" w:history="1">
        <w:r w:rsidR="00D471AD" w:rsidRPr="002F7E5B">
          <w:rPr>
            <w:rStyle w:val="Hyperlink"/>
            <w:noProof/>
          </w:rPr>
          <w:t>Figure 4.7: Businesses citing external institutional sources as highly important for innovation, 2010–12</w:t>
        </w:r>
        <w:r w:rsidR="00D471AD">
          <w:rPr>
            <w:noProof/>
            <w:webHidden/>
          </w:rPr>
          <w:tab/>
        </w:r>
        <w:r w:rsidR="00D471AD">
          <w:rPr>
            <w:noProof/>
            <w:webHidden/>
          </w:rPr>
          <w:fldChar w:fldCharType="begin"/>
        </w:r>
        <w:r w:rsidR="00D471AD">
          <w:rPr>
            <w:noProof/>
            <w:webHidden/>
          </w:rPr>
          <w:instrText xml:space="preserve"> PAGEREF _Toc465864602 \h </w:instrText>
        </w:r>
        <w:r w:rsidR="00D471AD">
          <w:rPr>
            <w:noProof/>
            <w:webHidden/>
          </w:rPr>
        </w:r>
        <w:r w:rsidR="00D471AD">
          <w:rPr>
            <w:noProof/>
            <w:webHidden/>
          </w:rPr>
          <w:fldChar w:fldCharType="separate"/>
        </w:r>
        <w:r w:rsidR="00D471AD">
          <w:rPr>
            <w:noProof/>
            <w:webHidden/>
          </w:rPr>
          <w:t>67</w:t>
        </w:r>
        <w:r w:rsidR="00D471AD">
          <w:rPr>
            <w:noProof/>
            <w:webHidden/>
          </w:rPr>
          <w:fldChar w:fldCharType="end"/>
        </w:r>
      </w:hyperlink>
    </w:p>
    <w:p w14:paraId="7418AEE4"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603" w:history="1">
        <w:r w:rsidR="00D471AD" w:rsidRPr="002F7E5B">
          <w:rPr>
            <w:rStyle w:val="Hyperlink"/>
            <w:noProof/>
          </w:rPr>
          <w:t>Figure 4.8: Proportion of total researchers in business enterprise (panel A), government (panel B), higher education (panel C) and private non-profit (panel D), 2013.</w:t>
        </w:r>
        <w:r w:rsidR="00D471AD">
          <w:rPr>
            <w:noProof/>
            <w:webHidden/>
          </w:rPr>
          <w:tab/>
        </w:r>
        <w:r w:rsidR="00D471AD">
          <w:rPr>
            <w:noProof/>
            <w:webHidden/>
          </w:rPr>
          <w:fldChar w:fldCharType="begin"/>
        </w:r>
        <w:r w:rsidR="00D471AD">
          <w:rPr>
            <w:noProof/>
            <w:webHidden/>
          </w:rPr>
          <w:instrText xml:space="preserve"> PAGEREF _Toc465864603 \h </w:instrText>
        </w:r>
        <w:r w:rsidR="00D471AD">
          <w:rPr>
            <w:noProof/>
            <w:webHidden/>
          </w:rPr>
        </w:r>
        <w:r w:rsidR="00D471AD">
          <w:rPr>
            <w:noProof/>
            <w:webHidden/>
          </w:rPr>
          <w:fldChar w:fldCharType="separate"/>
        </w:r>
        <w:r w:rsidR="00D471AD">
          <w:rPr>
            <w:noProof/>
            <w:webHidden/>
          </w:rPr>
          <w:t>68</w:t>
        </w:r>
        <w:r w:rsidR="00D471AD">
          <w:rPr>
            <w:noProof/>
            <w:webHidden/>
          </w:rPr>
          <w:fldChar w:fldCharType="end"/>
        </w:r>
      </w:hyperlink>
    </w:p>
    <w:p w14:paraId="7418AEE5"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604" w:history="1">
        <w:r w:rsidR="00D471AD" w:rsidRPr="002F7E5B">
          <w:rPr>
            <w:rStyle w:val="Hyperlink"/>
            <w:noProof/>
          </w:rPr>
          <w:t>Figure 5.1: Intellectual property protection activity, by innovation frequency, 2014-15</w:t>
        </w:r>
        <w:r w:rsidR="00D471AD">
          <w:rPr>
            <w:noProof/>
            <w:webHidden/>
          </w:rPr>
          <w:tab/>
        </w:r>
        <w:r w:rsidR="00D471AD">
          <w:rPr>
            <w:noProof/>
            <w:webHidden/>
          </w:rPr>
          <w:fldChar w:fldCharType="begin"/>
        </w:r>
        <w:r w:rsidR="00D471AD">
          <w:rPr>
            <w:noProof/>
            <w:webHidden/>
          </w:rPr>
          <w:instrText xml:space="preserve"> PAGEREF _Toc465864604 \h </w:instrText>
        </w:r>
        <w:r w:rsidR="00D471AD">
          <w:rPr>
            <w:noProof/>
            <w:webHidden/>
          </w:rPr>
        </w:r>
        <w:r w:rsidR="00D471AD">
          <w:rPr>
            <w:noProof/>
            <w:webHidden/>
          </w:rPr>
          <w:fldChar w:fldCharType="separate"/>
        </w:r>
        <w:r w:rsidR="00D471AD">
          <w:rPr>
            <w:noProof/>
            <w:webHidden/>
          </w:rPr>
          <w:t>71</w:t>
        </w:r>
        <w:r w:rsidR="00D471AD">
          <w:rPr>
            <w:noProof/>
            <w:webHidden/>
          </w:rPr>
          <w:fldChar w:fldCharType="end"/>
        </w:r>
      </w:hyperlink>
    </w:p>
    <w:p w14:paraId="7418AEE6"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605" w:history="1">
        <w:r w:rsidR="00D471AD" w:rsidRPr="002F7E5B">
          <w:rPr>
            <w:rStyle w:val="Hyperlink"/>
            <w:noProof/>
          </w:rPr>
          <w:t>Figure 5.2: Barriers to entrepreneurship (panel A), administrative burdens on start-ups (panel B), complexity of regulatory procedures (panel C) and regulatory protection of incumbents (panel D), 2013</w:t>
        </w:r>
        <w:r w:rsidR="00D471AD">
          <w:rPr>
            <w:noProof/>
            <w:webHidden/>
          </w:rPr>
          <w:tab/>
        </w:r>
        <w:r w:rsidR="00D471AD">
          <w:rPr>
            <w:noProof/>
            <w:webHidden/>
          </w:rPr>
          <w:fldChar w:fldCharType="begin"/>
        </w:r>
        <w:r w:rsidR="00D471AD">
          <w:rPr>
            <w:noProof/>
            <w:webHidden/>
          </w:rPr>
          <w:instrText xml:space="preserve"> PAGEREF _Toc465864605 \h </w:instrText>
        </w:r>
        <w:r w:rsidR="00D471AD">
          <w:rPr>
            <w:noProof/>
            <w:webHidden/>
          </w:rPr>
        </w:r>
        <w:r w:rsidR="00D471AD">
          <w:rPr>
            <w:noProof/>
            <w:webHidden/>
          </w:rPr>
          <w:fldChar w:fldCharType="separate"/>
        </w:r>
        <w:r w:rsidR="00D471AD">
          <w:rPr>
            <w:noProof/>
            <w:webHidden/>
          </w:rPr>
          <w:t>74</w:t>
        </w:r>
        <w:r w:rsidR="00D471AD">
          <w:rPr>
            <w:noProof/>
            <w:webHidden/>
          </w:rPr>
          <w:fldChar w:fldCharType="end"/>
        </w:r>
      </w:hyperlink>
    </w:p>
    <w:p w14:paraId="7418AEE7"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606" w:history="1">
        <w:r w:rsidR="00D471AD" w:rsidRPr="002F7E5B">
          <w:rPr>
            <w:rStyle w:val="Hyperlink"/>
            <w:noProof/>
          </w:rPr>
          <w:t>Figure 5.3: Total share based employee share payments by business size and age class, 2006-07 to 2014-15</w:t>
        </w:r>
        <w:r w:rsidR="00D471AD">
          <w:rPr>
            <w:noProof/>
            <w:webHidden/>
          </w:rPr>
          <w:tab/>
        </w:r>
        <w:r w:rsidR="00D471AD">
          <w:rPr>
            <w:noProof/>
            <w:webHidden/>
          </w:rPr>
          <w:fldChar w:fldCharType="begin"/>
        </w:r>
        <w:r w:rsidR="00D471AD">
          <w:rPr>
            <w:noProof/>
            <w:webHidden/>
          </w:rPr>
          <w:instrText xml:space="preserve"> PAGEREF _Toc465864606 \h </w:instrText>
        </w:r>
        <w:r w:rsidR="00D471AD">
          <w:rPr>
            <w:noProof/>
            <w:webHidden/>
          </w:rPr>
        </w:r>
        <w:r w:rsidR="00D471AD">
          <w:rPr>
            <w:noProof/>
            <w:webHidden/>
          </w:rPr>
          <w:fldChar w:fldCharType="separate"/>
        </w:r>
        <w:r w:rsidR="00D471AD">
          <w:rPr>
            <w:noProof/>
            <w:webHidden/>
          </w:rPr>
          <w:t>76</w:t>
        </w:r>
        <w:r w:rsidR="00D471AD">
          <w:rPr>
            <w:noProof/>
            <w:webHidden/>
          </w:rPr>
          <w:fldChar w:fldCharType="end"/>
        </w:r>
      </w:hyperlink>
    </w:p>
    <w:p w14:paraId="7418AEE8"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607" w:history="1">
        <w:r w:rsidR="00D471AD" w:rsidRPr="002F7E5B">
          <w:rPr>
            <w:rStyle w:val="Hyperlink"/>
            <w:noProof/>
          </w:rPr>
          <w:t>Figure 5.4: Mean difference of value added per employee between ESS and Non-ESS businesses, by size and age class, 2006-07 to 2014-15</w:t>
        </w:r>
        <w:r w:rsidR="00D471AD">
          <w:rPr>
            <w:noProof/>
            <w:webHidden/>
          </w:rPr>
          <w:tab/>
        </w:r>
        <w:r w:rsidR="00D471AD">
          <w:rPr>
            <w:noProof/>
            <w:webHidden/>
          </w:rPr>
          <w:fldChar w:fldCharType="begin"/>
        </w:r>
        <w:r w:rsidR="00D471AD">
          <w:rPr>
            <w:noProof/>
            <w:webHidden/>
          </w:rPr>
          <w:instrText xml:space="preserve"> PAGEREF _Toc465864607 \h </w:instrText>
        </w:r>
        <w:r w:rsidR="00D471AD">
          <w:rPr>
            <w:noProof/>
            <w:webHidden/>
          </w:rPr>
        </w:r>
        <w:r w:rsidR="00D471AD">
          <w:rPr>
            <w:noProof/>
            <w:webHidden/>
          </w:rPr>
          <w:fldChar w:fldCharType="separate"/>
        </w:r>
        <w:r w:rsidR="00D471AD">
          <w:rPr>
            <w:noProof/>
            <w:webHidden/>
          </w:rPr>
          <w:t>76</w:t>
        </w:r>
        <w:r w:rsidR="00D471AD">
          <w:rPr>
            <w:noProof/>
            <w:webHidden/>
          </w:rPr>
          <w:fldChar w:fldCharType="end"/>
        </w:r>
      </w:hyperlink>
    </w:p>
    <w:p w14:paraId="7418AEE9"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608" w:history="1">
        <w:r w:rsidR="00D471AD" w:rsidRPr="002F7E5B">
          <w:rPr>
            <w:rStyle w:val="Hyperlink"/>
            <w:noProof/>
          </w:rPr>
          <w:t>Figure 5.5: Skill shortages or deficiencies reported by all businesses, by skill type, by innovation status, 2014-15</w:t>
        </w:r>
        <w:r w:rsidR="00D471AD">
          <w:rPr>
            <w:noProof/>
            <w:webHidden/>
          </w:rPr>
          <w:tab/>
        </w:r>
        <w:r w:rsidR="00D471AD">
          <w:rPr>
            <w:noProof/>
            <w:webHidden/>
          </w:rPr>
          <w:fldChar w:fldCharType="begin"/>
        </w:r>
        <w:r w:rsidR="00D471AD">
          <w:rPr>
            <w:noProof/>
            <w:webHidden/>
          </w:rPr>
          <w:instrText xml:space="preserve"> PAGEREF _Toc465864608 \h </w:instrText>
        </w:r>
        <w:r w:rsidR="00D471AD">
          <w:rPr>
            <w:noProof/>
            <w:webHidden/>
          </w:rPr>
        </w:r>
        <w:r w:rsidR="00D471AD">
          <w:rPr>
            <w:noProof/>
            <w:webHidden/>
          </w:rPr>
          <w:fldChar w:fldCharType="separate"/>
        </w:r>
        <w:r w:rsidR="00D471AD">
          <w:rPr>
            <w:noProof/>
            <w:webHidden/>
          </w:rPr>
          <w:t>78</w:t>
        </w:r>
        <w:r w:rsidR="00D471AD">
          <w:rPr>
            <w:noProof/>
            <w:webHidden/>
          </w:rPr>
          <w:fldChar w:fldCharType="end"/>
        </w:r>
      </w:hyperlink>
    </w:p>
    <w:p w14:paraId="7418AEEA"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609" w:history="1">
        <w:r w:rsidR="00D471AD" w:rsidRPr="002F7E5B">
          <w:rPr>
            <w:rStyle w:val="Hyperlink"/>
            <w:noProof/>
          </w:rPr>
          <w:t>Figure 5.6: Appen’s turnover growth, indexed, 2011–12 to 2015–16</w:t>
        </w:r>
        <w:r w:rsidR="00D471AD">
          <w:rPr>
            <w:noProof/>
            <w:webHidden/>
          </w:rPr>
          <w:tab/>
        </w:r>
        <w:r w:rsidR="00D471AD">
          <w:rPr>
            <w:noProof/>
            <w:webHidden/>
          </w:rPr>
          <w:fldChar w:fldCharType="begin"/>
        </w:r>
        <w:r w:rsidR="00D471AD">
          <w:rPr>
            <w:noProof/>
            <w:webHidden/>
          </w:rPr>
          <w:instrText xml:space="preserve"> PAGEREF _Toc465864609 \h </w:instrText>
        </w:r>
        <w:r w:rsidR="00D471AD">
          <w:rPr>
            <w:noProof/>
            <w:webHidden/>
          </w:rPr>
        </w:r>
        <w:r w:rsidR="00D471AD">
          <w:rPr>
            <w:noProof/>
            <w:webHidden/>
          </w:rPr>
          <w:fldChar w:fldCharType="separate"/>
        </w:r>
        <w:r w:rsidR="00D471AD">
          <w:rPr>
            <w:noProof/>
            <w:webHidden/>
          </w:rPr>
          <w:t>81</w:t>
        </w:r>
        <w:r w:rsidR="00D471AD">
          <w:rPr>
            <w:noProof/>
            <w:webHidden/>
          </w:rPr>
          <w:fldChar w:fldCharType="end"/>
        </w:r>
      </w:hyperlink>
    </w:p>
    <w:p w14:paraId="7418AEEB"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610" w:history="1">
        <w:r w:rsidR="00D471AD" w:rsidRPr="002F7E5B">
          <w:rPr>
            <w:rStyle w:val="Hyperlink"/>
            <w:noProof/>
          </w:rPr>
          <w:t>Figure 5.7: International ranking on public support for innovation, 2010–12</w:t>
        </w:r>
        <w:r w:rsidR="00D471AD">
          <w:rPr>
            <w:noProof/>
            <w:webHidden/>
          </w:rPr>
          <w:tab/>
        </w:r>
        <w:r w:rsidR="00D471AD">
          <w:rPr>
            <w:noProof/>
            <w:webHidden/>
          </w:rPr>
          <w:fldChar w:fldCharType="begin"/>
        </w:r>
        <w:r w:rsidR="00D471AD">
          <w:rPr>
            <w:noProof/>
            <w:webHidden/>
          </w:rPr>
          <w:instrText xml:space="preserve"> PAGEREF _Toc465864610 \h </w:instrText>
        </w:r>
        <w:r w:rsidR="00D471AD">
          <w:rPr>
            <w:noProof/>
            <w:webHidden/>
          </w:rPr>
        </w:r>
        <w:r w:rsidR="00D471AD">
          <w:rPr>
            <w:noProof/>
            <w:webHidden/>
          </w:rPr>
          <w:fldChar w:fldCharType="separate"/>
        </w:r>
        <w:r w:rsidR="00D471AD">
          <w:rPr>
            <w:noProof/>
            <w:webHidden/>
          </w:rPr>
          <w:t>82</w:t>
        </w:r>
        <w:r w:rsidR="00D471AD">
          <w:rPr>
            <w:noProof/>
            <w:webHidden/>
          </w:rPr>
          <w:fldChar w:fldCharType="end"/>
        </w:r>
      </w:hyperlink>
    </w:p>
    <w:p w14:paraId="7418AEEC"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611" w:history="1">
        <w:r w:rsidR="00D471AD" w:rsidRPr="002F7E5B">
          <w:rPr>
            <w:rStyle w:val="Hyperlink"/>
            <w:noProof/>
          </w:rPr>
          <w:t>Figure 5.8: The innovation cycle and the role of government</w:t>
        </w:r>
        <w:r w:rsidR="00D471AD">
          <w:rPr>
            <w:noProof/>
            <w:webHidden/>
          </w:rPr>
          <w:tab/>
        </w:r>
        <w:r w:rsidR="00D471AD">
          <w:rPr>
            <w:noProof/>
            <w:webHidden/>
          </w:rPr>
          <w:fldChar w:fldCharType="begin"/>
        </w:r>
        <w:r w:rsidR="00D471AD">
          <w:rPr>
            <w:noProof/>
            <w:webHidden/>
          </w:rPr>
          <w:instrText xml:space="preserve"> PAGEREF _Toc465864611 \h </w:instrText>
        </w:r>
        <w:r w:rsidR="00D471AD">
          <w:rPr>
            <w:noProof/>
            <w:webHidden/>
          </w:rPr>
        </w:r>
        <w:r w:rsidR="00D471AD">
          <w:rPr>
            <w:noProof/>
            <w:webHidden/>
          </w:rPr>
          <w:fldChar w:fldCharType="separate"/>
        </w:r>
        <w:r w:rsidR="00D471AD">
          <w:rPr>
            <w:noProof/>
            <w:webHidden/>
          </w:rPr>
          <w:t>83</w:t>
        </w:r>
        <w:r w:rsidR="00D471AD">
          <w:rPr>
            <w:noProof/>
            <w:webHidden/>
          </w:rPr>
          <w:fldChar w:fldCharType="end"/>
        </w:r>
      </w:hyperlink>
    </w:p>
    <w:p w14:paraId="7418AEED"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612" w:history="1">
        <w:r w:rsidR="00D471AD" w:rsidRPr="002F7E5B">
          <w:rPr>
            <w:rStyle w:val="Hyperlink"/>
            <w:noProof/>
          </w:rPr>
          <w:t>Figure 5.9: Government-financed GERD as a percentage of GDP, 2011 or latest year</w:t>
        </w:r>
        <w:r w:rsidR="00D471AD">
          <w:rPr>
            <w:noProof/>
            <w:webHidden/>
          </w:rPr>
          <w:tab/>
        </w:r>
        <w:r w:rsidR="00D471AD">
          <w:rPr>
            <w:noProof/>
            <w:webHidden/>
          </w:rPr>
          <w:fldChar w:fldCharType="begin"/>
        </w:r>
        <w:r w:rsidR="00D471AD">
          <w:rPr>
            <w:noProof/>
            <w:webHidden/>
          </w:rPr>
          <w:instrText xml:space="preserve"> PAGEREF _Toc465864612 \h </w:instrText>
        </w:r>
        <w:r w:rsidR="00D471AD">
          <w:rPr>
            <w:noProof/>
            <w:webHidden/>
          </w:rPr>
        </w:r>
        <w:r w:rsidR="00D471AD">
          <w:rPr>
            <w:noProof/>
            <w:webHidden/>
          </w:rPr>
          <w:fldChar w:fldCharType="separate"/>
        </w:r>
        <w:r w:rsidR="00D471AD">
          <w:rPr>
            <w:noProof/>
            <w:webHidden/>
          </w:rPr>
          <w:t>84</w:t>
        </w:r>
        <w:r w:rsidR="00D471AD">
          <w:rPr>
            <w:noProof/>
            <w:webHidden/>
          </w:rPr>
          <w:fldChar w:fldCharType="end"/>
        </w:r>
      </w:hyperlink>
    </w:p>
    <w:p w14:paraId="7418AEEE" w14:textId="77777777" w:rsidR="00D471AD" w:rsidRDefault="004A31A9" w:rsidP="00D471AD">
      <w:pPr>
        <w:pStyle w:val="TableofFigures"/>
        <w:tabs>
          <w:tab w:val="right" w:leader="dot" w:pos="9884"/>
        </w:tabs>
        <w:rPr>
          <w:rFonts w:asciiTheme="minorHAnsi" w:eastAsiaTheme="minorEastAsia" w:hAnsiTheme="minorHAnsi"/>
          <w:noProof/>
          <w:color w:val="auto"/>
          <w:lang w:eastAsia="en-AU"/>
        </w:rPr>
      </w:pPr>
      <w:hyperlink w:anchor="_Toc465864613" w:history="1">
        <w:r w:rsidR="00D471AD" w:rsidRPr="002F7E5B">
          <w:rPr>
            <w:rStyle w:val="Hyperlink"/>
            <w:noProof/>
          </w:rPr>
          <w:t>Figure 5.10: Indirect funding, R&amp;D tax incentives, 2011</w:t>
        </w:r>
        <w:r w:rsidR="00D471AD">
          <w:rPr>
            <w:noProof/>
            <w:webHidden/>
          </w:rPr>
          <w:tab/>
        </w:r>
        <w:r w:rsidR="00D471AD">
          <w:rPr>
            <w:noProof/>
            <w:webHidden/>
          </w:rPr>
          <w:fldChar w:fldCharType="begin"/>
        </w:r>
        <w:r w:rsidR="00D471AD">
          <w:rPr>
            <w:noProof/>
            <w:webHidden/>
          </w:rPr>
          <w:instrText xml:space="preserve"> PAGEREF _Toc465864613 \h </w:instrText>
        </w:r>
        <w:r w:rsidR="00D471AD">
          <w:rPr>
            <w:noProof/>
            <w:webHidden/>
          </w:rPr>
        </w:r>
        <w:r w:rsidR="00D471AD">
          <w:rPr>
            <w:noProof/>
            <w:webHidden/>
          </w:rPr>
          <w:fldChar w:fldCharType="separate"/>
        </w:r>
        <w:r w:rsidR="00D471AD">
          <w:rPr>
            <w:noProof/>
            <w:webHidden/>
          </w:rPr>
          <w:t>84</w:t>
        </w:r>
        <w:r w:rsidR="00D471AD">
          <w:rPr>
            <w:noProof/>
            <w:webHidden/>
          </w:rPr>
          <w:fldChar w:fldCharType="end"/>
        </w:r>
      </w:hyperlink>
    </w:p>
    <w:p w14:paraId="7418AEEF" w14:textId="77777777" w:rsidR="00D471AD" w:rsidRPr="001729A3" w:rsidRDefault="00D471AD" w:rsidP="00D471AD">
      <w:pPr>
        <w:pStyle w:val="TableofFigures"/>
        <w:tabs>
          <w:tab w:val="right" w:leader="dot" w:pos="9884"/>
        </w:tabs>
        <w:spacing w:before="113" w:after="0" w:line="240" w:lineRule="auto"/>
        <w:sectPr w:rsidR="00D471AD" w:rsidRPr="001729A3" w:rsidSect="00D471AD">
          <w:footerReference w:type="first" r:id="rId28"/>
          <w:footnotePr>
            <w:numFmt w:val="upperRoman"/>
          </w:footnotePr>
          <w:endnotePr>
            <w:numFmt w:val="decimal"/>
          </w:endnotePr>
          <w:pgSz w:w="11906" w:h="16838" w:code="9"/>
          <w:pgMar w:top="1440" w:right="1020" w:bottom="1440" w:left="992" w:header="709" w:footer="709" w:gutter="0"/>
          <w:cols w:space="708"/>
          <w:docGrid w:linePitch="360"/>
        </w:sectPr>
      </w:pPr>
      <w:r w:rsidRPr="0014374C">
        <w:rPr>
          <w:rStyle w:val="Hyperlink"/>
          <w:noProof/>
          <w:sz w:val="20"/>
        </w:rPr>
        <w:fldChar w:fldCharType="end"/>
      </w:r>
    </w:p>
    <w:p w14:paraId="7418AEF0" w14:textId="77777777" w:rsidR="00D471AD" w:rsidRPr="001729A3" w:rsidRDefault="00D471AD" w:rsidP="00D471AD">
      <w:pPr>
        <w:pStyle w:val="Glossary"/>
      </w:pPr>
      <w:bookmarkStart w:id="16" w:name="_Toc465862788"/>
      <w:bookmarkStart w:id="17" w:name="_Toc462229709"/>
      <w:bookmarkStart w:id="18" w:name="_Toc462230057"/>
      <w:bookmarkStart w:id="19" w:name="_Toc462231418"/>
      <w:bookmarkStart w:id="20" w:name="_Toc463013919"/>
      <w:bookmarkStart w:id="21" w:name="_Toc463014028"/>
      <w:bookmarkStart w:id="22" w:name="_Toc463014462"/>
      <w:bookmarkStart w:id="23" w:name="_Toc463876995"/>
      <w:bookmarkStart w:id="24" w:name="_Toc461180072"/>
      <w:bookmarkStart w:id="25" w:name="_Toc461180538"/>
      <w:bookmarkStart w:id="26" w:name="_Toc461183211"/>
      <w:bookmarkStart w:id="27" w:name="_Toc461184397"/>
      <w:bookmarkStart w:id="28" w:name="_Toc461186857"/>
      <w:bookmarkStart w:id="29" w:name="_Toc461198266"/>
      <w:bookmarkStart w:id="30" w:name="_Toc461198808"/>
      <w:bookmarkStart w:id="31" w:name="_Toc461204096"/>
      <w:bookmarkStart w:id="32" w:name="_Toc461527540"/>
      <w:bookmarkStart w:id="33" w:name="_Toc461624443"/>
      <w:bookmarkStart w:id="34" w:name="_Toc461629668"/>
      <w:bookmarkStart w:id="35" w:name="_Toc461632998"/>
      <w:bookmarkStart w:id="36" w:name="_Toc461634268"/>
      <w:r>
        <w:t>Executive summary</w:t>
      </w:r>
      <w:bookmarkEnd w:id="16"/>
    </w:p>
    <w:p w14:paraId="7418AEF1" w14:textId="77777777" w:rsidR="00D471AD" w:rsidRPr="00453847" w:rsidRDefault="00D471AD" w:rsidP="00D471AD">
      <w:pPr>
        <w:pStyle w:val="BodyText"/>
      </w:pPr>
      <w:r w:rsidRPr="00453847">
        <w:t xml:space="preserve">Innovation is a key driver of business competitiveness, economic growth, and ultimately improved living standards. According to estimates by the Organisation for Economic Co-operation and Development (OECD), as much as 50 per cent of long-term economic growth in its member countries can be attributed to innovation, and this contribution is expected to grow. The annual </w:t>
      </w:r>
      <w:r w:rsidRPr="001B4199">
        <w:rPr>
          <w:i/>
        </w:rPr>
        <w:t>Australian Innovation System Report</w:t>
      </w:r>
      <w:r w:rsidRPr="00453847">
        <w:t xml:space="preserve"> brings together a body of evidence on the structure and performance of Australia’s innovation system, based on a range of key indicators from new and existing sources.</w:t>
      </w:r>
    </w:p>
    <w:p w14:paraId="7418AEF2" w14:textId="77777777" w:rsidR="00D471AD" w:rsidRPr="00453847" w:rsidRDefault="00D471AD" w:rsidP="00D471AD">
      <w:pPr>
        <w:pStyle w:val="BodyText"/>
      </w:pPr>
      <w:r w:rsidRPr="00453847">
        <w:t xml:space="preserve">The theme of this year’s report is the evolution of Australia’s innovation indicators. During the last year, the Department of Industry, Innovation and Science collaborated with the Australian Bureau of Statistics (ABS) to develop new questions to be included in the </w:t>
      </w:r>
      <w:r w:rsidRPr="001B4199">
        <w:rPr>
          <w:i/>
        </w:rPr>
        <w:t>Business Characteristics Survey</w:t>
      </w:r>
      <w:r w:rsidRPr="00453847">
        <w:t>. Throughout the report we present new insights from this work.</w:t>
      </w:r>
    </w:p>
    <w:p w14:paraId="7418AEF3" w14:textId="77777777" w:rsidR="00D471AD" w:rsidRPr="00453847" w:rsidRDefault="00D471AD" w:rsidP="00D471AD">
      <w:pPr>
        <w:pStyle w:val="BodyText"/>
      </w:pPr>
      <w:r w:rsidRPr="00453847">
        <w:t>The report also extends the existing evidence by incorporating novel indicators derived from the recently created Business Longitudinal Analysis Data Environment (BLADE). Following in the tradition of previous reports, the 2016 edition is supplemented by a number of case studies and feature articles to highlight specific aspects of Australia’s innovation system.</w:t>
      </w:r>
    </w:p>
    <w:p w14:paraId="7418AEF4" w14:textId="77777777" w:rsidR="00D471AD" w:rsidRPr="00453847" w:rsidRDefault="00D471AD" w:rsidP="00D471AD">
      <w:pPr>
        <w:pStyle w:val="BodyText"/>
      </w:pPr>
      <w:r w:rsidRPr="00453847">
        <w:t>The new indicators expand evidence of the economic value of innovation. The consistent finding is that innovation-active businesses outperform non-innovation-active businesses on a range of measures. Innovation-active businesses in Australia make up 45 per cent of all employing businesses but contribute to over 60 per cent of sales and employment. Compared to non-innovation-active businesses they are 40 per cent more likely to increase income and profitability, twice as likely to export, and two-to-three times more likely to report increased productivity, employment and training.</w:t>
      </w:r>
    </w:p>
    <w:p w14:paraId="7418AEF5" w14:textId="77777777" w:rsidR="00D471AD" w:rsidRPr="00453847" w:rsidRDefault="00D471AD" w:rsidP="00D471AD">
      <w:pPr>
        <w:pStyle w:val="BodyText"/>
      </w:pPr>
      <w:r w:rsidRPr="00453847">
        <w:t xml:space="preserve">New analysis using BLADE shows that the frequency of innovation matters, as the positive impact of innovation gets stronger when businesses innovate more frequently. Persistent innovators significantly outgrow other businesses in terms of sales, value added, employment and profit growth. The data shows that </w:t>
      </w:r>
      <w:r>
        <w:t>i</w:t>
      </w:r>
      <w:r w:rsidRPr="00453847">
        <w:t xml:space="preserve">n the period 2008–09 </w:t>
      </w:r>
      <w:r>
        <w:t>to</w:t>
      </w:r>
      <w:r w:rsidRPr="00453847">
        <w:t xml:space="preserve"> </w:t>
      </w:r>
      <w:r>
        <w:br/>
      </w:r>
      <w:r w:rsidRPr="00453847">
        <w:t>2010–11, persistent innovators generated:</w:t>
      </w:r>
    </w:p>
    <w:p w14:paraId="7418AEF6" w14:textId="77777777" w:rsidR="00D471AD" w:rsidRPr="00453847" w:rsidRDefault="00D471AD" w:rsidP="00D471AD">
      <w:pPr>
        <w:pStyle w:val="ListBullet"/>
      </w:pPr>
      <w:r w:rsidRPr="00453847">
        <w:t>18 times the value added growth of intermittent  innovators</w:t>
      </w:r>
    </w:p>
    <w:p w14:paraId="7418AEF7" w14:textId="77777777" w:rsidR="00D471AD" w:rsidRPr="00453847" w:rsidRDefault="00D471AD" w:rsidP="00D471AD">
      <w:pPr>
        <w:pStyle w:val="ListBullet"/>
      </w:pPr>
      <w:r w:rsidRPr="00453847">
        <w:t>four times the employment growth of regular innovators</w:t>
      </w:r>
    </w:p>
    <w:p w14:paraId="7418AEF8" w14:textId="77777777" w:rsidR="00D471AD" w:rsidRPr="00453847" w:rsidRDefault="00D471AD" w:rsidP="00D471AD">
      <w:pPr>
        <w:pStyle w:val="ListBullet"/>
      </w:pPr>
      <w:r w:rsidRPr="00453847">
        <w:t>five times the sales growth of regular innovators</w:t>
      </w:r>
    </w:p>
    <w:p w14:paraId="7418AEF9" w14:textId="77777777" w:rsidR="00D471AD" w:rsidRPr="00453847" w:rsidRDefault="00D471AD" w:rsidP="00D471AD">
      <w:pPr>
        <w:pStyle w:val="BodyText"/>
      </w:pPr>
      <w:r w:rsidRPr="00453847">
        <w:t xml:space="preserve">Australia ranks fifth out of 30 OECD countries in terms of its overall proportion of innovation-active businesses, reflecting the strong contribution of our innovative small- and medium-sized </w:t>
      </w:r>
      <w:r>
        <w:t>enterprises</w:t>
      </w:r>
      <w:r w:rsidRPr="00453847">
        <w:t xml:space="preserve"> (SMEs; Australian large businesses rank relatively poorly on this measure, coming in 18th out of 29 countries). In terms of investment, total expenditure on innovation by Australian businesses in 2014–15 was between $26 billion and $30 billion. In terms of innovation novelty, new-to-business innovation—the adoption of innovations developed by others—is the most common type of innovation in Australian business.</w:t>
      </w:r>
    </w:p>
    <w:p w14:paraId="7418AEFA" w14:textId="77777777" w:rsidR="00D471AD" w:rsidRPr="00453847" w:rsidRDefault="00D471AD" w:rsidP="00D471AD">
      <w:pPr>
        <w:pStyle w:val="BodyText"/>
      </w:pPr>
      <w:r w:rsidRPr="00453847">
        <w:t>Just as innovation can be a source of competitive advantage for businesses, a high-performing innovation system can underpin the overall competitiveness of an economy. I</w:t>
      </w:r>
      <w:r>
        <w:t xml:space="preserve">t </w:t>
      </w:r>
      <w:r w:rsidRPr="00453847">
        <w:t xml:space="preserve">is worth noting that Australia earns only a relatively modest proportion of its total income from the sale of innovative goods and services compared to other OECD countries. In 2014–15, income from new or significantly improved goods and services was only around 7.2 per cent of total sales. With this estimate, Australia ranks 20th out of 23 countries in the OECD. The average of the top five OECD countries is </w:t>
      </w:r>
      <w:r>
        <w:br/>
      </w:r>
      <w:r w:rsidRPr="00453847">
        <w:t xml:space="preserve">19.1 per cent. The discrepancy between Australia’s poor performance on this measure, but its high proportion of innovation-active businesses may be explained by two factors: the size of the businesses innovating and the type of innovations being undertaken. Firstly, </w:t>
      </w:r>
      <w:r>
        <w:t>as</w:t>
      </w:r>
      <w:r w:rsidRPr="00453847">
        <w:t xml:space="preserve"> the proportion of large Australian businesses that are innovation-active is relatively small, this means that it is less likely that their sales will result from innovative goods or services. Secondly, many Australian businesses are process innovators. This means their innovations may reduce their operating costs or improve efficiency instead of producing a new product for market. </w:t>
      </w:r>
    </w:p>
    <w:p w14:paraId="7418AEFB" w14:textId="77777777" w:rsidR="00D471AD" w:rsidRPr="00453847" w:rsidRDefault="00D471AD" w:rsidP="00D471AD">
      <w:pPr>
        <w:pStyle w:val="BodyText"/>
      </w:pPr>
      <w:r w:rsidRPr="00453847">
        <w:t xml:space="preserve">An important innovation activity is research and development (R&amp;D). Literature suggests that R&amp;D-related activities can explain up to 75 per cent of total factor productivity growth, once externalities are considered. The literature also shows that R&amp;D has a significant rate of return, at 10–30 per cent for private return and more than 40 per cent for social return. Australia’s gross domestic expenditure on R&amp;D (GERD) to GDP ratio was 2.1 per cent in </w:t>
      </w:r>
      <w:r>
        <w:br/>
      </w:r>
      <w:r w:rsidRPr="00453847">
        <w:t xml:space="preserve">2013–14, which is slightly above the OECD average of 2.0 per cent, but significantly lower than the top five OECD performers on this indicator. Following a period of strong growth, Australia’s GERD as a percentage of GDP has been declining since </w:t>
      </w:r>
      <w:r>
        <w:br/>
      </w:r>
      <w:r w:rsidRPr="00453847">
        <w:t>2008–09, driven by a steep reduction in business R&amp;D as a percentage of GDP. This is related to the reduction in mining R&amp;D expenditure, which declined from $4.3 billion in 2008–09 to $2.8 billion in 2013–14.</w:t>
      </w:r>
    </w:p>
    <w:p w14:paraId="7418AEFC" w14:textId="77777777" w:rsidR="00D471AD" w:rsidRPr="00453847" w:rsidRDefault="00D471AD" w:rsidP="00D471AD">
      <w:pPr>
        <w:pStyle w:val="BodyText"/>
      </w:pPr>
      <w:r w:rsidRPr="00453847">
        <w:t>Despite having a high proportion of innovation-active businesses, Australia has a relatively low proportion of businesses that are R&amp;D-active. Manufacturing is the largest contributor to R&amp;D in terms of net expenditure, although its share in R&amp;D spending declined from 36 per cent in 2005–06 to 26 per cent in 2013–14. Notwithstanding its declining share of economic activity, R&amp;D intensity of manufacturing increased from 3.5 per cent in 2005–2006 to 4.8 per cent in 2013–14, which represented an increase of $1.1 billion over the period. In addition Professional, Scientific and Technical Services has become the second large</w:t>
      </w:r>
      <w:r>
        <w:t>st</w:t>
      </w:r>
      <w:r w:rsidRPr="00453847">
        <w:t xml:space="preserve"> spender on R&amp;D after Manufacturing, totalling $3.75 billion in 2013–14, a 45 per cent increase over the last five years. R&amp;D expenditure in this sector has been driven by SMEs. </w:t>
      </w:r>
    </w:p>
    <w:p w14:paraId="7418AEFD" w14:textId="77777777" w:rsidR="00D471AD" w:rsidRPr="00453847" w:rsidRDefault="00D471AD" w:rsidP="00D471AD">
      <w:pPr>
        <w:pStyle w:val="BodyText"/>
      </w:pPr>
      <w:r w:rsidRPr="00453847">
        <w:t xml:space="preserve">The capacity of an economy to innovate relies on its stock of human capital—the skills, knowledge and expertise embedded in its workforce. Australian businesses report a lack of access to skilled personnel as a barrier to innovation, and this pertains to all kinds of skills—not just scientific, engineering or technical. </w:t>
      </w:r>
    </w:p>
    <w:p w14:paraId="7418AEFE" w14:textId="77777777" w:rsidR="00D471AD" w:rsidRPr="00453847" w:rsidRDefault="00D471AD" w:rsidP="00D471AD">
      <w:pPr>
        <w:pStyle w:val="BodyText"/>
      </w:pPr>
      <w:r w:rsidRPr="00453847">
        <w:t>Academic research contributes to the generation and diffusion of new knowledge, and supports the development of human capital and knowledge. Australia ranks well internationally on measures relating to academic research, and Australian universities have risen in global rankings over the past decade. According to the Academic Ranking of World Universities, since 2003 Australia has increased the number of its universities in the top 500 worldwide from 13 to 23. The number of students completing higher degrees by research has grown slowly but consistently, almost doubling between 2000 and 2014.</w:t>
      </w:r>
    </w:p>
    <w:p w14:paraId="7418AEFF" w14:textId="77777777" w:rsidR="00D471AD" w:rsidRPr="00453847" w:rsidRDefault="00D471AD" w:rsidP="00D471AD">
      <w:pPr>
        <w:pStyle w:val="BodyText"/>
      </w:pPr>
      <w:r w:rsidRPr="00453847">
        <w:t>Networking and collaboration are essential to a high-performing innovation system. Collaboration with research organisations such as the Commonwealth Scientific and Industrial Research Organisation (CSIRO) and universities has been found to more than triple the likelihood of businesses reporting annual productivity growth. However, except in the resources sector, the data suggests that Australia’s innovation system is weakly networked. Australia ranks poorly against OECD comparators in most business to research and business to business collaboration indicators. Australian businesses also have comparatively low levels of international engagement with respect to intellectual property, joint R&amp;D, and trade in goods and services.</w:t>
      </w:r>
    </w:p>
    <w:p w14:paraId="7418AF00" w14:textId="77777777" w:rsidR="00D471AD" w:rsidRPr="00453847" w:rsidRDefault="00D471AD" w:rsidP="00D471AD">
      <w:pPr>
        <w:pStyle w:val="BodyText"/>
      </w:pPr>
      <w:r w:rsidRPr="00453847">
        <w:t>In contrast, collaboration within Australia’s research and university sectors is strong. Australia was ranked 7th in the OECD across all disciplines in terms of its share of the world's top 1 per cent of highly cited publications attributed to international collaboration. Australian academic publications accounted for 3.9 per cent of the global market share in 2015. This proportion has increased steadily over the past decade, and Australia now ranks 9th in the OECD on this measure. Australian research publications comprise over 7 per cent of the world’s top 1 per cent most highly cited publications across all disciplines.</w:t>
      </w:r>
    </w:p>
    <w:p w14:paraId="7418AF01" w14:textId="77777777" w:rsidR="00D471AD" w:rsidRPr="00453847" w:rsidRDefault="00D471AD" w:rsidP="00D471AD">
      <w:pPr>
        <w:pStyle w:val="BodyText"/>
      </w:pPr>
      <w:r w:rsidRPr="00453847">
        <w:t xml:space="preserve">Framework conditions influence the capacity of an economy to create and sustain an environment conducive to innovation. Framework conditions in Australia are strong overall. One of the many framework conditions that are relevant to innovation activity is intellectual property (IP) protection, as several types of IP protection are significantly associated with greater levels of innovation novelty. </w:t>
      </w:r>
    </w:p>
    <w:p w14:paraId="7418AF02" w14:textId="77777777" w:rsidR="00D471AD" w:rsidRDefault="00D471AD" w:rsidP="00D471AD">
      <w:pPr>
        <w:pStyle w:val="BodyText"/>
      </w:pPr>
      <w:r w:rsidRPr="00453847">
        <w:t>Due to the nature of innovation and large spillover effects associated with knowledge, governments around the world play an active role in fostering and shaping framework conditions that support innovation activity. The Australian Government’s most significant influences on the innovation system are indirect—its policy and regulatory settings and its investments in infrastructure, health care, education and research. Governments can also play a major role in stimulating private R&amp;D. Most of the direct investments made by government are in research and education. The focus of public R&amp;D investment is primarily on areas that are high risk, for basic research, or where private investment is relatively limited, for example, in defence, health and environmental protection.</w:t>
      </w:r>
    </w:p>
    <w:p w14:paraId="7418AF03" w14:textId="77777777" w:rsidR="00D471AD" w:rsidRDefault="00D471AD" w:rsidP="00D471AD">
      <w:pPr>
        <w:spacing w:after="200" w:line="276" w:lineRule="auto"/>
        <w:sectPr w:rsidR="00D471AD" w:rsidSect="004A31A9">
          <w:headerReference w:type="even" r:id="rId29"/>
          <w:headerReference w:type="default" r:id="rId30"/>
          <w:footerReference w:type="default" r:id="rId31"/>
          <w:headerReference w:type="first" r:id="rId32"/>
          <w:footnotePr>
            <w:numFmt w:val="upperRoman"/>
          </w:footnotePr>
          <w:endnotePr>
            <w:numFmt w:val="decimal"/>
          </w:endnotePr>
          <w:pgSz w:w="11906" w:h="16838" w:code="9"/>
          <w:pgMar w:top="1440" w:right="1020" w:bottom="1440" w:left="992" w:header="709" w:footer="709" w:gutter="0"/>
          <w:cols w:num="2" w:space="708"/>
          <w:docGrid w:linePitch="360"/>
        </w:sectPr>
      </w:pPr>
    </w:p>
    <w:p w14:paraId="7418AF04" w14:textId="77777777" w:rsidR="00D471AD" w:rsidRDefault="00D471AD" w:rsidP="00D471AD">
      <w:pPr>
        <w:spacing w:after="200" w:line="276" w:lineRule="auto"/>
        <w:rPr>
          <w:b/>
          <w:sz w:val="20"/>
        </w:rPr>
      </w:pPr>
    </w:p>
    <w:p w14:paraId="7418AF05" w14:textId="77777777" w:rsidR="00D471AD" w:rsidRDefault="00D471AD" w:rsidP="00D471AD">
      <w:pPr>
        <w:spacing w:after="200" w:line="276" w:lineRule="auto"/>
        <w:rPr>
          <w:b/>
        </w:rPr>
        <w:sectPr w:rsidR="00D471AD" w:rsidSect="004A31A9">
          <w:footnotePr>
            <w:numFmt w:val="upperRoman"/>
          </w:footnotePr>
          <w:endnotePr>
            <w:numFmt w:val="decimal"/>
          </w:endnotePr>
          <w:type w:val="continuous"/>
          <w:pgSz w:w="11906" w:h="16838" w:code="9"/>
          <w:pgMar w:top="1440" w:right="992" w:bottom="1440" w:left="992" w:header="709" w:footer="709" w:gutter="0"/>
          <w:cols w:space="708"/>
          <w:docGrid w:linePitch="360"/>
        </w:sectPr>
      </w:pPr>
      <w:r>
        <w:rPr>
          <w:b/>
          <w:noProof/>
          <w:lang w:eastAsia="en-AU"/>
        </w:rPr>
        <w:drawing>
          <wp:inline distT="0" distB="0" distL="0" distR="0" wp14:anchorId="7418C607" wp14:editId="7418C608">
            <wp:extent cx="5663821" cy="9036065"/>
            <wp:effectExtent l="0" t="0" r="0" b="0"/>
            <wp:docPr id="37" name="Picture 37" descr="Infographic describing Australian Innovation System and important statistical findings. &#10;•On average, every $1 invested in innovation returns $2 in sales&#10;•Innovation activity accounts for 50% of economic growth in OECD&#10;•R&amp;D spending: &#10;o$7billion basic research&#10;o$13 billion applied research&#10;o$13 billion in experimental development&#10;o$33 billion in total spending&#10;oEquivalent to about the GDP of Estonia&#10;•Top barriers to innovation are (1) access to additional funds (18%), (2) lack of skilled persons (16%) and (3) cost of development or introduction. Implementation (13%)&#10;•Chart featuring average gross operating profit, by innovation status and degree of novelty&#10;•Clients, customers or buyers have the strongest collaboration share (37%). &#10;" title="Australian Innovation System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ustralian Innovation System infographic 1.png"/>
                    <pic:cNvPicPr/>
                  </pic:nvPicPr>
                  <pic:blipFill>
                    <a:blip r:embed="rId33">
                      <a:extLst>
                        <a:ext uri="{28A0092B-C50C-407E-A947-70E740481C1C}">
                          <a14:useLocalDpi xmlns:a14="http://schemas.microsoft.com/office/drawing/2010/main" val="0"/>
                        </a:ext>
                      </a:extLst>
                    </a:blip>
                    <a:stretch>
                      <a:fillRect/>
                    </a:stretch>
                  </pic:blipFill>
                  <pic:spPr>
                    <a:xfrm>
                      <a:off x="0" y="0"/>
                      <a:ext cx="5667065" cy="9041241"/>
                    </a:xfrm>
                    <a:prstGeom prst="rect">
                      <a:avLst/>
                    </a:prstGeom>
                  </pic:spPr>
                </pic:pic>
              </a:graphicData>
            </a:graphic>
          </wp:inline>
        </w:drawing>
      </w:r>
    </w:p>
    <w:p w14:paraId="7418AF06" w14:textId="7750F9C2" w:rsidR="00D471AD" w:rsidRDefault="00875D8B" w:rsidP="00D471AD">
      <w:pPr>
        <w:spacing w:after="200" w:line="276" w:lineRule="auto"/>
        <w:rPr>
          <w:b/>
          <w:sz w:val="20"/>
        </w:rPr>
        <w:sectPr w:rsidR="00D471AD" w:rsidSect="004A31A9">
          <w:footnotePr>
            <w:numFmt w:val="upperRoman"/>
          </w:footnotePr>
          <w:endnotePr>
            <w:numFmt w:val="decimal"/>
          </w:endnotePr>
          <w:type w:val="continuous"/>
          <w:pgSz w:w="11906" w:h="16838" w:code="9"/>
          <w:pgMar w:top="1440" w:right="1020" w:bottom="1440" w:left="992" w:header="709" w:footer="709" w:gutter="0"/>
          <w:cols w:space="708"/>
          <w:docGrid w:linePitch="360"/>
        </w:sectPr>
      </w:pPr>
      <w:r>
        <w:rPr>
          <w:b/>
          <w:noProof/>
          <w:sz w:val="20"/>
          <w:lang w:eastAsia="en-AU"/>
        </w:rPr>
        <w:drawing>
          <wp:inline distT="0" distB="0" distL="0" distR="0" wp14:anchorId="788A782A" wp14:editId="2C8E252B">
            <wp:extent cx="5701665" cy="8863330"/>
            <wp:effectExtent l="0" t="0" r="0" b="0"/>
            <wp:docPr id="61" name="Picture 61" descr="Infographic. Depicts the ratio of innovation-active businesses that reported increases in performance compared to non-innovation-active businesses. &#10;1.4 time higher for income from sales of goods or services. &#10;4 times higher for range of goods or services offered&#10;2 times higher for productivity&#10;1.4 times higher for profitability&#10;3 times higher for total number of jobs or positions&#10;5 times higher for export markets targeted&#10;3 times higher for contracting or outsourcing&#10;3 times higher for structured/ formal training for employees&#10;3 time higher for expenditure on information technologu&#10;5 times higher for social contributions" title="Australian innovation-active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xecutive Summary-Australian innovation active businesses v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01665" cy="8863330"/>
                    </a:xfrm>
                    <a:prstGeom prst="rect">
                      <a:avLst/>
                    </a:prstGeom>
                  </pic:spPr>
                </pic:pic>
              </a:graphicData>
            </a:graphic>
          </wp:inline>
        </w:drawing>
      </w:r>
    </w:p>
    <w:p w14:paraId="7418AF07" w14:textId="77777777" w:rsidR="00D471AD" w:rsidRPr="001729A3" w:rsidRDefault="00D471AD" w:rsidP="00D471AD">
      <w:pPr>
        <w:pStyle w:val="Glossary"/>
      </w:pPr>
      <w:bookmarkStart w:id="37" w:name="_Toc465862789"/>
      <w:bookmarkEnd w:id="17"/>
      <w:bookmarkEnd w:id="18"/>
      <w:bookmarkEnd w:id="19"/>
      <w:bookmarkEnd w:id="20"/>
      <w:bookmarkEnd w:id="21"/>
      <w:bookmarkEnd w:id="22"/>
      <w:bookmarkEnd w:id="23"/>
      <w:r>
        <w:t>Introduction</w:t>
      </w:r>
      <w:r w:rsidRPr="001729A3">
        <w:t xml:space="preserve">: </w:t>
      </w:r>
      <w:r>
        <w:t>t</w:t>
      </w:r>
      <w:r w:rsidRPr="001729A3">
        <w:t>he evolution of innovation indicators</w:t>
      </w:r>
      <w:bookmarkEnd w:id="37"/>
    </w:p>
    <w:bookmarkEnd w:id="24"/>
    <w:bookmarkEnd w:id="25"/>
    <w:bookmarkEnd w:id="26"/>
    <w:bookmarkEnd w:id="27"/>
    <w:bookmarkEnd w:id="28"/>
    <w:bookmarkEnd w:id="29"/>
    <w:bookmarkEnd w:id="30"/>
    <w:bookmarkEnd w:id="31"/>
    <w:bookmarkEnd w:id="32"/>
    <w:bookmarkEnd w:id="33"/>
    <w:bookmarkEnd w:id="34"/>
    <w:bookmarkEnd w:id="35"/>
    <w:bookmarkEnd w:id="36"/>
    <w:p w14:paraId="7418AF08" w14:textId="77777777" w:rsidR="00D471AD" w:rsidRPr="001729A3" w:rsidRDefault="00D471AD" w:rsidP="00D471AD">
      <w:pPr>
        <w:pStyle w:val="BodyText"/>
      </w:pPr>
      <w:r w:rsidRPr="001729A3">
        <w:t xml:space="preserve">Every year, the </w:t>
      </w:r>
      <w:r w:rsidRPr="001729A3">
        <w:rPr>
          <w:i/>
        </w:rPr>
        <w:t>Australian Innovation System (AIS) Report</w:t>
      </w:r>
      <w:r w:rsidRPr="001729A3">
        <w:t xml:space="preserve"> has three main objectives:</w:t>
      </w:r>
    </w:p>
    <w:p w14:paraId="7418AF09" w14:textId="77777777" w:rsidR="00D471AD" w:rsidRPr="007F2C40" w:rsidRDefault="00D471AD" w:rsidP="00D471AD">
      <w:pPr>
        <w:pStyle w:val="ListNumber"/>
        <w:numPr>
          <w:ilvl w:val="0"/>
          <w:numId w:val="16"/>
        </w:numPr>
        <w:rPr>
          <w:sz w:val="20"/>
        </w:rPr>
      </w:pPr>
      <w:r w:rsidRPr="007F2C40">
        <w:rPr>
          <w:sz w:val="20"/>
        </w:rPr>
        <w:t>to demonstrate the importance of innovation to the Australian economy</w:t>
      </w:r>
    </w:p>
    <w:p w14:paraId="7418AF0A" w14:textId="77777777" w:rsidR="00D471AD" w:rsidRPr="007F2C40" w:rsidRDefault="00D471AD" w:rsidP="00D471AD">
      <w:pPr>
        <w:pStyle w:val="ListNumber"/>
        <w:numPr>
          <w:ilvl w:val="0"/>
          <w:numId w:val="16"/>
        </w:numPr>
        <w:rPr>
          <w:sz w:val="20"/>
        </w:rPr>
      </w:pPr>
      <w:r w:rsidRPr="007F2C40">
        <w:rPr>
          <w:sz w:val="20"/>
        </w:rPr>
        <w:t>to provide a reference document for key innovation indicators</w:t>
      </w:r>
    </w:p>
    <w:p w14:paraId="7418AF0B" w14:textId="77777777" w:rsidR="00D471AD" w:rsidRPr="007F2C40" w:rsidRDefault="00D471AD" w:rsidP="00D471AD">
      <w:pPr>
        <w:pStyle w:val="ListNumber"/>
        <w:numPr>
          <w:ilvl w:val="0"/>
          <w:numId w:val="16"/>
        </w:numPr>
        <w:rPr>
          <w:sz w:val="20"/>
        </w:rPr>
      </w:pPr>
      <w:r w:rsidRPr="007F2C40">
        <w:rPr>
          <w:sz w:val="20"/>
        </w:rPr>
        <w:t>to highlight the relative strengths and weaknesses of the Australian innovation system.</w:t>
      </w:r>
    </w:p>
    <w:p w14:paraId="7418AF0C" w14:textId="77777777" w:rsidR="00D471AD" w:rsidRPr="001729A3" w:rsidRDefault="00D471AD" w:rsidP="00D471AD">
      <w:pPr>
        <w:pStyle w:val="BodyText"/>
      </w:pPr>
      <w:r w:rsidRPr="001729A3">
        <w:t xml:space="preserve">The 2016 report focuses on the evolution of Australia’s innovation indicators. In order to provide the reader with robust and up-to-date information, we need to choose concepts, definitions and methods that together satisfy the above stated objectives of the AIS Report series. </w:t>
      </w:r>
    </w:p>
    <w:p w14:paraId="7418AF0D" w14:textId="77777777" w:rsidR="00D471AD" w:rsidRPr="001729A3" w:rsidRDefault="00D471AD" w:rsidP="00D471AD">
      <w:pPr>
        <w:pStyle w:val="BodyText"/>
      </w:pPr>
      <w:bookmarkStart w:id="38" w:name="_Toc461180073"/>
      <w:bookmarkStart w:id="39" w:name="_Toc461180544"/>
      <w:bookmarkStart w:id="40" w:name="_Toc461183212"/>
      <w:bookmarkStart w:id="41" w:name="_Toc461184398"/>
      <w:bookmarkStart w:id="42" w:name="_Toc461186858"/>
      <w:bookmarkStart w:id="43" w:name="_Toc461198267"/>
      <w:bookmarkStart w:id="44" w:name="_Toc461198809"/>
      <w:bookmarkStart w:id="45" w:name="_Toc461204097"/>
      <w:bookmarkStart w:id="46" w:name="_Toc461527548"/>
      <w:bookmarkStart w:id="47" w:name="_Toc461624451"/>
      <w:bookmarkStart w:id="48" w:name="_Toc461629676"/>
      <w:bookmarkStart w:id="49" w:name="_Toc461633006"/>
      <w:bookmarkStart w:id="50" w:name="_Toc461634276"/>
      <w:bookmarkEnd w:id="38"/>
      <w:bookmarkEnd w:id="39"/>
      <w:bookmarkEnd w:id="40"/>
      <w:bookmarkEnd w:id="41"/>
      <w:bookmarkEnd w:id="42"/>
      <w:bookmarkEnd w:id="43"/>
      <w:bookmarkEnd w:id="44"/>
      <w:bookmarkEnd w:id="45"/>
      <w:bookmarkEnd w:id="46"/>
      <w:bookmarkEnd w:id="47"/>
      <w:bookmarkEnd w:id="48"/>
      <w:bookmarkEnd w:id="49"/>
      <w:bookmarkEnd w:id="50"/>
      <w:r w:rsidRPr="001729A3">
        <w:t>In order to enable international comparisons and maintain stability of indicators</w:t>
      </w:r>
      <w:r w:rsidRPr="00660104">
        <w:t>,</w:t>
      </w:r>
      <w:r w:rsidRPr="001729A3">
        <w:rPr>
          <w:b/>
        </w:rPr>
        <w:t xml:space="preserve"> </w:t>
      </w:r>
      <w:r w:rsidRPr="001729A3">
        <w:t>we generally adopt internationally recognised and negotiated concepts and definitions of innovation. However, these concepts and definitions need to be re</w:t>
      </w:r>
      <w:r>
        <w:t>viewed</w:t>
      </w:r>
      <w:r w:rsidRPr="001729A3">
        <w:t xml:space="preserve"> regularly and treated with caution. </w:t>
      </w:r>
    </w:p>
    <w:p w14:paraId="7418AF0E" w14:textId="77777777" w:rsidR="00D471AD" w:rsidRPr="001729A3" w:rsidRDefault="00D471AD" w:rsidP="00D471AD">
      <w:pPr>
        <w:pStyle w:val="BodyText"/>
      </w:pPr>
      <w:r w:rsidRPr="001729A3">
        <w:t xml:space="preserve">We see two main drivers of change. The private sector changes the way it innovates, while </w:t>
      </w:r>
      <w:r>
        <w:t>government</w:t>
      </w:r>
      <w:r w:rsidRPr="001729A3">
        <w:t xml:space="preserve"> </w:t>
      </w:r>
      <w:r>
        <w:t>develops and revises</w:t>
      </w:r>
      <w:r w:rsidRPr="001729A3">
        <w:t xml:space="preserve"> policy</w:t>
      </w:r>
      <w:r w:rsidRPr="00660104">
        <w:t>,</w:t>
      </w:r>
      <w:r w:rsidRPr="001729A3">
        <w:t xml:space="preserve"> raising new measurement challenges. In both cases</w:t>
      </w:r>
      <w:r w:rsidRPr="00660104">
        <w:t>,</w:t>
      </w:r>
      <w:r w:rsidRPr="001729A3">
        <w:t xml:space="preserve"> we need to fill gaps in our understanding of how the innovation system functions and develop new indicators of innovation system performance to address these gaps. </w:t>
      </w:r>
    </w:p>
    <w:p w14:paraId="7418AF0F" w14:textId="77777777" w:rsidR="00D471AD" w:rsidRPr="001729A3" w:rsidRDefault="00D471AD" w:rsidP="00D471AD">
      <w:pPr>
        <w:pStyle w:val="BodyText"/>
      </w:pPr>
      <w:r w:rsidRPr="001729A3">
        <w:t>This is why the Department of Industry, Innovation and Science has embarked on a series of collaborative projects to evolve our innovation data. This year’s report:</w:t>
      </w:r>
    </w:p>
    <w:p w14:paraId="7418AF10" w14:textId="77777777" w:rsidR="00D471AD" w:rsidRPr="001729A3" w:rsidRDefault="00D471AD" w:rsidP="00D471AD">
      <w:pPr>
        <w:pStyle w:val="ListBullet3"/>
        <w:numPr>
          <w:ilvl w:val="0"/>
          <w:numId w:val="12"/>
        </w:numPr>
      </w:pPr>
      <w:r w:rsidRPr="001729A3">
        <w:t>presents some of the results from these projects</w:t>
      </w:r>
    </w:p>
    <w:p w14:paraId="7418AF11" w14:textId="77777777" w:rsidR="00D471AD" w:rsidRPr="001729A3" w:rsidRDefault="00D471AD" w:rsidP="00D471AD">
      <w:pPr>
        <w:pStyle w:val="ListBullet3"/>
        <w:numPr>
          <w:ilvl w:val="0"/>
          <w:numId w:val="12"/>
        </w:numPr>
      </w:pPr>
      <w:r w:rsidRPr="001729A3">
        <w:t>highlights new projects that are still in the pipeline</w:t>
      </w:r>
      <w:r w:rsidRPr="00660104">
        <w:t>,</w:t>
      </w:r>
      <w:r w:rsidRPr="001729A3">
        <w:t xml:space="preserve"> such as the development of a national management capability survey </w:t>
      </w:r>
    </w:p>
    <w:p w14:paraId="7418AF12" w14:textId="77777777" w:rsidR="00D471AD" w:rsidRPr="001729A3" w:rsidRDefault="00D471AD" w:rsidP="00D471AD">
      <w:pPr>
        <w:pStyle w:val="ListBullet3"/>
        <w:numPr>
          <w:ilvl w:val="0"/>
          <w:numId w:val="12"/>
        </w:numPr>
      </w:pPr>
      <w:r w:rsidRPr="001729A3">
        <w:t xml:space="preserve">makes recommendations for future improvements to innovation system indicators. </w:t>
      </w:r>
    </w:p>
    <w:p w14:paraId="7418AF13" w14:textId="77777777" w:rsidR="00D471AD" w:rsidRPr="001729A3" w:rsidRDefault="00D471AD" w:rsidP="00D471AD">
      <w:pPr>
        <w:pStyle w:val="BodyText"/>
        <w:keepNext/>
      </w:pPr>
      <w:r w:rsidRPr="001729A3">
        <w:t xml:space="preserve">The report is structured as follows: </w:t>
      </w:r>
    </w:p>
    <w:p w14:paraId="7418AF14" w14:textId="77777777" w:rsidR="00D471AD" w:rsidRPr="001729A3" w:rsidRDefault="00D471AD" w:rsidP="00D471AD">
      <w:pPr>
        <w:pStyle w:val="ListBullet3"/>
        <w:numPr>
          <w:ilvl w:val="0"/>
          <w:numId w:val="12"/>
        </w:numPr>
      </w:pPr>
      <w:r w:rsidRPr="001729A3">
        <w:t>Chapter 1 outlines the concepts, definitions and methodological basis for measuring the performance of the innovation system.</w:t>
      </w:r>
    </w:p>
    <w:p w14:paraId="7418AF15" w14:textId="77777777" w:rsidR="00D471AD" w:rsidRPr="001729A3" w:rsidRDefault="00D471AD" w:rsidP="00D471AD">
      <w:pPr>
        <w:pStyle w:val="ListBullet3"/>
        <w:numPr>
          <w:ilvl w:val="0"/>
          <w:numId w:val="12"/>
        </w:numPr>
      </w:pPr>
      <w:r w:rsidRPr="001729A3">
        <w:t>Chapter 2 presents new and revised analysis of the impact of innovation on Australian businesses and their contribution to the economy.</w:t>
      </w:r>
    </w:p>
    <w:p w14:paraId="7418AF16" w14:textId="77777777" w:rsidR="00D471AD" w:rsidRPr="001729A3" w:rsidRDefault="00D471AD" w:rsidP="00D471AD">
      <w:pPr>
        <w:pStyle w:val="ListBullet3"/>
        <w:numPr>
          <w:ilvl w:val="0"/>
          <w:numId w:val="12"/>
        </w:numPr>
      </w:pPr>
      <w:r w:rsidRPr="001729A3">
        <w:t>Chapter 3 highlights some of the important activities in the innovation system.</w:t>
      </w:r>
    </w:p>
    <w:p w14:paraId="7418AF17" w14:textId="77777777" w:rsidR="00D471AD" w:rsidRPr="001729A3" w:rsidRDefault="00D471AD" w:rsidP="00D471AD">
      <w:pPr>
        <w:pStyle w:val="ListBullet3"/>
        <w:numPr>
          <w:ilvl w:val="0"/>
          <w:numId w:val="12"/>
        </w:numPr>
      </w:pPr>
      <w:r w:rsidRPr="001729A3">
        <w:t>Chapter 4 assesses the extent to which the innovation system is connected.</w:t>
      </w:r>
    </w:p>
    <w:p w14:paraId="7418AF18" w14:textId="77777777" w:rsidR="00D471AD" w:rsidRPr="001729A3" w:rsidRDefault="00D471AD" w:rsidP="00D471AD">
      <w:pPr>
        <w:pStyle w:val="ListBullet3"/>
        <w:numPr>
          <w:ilvl w:val="0"/>
          <w:numId w:val="12"/>
        </w:numPr>
      </w:pPr>
      <w:r w:rsidRPr="001729A3">
        <w:t>Chapter 5 discusses in detail some important framework conditions that support the innovation system.</w:t>
      </w:r>
    </w:p>
    <w:p w14:paraId="7418AF19" w14:textId="77777777" w:rsidR="00D471AD" w:rsidRPr="001729A3" w:rsidRDefault="00D471AD" w:rsidP="00D471AD">
      <w:pPr>
        <w:pStyle w:val="BodyText"/>
      </w:pPr>
      <w:r>
        <w:t>The a</w:t>
      </w:r>
      <w:r w:rsidRPr="001729A3">
        <w:t xml:space="preserve">ppendix </w:t>
      </w:r>
      <w:r>
        <w:t>to the report</w:t>
      </w:r>
      <w:r w:rsidRPr="001729A3">
        <w:t xml:space="preserve"> contains a series of tables of innovation statistics, which are referred to throughout the report. Monthly updates to these tables are published online on the Office of the Chief Economist </w:t>
      </w:r>
      <w:hyperlink r:id="rId35" w:history="1">
        <w:r w:rsidRPr="001729A3">
          <w:rPr>
            <w:rStyle w:val="Hyperlink"/>
          </w:rPr>
          <w:t>website</w:t>
        </w:r>
      </w:hyperlink>
      <w:r w:rsidRPr="001729A3">
        <w:t>.</w:t>
      </w:r>
      <w:r w:rsidRPr="001729A3">
        <w:rPr>
          <w:rStyle w:val="EndnoteReference"/>
        </w:rPr>
        <w:endnoteReference w:id="1"/>
      </w:r>
    </w:p>
    <w:p w14:paraId="7418AF1A" w14:textId="77777777" w:rsidR="00D471AD" w:rsidRPr="001729A3" w:rsidRDefault="00D471AD" w:rsidP="00D471AD">
      <w:pPr>
        <w:pStyle w:val="BodyText"/>
      </w:pPr>
      <w:r w:rsidRPr="001729A3">
        <w:t>Despite the numerous systemic weaknesses identified in past reports, Australia’s economic performance to date has proven remarkably resilient, especially when global economic recovery in the wake of the global financial crisis remains fragile. This performance reflects well on Australia’s institutions, our economic conditions</w:t>
      </w:r>
      <w:r w:rsidRPr="00660104">
        <w:t>,</w:t>
      </w:r>
      <w:r w:rsidRPr="001729A3">
        <w:t xml:space="preserve"> and our culture of entrepreneurship. Australia has benefited significantly from the mining boom, its geographical proximity to Asia and a business-friendly environment—all of which contributed to low unemployment, low inflation and Australia’s 25 years of uninterrupted economic growth. </w:t>
      </w:r>
    </w:p>
    <w:p w14:paraId="7418AF1B" w14:textId="77777777" w:rsidR="00D471AD" w:rsidRDefault="00D471AD" w:rsidP="00D471AD">
      <w:pPr>
        <w:pStyle w:val="BodyText"/>
      </w:pPr>
      <w:r w:rsidRPr="001729A3">
        <w:t>Australia’s future output and employment performance will be determined by our ability to find new sources of growth. Without another resources boom, growth is likely to rely on a greater use of knowledge, innovation</w:t>
      </w:r>
      <w:r>
        <w:t xml:space="preserve"> and entrepreneurship</w:t>
      </w:r>
      <w:r w:rsidRPr="001729A3">
        <w:t>.</w:t>
      </w:r>
    </w:p>
    <w:p w14:paraId="7418AF1C" w14:textId="77777777" w:rsidR="00D471AD" w:rsidRDefault="00D471AD" w:rsidP="00D471AD">
      <w:pPr>
        <w:pStyle w:val="Caption"/>
      </w:pPr>
      <w:r>
        <w:t>Innovation and Science Australia and the innovation system audit</w:t>
      </w:r>
    </w:p>
    <w:tbl>
      <w:tblPr>
        <w:tblStyle w:val="OCETable"/>
        <w:tblW w:w="4706" w:type="dxa"/>
        <w:tblInd w:w="57" w:type="dxa"/>
        <w:shd w:val="clear" w:color="auto" w:fill="292B67"/>
        <w:tblLayout w:type="fixed"/>
        <w:tblLook w:val="04A0" w:firstRow="1" w:lastRow="0" w:firstColumn="1" w:lastColumn="0" w:noHBand="0" w:noVBand="1"/>
        <w:tblCaption w:val="Methodology Box: Innovation and Science Australia and the innovation system audit"/>
        <w:tblDescription w:val="In December 2015, the government launched the National Innovation and Science Agenda (NISA) aimed at developing a more entrepreneurial and innovative Australian economy. To give effect to the agenda, Innovation Australia is being replaced by Innovation and Science Australia (ISA), an independent body responsible for providing whole-of-government strategic advice on all innovation, science and research policies, programmes and regulatory settings.&#10;To assist the ISA Board in implementing the strategic vision of ISA, the government has established the Office of Innovation and Science Australia (OISA). The Board has commenced a comprehensive audit of the performance of Australia’s innovation system. The audit, which is being conducted by OISA, is critical for ensuring that the Board has a detailed picture of the state of Australia’s innovation system and the policy, regulatory and cultural environment in which it operates. The audit report is due to be completed by the end of 2016 and will inform the strategic direction to transform Australia into a leading innovation country by 2030. &#10;"/>
      </w:tblPr>
      <w:tblGrid>
        <w:gridCol w:w="4706"/>
      </w:tblGrid>
      <w:tr w:rsidR="00D471AD" w14:paraId="7418AF1F"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92B67"/>
          </w:tcPr>
          <w:p w14:paraId="7418AF1D" w14:textId="77777777" w:rsidR="00D471AD" w:rsidRPr="00B50244" w:rsidRDefault="00D471AD" w:rsidP="004A31A9">
            <w:pPr>
              <w:pStyle w:val="Methodologytext"/>
              <w:spacing w:before="160"/>
              <w:rPr>
                <w:i w:val="0"/>
              </w:rPr>
            </w:pPr>
            <w:r w:rsidRPr="00B50244">
              <w:rPr>
                <w:i w:val="0"/>
              </w:rPr>
              <w:t>In December 2015, the gover</w:t>
            </w:r>
            <w:r>
              <w:rPr>
                <w:i w:val="0"/>
              </w:rPr>
              <w:t>n</w:t>
            </w:r>
            <w:r w:rsidRPr="00B50244">
              <w:rPr>
                <w:i w:val="0"/>
              </w:rPr>
              <w:t>ment launched the National Innovation and Science Agenda (NISA) aimed at developing a more entrepreneurial and innovative Australian economy. To give effect to the agenda, Innovation and Science Australia (ISA)</w:t>
            </w:r>
            <w:r>
              <w:rPr>
                <w:i w:val="0"/>
              </w:rPr>
              <w:t xml:space="preserve"> has been established as</w:t>
            </w:r>
            <w:r w:rsidRPr="00B50244">
              <w:rPr>
                <w:i w:val="0"/>
              </w:rPr>
              <w:t xml:space="preserve"> an independent body responsible </w:t>
            </w:r>
            <w:r>
              <w:rPr>
                <w:i w:val="0"/>
              </w:rPr>
              <w:t xml:space="preserve">to </w:t>
            </w:r>
            <w:r w:rsidRPr="00B50244">
              <w:rPr>
                <w:i w:val="0"/>
              </w:rPr>
              <w:t xml:space="preserve"> provid</w:t>
            </w:r>
            <w:r>
              <w:rPr>
                <w:i w:val="0"/>
              </w:rPr>
              <w:t>e</w:t>
            </w:r>
            <w:r w:rsidRPr="00B50244">
              <w:rPr>
                <w:i w:val="0"/>
              </w:rPr>
              <w:t xml:space="preserve"> whole-of-government strategic advice on all innovation, science and research policies, programmes and regulatory settings.</w:t>
            </w:r>
          </w:p>
          <w:p w14:paraId="7418AF1E" w14:textId="77777777" w:rsidR="00D471AD" w:rsidRDefault="00D471AD" w:rsidP="004A31A9">
            <w:pPr>
              <w:pStyle w:val="Methodologytext"/>
            </w:pPr>
            <w:r w:rsidRPr="00B50244">
              <w:rPr>
                <w:i w:val="0"/>
              </w:rPr>
              <w:t>To assist the ISA Board in implementing the strategic vision of ISA, the government has established the Office of Innovation and Science Australia (OISA). The Board has commenced a comprehensive audit of the performance of Australia’s innovation system. The audit, which is being conducted by OISA, is critical for ensuring that the Board has a detailed picture of the state of Australia’s innovation system and the policy, regulatory and cultural environment in which it operates. The audit report is due to be completed by the end of 2016 and will inform the strategic direction to transform Australia into a leading innovation country by 2030.</w:t>
            </w:r>
            <w:r>
              <w:t xml:space="preserve"> </w:t>
            </w:r>
          </w:p>
        </w:tc>
      </w:tr>
    </w:tbl>
    <w:p w14:paraId="7418AF20" w14:textId="77777777" w:rsidR="00D471AD" w:rsidRPr="000D502B" w:rsidRDefault="00D471AD" w:rsidP="00D471AD"/>
    <w:p w14:paraId="7418AF21" w14:textId="77777777" w:rsidR="00D471AD" w:rsidRPr="000D502B" w:rsidRDefault="00D471AD" w:rsidP="00D471AD">
      <w:pPr>
        <w:sectPr w:rsidR="00D471AD" w:rsidRPr="000D502B" w:rsidSect="004A31A9">
          <w:footnotePr>
            <w:numFmt w:val="upperRoman"/>
          </w:footnotePr>
          <w:endnotePr>
            <w:numFmt w:val="decimal"/>
          </w:endnotePr>
          <w:pgSz w:w="11906" w:h="16838" w:code="9"/>
          <w:pgMar w:top="1440" w:right="1020" w:bottom="1440" w:left="992" w:header="709" w:footer="709" w:gutter="0"/>
          <w:cols w:num="2" w:space="708"/>
          <w:docGrid w:linePitch="360"/>
        </w:sectPr>
      </w:pPr>
    </w:p>
    <w:p w14:paraId="7418AF22" w14:textId="77777777" w:rsidR="00D471AD" w:rsidRPr="000D502B" w:rsidRDefault="00D471AD" w:rsidP="00D471AD">
      <w:pPr>
        <w:pStyle w:val="Caption"/>
      </w:pPr>
      <w:r>
        <w:t>A brief history of the Australian Innovation System Reports</w:t>
      </w:r>
    </w:p>
    <w:tbl>
      <w:tblPr>
        <w:tblStyle w:val="OCETable"/>
        <w:tblW w:w="9979" w:type="dxa"/>
        <w:tblInd w:w="57" w:type="dxa"/>
        <w:shd w:val="clear" w:color="auto" w:fill="292B67"/>
        <w:tblLayout w:type="fixed"/>
        <w:tblLook w:val="04A0" w:firstRow="1" w:lastRow="0" w:firstColumn="1" w:lastColumn="0" w:noHBand="0" w:noVBand="1"/>
        <w:tblCaption w:val="A brief history of the Australian Innovation System Report"/>
        <w:tblDescription w:val="2010: A Compendium of Indicators&#10;When the first AIS Report was published in 2010, it set out to provide a compendium of indicators that would enable comparison of Australia’s innovation performance against other Organisation for Economic Co-operation and Development (OECD) countries. Initially, these indicators were also used for tracking progress against a set of government priorities and innovation targets. Fast forward six years, the six reports to date embody a comprehensive repository of information on the patterns and trends that characterise Australia’s innovation system.&#10;2011: Underpinnings of Innovation&#10;The 2011 report articulated in detail the intellectual foundations for understanding innovation as a system, emphasising the importance of open collaboration, networking and trade in changing industry and society for the better. It concluded that the most prevalent mode of innovation in Australia was the adoption and modification of existing innovations, and that poor networking and collaboration was perhaps the most significant weakness in the Australian innovation system. &#10;2012: Innovation and Productivity&#10;The 2012 report described the connection between innovation and productivity growth. It specifically highlighted the role of intangible capital, and identified Australia as a ‘fast follower’ country with regard to adopting and using new knowledge. It noted the relatively weak innovation performance of Australian businesses by international standards, despite considerable growth in research and development (R&amp;D) investment and the stock of intellectual property. In addition to comparatively low rates of collaboration, insufficient management capability and a comparably weak innovation culture were suggested as possible factors contributing to the slowdown in Australia's measured productivity growth. &#10;2013: The Asian Century&#10;Having outlined the broad patterns of Australia's national innovation activity, the 2013 report focused on the role of innovation in capturing the opportunities presented by the rapid rise of Asian economies. It found that while Australian industry had been successful at seizing opportunities in Asia, the activity was concentrated primarily in the mining, agriculture and education sectors, and mostly involved large multinational businesses. Accordingly, the report argued that opportunities existed for a more broad-based engagement in global value chains by Australian businesses large and small, across a wider spectrum of industries and particularly in niche growth areas such as eco-innovation. &#10;2014: Innovation Driven Competitiveness&#10;The 2014 report examined the role of innovation as a driver of Australia’s competitiveness. The report found that while Australian small- and medium-sized enterprises (SMEs) appeared to be innovative by OECD standards, large businesses were lagging behind global innovation leaders. Australian businesses of all sizes performed poorly on new-to-market innovation compared to other OECD countries. The report argued that these factors reduced Australia’s export competitiveness and Australia’s diversity of exports. &#10;2015: Innovative Entrepreneurship&#10;The 2015 report focused on innovative entrepreneurship as a force of ‘creative destruction’, whereby new entrants drive a competitive reallocation of resources to alternative uses. It found that the level of business start-up activity in Australia was high by world standards, reflecting a relative abundance of business opportunities. Drawing on newly available evidence, the report found that start-up activity was at the heart of employment growth in Australia, and that the bulk of this growth was driven by a relatively small number of high-growth businesses that could be found across all sectors of the economy.&#10;"/>
      </w:tblPr>
      <w:tblGrid>
        <w:gridCol w:w="9979"/>
      </w:tblGrid>
      <w:tr w:rsidR="00D471AD" w:rsidRPr="000D502B" w14:paraId="7418AF2F" w14:textId="77777777" w:rsidTr="004A31A9">
        <w:trPr>
          <w:cnfStyle w:val="100000000000" w:firstRow="1" w:lastRow="0" w:firstColumn="0" w:lastColumn="0" w:oddVBand="0" w:evenVBand="0" w:oddHBand="0" w:evenHBand="0" w:firstRowFirstColumn="0" w:firstRowLastColumn="0" w:lastRowFirstColumn="0" w:lastRowLastColumn="0"/>
          <w:cantSplit/>
          <w:trHeight w:val="4461"/>
          <w:tblHeader/>
        </w:trPr>
        <w:tc>
          <w:tcPr>
            <w:tcW w:w="5000" w:type="pct"/>
            <w:shd w:val="clear" w:color="auto" w:fill="292B67"/>
          </w:tcPr>
          <w:p w14:paraId="7418AF23" w14:textId="77777777" w:rsidR="00D471AD" w:rsidRPr="003E6D95" w:rsidRDefault="00D471AD" w:rsidP="004A31A9">
            <w:pPr>
              <w:pStyle w:val="Methodologyboxtext"/>
              <w:keepNext w:val="0"/>
              <w:keepLines w:val="0"/>
              <w:spacing w:before="240"/>
              <w:jc w:val="both"/>
            </w:pPr>
            <w:bookmarkStart w:id="51" w:name="_Toc461527542"/>
            <w:bookmarkStart w:id="52" w:name="_Toc461624445"/>
            <w:bookmarkStart w:id="53" w:name="_Toc461629670"/>
            <w:bookmarkStart w:id="54" w:name="_Toc461633000"/>
            <w:bookmarkStart w:id="55" w:name="_Toc461634270"/>
            <w:r w:rsidRPr="003E6D95">
              <w:t xml:space="preserve">2010: A Compendium </w:t>
            </w:r>
            <w:r>
              <w:t>o</w:t>
            </w:r>
            <w:r w:rsidRPr="003E6D95">
              <w:t>f Indicators</w:t>
            </w:r>
            <w:bookmarkEnd w:id="51"/>
            <w:bookmarkEnd w:id="52"/>
            <w:bookmarkEnd w:id="53"/>
            <w:bookmarkEnd w:id="54"/>
            <w:bookmarkEnd w:id="55"/>
          </w:p>
          <w:p w14:paraId="7418AF24" w14:textId="77777777" w:rsidR="00D471AD" w:rsidRPr="003E6D95" w:rsidRDefault="00D471AD" w:rsidP="004A31A9">
            <w:pPr>
              <w:pStyle w:val="Methodologyboxtext"/>
              <w:keepNext w:val="0"/>
              <w:keepLines w:val="0"/>
              <w:jc w:val="both"/>
              <w:rPr>
                <w:i w:val="0"/>
              </w:rPr>
            </w:pPr>
            <w:r w:rsidRPr="003E6D95">
              <w:rPr>
                <w:i w:val="0"/>
              </w:rPr>
              <w:t>When the first AIS Report was published in 2010, it set out to provide a compendium of indicators that would enable comparison of Australia’s innovation performance against other Organisation for Economic Co-operation and Development (OECD) countries. Initially</w:t>
            </w:r>
            <w:r w:rsidRPr="00660104">
              <w:rPr>
                <w:i w:val="0"/>
              </w:rPr>
              <w:t>,</w:t>
            </w:r>
            <w:r w:rsidRPr="003E6D95">
              <w:rPr>
                <w:i w:val="0"/>
              </w:rPr>
              <w:t xml:space="preserve"> these indicators were also used for tracking progress against a set of government priorities and innovation targets. Fast forward six years</w:t>
            </w:r>
            <w:r w:rsidRPr="00660104">
              <w:rPr>
                <w:i w:val="0"/>
              </w:rPr>
              <w:t>,</w:t>
            </w:r>
            <w:r w:rsidRPr="003E6D95">
              <w:rPr>
                <w:i w:val="0"/>
              </w:rPr>
              <w:t xml:space="preserve"> the six reports to date embody a comprehensive repository of information on the patterns and trends that characterise Australia’s innovation system.</w:t>
            </w:r>
          </w:p>
          <w:p w14:paraId="7418AF25" w14:textId="77777777" w:rsidR="00D471AD" w:rsidRPr="003E6D95" w:rsidRDefault="00D471AD" w:rsidP="004A31A9">
            <w:pPr>
              <w:pStyle w:val="Methodologyboxtext"/>
              <w:keepNext w:val="0"/>
              <w:keepLines w:val="0"/>
              <w:spacing w:before="240"/>
              <w:jc w:val="both"/>
            </w:pPr>
            <w:bookmarkStart w:id="56" w:name="_Toc461527543"/>
            <w:bookmarkStart w:id="57" w:name="_Toc461624446"/>
            <w:bookmarkStart w:id="58" w:name="_Toc461629671"/>
            <w:bookmarkStart w:id="59" w:name="_Toc461633001"/>
            <w:bookmarkStart w:id="60" w:name="_Toc461634271"/>
            <w:r w:rsidRPr="003E6D95">
              <w:t xml:space="preserve">2011: Underpinnings </w:t>
            </w:r>
            <w:r>
              <w:t>o</w:t>
            </w:r>
            <w:r w:rsidRPr="003E6D95">
              <w:t>f Innovation</w:t>
            </w:r>
            <w:bookmarkEnd w:id="56"/>
            <w:bookmarkEnd w:id="57"/>
            <w:bookmarkEnd w:id="58"/>
            <w:bookmarkEnd w:id="59"/>
            <w:bookmarkEnd w:id="60"/>
          </w:p>
          <w:p w14:paraId="7418AF26" w14:textId="77777777" w:rsidR="00D471AD" w:rsidRPr="003E6D95" w:rsidRDefault="00D471AD" w:rsidP="004A31A9">
            <w:pPr>
              <w:pStyle w:val="Methodologyboxtext"/>
              <w:keepNext w:val="0"/>
              <w:keepLines w:val="0"/>
              <w:jc w:val="both"/>
              <w:rPr>
                <w:i w:val="0"/>
              </w:rPr>
            </w:pPr>
            <w:r w:rsidRPr="003E6D95">
              <w:rPr>
                <w:i w:val="0"/>
              </w:rPr>
              <w:t>The 2011 report articulated in detail the intellectual foundations for understanding innovation as a system, emphasising the importance of open collaboration, networking and trade in changing industry and society for the better. It concluded that the most prevalent mode of innovation in Australia was the adoption and modification of existing innovations</w:t>
            </w:r>
            <w:r w:rsidRPr="00660104">
              <w:rPr>
                <w:i w:val="0"/>
              </w:rPr>
              <w:t>,</w:t>
            </w:r>
            <w:r w:rsidRPr="003E6D95">
              <w:rPr>
                <w:i w:val="0"/>
              </w:rPr>
              <w:t xml:space="preserve"> and that poor networking and collaboration was perhaps the most significant weakness in the Australian innovation system.</w:t>
            </w:r>
            <w:r w:rsidRPr="003E6D95" w:rsidDel="009A3FF0">
              <w:rPr>
                <w:i w:val="0"/>
                <w:vertAlign w:val="superscript"/>
              </w:rPr>
              <w:t xml:space="preserve"> </w:t>
            </w:r>
          </w:p>
          <w:p w14:paraId="7418AF27" w14:textId="77777777" w:rsidR="00D471AD" w:rsidRPr="003E6D95" w:rsidRDefault="00D471AD" w:rsidP="004A31A9">
            <w:pPr>
              <w:pStyle w:val="Methodologyboxtext"/>
              <w:keepNext w:val="0"/>
              <w:keepLines w:val="0"/>
              <w:spacing w:before="240"/>
              <w:jc w:val="both"/>
            </w:pPr>
            <w:bookmarkStart w:id="61" w:name="_Toc461527544"/>
            <w:bookmarkStart w:id="62" w:name="_Toc461624447"/>
            <w:bookmarkStart w:id="63" w:name="_Toc461629672"/>
            <w:bookmarkStart w:id="64" w:name="_Toc461633002"/>
            <w:bookmarkStart w:id="65" w:name="_Toc461634272"/>
            <w:r w:rsidRPr="003E6D95">
              <w:t xml:space="preserve">2012: Innovation </w:t>
            </w:r>
            <w:r>
              <w:t>a</w:t>
            </w:r>
            <w:r w:rsidRPr="003E6D95">
              <w:t>nd Productivity</w:t>
            </w:r>
            <w:bookmarkEnd w:id="61"/>
            <w:bookmarkEnd w:id="62"/>
            <w:bookmarkEnd w:id="63"/>
            <w:bookmarkEnd w:id="64"/>
            <w:bookmarkEnd w:id="65"/>
          </w:p>
          <w:p w14:paraId="7418AF28" w14:textId="77777777" w:rsidR="00D471AD" w:rsidRPr="003E6D95" w:rsidRDefault="00D471AD" w:rsidP="004A31A9">
            <w:pPr>
              <w:pStyle w:val="Methodologyboxtext"/>
              <w:keepNext w:val="0"/>
              <w:keepLines w:val="0"/>
              <w:jc w:val="both"/>
              <w:rPr>
                <w:i w:val="0"/>
              </w:rPr>
            </w:pPr>
            <w:r w:rsidRPr="003E6D95">
              <w:rPr>
                <w:i w:val="0"/>
              </w:rPr>
              <w:t>The 2012 report describ</w:t>
            </w:r>
            <w:r>
              <w:rPr>
                <w:i w:val="0"/>
              </w:rPr>
              <w:t>ed</w:t>
            </w:r>
            <w:r w:rsidRPr="003E6D95">
              <w:rPr>
                <w:i w:val="0"/>
              </w:rPr>
              <w:t xml:space="preserve"> the connection between innovation and productivity growth. It specifically highlighted the role of intangible capital</w:t>
            </w:r>
            <w:r w:rsidRPr="00660104">
              <w:rPr>
                <w:i w:val="0"/>
              </w:rPr>
              <w:t>,</w:t>
            </w:r>
            <w:r w:rsidRPr="003E6D95">
              <w:rPr>
                <w:i w:val="0"/>
              </w:rPr>
              <w:t xml:space="preserve"> and identified Australia as a ‘fast follower’ country with regard to adopting and using new knowledge. It noted the relatively weak innovation performance of Australian businesses by international standards, despite considerable growth in research and development (R&amp;D) investment and the stock of intellectual property. In addition to comparatively low rates of collaboration, insufficient management capability and a comparably weak innovation culture were suggested as possible factors contributing to the slowdown in Australia's measured productivity growth.</w:t>
            </w:r>
            <w:r w:rsidRPr="003E6D95" w:rsidDel="009A3FF0">
              <w:rPr>
                <w:i w:val="0"/>
                <w:vertAlign w:val="superscript"/>
              </w:rPr>
              <w:t xml:space="preserve"> </w:t>
            </w:r>
          </w:p>
          <w:p w14:paraId="7418AF29" w14:textId="77777777" w:rsidR="00D471AD" w:rsidRPr="003E6D95" w:rsidRDefault="00D471AD" w:rsidP="004A31A9">
            <w:pPr>
              <w:pStyle w:val="Methodologyboxtext"/>
              <w:keepNext w:val="0"/>
              <w:keepLines w:val="0"/>
              <w:spacing w:before="240"/>
              <w:jc w:val="both"/>
            </w:pPr>
            <w:bookmarkStart w:id="66" w:name="_Toc461527545"/>
            <w:bookmarkStart w:id="67" w:name="_Toc461624448"/>
            <w:bookmarkStart w:id="68" w:name="_Toc461629673"/>
            <w:bookmarkStart w:id="69" w:name="_Toc461633003"/>
            <w:bookmarkStart w:id="70" w:name="_Toc461634273"/>
            <w:r w:rsidRPr="003E6D95">
              <w:t>2013: The Asian Century</w:t>
            </w:r>
            <w:bookmarkEnd w:id="66"/>
            <w:bookmarkEnd w:id="67"/>
            <w:bookmarkEnd w:id="68"/>
            <w:bookmarkEnd w:id="69"/>
            <w:bookmarkEnd w:id="70"/>
          </w:p>
          <w:p w14:paraId="7418AF2A" w14:textId="77777777" w:rsidR="00D471AD" w:rsidRPr="003E6D95" w:rsidRDefault="00D471AD" w:rsidP="004A31A9">
            <w:pPr>
              <w:pStyle w:val="Methodologyboxtext"/>
              <w:keepNext w:val="0"/>
              <w:keepLines w:val="0"/>
              <w:jc w:val="both"/>
              <w:rPr>
                <w:i w:val="0"/>
              </w:rPr>
            </w:pPr>
            <w:r w:rsidRPr="003E6D95">
              <w:rPr>
                <w:i w:val="0"/>
              </w:rPr>
              <w:t>Having outlined the broad patterns of Australia's national innovation activity, the 2013 report focused on the role of innovation in capturing the opportunities presented by the rapid rise of Asian economies. It found that while Australian industry had been successful at seizing opportunities in Asia, the activity was concentrated primarily in the mining, agriculture and education sectors, and mostly involved large multinational businesses. Accordingly, the report argued that opportunities existed for a more broad-based engagement in global value chains by Australian businesses large and small, across a wider spectrum of industries and particularly in niche growth areas such as eco-innovation.</w:t>
            </w:r>
            <w:r w:rsidRPr="003E6D95" w:rsidDel="009A3FF0">
              <w:rPr>
                <w:i w:val="0"/>
                <w:vertAlign w:val="superscript"/>
              </w:rPr>
              <w:t xml:space="preserve"> </w:t>
            </w:r>
          </w:p>
          <w:p w14:paraId="7418AF2B" w14:textId="77777777" w:rsidR="00D471AD" w:rsidRPr="003E6D95" w:rsidRDefault="00D471AD" w:rsidP="004A31A9">
            <w:pPr>
              <w:pStyle w:val="Methodologyboxtext"/>
              <w:keepNext w:val="0"/>
              <w:keepLines w:val="0"/>
              <w:spacing w:before="240"/>
              <w:jc w:val="both"/>
            </w:pPr>
            <w:bookmarkStart w:id="71" w:name="_Toc461527546"/>
            <w:bookmarkStart w:id="72" w:name="_Toc461624449"/>
            <w:bookmarkStart w:id="73" w:name="_Toc461629674"/>
            <w:bookmarkStart w:id="74" w:name="_Toc461633004"/>
            <w:bookmarkStart w:id="75" w:name="_Toc461634274"/>
            <w:r w:rsidRPr="003E6D95">
              <w:t>2014: Innovation Driven Competitiveness</w:t>
            </w:r>
            <w:bookmarkEnd w:id="71"/>
            <w:bookmarkEnd w:id="72"/>
            <w:bookmarkEnd w:id="73"/>
            <w:bookmarkEnd w:id="74"/>
            <w:bookmarkEnd w:id="75"/>
          </w:p>
          <w:p w14:paraId="7418AF2C" w14:textId="77777777" w:rsidR="00D471AD" w:rsidRPr="003E6D95" w:rsidRDefault="00D471AD" w:rsidP="004A31A9">
            <w:pPr>
              <w:pStyle w:val="Methodologyboxtext"/>
              <w:keepNext w:val="0"/>
              <w:keepLines w:val="0"/>
              <w:jc w:val="both"/>
              <w:rPr>
                <w:i w:val="0"/>
              </w:rPr>
            </w:pPr>
            <w:r w:rsidRPr="003E6D95">
              <w:rPr>
                <w:i w:val="0"/>
              </w:rPr>
              <w:t>The 2014 report examined the role of innovation as a driver of Australia’s competitiveness. The report found that while Australian small</w:t>
            </w:r>
            <w:r w:rsidRPr="00660104">
              <w:rPr>
                <w:i w:val="0"/>
              </w:rPr>
              <w:t>-</w:t>
            </w:r>
            <w:r w:rsidRPr="003E6D95">
              <w:rPr>
                <w:i w:val="0"/>
              </w:rPr>
              <w:t xml:space="preserve"> and medium</w:t>
            </w:r>
            <w:r w:rsidRPr="00660104">
              <w:rPr>
                <w:i w:val="0"/>
              </w:rPr>
              <w:t>-</w:t>
            </w:r>
            <w:r w:rsidRPr="003E6D95">
              <w:rPr>
                <w:i w:val="0"/>
              </w:rPr>
              <w:t>sized enterprises (SMEs) appeared to be innovative by OECD standards, large businesses were lagging behind global innovation leaders. Australian businesses of all sizes performed poorly on new-to-market innovation compared to other OECD countries. The report argued that these factors reduced Australia’s export competitiveness and Australia’s diversity of exports.</w:t>
            </w:r>
            <w:r w:rsidRPr="003E6D95" w:rsidDel="009A3FF0">
              <w:rPr>
                <w:i w:val="0"/>
                <w:vertAlign w:val="superscript"/>
              </w:rPr>
              <w:t xml:space="preserve"> </w:t>
            </w:r>
          </w:p>
          <w:p w14:paraId="7418AF2D" w14:textId="77777777" w:rsidR="00D471AD" w:rsidRPr="003E6D95" w:rsidRDefault="00D471AD" w:rsidP="004A31A9">
            <w:pPr>
              <w:pStyle w:val="Methodologyboxtext"/>
              <w:keepNext w:val="0"/>
              <w:keepLines w:val="0"/>
              <w:spacing w:before="240"/>
              <w:jc w:val="both"/>
            </w:pPr>
            <w:bookmarkStart w:id="76" w:name="_Toc461527547"/>
            <w:bookmarkStart w:id="77" w:name="_Toc461624450"/>
            <w:bookmarkStart w:id="78" w:name="_Toc461629675"/>
            <w:bookmarkStart w:id="79" w:name="_Toc461633005"/>
            <w:bookmarkStart w:id="80" w:name="_Toc461634275"/>
            <w:r w:rsidRPr="003E6D95">
              <w:t>2015: Innovative Entrepreneurship</w:t>
            </w:r>
            <w:bookmarkEnd w:id="76"/>
            <w:bookmarkEnd w:id="77"/>
            <w:bookmarkEnd w:id="78"/>
            <w:bookmarkEnd w:id="79"/>
            <w:bookmarkEnd w:id="80"/>
          </w:p>
          <w:p w14:paraId="7418AF2E" w14:textId="77777777" w:rsidR="00D471AD" w:rsidRPr="000D502B" w:rsidRDefault="00D471AD" w:rsidP="004A31A9">
            <w:pPr>
              <w:pStyle w:val="Methodologyboxtext"/>
              <w:keepNext w:val="0"/>
              <w:keepLines w:val="0"/>
              <w:jc w:val="both"/>
            </w:pPr>
            <w:r w:rsidRPr="003E6D95">
              <w:rPr>
                <w:i w:val="0"/>
              </w:rPr>
              <w:t>The 2015 report focused on innovative entrepreneurship as a force of ‘creative destruction’, whereby new entrants drive a competitive reallocation of resources to alternative uses. It found that the level of business start-up activity in Australia was high by world standards, reflecting a relative abundance of business opportunities. Drawing on newly available evidence, the report found that start-up activity was at the heart of employment growth in Australia, and that the bulk of this growth was driven by a relatively small number of high-growth businesses</w:t>
            </w:r>
            <w:r w:rsidRPr="00660104">
              <w:rPr>
                <w:i w:val="0"/>
              </w:rPr>
              <w:t xml:space="preserve"> that </w:t>
            </w:r>
            <w:r w:rsidRPr="003E6D95">
              <w:rPr>
                <w:i w:val="0"/>
              </w:rPr>
              <w:t>could be found across all sectors of the economy.</w:t>
            </w:r>
          </w:p>
        </w:tc>
      </w:tr>
    </w:tbl>
    <w:p w14:paraId="7418AF30" w14:textId="77777777" w:rsidR="00D471AD" w:rsidRPr="000D502B" w:rsidRDefault="00D471AD" w:rsidP="00D471AD"/>
    <w:p w14:paraId="7418AF31" w14:textId="77777777" w:rsidR="00D471AD" w:rsidRPr="000D502B" w:rsidRDefault="00D471AD" w:rsidP="00D471AD">
      <w:pPr>
        <w:sectPr w:rsidR="00D471AD" w:rsidRPr="000D502B" w:rsidSect="004A31A9">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AF32" w14:textId="77777777" w:rsidR="00D471AD" w:rsidRPr="001729A3" w:rsidRDefault="00D471AD" w:rsidP="00D471AD">
      <w:pPr>
        <w:pStyle w:val="BodyText"/>
      </w:pPr>
    </w:p>
    <w:p w14:paraId="7418AF33" w14:textId="77777777" w:rsidR="00D471AD" w:rsidRPr="00755C20" w:rsidRDefault="00D471AD" w:rsidP="00D471AD">
      <w:pPr>
        <w:pStyle w:val="Heading1"/>
        <w:numPr>
          <w:ilvl w:val="0"/>
          <w:numId w:val="27"/>
        </w:numPr>
      </w:pPr>
      <w:bookmarkStart w:id="81" w:name="_Toc462229710"/>
      <w:bookmarkStart w:id="82" w:name="_Toc462230058"/>
      <w:bookmarkStart w:id="83" w:name="_Toc462231419"/>
      <w:bookmarkStart w:id="84" w:name="_Toc463013920"/>
      <w:bookmarkStart w:id="85" w:name="_Toc463014029"/>
      <w:bookmarkStart w:id="86" w:name="_Toc463014463"/>
      <w:bookmarkStart w:id="87" w:name="_Toc463876996"/>
      <w:bookmarkStart w:id="88" w:name="_Toc465862790"/>
      <w:bookmarkStart w:id="89" w:name="_Toc461180074"/>
      <w:bookmarkStart w:id="90" w:name="_Toc461180170"/>
      <w:bookmarkStart w:id="91" w:name="_Toc461180557"/>
      <w:bookmarkStart w:id="92" w:name="_Toc461180606"/>
      <w:bookmarkStart w:id="93" w:name="_Toc461183213"/>
      <w:bookmarkStart w:id="94" w:name="_Toc461183265"/>
      <w:bookmarkStart w:id="95" w:name="_Toc461183328"/>
      <w:bookmarkStart w:id="96" w:name="_Toc461183808"/>
      <w:bookmarkStart w:id="97" w:name="_Toc461184399"/>
      <w:bookmarkStart w:id="98" w:name="_Toc461184504"/>
      <w:bookmarkStart w:id="99" w:name="_Toc461186542"/>
      <w:bookmarkStart w:id="100" w:name="_Toc461186859"/>
      <w:bookmarkStart w:id="101" w:name="_Toc461186964"/>
      <w:bookmarkStart w:id="102" w:name="_Toc461187238"/>
      <w:bookmarkStart w:id="103" w:name="_Toc461198268"/>
      <w:bookmarkStart w:id="104" w:name="_Toc461198810"/>
      <w:bookmarkStart w:id="105" w:name="_Toc461204098"/>
      <w:bookmarkStart w:id="106" w:name="_Toc461527549"/>
      <w:bookmarkStart w:id="107" w:name="_Toc461624452"/>
      <w:bookmarkStart w:id="108" w:name="_Toc461629677"/>
      <w:bookmarkStart w:id="109" w:name="_Toc461633007"/>
      <w:bookmarkStart w:id="110" w:name="_Toc461634277"/>
      <w:r w:rsidRPr="00755C20">
        <w:t xml:space="preserve">Key </w:t>
      </w:r>
      <w:r w:rsidRPr="00861CE4">
        <w:t>innovation</w:t>
      </w:r>
      <w:r w:rsidRPr="00755C20">
        <w:t xml:space="preserve"> concepts</w:t>
      </w:r>
      <w:bookmarkEnd w:id="81"/>
      <w:bookmarkEnd w:id="82"/>
      <w:bookmarkEnd w:id="83"/>
      <w:bookmarkEnd w:id="84"/>
      <w:bookmarkEnd w:id="85"/>
      <w:bookmarkEnd w:id="86"/>
      <w:bookmarkEnd w:id="87"/>
      <w:bookmarkEnd w:id="88"/>
    </w:p>
    <w:p w14:paraId="7418AF34" w14:textId="77777777" w:rsidR="00D471AD" w:rsidRPr="007F2C40" w:rsidRDefault="00D471AD" w:rsidP="00D471AD">
      <w:pPr>
        <w:pStyle w:val="Heading2"/>
      </w:pPr>
      <w:bookmarkStart w:id="111" w:name="_Toc461527550"/>
      <w:bookmarkStart w:id="112" w:name="_Toc461624453"/>
      <w:bookmarkStart w:id="113" w:name="_Toc461629678"/>
      <w:bookmarkStart w:id="114" w:name="_Toc461633008"/>
      <w:bookmarkStart w:id="115" w:name="_Toc461634278"/>
      <w:bookmarkStart w:id="116" w:name="_Toc462229711"/>
      <w:bookmarkStart w:id="117" w:name="_Toc462230059"/>
      <w:bookmarkStart w:id="118" w:name="_Toc462231420"/>
      <w:bookmarkStart w:id="119" w:name="_Toc463013921"/>
      <w:bookmarkStart w:id="120" w:name="_Toc463014030"/>
      <w:bookmarkStart w:id="121" w:name="_Toc463014464"/>
      <w:bookmarkStart w:id="122" w:name="_Toc463876997"/>
      <w:bookmarkStart w:id="123" w:name="_Toc465862791"/>
      <w:bookmarkStart w:id="124" w:name="_Toc461180075"/>
      <w:bookmarkStart w:id="125" w:name="_Toc461180171"/>
      <w:bookmarkStart w:id="126" w:name="_Toc461180463"/>
      <w:bookmarkStart w:id="127" w:name="_Toc461180558"/>
      <w:bookmarkStart w:id="128" w:name="_Toc461180607"/>
      <w:bookmarkStart w:id="129" w:name="_Toc461183214"/>
      <w:bookmarkStart w:id="130" w:name="_Toc461183266"/>
      <w:bookmarkStart w:id="131" w:name="_Toc461183329"/>
      <w:bookmarkStart w:id="132" w:name="_Toc461183809"/>
      <w:bookmarkStart w:id="133" w:name="_Toc461184400"/>
      <w:bookmarkStart w:id="134" w:name="_Toc461184505"/>
      <w:bookmarkStart w:id="135" w:name="_Toc461186543"/>
      <w:bookmarkStart w:id="136" w:name="_Toc461186860"/>
      <w:bookmarkStart w:id="137" w:name="_Toc461186965"/>
      <w:bookmarkStart w:id="138" w:name="_Toc461187239"/>
      <w:bookmarkStart w:id="139" w:name="_Toc461198269"/>
      <w:bookmarkStart w:id="140" w:name="_Toc461198811"/>
      <w:bookmarkStart w:id="141" w:name="_Toc461204099"/>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7F2C40">
        <w:t>Defining innovation</w:t>
      </w:r>
      <w:bookmarkEnd w:id="111"/>
      <w:bookmarkEnd w:id="112"/>
      <w:bookmarkEnd w:id="113"/>
      <w:bookmarkEnd w:id="114"/>
      <w:bookmarkEnd w:id="115"/>
      <w:bookmarkEnd w:id="116"/>
      <w:bookmarkEnd w:id="117"/>
      <w:bookmarkEnd w:id="118"/>
      <w:bookmarkEnd w:id="119"/>
      <w:bookmarkEnd w:id="120"/>
      <w:bookmarkEnd w:id="121"/>
      <w:bookmarkEnd w:id="122"/>
      <w:bookmarkEnd w:id="123"/>
    </w:p>
    <w:p w14:paraId="7418AF35" w14:textId="77777777" w:rsidR="00D471AD" w:rsidRPr="001729A3" w:rsidRDefault="00D471AD" w:rsidP="00D471AD">
      <w:pPr>
        <w:pStyle w:val="BodyText"/>
      </w:pPr>
      <w:r w:rsidRPr="001729A3">
        <w:t xml:space="preserve">The term </w:t>
      </w:r>
      <w:r w:rsidRPr="000D7646">
        <w:rPr>
          <w:b/>
        </w:rPr>
        <w:t>innovation</w:t>
      </w:r>
      <w:r w:rsidRPr="001729A3">
        <w:t xml:space="preserve"> conjures up different images, associations </w:t>
      </w:r>
      <w:r w:rsidRPr="00660104">
        <w:t xml:space="preserve">and </w:t>
      </w:r>
      <w:r w:rsidRPr="001729A3">
        <w:t>meanings</w:t>
      </w:r>
      <w:r w:rsidRPr="00660104">
        <w:t>,</w:t>
      </w:r>
      <w:r w:rsidRPr="001729A3">
        <w:t xml:space="preserve"> depending on your background or experience. </w:t>
      </w:r>
    </w:p>
    <w:p w14:paraId="7418AF36" w14:textId="77777777" w:rsidR="00D471AD" w:rsidRPr="001729A3" w:rsidRDefault="00D471AD" w:rsidP="00D471AD">
      <w:pPr>
        <w:pStyle w:val="BodyText"/>
      </w:pPr>
      <w:r w:rsidRPr="001729A3">
        <w:t>Business innovation is a new idea or path that is applied practically to create or capture value in a market. Innovation could start with ‘How do I increase my market share?’, ‘How can my business model be more cost</w:t>
      </w:r>
      <w:r w:rsidRPr="00660104">
        <w:t xml:space="preserve"> </w:t>
      </w:r>
      <w:r w:rsidRPr="001729A3">
        <w:t>effective?’ or ‘How can I reduce my environmental footprint?’ Innovation can be either proactive or reactive.</w:t>
      </w:r>
    </w:p>
    <w:p w14:paraId="7418AF37" w14:textId="77777777" w:rsidR="00D471AD" w:rsidRPr="001729A3" w:rsidRDefault="00D471AD" w:rsidP="00D471AD">
      <w:pPr>
        <w:pStyle w:val="BodyText"/>
      </w:pPr>
      <w:r w:rsidRPr="001729A3">
        <w:t xml:space="preserve">Innovation is about market experimentation. It involves the acceptance, or at least tolerance, of uncertainty and the risk of failure, on the basis that valuable learning will also come from failure. The collective effect of each individual innovation activity and project is progress itself, the pace of which is determined by how well these innovative activities help find practical solutions to real world problems. </w:t>
      </w:r>
    </w:p>
    <w:p w14:paraId="7418AF38" w14:textId="77777777" w:rsidR="00D471AD" w:rsidRPr="001729A3" w:rsidRDefault="00D471AD" w:rsidP="00D471AD">
      <w:pPr>
        <w:pStyle w:val="BodyText"/>
      </w:pPr>
      <w:r w:rsidRPr="001729A3">
        <w:t xml:space="preserve">In a market economy like </w:t>
      </w:r>
      <w:r w:rsidRPr="00660104">
        <w:t>Australia’s</w:t>
      </w:r>
      <w:r w:rsidRPr="001729A3">
        <w:t xml:space="preserve">, once solutions are discovered or invented they find applications across a range of new or improved goods and services. In economic terms, this application manifests in expanded aggregate production and consumption opportunities. </w:t>
      </w:r>
    </w:p>
    <w:p w14:paraId="7418AF39" w14:textId="77777777" w:rsidR="00D471AD" w:rsidRPr="001729A3" w:rsidRDefault="00D471AD" w:rsidP="00D471AD">
      <w:pPr>
        <w:pStyle w:val="BodyText"/>
        <w:spacing w:after="120"/>
      </w:pPr>
      <w:r w:rsidRPr="001729A3">
        <w:t>To systematically compare Australia with other countries, we have adopted an internationally recognised and widely</w:t>
      </w:r>
      <w:r w:rsidRPr="00660104">
        <w:t xml:space="preserve"> </w:t>
      </w:r>
      <w:r w:rsidRPr="001729A3">
        <w:t>adopted business-level definition of business innovation (Definition 1.1)</w:t>
      </w:r>
      <w:r w:rsidRPr="001729A3">
        <w:rPr>
          <w:b/>
        </w:rPr>
        <w:t xml:space="preserve"> </w:t>
      </w:r>
      <w:r w:rsidRPr="001729A3">
        <w:t>from the OECD/Eurostat Oslo Manual (Methodology 1.1).</w:t>
      </w:r>
    </w:p>
    <w:p w14:paraId="7418AF3A" w14:textId="77777777" w:rsidR="00D471AD" w:rsidRPr="000D502B" w:rsidRDefault="00D471AD" w:rsidP="00D471AD">
      <w:pPr>
        <w:pStyle w:val="Caption"/>
      </w:pPr>
      <w:r w:rsidRPr="000D502B">
        <w:t xml:space="preserve">Definition </w:t>
      </w:r>
      <w:fldSimple w:instr=" STYLEREF 1 \s ">
        <w:r>
          <w:rPr>
            <w:noProof/>
          </w:rPr>
          <w:t>1</w:t>
        </w:r>
      </w:fldSimple>
      <w:r w:rsidRPr="000D502B">
        <w:t>.</w:t>
      </w:r>
      <w:fldSimple w:instr=" SEQ Definition \* ARABIC \s 1 ">
        <w:r>
          <w:rPr>
            <w:noProof/>
          </w:rPr>
          <w:t>1</w:t>
        </w:r>
      </w:fldSimple>
      <w:r w:rsidRPr="000D502B">
        <w:t>: Oslo Manual definition of innovation</w:t>
      </w:r>
    </w:p>
    <w:tbl>
      <w:tblPr>
        <w:tblStyle w:val="OCETable"/>
        <w:tblW w:w="5000" w:type="pct"/>
        <w:tblInd w:w="57" w:type="dxa"/>
        <w:tblLayout w:type="fixed"/>
        <w:tblLook w:val="04A0" w:firstRow="1" w:lastRow="0" w:firstColumn="1" w:lastColumn="0" w:noHBand="0" w:noVBand="1"/>
        <w:tblCaption w:val="Oslo Manual definition of innovation"/>
        <w:tblDescription w:val="Innovation is the implementation of a new or significantly improved product (good or service), process, new marketing method or a new organisational method in business practices, workplace organisation or external relations"/>
      </w:tblPr>
      <w:tblGrid>
        <w:gridCol w:w="4593"/>
      </w:tblGrid>
      <w:tr w:rsidR="00D471AD" w:rsidRPr="000D502B" w14:paraId="7418AF3C"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Mar>
              <w:left w:w="0" w:type="dxa"/>
              <w:right w:w="0" w:type="dxa"/>
            </w:tcMar>
          </w:tcPr>
          <w:p w14:paraId="7418AF3B" w14:textId="77777777" w:rsidR="00D471AD" w:rsidRPr="001729A3" w:rsidRDefault="00D471AD" w:rsidP="004A31A9">
            <w:pPr>
              <w:pStyle w:val="Definitiontext"/>
              <w:spacing w:after="113"/>
              <w:jc w:val="both"/>
              <w:rPr>
                <w:lang w:val="en-AU"/>
              </w:rPr>
            </w:pPr>
            <w:r w:rsidRPr="00882E31">
              <w:rPr>
                <w:lang w:val="en-AU"/>
              </w:rPr>
              <w:t>Innovation is the implementation of a new or significantly improved product (good or service), process, new marketing method or a new organisational method in business practices, workplace organisation or external relations.</w:t>
            </w:r>
            <w:r w:rsidRPr="00882E31">
              <w:rPr>
                <w:rStyle w:val="EndnoteReference"/>
                <w:lang w:val="en-AU"/>
              </w:rPr>
              <w:endnoteReference w:id="2"/>
            </w:r>
            <w:r w:rsidRPr="00882E31">
              <w:rPr>
                <w:lang w:val="en-AU"/>
              </w:rPr>
              <w:t xml:space="preserve"> </w:t>
            </w:r>
          </w:p>
        </w:tc>
      </w:tr>
    </w:tbl>
    <w:p w14:paraId="7418AF3D" w14:textId="77777777" w:rsidR="00D471AD" w:rsidRPr="001729A3" w:rsidRDefault="00D471AD" w:rsidP="00D471AD">
      <w:pPr>
        <w:pStyle w:val="BodyText"/>
      </w:pPr>
      <w:r w:rsidRPr="001729A3">
        <w:t>Given this definition, innovation is more than just generating novel ideas or disseminating knowledge. This aspect of innovation, implementation, is crucial</w:t>
      </w:r>
      <w:r w:rsidRPr="00660104">
        <w:t>,</w:t>
      </w:r>
      <w:r w:rsidRPr="001729A3">
        <w:t xml:space="preserve"> as only those novel ideas that are implemented can lead to economic and social progress. It is implementation that separates knowledge and invention from innovation. </w:t>
      </w:r>
    </w:p>
    <w:p w14:paraId="7418AF3E" w14:textId="77777777" w:rsidR="00D471AD" w:rsidRPr="001729A3" w:rsidRDefault="00D471AD" w:rsidP="00D471AD">
      <w:pPr>
        <w:pStyle w:val="BodyText"/>
      </w:pPr>
      <w:r w:rsidRPr="001729A3">
        <w:fldChar w:fldCharType="begin"/>
      </w:r>
      <w:r w:rsidRPr="001729A3">
        <w:instrText xml:space="preserve"> REF _Ref461526749 \h </w:instrText>
      </w:r>
      <w:r w:rsidRPr="001729A3">
        <w:fldChar w:fldCharType="separate"/>
      </w:r>
      <w:r w:rsidRPr="000D502B">
        <w:t xml:space="preserve">Figure </w:t>
      </w:r>
      <w:r>
        <w:rPr>
          <w:noProof/>
        </w:rPr>
        <w:t>1</w:t>
      </w:r>
      <w:r w:rsidRPr="000D502B">
        <w:t>.</w:t>
      </w:r>
      <w:r>
        <w:rPr>
          <w:noProof/>
        </w:rPr>
        <w:t>1</w:t>
      </w:r>
      <w:r w:rsidRPr="001729A3">
        <w:fldChar w:fldCharType="end"/>
      </w:r>
      <w:r w:rsidRPr="001729A3">
        <w:t xml:space="preserve"> gives a stylised visual guide to the innovation cycle. Often innovation is described as a process where ideas are translated into a commercial opportunity through investment and market experimentation. Some of the profits are then re-invested into idea generation. These ideas can come from many places, not just from within the business itself. Competitors, customers, suppliers, researchers and others can </w:t>
      </w:r>
      <w:r w:rsidRPr="00660104">
        <w:t xml:space="preserve">all </w:t>
      </w:r>
      <w:r w:rsidRPr="001729A3">
        <w:t>trigger innovation.</w:t>
      </w:r>
    </w:p>
    <w:p w14:paraId="7418AF3F" w14:textId="77777777" w:rsidR="00D471AD" w:rsidRPr="001729A3" w:rsidRDefault="00D471AD" w:rsidP="00D471AD">
      <w:pPr>
        <w:pStyle w:val="BodyText"/>
      </w:pPr>
      <w:r w:rsidRPr="001729A3">
        <w:t xml:space="preserve">When measuring innovation activity in the business enterprise sector, the focus is on the proportion of businesses that are innovation-active. Innovation-active businesses are those that undertook any innovative activity (Definition 1.3) during the reference period, including any type of innovation introduced to the market and/or any innovation projects that were either still in development or abandoned. </w:t>
      </w:r>
    </w:p>
    <w:p w14:paraId="7418AF40" w14:textId="77777777" w:rsidR="00D471AD" w:rsidRPr="000D502B" w:rsidRDefault="00D471AD" w:rsidP="00D471AD">
      <w:pPr>
        <w:pStyle w:val="Heading2"/>
      </w:pPr>
      <w:bookmarkStart w:id="142" w:name="_Toc462229712"/>
      <w:bookmarkStart w:id="143" w:name="_Toc462230060"/>
      <w:bookmarkStart w:id="144" w:name="_Toc462231421"/>
      <w:bookmarkStart w:id="145" w:name="_Toc463013922"/>
      <w:bookmarkStart w:id="146" w:name="_Toc463014031"/>
      <w:bookmarkStart w:id="147" w:name="_Toc463014465"/>
      <w:bookmarkStart w:id="148" w:name="_Toc463876998"/>
      <w:bookmarkStart w:id="149" w:name="_Toc465862792"/>
      <w:r w:rsidRPr="000D502B">
        <w:t>Defining the innovation system</w:t>
      </w:r>
      <w:bookmarkEnd w:id="142"/>
      <w:bookmarkEnd w:id="143"/>
      <w:bookmarkEnd w:id="144"/>
      <w:bookmarkEnd w:id="145"/>
      <w:bookmarkEnd w:id="146"/>
      <w:bookmarkEnd w:id="147"/>
      <w:bookmarkEnd w:id="148"/>
      <w:bookmarkEnd w:id="149"/>
    </w:p>
    <w:p w14:paraId="7418AF41" w14:textId="77777777" w:rsidR="00D471AD" w:rsidRPr="001729A3" w:rsidRDefault="00D471AD" w:rsidP="00D471AD">
      <w:pPr>
        <w:pStyle w:val="BodyText"/>
        <w:spacing w:after="120"/>
      </w:pPr>
      <w:r w:rsidRPr="001729A3">
        <w:t>Most definitions of innovation systems include three fundamental elements: (1) networks of people and organisations; undertaking (2) innovation-related activities; within (3) an institutional and cultural environment.</w:t>
      </w:r>
      <w:r w:rsidRPr="001729A3">
        <w:rPr>
          <w:rStyle w:val="EndnoteReference"/>
        </w:rPr>
        <w:endnoteReference w:id="3"/>
      </w:r>
      <w:r w:rsidRPr="001729A3">
        <w:t xml:space="preserve"> Reflecting this practice, this report adopts the following definition:</w:t>
      </w:r>
    </w:p>
    <w:p w14:paraId="7418AF42" w14:textId="77777777" w:rsidR="00D471AD" w:rsidRPr="000D502B" w:rsidRDefault="00D471AD" w:rsidP="00D471AD">
      <w:pPr>
        <w:pStyle w:val="Caption"/>
      </w:pPr>
      <w:r w:rsidRPr="000D502B">
        <w:t xml:space="preserve">Definition </w:t>
      </w:r>
      <w:fldSimple w:instr=" STYLEREF 1 \s ">
        <w:r>
          <w:rPr>
            <w:noProof/>
          </w:rPr>
          <w:t>1</w:t>
        </w:r>
      </w:fldSimple>
      <w:r w:rsidRPr="000D502B">
        <w:t>.</w:t>
      </w:r>
      <w:fldSimple w:instr=" SEQ Definition \* ARABIC \s 1 ">
        <w:r>
          <w:rPr>
            <w:noProof/>
          </w:rPr>
          <w:t>2</w:t>
        </w:r>
      </w:fldSimple>
      <w:r w:rsidRPr="000D502B">
        <w:t>: The innovation system</w:t>
      </w:r>
    </w:p>
    <w:tbl>
      <w:tblPr>
        <w:tblStyle w:val="OCETable"/>
        <w:tblW w:w="5000" w:type="pct"/>
        <w:tblInd w:w="57" w:type="dxa"/>
        <w:tblLayout w:type="fixed"/>
        <w:tblLook w:val="04A0" w:firstRow="1" w:lastRow="0" w:firstColumn="1" w:lastColumn="0" w:noHBand="0" w:noVBand="1"/>
        <w:tblCaption w:val="The innovation system"/>
        <w:tblDescription w:val="An innovation system is an open network of organisations that interact with each other and operate within framework conditions that regulate their activities and interactions. &#10;These three components of the innovation system—innovation activities, networks and framework conditions—collectively function to produce and diffuse innovations that have, in aggregate, economic, social and/or environmental value.&#10;"/>
      </w:tblPr>
      <w:tblGrid>
        <w:gridCol w:w="4593"/>
      </w:tblGrid>
      <w:tr w:rsidR="00D471AD" w:rsidRPr="000D502B" w14:paraId="7418AF45"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Mar>
              <w:left w:w="0" w:type="dxa"/>
              <w:right w:w="0" w:type="dxa"/>
            </w:tcMar>
          </w:tcPr>
          <w:p w14:paraId="7418AF43" w14:textId="77777777" w:rsidR="00D471AD" w:rsidRPr="00882E31" w:rsidRDefault="00D471AD" w:rsidP="004A31A9">
            <w:pPr>
              <w:pStyle w:val="Definitiontext"/>
              <w:jc w:val="both"/>
              <w:rPr>
                <w:i/>
                <w:lang w:val="en-AU"/>
              </w:rPr>
            </w:pPr>
            <w:r w:rsidRPr="00882E31">
              <w:rPr>
                <w:lang w:val="en-AU"/>
              </w:rPr>
              <w:t xml:space="preserve">An innovation system is an open network of organisations that interact with each other and operate within framework conditions that regulate their activities and interactions. </w:t>
            </w:r>
          </w:p>
          <w:p w14:paraId="7418AF44" w14:textId="77777777" w:rsidR="00D471AD" w:rsidRPr="001729A3" w:rsidRDefault="00D471AD" w:rsidP="004A31A9">
            <w:pPr>
              <w:pStyle w:val="Definitiontext"/>
              <w:spacing w:after="113"/>
              <w:jc w:val="both"/>
              <w:rPr>
                <w:lang w:val="en-AU"/>
              </w:rPr>
            </w:pPr>
            <w:r w:rsidRPr="00882E31">
              <w:rPr>
                <w:lang w:val="en-AU"/>
              </w:rPr>
              <w:t>These three components of the innovation system—innovation activities, networks and framework conditions—collectively function to produce and diffuse innovations that have, in aggregate, economic, social and/or environmental value.</w:t>
            </w:r>
          </w:p>
        </w:tc>
      </w:tr>
    </w:tbl>
    <w:p w14:paraId="7418AF46" w14:textId="77777777" w:rsidR="00D471AD" w:rsidRPr="001729A3" w:rsidRDefault="00D471AD" w:rsidP="00D471AD">
      <w:pPr>
        <w:pStyle w:val="BodyText"/>
      </w:pPr>
      <w:r w:rsidRPr="001729A3">
        <w:rPr>
          <w:b/>
        </w:rPr>
        <w:t>Innovation activities</w:t>
      </w:r>
      <w:r w:rsidRPr="001729A3">
        <w:t xml:space="preserve"> are the discrete activities that </w:t>
      </w:r>
      <w:r>
        <w:t>lead to discoveries that have commercial potential</w:t>
      </w:r>
      <w:r w:rsidRPr="001729A3">
        <w:t>, such as R&amp;D, entrepreneurial activity, innovation funding (e.g. venture capital), or the training of scientists and engineers in tertiary education. Because innovation activities are performed across all sectors of the economy (public, private and not-for-profit), the focus on activities emphasises what is done in an innovation system</w:t>
      </w:r>
      <w:r>
        <w:t>,</w:t>
      </w:r>
      <w:r w:rsidRPr="001729A3">
        <w:t xml:space="preserve"> rather than who does it. </w:t>
      </w:r>
    </w:p>
    <w:p w14:paraId="7418AF47" w14:textId="77777777" w:rsidR="00D471AD" w:rsidRPr="001729A3" w:rsidRDefault="00D471AD" w:rsidP="00D471AD">
      <w:pPr>
        <w:pStyle w:val="BodyText"/>
      </w:pPr>
      <w:r w:rsidRPr="001729A3">
        <w:rPr>
          <w:b/>
        </w:rPr>
        <w:t xml:space="preserve">Networks </w:t>
      </w:r>
      <w:r w:rsidRPr="001729A3">
        <w:t>refer to formal or informal linkages between people and organisations in the innovation system, including communities of practice (such as medical professionals</w:t>
      </w:r>
      <w:r w:rsidRPr="00660104">
        <w:t xml:space="preserve"> and</w:t>
      </w:r>
      <w:r w:rsidRPr="001729A3">
        <w:t xml:space="preserve"> software developers), joint research arrangements, industry-research collaboration </w:t>
      </w:r>
      <w:r w:rsidRPr="00660104">
        <w:t xml:space="preserve">and </w:t>
      </w:r>
      <w:r w:rsidRPr="001729A3">
        <w:t>public procurement of private sector research outputs. The strength and quality of these linkages enable coordinati</w:t>
      </w:r>
      <w:r>
        <w:t>on</w:t>
      </w:r>
      <w:r w:rsidRPr="001729A3">
        <w:t xml:space="preserve"> </w:t>
      </w:r>
      <w:r w:rsidRPr="00660104">
        <w:t xml:space="preserve">of </w:t>
      </w:r>
      <w:r w:rsidRPr="001729A3">
        <w:t>resources and activities between parts of the innovation system.</w:t>
      </w:r>
    </w:p>
    <w:p w14:paraId="7418AF48" w14:textId="77777777" w:rsidR="00D471AD" w:rsidRPr="001729A3" w:rsidRDefault="00D471AD" w:rsidP="00D471AD">
      <w:pPr>
        <w:pStyle w:val="BodyText"/>
      </w:pPr>
    </w:p>
    <w:p w14:paraId="7418AF49" w14:textId="77777777" w:rsidR="00D471AD" w:rsidRPr="001729A3" w:rsidRDefault="00D471AD" w:rsidP="00D471AD">
      <w:pPr>
        <w:pStyle w:val="BodyText"/>
        <w:sectPr w:rsidR="00D471AD" w:rsidRPr="001729A3" w:rsidSect="00D471AD">
          <w:headerReference w:type="even" r:id="rId36"/>
          <w:headerReference w:type="default" r:id="rId37"/>
          <w:footerReference w:type="even" r:id="rId38"/>
          <w:headerReference w:type="first" r:id="rId39"/>
          <w:footnotePr>
            <w:numFmt w:val="upperRoman"/>
          </w:footnotePr>
          <w:endnotePr>
            <w:numFmt w:val="decimal"/>
          </w:endnotePr>
          <w:type w:val="continuous"/>
          <w:pgSz w:w="11906" w:h="16838" w:code="9"/>
          <w:pgMar w:top="1440" w:right="1020" w:bottom="1440" w:left="992" w:header="709" w:footer="709" w:gutter="0"/>
          <w:cols w:num="2" w:space="708"/>
          <w:docGrid w:linePitch="360"/>
        </w:sectPr>
      </w:pPr>
    </w:p>
    <w:p w14:paraId="7418AF4A" w14:textId="77777777" w:rsidR="00D471AD" w:rsidRPr="000D502B" w:rsidRDefault="00D471AD" w:rsidP="00D471AD">
      <w:pPr>
        <w:pStyle w:val="Caption"/>
      </w:pPr>
      <w:bookmarkStart w:id="150" w:name="_Ref461526749"/>
      <w:bookmarkStart w:id="151" w:name="_Toc461527489"/>
      <w:bookmarkStart w:id="152" w:name="_Toc461539524"/>
      <w:bookmarkStart w:id="153" w:name="_Toc461541641"/>
      <w:bookmarkStart w:id="154" w:name="_Toc461545396"/>
      <w:bookmarkStart w:id="155" w:name="_Toc461624392"/>
      <w:bookmarkStart w:id="156" w:name="_Toc461629617"/>
      <w:bookmarkStart w:id="157" w:name="_Toc461632947"/>
      <w:bookmarkStart w:id="158" w:name="_Toc461634217"/>
      <w:bookmarkStart w:id="159" w:name="_Toc463013870"/>
      <w:bookmarkStart w:id="160" w:name="_Toc463013979"/>
      <w:bookmarkStart w:id="161" w:name="_Toc463014413"/>
      <w:bookmarkStart w:id="162" w:name="_Toc463877053"/>
      <w:bookmarkStart w:id="163" w:name="_Toc465864565"/>
      <w:r w:rsidRPr="000D502B">
        <w:t xml:space="preserve">Figure </w:t>
      </w:r>
      <w:fldSimple w:instr=" STYLEREF 1 \s ">
        <w:r>
          <w:rPr>
            <w:noProof/>
          </w:rPr>
          <w:t>1</w:t>
        </w:r>
      </w:fldSimple>
      <w:r w:rsidRPr="000D502B">
        <w:t>.</w:t>
      </w:r>
      <w:fldSimple w:instr=" SEQ Figure \* ARABIC \s 1 ">
        <w:r>
          <w:rPr>
            <w:noProof/>
          </w:rPr>
          <w:t>1</w:t>
        </w:r>
      </w:fldSimple>
      <w:bookmarkEnd w:id="150"/>
      <w:r w:rsidRPr="000D502B">
        <w:t>: The innovation cycle</w:t>
      </w:r>
      <w:bookmarkEnd w:id="151"/>
      <w:bookmarkEnd w:id="152"/>
      <w:bookmarkEnd w:id="153"/>
      <w:bookmarkEnd w:id="154"/>
      <w:bookmarkEnd w:id="155"/>
      <w:bookmarkEnd w:id="156"/>
      <w:bookmarkEnd w:id="157"/>
      <w:bookmarkEnd w:id="158"/>
      <w:bookmarkEnd w:id="159"/>
      <w:bookmarkEnd w:id="160"/>
      <w:bookmarkEnd w:id="161"/>
      <w:bookmarkEnd w:id="162"/>
      <w:bookmarkEnd w:id="163"/>
      <w:r w:rsidRPr="000D502B">
        <w:t xml:space="preserve"> </w:t>
      </w:r>
    </w:p>
    <w:p w14:paraId="7418AF4B" w14:textId="77777777" w:rsidR="00D471AD" w:rsidRPr="000D502B" w:rsidRDefault="00D471AD" w:rsidP="00D471AD">
      <w:r w:rsidRPr="000D502B">
        <w:rPr>
          <w:noProof/>
          <w:lang w:eastAsia="en-AU"/>
        </w:rPr>
        <w:drawing>
          <wp:inline distT="0" distB="0" distL="0" distR="0" wp14:anchorId="7418C60B" wp14:editId="7418C60C">
            <wp:extent cx="6282690" cy="4154446"/>
            <wp:effectExtent l="0" t="0" r="3810" b="0"/>
            <wp:docPr id="17" name="Picture 17" descr="Figure 1.1 shows the innovation cycle. Basic research and education feed into the cycle, by identifying opportunities or problems. Businesses capitalise on these opportunities, by bringing ideas to market via entrepreneurship and investment. These ideas are influenced by applied research, design, experimental development and the introduction of foreign innovations, and eventually implemented and commercialised. These innovations disrupt the marketplace, which can cause businesses to move offshore or exit. The impacts of the innovation led to more basic research, and the cycle continues in perpetuity." title="Figure 1.1: The innova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novation Lifecycle PPT v2_no govt.jpg"/>
                    <pic:cNvPicPr/>
                  </pic:nvPicPr>
                  <pic:blipFill>
                    <a:blip r:embed="rId40">
                      <a:extLst>
                        <a:ext uri="{28A0092B-C50C-407E-A947-70E740481C1C}">
                          <a14:useLocalDpi xmlns:a14="http://schemas.microsoft.com/office/drawing/2010/main" val="0"/>
                        </a:ext>
                      </a:extLst>
                    </a:blip>
                    <a:stretch>
                      <a:fillRect/>
                    </a:stretch>
                  </pic:blipFill>
                  <pic:spPr>
                    <a:xfrm>
                      <a:off x="0" y="0"/>
                      <a:ext cx="6282690" cy="4154446"/>
                    </a:xfrm>
                    <a:prstGeom prst="rect">
                      <a:avLst/>
                    </a:prstGeom>
                  </pic:spPr>
                </pic:pic>
              </a:graphicData>
            </a:graphic>
          </wp:inline>
        </w:drawing>
      </w:r>
    </w:p>
    <w:p w14:paraId="7418AF4C" w14:textId="77777777" w:rsidR="00D471AD" w:rsidRPr="000D502B" w:rsidRDefault="00D471AD" w:rsidP="00D471AD"/>
    <w:p w14:paraId="7418AF4D" w14:textId="77777777" w:rsidR="00D471AD" w:rsidRPr="000D502B" w:rsidRDefault="00D471AD" w:rsidP="00D471AD"/>
    <w:p w14:paraId="7418AF4E" w14:textId="77777777" w:rsidR="00D471AD" w:rsidRPr="000D502B" w:rsidRDefault="00D471AD" w:rsidP="00D471AD">
      <w:pPr>
        <w:sectPr w:rsidR="00D471AD" w:rsidRPr="000D502B" w:rsidSect="00D471AD">
          <w:headerReference w:type="even" r:id="rId41"/>
          <w:headerReference w:type="default" r:id="rId42"/>
          <w:footerReference w:type="default" r:id="rId43"/>
          <w:headerReference w:type="first" r:id="rId44"/>
          <w:footnotePr>
            <w:numFmt w:val="upperRoman"/>
          </w:footnotePr>
          <w:endnotePr>
            <w:numFmt w:val="decimal"/>
          </w:endnotePr>
          <w:pgSz w:w="11906" w:h="16838" w:code="9"/>
          <w:pgMar w:top="1440" w:right="1020" w:bottom="1440" w:left="992" w:header="709" w:footer="709" w:gutter="0"/>
          <w:cols w:space="708"/>
          <w:docGrid w:linePitch="360"/>
        </w:sectPr>
      </w:pPr>
    </w:p>
    <w:p w14:paraId="7418AF4F" w14:textId="77777777" w:rsidR="00D471AD" w:rsidRPr="000D502B" w:rsidRDefault="00D471AD" w:rsidP="00D471AD">
      <w:pPr>
        <w:pStyle w:val="Caption"/>
      </w:pPr>
      <w:r w:rsidRPr="000D502B">
        <w:t xml:space="preserve">Methodology </w:t>
      </w:r>
      <w:fldSimple w:instr=" STYLEREF 1 \s ">
        <w:r>
          <w:rPr>
            <w:noProof/>
          </w:rPr>
          <w:t>1</w:t>
        </w:r>
      </w:fldSimple>
      <w:r w:rsidRPr="000D502B">
        <w:t>.</w:t>
      </w:r>
      <w:fldSimple w:instr=" SEQ Methodology \* ARABIC \s 1 ">
        <w:r>
          <w:rPr>
            <w:noProof/>
          </w:rPr>
          <w:t>1</w:t>
        </w:r>
      </w:fldSimple>
      <w:r w:rsidRPr="000D502B">
        <w:t>: The Oslo Manual</w:t>
      </w:r>
    </w:p>
    <w:tbl>
      <w:tblPr>
        <w:tblStyle w:val="OCETable"/>
        <w:tblW w:w="9979" w:type="dxa"/>
        <w:tblInd w:w="57" w:type="dxa"/>
        <w:shd w:val="clear" w:color="auto" w:fill="292B67"/>
        <w:tblLayout w:type="fixed"/>
        <w:tblLook w:val="04A0" w:firstRow="1" w:lastRow="0" w:firstColumn="1" w:lastColumn="0" w:noHBand="0" w:noVBand="1"/>
        <w:tblCaption w:val="The Oslo Manual"/>
        <w:tblDescription w:val="The Oslo Manual is an international source of guidelines for collecting and using data on innovation activities in industry. The first version of the Oslo Manual, issued in 1992, and the surveys undertaken using it, demonstrated the viability of collecting data on innovation.&#10;Successive editions of the manual updated the original framework of concepts, definitions and methodologies to incorporate survey experience and improved understanding of the innovation process, and also to take in a wider range of industries such as services. &#10;The third edition, published in 2005, expanded on the innovation measurement framework in three important ways. First, greater emphasis was given to the role of linkages with other businesses and institutions in the innovation process. Second, it recognised that innovation is important in less R&amp;D-intensive industries, such as services and low-technology manufacturing. Third, the definition of innovation was expanded to include two additional types of innovations—organisational innovation and marketing innovation. &#10;The Oslo Manual is currently being updated and revised by the OECD. The Department of Industry, Innovation and Science and the Australian Bureau of Statistics (ABS) have been advocating for the OECD to improve international comparability, include new forms of business model innovation, improve the measurement of environmental and social innovation, and develop new methods for harmonising measures of management capability. &#10;The third edition of the Oslo Manual can be found here. &#10;"/>
      </w:tblPr>
      <w:tblGrid>
        <w:gridCol w:w="9979"/>
      </w:tblGrid>
      <w:tr w:rsidR="00D471AD" w:rsidRPr="000D502B" w14:paraId="7418AF55" w14:textId="77777777" w:rsidTr="004A31A9">
        <w:trPr>
          <w:cnfStyle w:val="100000000000" w:firstRow="1" w:lastRow="0" w:firstColumn="0" w:lastColumn="0" w:oddVBand="0" w:evenVBand="0" w:oddHBand="0" w:evenHBand="0" w:firstRowFirstColumn="0" w:firstRowLastColumn="0" w:lastRowFirstColumn="0" w:lastRowLastColumn="0"/>
          <w:cantSplit/>
          <w:trHeight w:val="4461"/>
          <w:tblHeader/>
        </w:trPr>
        <w:tc>
          <w:tcPr>
            <w:tcW w:w="5000" w:type="pct"/>
            <w:shd w:val="clear" w:color="auto" w:fill="292B67"/>
          </w:tcPr>
          <w:p w14:paraId="7418AF50" w14:textId="77777777" w:rsidR="00D471AD" w:rsidRPr="00A53774" w:rsidRDefault="00D471AD" w:rsidP="004A31A9">
            <w:pPr>
              <w:pStyle w:val="Methodologytext"/>
              <w:spacing w:before="160"/>
              <w:rPr>
                <w:i w:val="0"/>
              </w:rPr>
            </w:pPr>
            <w:r w:rsidRPr="00A53774">
              <w:rPr>
                <w:i w:val="0"/>
              </w:rPr>
              <w:t xml:space="preserve">The Oslo Manual is an international source of guidelines for </w:t>
            </w:r>
            <w:r>
              <w:rPr>
                <w:i w:val="0"/>
              </w:rPr>
              <w:t>collecting</w:t>
            </w:r>
            <w:r w:rsidRPr="00A53774">
              <w:rPr>
                <w:i w:val="0"/>
              </w:rPr>
              <w:t xml:space="preserve"> and us</w:t>
            </w:r>
            <w:r>
              <w:rPr>
                <w:i w:val="0"/>
              </w:rPr>
              <w:t xml:space="preserve">ing </w:t>
            </w:r>
            <w:r w:rsidRPr="00A53774">
              <w:rPr>
                <w:i w:val="0"/>
              </w:rPr>
              <w:t>data on innovation activities in industry. The first version of the Oslo Manual, issued in 1992, and the surveys undertaken using it</w:t>
            </w:r>
            <w:r w:rsidRPr="00660104">
              <w:rPr>
                <w:i w:val="0"/>
              </w:rPr>
              <w:t>,</w:t>
            </w:r>
            <w:r w:rsidRPr="00A53774">
              <w:rPr>
                <w:i w:val="0"/>
              </w:rPr>
              <w:t xml:space="preserve"> </w:t>
            </w:r>
            <w:r>
              <w:rPr>
                <w:i w:val="0"/>
              </w:rPr>
              <w:t xml:space="preserve">demonstrated the viability of </w:t>
            </w:r>
            <w:r w:rsidRPr="00A53774">
              <w:rPr>
                <w:i w:val="0"/>
              </w:rPr>
              <w:t>collect</w:t>
            </w:r>
            <w:r>
              <w:rPr>
                <w:i w:val="0"/>
              </w:rPr>
              <w:t>ing</w:t>
            </w:r>
            <w:r w:rsidRPr="00A53774">
              <w:rPr>
                <w:i w:val="0"/>
              </w:rPr>
              <w:t xml:space="preserve"> data on innovation.</w:t>
            </w:r>
          </w:p>
          <w:p w14:paraId="7418AF51" w14:textId="77777777" w:rsidR="00D471AD" w:rsidRPr="00A53774" w:rsidRDefault="00D471AD" w:rsidP="004A31A9">
            <w:pPr>
              <w:pStyle w:val="Methodologytext"/>
              <w:rPr>
                <w:i w:val="0"/>
              </w:rPr>
            </w:pPr>
            <w:r w:rsidRPr="00A53774">
              <w:rPr>
                <w:i w:val="0"/>
              </w:rPr>
              <w:t>Successive editions of the manual updated the original framework of concepts, definitions and methodolog</w:t>
            </w:r>
            <w:r>
              <w:rPr>
                <w:i w:val="0"/>
              </w:rPr>
              <w:t>ies</w:t>
            </w:r>
            <w:r w:rsidRPr="00A53774">
              <w:rPr>
                <w:i w:val="0"/>
              </w:rPr>
              <w:t xml:space="preserve"> to incorporate survey experience and improved understanding of the innovation process</w:t>
            </w:r>
            <w:r w:rsidRPr="00660104">
              <w:rPr>
                <w:i w:val="0"/>
              </w:rPr>
              <w:t>,</w:t>
            </w:r>
            <w:r w:rsidRPr="00A53774">
              <w:rPr>
                <w:i w:val="0"/>
              </w:rPr>
              <w:t xml:space="preserve"> and also to take in a wider range of industries such as services. </w:t>
            </w:r>
          </w:p>
          <w:p w14:paraId="7418AF52" w14:textId="77777777" w:rsidR="00D471AD" w:rsidRPr="00A53774" w:rsidRDefault="00D471AD" w:rsidP="004A31A9">
            <w:pPr>
              <w:pStyle w:val="Methodologytext"/>
              <w:rPr>
                <w:i w:val="0"/>
              </w:rPr>
            </w:pPr>
            <w:r w:rsidRPr="00A53774">
              <w:rPr>
                <w:i w:val="0"/>
              </w:rPr>
              <w:t xml:space="preserve">The third edition, published in 2005, expanded on the innovation measurement framework in three important ways. First, greater emphasis was given to the role of linkages with other </w:t>
            </w:r>
            <w:r>
              <w:rPr>
                <w:i w:val="0"/>
              </w:rPr>
              <w:t xml:space="preserve">businesses </w:t>
            </w:r>
            <w:r w:rsidRPr="00A53774">
              <w:rPr>
                <w:i w:val="0"/>
              </w:rPr>
              <w:t xml:space="preserve">and institutions in the innovation process. Second, it </w:t>
            </w:r>
            <w:r w:rsidRPr="00660104">
              <w:rPr>
                <w:i w:val="0"/>
              </w:rPr>
              <w:t>recognised</w:t>
            </w:r>
            <w:r w:rsidRPr="00A53774">
              <w:rPr>
                <w:i w:val="0"/>
              </w:rPr>
              <w:t xml:space="preserve"> that innovation is important in less R&amp;D</w:t>
            </w:r>
            <w:r w:rsidRPr="00660104">
              <w:rPr>
                <w:i w:val="0"/>
              </w:rPr>
              <w:t>-</w:t>
            </w:r>
            <w:r w:rsidRPr="00A53774">
              <w:rPr>
                <w:i w:val="0"/>
              </w:rPr>
              <w:t>intensive industries, such as services and low</w:t>
            </w:r>
            <w:r w:rsidRPr="00660104">
              <w:rPr>
                <w:i w:val="0"/>
              </w:rPr>
              <w:t>-</w:t>
            </w:r>
            <w:r w:rsidRPr="00A53774">
              <w:rPr>
                <w:i w:val="0"/>
              </w:rPr>
              <w:t>technology manufacturing. Third, the definition of innovation was expanded to include two additional types of innovations</w:t>
            </w:r>
            <w:r>
              <w:rPr>
                <w:i w:val="0"/>
              </w:rPr>
              <w:t>—</w:t>
            </w:r>
            <w:r w:rsidRPr="00A53774">
              <w:rPr>
                <w:i w:val="0"/>
              </w:rPr>
              <w:t xml:space="preserve">organisational innovation and marketing innovation. </w:t>
            </w:r>
          </w:p>
          <w:p w14:paraId="7418AF53" w14:textId="77777777" w:rsidR="00D471AD" w:rsidRPr="00A53774" w:rsidRDefault="00D471AD" w:rsidP="004A31A9">
            <w:pPr>
              <w:pStyle w:val="Methodologytext"/>
              <w:rPr>
                <w:i w:val="0"/>
              </w:rPr>
            </w:pPr>
            <w:r w:rsidRPr="00A53774">
              <w:rPr>
                <w:i w:val="0"/>
              </w:rPr>
              <w:t xml:space="preserve">The Oslo Manual is currently being updated and revised by the OECD. The Department of Industry, Innovation and Science and the </w:t>
            </w:r>
            <w:r w:rsidRPr="00660104">
              <w:rPr>
                <w:i w:val="0"/>
              </w:rPr>
              <w:t>Australian Bureau of Statistics (</w:t>
            </w:r>
            <w:r w:rsidRPr="00A53774">
              <w:rPr>
                <w:i w:val="0"/>
              </w:rPr>
              <w:t>ABS</w:t>
            </w:r>
            <w:r w:rsidRPr="00660104">
              <w:rPr>
                <w:i w:val="0"/>
              </w:rPr>
              <w:t>)</w:t>
            </w:r>
            <w:r w:rsidRPr="00A53774">
              <w:rPr>
                <w:i w:val="0"/>
              </w:rPr>
              <w:t xml:space="preserve"> have been advocating for </w:t>
            </w:r>
            <w:r>
              <w:rPr>
                <w:i w:val="0"/>
              </w:rPr>
              <w:t xml:space="preserve">the </w:t>
            </w:r>
            <w:r w:rsidRPr="00A53774">
              <w:rPr>
                <w:i w:val="0"/>
              </w:rPr>
              <w:t xml:space="preserve">OECD to </w:t>
            </w:r>
            <w:r>
              <w:rPr>
                <w:i w:val="0"/>
              </w:rPr>
              <w:t>improve international comparability,</w:t>
            </w:r>
            <w:r w:rsidRPr="00A53774">
              <w:rPr>
                <w:i w:val="0"/>
              </w:rPr>
              <w:t xml:space="preserve"> include new forms of business model innovation, improve</w:t>
            </w:r>
            <w:r>
              <w:rPr>
                <w:i w:val="0"/>
              </w:rPr>
              <w:t xml:space="preserve"> the </w:t>
            </w:r>
            <w:r w:rsidRPr="00A53774">
              <w:rPr>
                <w:i w:val="0"/>
              </w:rPr>
              <w:t>measurement of environment</w:t>
            </w:r>
            <w:r>
              <w:rPr>
                <w:i w:val="0"/>
              </w:rPr>
              <w:t>al</w:t>
            </w:r>
            <w:r w:rsidRPr="00A53774">
              <w:rPr>
                <w:i w:val="0"/>
              </w:rPr>
              <w:t xml:space="preserve"> and social innovation, and </w:t>
            </w:r>
            <w:r>
              <w:rPr>
                <w:i w:val="0"/>
              </w:rPr>
              <w:t xml:space="preserve">develop </w:t>
            </w:r>
            <w:r w:rsidRPr="00A53774">
              <w:rPr>
                <w:i w:val="0"/>
              </w:rPr>
              <w:t xml:space="preserve">new methods for </w:t>
            </w:r>
            <w:r w:rsidRPr="00660104">
              <w:rPr>
                <w:i w:val="0"/>
              </w:rPr>
              <w:t>harmonising</w:t>
            </w:r>
            <w:r w:rsidRPr="00A53774">
              <w:rPr>
                <w:i w:val="0"/>
              </w:rPr>
              <w:t xml:space="preserve"> measures </w:t>
            </w:r>
            <w:r>
              <w:rPr>
                <w:i w:val="0"/>
              </w:rPr>
              <w:t>of</w:t>
            </w:r>
            <w:r w:rsidRPr="00A53774">
              <w:rPr>
                <w:i w:val="0"/>
              </w:rPr>
              <w:t xml:space="preserve"> management capability. </w:t>
            </w:r>
          </w:p>
          <w:p w14:paraId="7418AF54" w14:textId="77777777" w:rsidR="00D471AD" w:rsidRPr="000D502B" w:rsidRDefault="00D471AD" w:rsidP="004A31A9">
            <w:pPr>
              <w:pStyle w:val="Methodologytext"/>
            </w:pPr>
            <w:r w:rsidRPr="00A53774">
              <w:rPr>
                <w:i w:val="0"/>
              </w:rPr>
              <w:t xml:space="preserve">The third edition of the Oslo Manual can be found </w:t>
            </w:r>
            <w:hyperlink r:id="rId45" w:history="1">
              <w:r w:rsidRPr="000D502B">
                <w:rPr>
                  <w:rStyle w:val="Hyperlink"/>
                  <w:i w:val="0"/>
                </w:rPr>
                <w:t>here</w:t>
              </w:r>
            </w:hyperlink>
            <w:r w:rsidRPr="00A53774">
              <w:rPr>
                <w:i w:val="0"/>
              </w:rPr>
              <w:t>.</w:t>
            </w:r>
            <w:r>
              <w:rPr>
                <w:rStyle w:val="EndnoteReference"/>
                <w:i w:val="0"/>
              </w:rPr>
              <w:endnoteReference w:id="4"/>
            </w:r>
          </w:p>
        </w:tc>
      </w:tr>
    </w:tbl>
    <w:p w14:paraId="7418AF56" w14:textId="77777777" w:rsidR="00D471AD" w:rsidRPr="000D502B" w:rsidRDefault="00D471AD" w:rsidP="00D471AD"/>
    <w:p w14:paraId="7418AF57" w14:textId="77777777" w:rsidR="00D471AD" w:rsidRPr="000D502B" w:rsidRDefault="00D471AD" w:rsidP="00D471AD">
      <w:pPr>
        <w:sectPr w:rsidR="00D471AD" w:rsidRPr="000D502B" w:rsidSect="00D471AD">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AF58" w14:textId="77777777" w:rsidR="00D471AD" w:rsidRPr="000D502B" w:rsidRDefault="00D471AD" w:rsidP="00D471AD"/>
    <w:p w14:paraId="7418AF59" w14:textId="77777777" w:rsidR="00D471AD" w:rsidRPr="000D502B" w:rsidRDefault="00D471AD" w:rsidP="00D471AD">
      <w:pPr>
        <w:sectPr w:rsidR="00D471AD" w:rsidRPr="000D502B" w:rsidSect="00D471AD">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AF5A" w14:textId="77777777" w:rsidR="00D471AD" w:rsidRPr="001729A3" w:rsidRDefault="00D471AD" w:rsidP="00D471AD">
      <w:pPr>
        <w:pStyle w:val="BodyText"/>
      </w:pPr>
      <w:bookmarkStart w:id="164" w:name="_Toc461174522"/>
      <w:bookmarkStart w:id="165" w:name="_Toc461180076"/>
      <w:bookmarkStart w:id="166" w:name="_Toc461180172"/>
      <w:bookmarkStart w:id="167" w:name="_Toc461180464"/>
      <w:bookmarkStart w:id="168" w:name="_Toc461180559"/>
      <w:bookmarkStart w:id="169" w:name="_Toc461180608"/>
      <w:bookmarkStart w:id="170" w:name="_Toc461183215"/>
      <w:bookmarkStart w:id="171" w:name="_Toc461183267"/>
      <w:bookmarkStart w:id="172" w:name="_Toc461183330"/>
      <w:bookmarkStart w:id="173" w:name="_Toc461183810"/>
      <w:bookmarkStart w:id="174" w:name="_Toc461184401"/>
      <w:bookmarkStart w:id="175" w:name="_Toc461184506"/>
      <w:bookmarkStart w:id="176" w:name="_Toc461186544"/>
      <w:bookmarkStart w:id="177" w:name="_Toc461186861"/>
      <w:bookmarkStart w:id="178" w:name="_Toc461186966"/>
      <w:bookmarkStart w:id="179" w:name="_Toc461187240"/>
      <w:bookmarkStart w:id="180" w:name="_Toc461198270"/>
      <w:bookmarkStart w:id="181" w:name="_Toc461198812"/>
      <w:bookmarkStart w:id="182" w:name="_Toc461204100"/>
      <w:bookmarkStart w:id="183" w:name="_Toc461527552"/>
      <w:bookmarkStart w:id="184" w:name="_Toc461624455"/>
      <w:bookmarkStart w:id="185" w:name="_Toc461629680"/>
      <w:bookmarkStart w:id="186" w:name="_Toc461633010"/>
      <w:bookmarkStart w:id="187" w:name="_Toc461634280"/>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1729A3">
        <w:rPr>
          <w:b/>
        </w:rPr>
        <w:t>Framework conditions</w:t>
      </w:r>
      <w:r w:rsidRPr="001729A3">
        <w:t xml:space="preserve"> refer to the institutional environment and general conditions for innovation activities</w:t>
      </w:r>
      <w:r>
        <w:t xml:space="preserve">, </w:t>
      </w:r>
      <w:r w:rsidRPr="001729A3">
        <w:t>networks and collaboration. These conditions comprise the practices, rules and conventions that collectively regulate the behaviour of actors in the system and encourage or discourage innovation activity. Examples of framework conditions include the tax treatment of research and development (R&amp;D), trade tariffs and industry technology standards, entrepreneurship culture</w:t>
      </w:r>
      <w:r w:rsidRPr="00660104">
        <w:t>,</w:t>
      </w:r>
      <w:r w:rsidRPr="001729A3">
        <w:t xml:space="preserve"> and attitudes towards risk.</w:t>
      </w:r>
    </w:p>
    <w:p w14:paraId="7418AF5B" w14:textId="77777777" w:rsidR="00D471AD" w:rsidRPr="001729A3" w:rsidRDefault="00D471AD" w:rsidP="00D471AD">
      <w:pPr>
        <w:pStyle w:val="BodyText"/>
      </w:pPr>
      <w:r w:rsidRPr="001729A3">
        <w:t xml:space="preserve">Framework conditions reflect the history of an innovation system in action, and their state at a particular point in time can either impede the momentum of the innovation cycle or accelerate it. </w:t>
      </w:r>
    </w:p>
    <w:p w14:paraId="7418AF5C" w14:textId="77777777" w:rsidR="00D471AD" w:rsidRPr="001729A3" w:rsidRDefault="00D471AD" w:rsidP="00D471AD">
      <w:pPr>
        <w:pStyle w:val="BodyText"/>
      </w:pPr>
      <w:r w:rsidRPr="001729A3">
        <w:t>The literature emphasises that innovation systems are a product of history</w:t>
      </w:r>
      <w:r w:rsidRPr="00660104">
        <w:t>,</w:t>
      </w:r>
      <w:r w:rsidRPr="001729A3">
        <w:t xml:space="preserve"> and are embedded in a particular industrial structure and institutional environment. Since each sectoral, regional or national innovation system evolves independently with its own set of rules, practices and cultures, no two systems are identical</w:t>
      </w:r>
      <w:r w:rsidRPr="00660104">
        <w:t>,</w:t>
      </w:r>
      <w:r w:rsidRPr="001729A3">
        <w:t xml:space="preserve"> and</w:t>
      </w:r>
      <w:r w:rsidRPr="00660104">
        <w:t xml:space="preserve"> therefore</w:t>
      </w:r>
      <w:r w:rsidRPr="001729A3">
        <w:t xml:space="preserve"> there is no optimal or ideal system to be compared to. Each innovation system is like an experiment. The only way of knowing if Australia is performing well or not is to compare Australia’s performance with other countries on each indicator (Methodology 1.2). </w:t>
      </w:r>
    </w:p>
    <w:p w14:paraId="7418AF5D" w14:textId="77777777" w:rsidR="00D471AD" w:rsidRPr="000D502B" w:rsidRDefault="00D471AD" w:rsidP="00D471AD">
      <w:pPr>
        <w:pStyle w:val="Heading2"/>
      </w:pPr>
      <w:bookmarkStart w:id="188" w:name="_Toc461174541"/>
      <w:bookmarkStart w:id="189" w:name="_Toc461180095"/>
      <w:bookmarkStart w:id="190" w:name="_Toc461180191"/>
      <w:bookmarkStart w:id="191" w:name="_Toc461180562"/>
      <w:bookmarkStart w:id="192" w:name="_Toc461180611"/>
      <w:bookmarkStart w:id="193" w:name="_Toc461180483"/>
      <w:bookmarkStart w:id="194" w:name="_Toc461183218"/>
      <w:bookmarkStart w:id="195" w:name="_Toc461183270"/>
      <w:bookmarkStart w:id="196" w:name="_Toc461183813"/>
      <w:bookmarkStart w:id="197" w:name="_Toc461183349"/>
      <w:bookmarkStart w:id="198" w:name="_Toc461184420"/>
      <w:bookmarkStart w:id="199" w:name="_Toc461184525"/>
      <w:bookmarkStart w:id="200" w:name="_Toc461186563"/>
      <w:bookmarkStart w:id="201" w:name="_Toc461186880"/>
      <w:bookmarkStart w:id="202" w:name="_Toc461186985"/>
      <w:bookmarkStart w:id="203" w:name="_Toc461187243"/>
      <w:bookmarkStart w:id="204" w:name="_Toc461198272"/>
      <w:bookmarkStart w:id="205" w:name="_Toc461198814"/>
      <w:bookmarkStart w:id="206" w:name="_Toc461204102"/>
      <w:bookmarkStart w:id="207" w:name="_Toc461527553"/>
      <w:bookmarkStart w:id="208" w:name="_Toc461624456"/>
      <w:bookmarkStart w:id="209" w:name="_Toc461629681"/>
      <w:bookmarkStart w:id="210" w:name="_Toc461633011"/>
      <w:bookmarkStart w:id="211" w:name="_Toc461634281"/>
      <w:bookmarkStart w:id="212" w:name="_Toc462229713"/>
      <w:bookmarkStart w:id="213" w:name="_Toc462230061"/>
      <w:bookmarkStart w:id="214" w:name="_Toc462231422"/>
      <w:bookmarkStart w:id="215" w:name="_Toc463013923"/>
      <w:bookmarkStart w:id="216" w:name="_Toc463014032"/>
      <w:bookmarkStart w:id="217" w:name="_Toc463014466"/>
      <w:bookmarkStart w:id="218" w:name="_Toc463876999"/>
      <w:bookmarkStart w:id="219" w:name="_Toc46586279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0D502B">
        <w:t>The evolution of innovation indicators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7418AF5E" w14:textId="77777777" w:rsidR="00D471AD" w:rsidRPr="001729A3" w:rsidRDefault="00D471AD" w:rsidP="00D471AD">
      <w:pPr>
        <w:pStyle w:val="BodyText"/>
      </w:pPr>
      <w:r w:rsidRPr="001729A3">
        <w:t>Historically</w:t>
      </w:r>
      <w:r w:rsidRPr="00660104">
        <w:t>,</w:t>
      </w:r>
      <w:r w:rsidRPr="001729A3">
        <w:t xml:space="preserve"> there have been two main sources of innovation indicators: the OECD’s Frascati and Oslo Manuals. The Frascati Manual</w:t>
      </w:r>
      <w:r w:rsidRPr="001729A3">
        <w:rPr>
          <w:rStyle w:val="EndnoteReference"/>
          <w:color w:val="000000" w:themeColor="text1"/>
        </w:rPr>
        <w:endnoteReference w:id="5"/>
      </w:r>
      <w:r w:rsidRPr="001729A3">
        <w:t xml:space="preserve"> provides guidelines for collecting and interpreting R&amp;D data</w:t>
      </w:r>
      <w:r w:rsidRPr="00660104">
        <w:t>,</w:t>
      </w:r>
      <w:r w:rsidRPr="001729A3">
        <w:t xml:space="preserve"> and the Oslo Manual does the same for innovation data.</w:t>
      </w:r>
    </w:p>
    <w:p w14:paraId="7418AF5F" w14:textId="77777777" w:rsidR="00D471AD" w:rsidRPr="001729A3" w:rsidRDefault="00D471AD" w:rsidP="00D471AD">
      <w:pPr>
        <w:pStyle w:val="BodyText"/>
      </w:pPr>
      <w:r w:rsidRPr="001729A3">
        <w:t>The OECD has been the leading organisation promoting development of the innovation indicators. Through its key publications and research projects</w:t>
      </w:r>
      <w:r w:rsidRPr="00660104">
        <w:t>,</w:t>
      </w:r>
      <w:r w:rsidRPr="001729A3">
        <w:t xml:space="preserve"> the OECD has made international comparisons of hundreds of indicators publicly available </w:t>
      </w:r>
      <w:r>
        <w:t>and helped</w:t>
      </w:r>
      <w:r w:rsidRPr="001729A3">
        <w:t xml:space="preserve"> member countries build the necessary data infrastructure. </w:t>
      </w:r>
    </w:p>
    <w:p w14:paraId="7418AF60" w14:textId="77777777" w:rsidR="00D471AD" w:rsidRPr="001729A3" w:rsidRDefault="00D471AD" w:rsidP="00D471AD">
      <w:pPr>
        <w:pStyle w:val="BodyText"/>
      </w:pPr>
      <w:r w:rsidRPr="001729A3">
        <w:t>One important example of this is the development of the Business Longitudinal Analytical Data Environment (BLADE; section 2.</w:t>
      </w:r>
      <w:r>
        <w:t>6</w:t>
      </w:r>
      <w:r w:rsidRPr="001729A3">
        <w:t xml:space="preserve">). The development of the BLADE by the ABS and the Department of Industry, Innovation and Science was necessary for Australia to participate in the OECD’s project, Dynamics of Employment and Micro Drivers of Productivity. </w:t>
      </w:r>
    </w:p>
    <w:p w14:paraId="7418AF61" w14:textId="77777777" w:rsidR="00D471AD" w:rsidRPr="001729A3" w:rsidRDefault="00D471AD" w:rsidP="00D471AD">
      <w:pPr>
        <w:pStyle w:val="BodyText"/>
      </w:pPr>
    </w:p>
    <w:p w14:paraId="7418AF62" w14:textId="77777777" w:rsidR="00D471AD" w:rsidRPr="000D502B" w:rsidRDefault="00D471AD" w:rsidP="00D471AD">
      <w:pPr>
        <w:pStyle w:val="Caption"/>
      </w:pPr>
      <w:r w:rsidRPr="000D502B">
        <w:t xml:space="preserve">Methodology </w:t>
      </w:r>
      <w:fldSimple w:instr=" STYLEREF 1 \s ">
        <w:r>
          <w:rPr>
            <w:noProof/>
          </w:rPr>
          <w:t>1</w:t>
        </w:r>
      </w:fldSimple>
      <w:r w:rsidRPr="000D502B">
        <w:t>.</w:t>
      </w:r>
      <w:fldSimple w:instr=" SEQ Methodology \* ARABIC \s 1 ">
        <w:r>
          <w:rPr>
            <w:noProof/>
          </w:rPr>
          <w:t>2</w:t>
        </w:r>
      </w:fldSimple>
      <w:r w:rsidRPr="000D502B">
        <w:t>: A systems approach to innovation indicators</w:t>
      </w:r>
    </w:p>
    <w:tbl>
      <w:tblPr>
        <w:tblStyle w:val="OCETable"/>
        <w:tblW w:w="4706" w:type="dxa"/>
        <w:tblInd w:w="57" w:type="dxa"/>
        <w:shd w:val="clear" w:color="auto" w:fill="292B67"/>
        <w:tblLayout w:type="fixed"/>
        <w:tblLook w:val="04A0" w:firstRow="1" w:lastRow="0" w:firstColumn="1" w:lastColumn="0" w:noHBand="0" w:noVBand="1"/>
        <w:tblCaption w:val="A systems approach to innovation"/>
        <w:tblDescription w:val="Defining, measuring and comparing innovation systems present conceptual challenges, as there is no ideal or optimal innovation system model. &#10;We use a mix of quantitative (indicator based) and qualitative (case study based) methods to present a picture of the system and its impact. Each concept (for example, collaboration) will have a range of indicators that show Australia’s relative strengths and weaknesses. We focus on the most robust, trusted data (usually from the ABS or OECD) for policy purposes. We also use complementary indicators that either reinforce or challenge our more robust datasets.&#10;International comparisons for each indicator are presented as part of a systems approach to measuring innovation. There are some challenges with making these comparisons. Unlike Australia, many other OECD countries’ national survey instruments for measuring business innovation are not mandatory, leading to variable coverage and low response rates.  This may have the effect of skewing other country data towards the most innovative businesses that are motivated to report their innovative activities.&#10;Most Australian innovation data is compiled according to fiscal years, while OECD data is compiled according to calendar years. In this report, the performance of the Australian innovation system in a fiscal or calendar year is compared with the previous corresponding period unless stated otherwise. &#10;It also not possible to adjust for industrial structure for every indicator and every sector (Methodology 3.1). Further analysis is required to consider how differences in innovation between Australia and other OECD countries might be explained by differences in industrial structure.&#10;"/>
      </w:tblPr>
      <w:tblGrid>
        <w:gridCol w:w="4706"/>
      </w:tblGrid>
      <w:tr w:rsidR="00D471AD" w:rsidRPr="000D502B" w14:paraId="7418AF68"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92B67"/>
          </w:tcPr>
          <w:p w14:paraId="7418AF63" w14:textId="77777777" w:rsidR="00D471AD" w:rsidRPr="00A53774" w:rsidRDefault="00D471AD" w:rsidP="004A31A9">
            <w:pPr>
              <w:pStyle w:val="Methodologyboxtext"/>
              <w:spacing w:before="160"/>
              <w:jc w:val="both"/>
              <w:rPr>
                <w:i w:val="0"/>
              </w:rPr>
            </w:pPr>
            <w:r w:rsidRPr="00A53774">
              <w:rPr>
                <w:i w:val="0"/>
              </w:rPr>
              <w:t>Defining, measuring and comparing innovation systems present conceptual challenges</w:t>
            </w:r>
            <w:r w:rsidRPr="00660104">
              <w:rPr>
                <w:i w:val="0"/>
              </w:rPr>
              <w:t>,</w:t>
            </w:r>
            <w:r w:rsidRPr="00A53774">
              <w:rPr>
                <w:i w:val="0"/>
              </w:rPr>
              <w:t xml:space="preserve"> as there is no ideal or optimal innovation system model.</w:t>
            </w:r>
            <w:r>
              <w:rPr>
                <w:i w:val="0"/>
              </w:rPr>
              <w:t xml:space="preserve"> </w:t>
            </w:r>
          </w:p>
          <w:p w14:paraId="7418AF64" w14:textId="77777777" w:rsidR="00D471AD" w:rsidRPr="00A53774" w:rsidRDefault="00D471AD" w:rsidP="004A31A9">
            <w:pPr>
              <w:pStyle w:val="Methodologyboxtext"/>
              <w:jc w:val="both"/>
              <w:rPr>
                <w:i w:val="0"/>
              </w:rPr>
            </w:pPr>
            <w:r>
              <w:rPr>
                <w:i w:val="0"/>
              </w:rPr>
              <w:t>We</w:t>
            </w:r>
            <w:r w:rsidRPr="00A53774">
              <w:rPr>
                <w:i w:val="0"/>
              </w:rPr>
              <w:t xml:space="preserve"> use a mix of quantitative (indicator based) and qualitative (case study based) methods to present a picture of the system and its impact. Each concept</w:t>
            </w:r>
            <w:r w:rsidRPr="00660104">
              <w:rPr>
                <w:i w:val="0"/>
              </w:rPr>
              <w:t xml:space="preserve"> (</w:t>
            </w:r>
            <w:r w:rsidRPr="00A53774">
              <w:rPr>
                <w:i w:val="0"/>
              </w:rPr>
              <w:t>for example</w:t>
            </w:r>
            <w:r w:rsidRPr="00660104">
              <w:rPr>
                <w:i w:val="0"/>
              </w:rPr>
              <w:t>,</w:t>
            </w:r>
            <w:r w:rsidRPr="00A53774">
              <w:rPr>
                <w:i w:val="0"/>
              </w:rPr>
              <w:t xml:space="preserve"> collaboration</w:t>
            </w:r>
            <w:r w:rsidRPr="00660104">
              <w:rPr>
                <w:i w:val="0"/>
              </w:rPr>
              <w:t>)</w:t>
            </w:r>
            <w:r w:rsidRPr="00A53774">
              <w:rPr>
                <w:i w:val="0"/>
              </w:rPr>
              <w:t xml:space="preserve"> will have a range of indicators that </w:t>
            </w:r>
            <w:r>
              <w:rPr>
                <w:i w:val="0"/>
              </w:rPr>
              <w:t>show</w:t>
            </w:r>
            <w:r w:rsidRPr="00A53774">
              <w:rPr>
                <w:i w:val="0"/>
              </w:rPr>
              <w:t xml:space="preserve"> Australia’s relative strengths and weaknesses. We focus on the most robust, trusted data</w:t>
            </w:r>
            <w:r w:rsidRPr="00660104">
              <w:rPr>
                <w:i w:val="0"/>
              </w:rPr>
              <w:t xml:space="preserve"> (</w:t>
            </w:r>
            <w:r w:rsidRPr="00A53774">
              <w:rPr>
                <w:i w:val="0"/>
              </w:rPr>
              <w:t>usually from the ABS or OECD</w:t>
            </w:r>
            <w:r w:rsidRPr="00660104">
              <w:rPr>
                <w:i w:val="0"/>
              </w:rPr>
              <w:t>)</w:t>
            </w:r>
            <w:r w:rsidRPr="00A53774">
              <w:rPr>
                <w:i w:val="0"/>
              </w:rPr>
              <w:t xml:space="preserve"> for policy purposes. We also use complementary indicators that either reinforce or challenge our more robust datasets.</w:t>
            </w:r>
          </w:p>
          <w:p w14:paraId="7418AF65" w14:textId="77777777" w:rsidR="00D471AD" w:rsidRPr="00A53774" w:rsidRDefault="00D471AD" w:rsidP="004A31A9">
            <w:pPr>
              <w:pStyle w:val="Methodologyboxtext"/>
              <w:jc w:val="both"/>
              <w:rPr>
                <w:i w:val="0"/>
              </w:rPr>
            </w:pPr>
            <w:r w:rsidRPr="00A53774">
              <w:rPr>
                <w:i w:val="0"/>
              </w:rPr>
              <w:t xml:space="preserve">International comparisons for each indicator are presented as part of a systems approach to measuring innovation. </w:t>
            </w:r>
            <w:r>
              <w:rPr>
                <w:i w:val="0"/>
              </w:rPr>
              <w:t xml:space="preserve">There are some challenges with making these comparisons. </w:t>
            </w:r>
            <w:r w:rsidRPr="00A53774">
              <w:rPr>
                <w:i w:val="0"/>
              </w:rPr>
              <w:t>Unlike Australia, many other OECD countries’ national survey instruments for measuring business innovation are not mandatory, leading to variable coverage and low response rates.</w:t>
            </w:r>
            <w:r w:rsidRPr="00A53774">
              <w:rPr>
                <w:rStyle w:val="EndnoteReference"/>
                <w:i w:val="0"/>
              </w:rPr>
              <w:endnoteReference w:id="6"/>
            </w:r>
            <w:r w:rsidRPr="00A53774">
              <w:rPr>
                <w:i w:val="0"/>
              </w:rPr>
              <w:t xml:space="preserve"> This may have the effect of skewing other country data towards the most innovative </w:t>
            </w:r>
            <w:r>
              <w:rPr>
                <w:i w:val="0"/>
              </w:rPr>
              <w:t xml:space="preserve">businesses </w:t>
            </w:r>
            <w:r w:rsidRPr="00A53774">
              <w:rPr>
                <w:i w:val="0"/>
              </w:rPr>
              <w:t>that are motivated to report their innovative activities.</w:t>
            </w:r>
          </w:p>
          <w:p w14:paraId="7418AF66" w14:textId="77777777" w:rsidR="00D471AD" w:rsidRPr="00A53774" w:rsidRDefault="00D471AD" w:rsidP="004A31A9">
            <w:pPr>
              <w:pStyle w:val="Methodologyboxtext"/>
              <w:jc w:val="both"/>
              <w:rPr>
                <w:i w:val="0"/>
              </w:rPr>
            </w:pPr>
            <w:r w:rsidRPr="00A53774">
              <w:rPr>
                <w:i w:val="0"/>
              </w:rPr>
              <w:t xml:space="preserve">Most Australian innovation data is compiled according to fiscal years, while OECD data is compiled according to calendar years. In this report, the performance of the Australian innovation system in a fiscal or calendar year is compared with the previous corresponding period unless stated otherwise. </w:t>
            </w:r>
          </w:p>
          <w:p w14:paraId="7418AF67" w14:textId="77777777" w:rsidR="00D471AD" w:rsidRPr="000D502B" w:rsidRDefault="00D471AD" w:rsidP="004A31A9">
            <w:pPr>
              <w:pStyle w:val="Methodologyboxtext"/>
              <w:jc w:val="both"/>
            </w:pPr>
            <w:r w:rsidRPr="00A53774">
              <w:rPr>
                <w:i w:val="0"/>
              </w:rPr>
              <w:t>It also not possible to adjust for industrial structure for every indicator and every sector (Methodology 3.1). Further analysis is required to consider how differences in innovation between Australia and other OECD countries might be explained by differences in industrial structure.</w:t>
            </w:r>
          </w:p>
        </w:tc>
      </w:tr>
    </w:tbl>
    <w:p w14:paraId="7418AF69" w14:textId="77777777" w:rsidR="00D471AD" w:rsidRPr="00924CA6" w:rsidRDefault="00D471AD" w:rsidP="00D471AD">
      <w:pPr>
        <w:pStyle w:val="heading3new"/>
      </w:pPr>
      <w:bookmarkStart w:id="220" w:name="_Toc461174232"/>
      <w:bookmarkStart w:id="221" w:name="_Toc461174430"/>
      <w:bookmarkStart w:id="222" w:name="_Toc461174524"/>
      <w:bookmarkStart w:id="223" w:name="_Toc461174717"/>
      <w:bookmarkStart w:id="224" w:name="_Toc461175389"/>
      <w:bookmarkStart w:id="225" w:name="_Toc461177156"/>
      <w:bookmarkStart w:id="226" w:name="_Toc461177252"/>
      <w:bookmarkStart w:id="227" w:name="_Toc461177885"/>
      <w:bookmarkStart w:id="228" w:name="_Toc461177981"/>
      <w:bookmarkStart w:id="229" w:name="_Toc461178167"/>
      <w:bookmarkStart w:id="230" w:name="_Toc461178263"/>
      <w:bookmarkStart w:id="231" w:name="_Toc461178517"/>
      <w:bookmarkStart w:id="232" w:name="_Toc461178613"/>
      <w:bookmarkStart w:id="233" w:name="_Toc461179317"/>
      <w:bookmarkStart w:id="234" w:name="_Toc461179413"/>
      <w:bookmarkStart w:id="235" w:name="_Toc461179885"/>
      <w:bookmarkStart w:id="236" w:name="_Toc461179981"/>
      <w:bookmarkStart w:id="237" w:name="_Toc461180078"/>
      <w:bookmarkStart w:id="238" w:name="_Toc461180174"/>
      <w:bookmarkStart w:id="239" w:name="_Toc461180466"/>
      <w:bookmarkStart w:id="240" w:name="_Toc461181458"/>
      <w:bookmarkStart w:id="241" w:name="_Toc461181555"/>
      <w:bookmarkStart w:id="242" w:name="_Toc461181903"/>
      <w:bookmarkStart w:id="243" w:name="_Toc461182000"/>
      <w:bookmarkStart w:id="244" w:name="_Toc461182099"/>
      <w:bookmarkStart w:id="245" w:name="_Toc461182197"/>
      <w:bookmarkStart w:id="246" w:name="_Toc461182295"/>
      <w:bookmarkStart w:id="247" w:name="_Toc461182493"/>
      <w:bookmarkStart w:id="248" w:name="_Toc461182591"/>
      <w:bookmarkStart w:id="249" w:name="_Toc461182710"/>
      <w:bookmarkStart w:id="250" w:name="_Toc461182914"/>
      <w:bookmarkStart w:id="251" w:name="_Toc461183114"/>
      <w:bookmarkStart w:id="252" w:name="_Toc461183332"/>
      <w:bookmarkStart w:id="253" w:name="_Toc461183037"/>
      <w:bookmarkStart w:id="254" w:name="_Toc461183497"/>
      <w:bookmarkStart w:id="255" w:name="_Toc461183602"/>
      <w:bookmarkStart w:id="256" w:name="_Toc461183707"/>
      <w:bookmarkStart w:id="257" w:name="_Toc461183866"/>
      <w:bookmarkStart w:id="258" w:name="_Toc461183971"/>
      <w:bookmarkStart w:id="259" w:name="_Toc461184078"/>
      <w:bookmarkStart w:id="260" w:name="_Toc461184183"/>
      <w:bookmarkStart w:id="261" w:name="_Toc461183883"/>
      <w:bookmarkStart w:id="262" w:name="_Toc461184297"/>
      <w:bookmarkStart w:id="263" w:name="_Toc461184403"/>
      <w:bookmarkStart w:id="264" w:name="_Toc461184508"/>
      <w:bookmarkStart w:id="265" w:name="_Toc461184719"/>
      <w:bookmarkStart w:id="266" w:name="_Toc461184824"/>
      <w:bookmarkStart w:id="267" w:name="_Toc461185005"/>
      <w:bookmarkStart w:id="268" w:name="_Toc461185110"/>
      <w:bookmarkStart w:id="269" w:name="_Toc461185380"/>
      <w:bookmarkStart w:id="270" w:name="_Toc461185485"/>
      <w:bookmarkStart w:id="271" w:name="_Toc461185806"/>
      <w:bookmarkStart w:id="272" w:name="_Toc461186230"/>
      <w:bookmarkStart w:id="273" w:name="_Toc461186335"/>
      <w:bookmarkStart w:id="274" w:name="_Toc461186546"/>
      <w:bookmarkStart w:id="275" w:name="_Toc461186651"/>
      <w:bookmarkStart w:id="276" w:name="_Toc461186756"/>
      <w:bookmarkStart w:id="277" w:name="_Toc461186863"/>
      <w:bookmarkStart w:id="278" w:name="_Toc461186968"/>
      <w:bookmarkStart w:id="279" w:name="_Toc461174233"/>
      <w:bookmarkStart w:id="280" w:name="_Toc461174431"/>
      <w:bookmarkStart w:id="281" w:name="_Toc461174525"/>
      <w:bookmarkStart w:id="282" w:name="_Toc461174718"/>
      <w:bookmarkStart w:id="283" w:name="_Toc461175390"/>
      <w:bookmarkStart w:id="284" w:name="_Toc461177157"/>
      <w:bookmarkStart w:id="285" w:name="_Toc461177253"/>
      <w:bookmarkStart w:id="286" w:name="_Toc461177886"/>
      <w:bookmarkStart w:id="287" w:name="_Toc461177982"/>
      <w:bookmarkStart w:id="288" w:name="_Toc461178168"/>
      <w:bookmarkStart w:id="289" w:name="_Toc461178264"/>
      <w:bookmarkStart w:id="290" w:name="_Toc461178518"/>
      <w:bookmarkStart w:id="291" w:name="_Toc461178614"/>
      <w:bookmarkStart w:id="292" w:name="_Toc461179318"/>
      <w:bookmarkStart w:id="293" w:name="_Toc461179414"/>
      <w:bookmarkStart w:id="294" w:name="_Toc461179886"/>
      <w:bookmarkStart w:id="295" w:name="_Toc461179982"/>
      <w:bookmarkStart w:id="296" w:name="_Toc461180079"/>
      <w:bookmarkStart w:id="297" w:name="_Toc461180175"/>
      <w:bookmarkStart w:id="298" w:name="_Toc461180467"/>
      <w:bookmarkStart w:id="299" w:name="_Toc461181459"/>
      <w:bookmarkStart w:id="300" w:name="_Toc461181556"/>
      <w:bookmarkStart w:id="301" w:name="_Toc461181904"/>
      <w:bookmarkStart w:id="302" w:name="_Toc461182001"/>
      <w:bookmarkStart w:id="303" w:name="_Toc461182100"/>
      <w:bookmarkStart w:id="304" w:name="_Toc461182198"/>
      <w:bookmarkStart w:id="305" w:name="_Toc461182394"/>
      <w:bookmarkStart w:id="306" w:name="_Toc461182494"/>
      <w:bookmarkStart w:id="307" w:name="_Toc461182592"/>
      <w:bookmarkStart w:id="308" w:name="_Toc461182711"/>
      <w:bookmarkStart w:id="309" w:name="_Toc461183013"/>
      <w:bookmarkStart w:id="310" w:name="_Toc461183333"/>
      <w:bookmarkStart w:id="311" w:name="_Toc461183038"/>
      <w:bookmarkStart w:id="312" w:name="_Toc461183498"/>
      <w:bookmarkStart w:id="313" w:name="_Toc461183603"/>
      <w:bookmarkStart w:id="314" w:name="_Toc461183708"/>
      <w:bookmarkStart w:id="315" w:name="_Toc461183867"/>
      <w:bookmarkStart w:id="316" w:name="_Toc461183972"/>
      <w:bookmarkStart w:id="317" w:name="_Toc461184079"/>
      <w:bookmarkStart w:id="318" w:name="_Toc461184184"/>
      <w:bookmarkStart w:id="319" w:name="_Toc461183884"/>
      <w:bookmarkStart w:id="320" w:name="_Toc461184298"/>
      <w:bookmarkStart w:id="321" w:name="_Toc461184404"/>
      <w:bookmarkStart w:id="322" w:name="_Toc461184509"/>
      <w:bookmarkStart w:id="323" w:name="_Toc461184720"/>
      <w:bookmarkStart w:id="324" w:name="_Toc461184825"/>
      <w:bookmarkStart w:id="325" w:name="_Toc461185006"/>
      <w:bookmarkStart w:id="326" w:name="_Toc461185111"/>
      <w:bookmarkStart w:id="327" w:name="_Toc461185381"/>
      <w:bookmarkStart w:id="328" w:name="_Toc461185486"/>
      <w:bookmarkStart w:id="329" w:name="_Toc461185807"/>
      <w:bookmarkStart w:id="330" w:name="_Toc461186231"/>
      <w:bookmarkStart w:id="331" w:name="_Toc461186336"/>
      <w:bookmarkStart w:id="332" w:name="_Toc461186547"/>
      <w:bookmarkStart w:id="333" w:name="_Toc461186652"/>
      <w:bookmarkStart w:id="334" w:name="_Toc461186757"/>
      <w:bookmarkStart w:id="335" w:name="_Toc461186864"/>
      <w:bookmarkStart w:id="336" w:name="_Toc461186969"/>
      <w:bookmarkStart w:id="337" w:name="_Toc461174240"/>
      <w:bookmarkStart w:id="338" w:name="_Toc461174438"/>
      <w:bookmarkStart w:id="339" w:name="_Toc461174532"/>
      <w:bookmarkStart w:id="340" w:name="_Toc461174725"/>
      <w:bookmarkStart w:id="341" w:name="_Toc461175397"/>
      <w:bookmarkStart w:id="342" w:name="_Toc461177164"/>
      <w:bookmarkStart w:id="343" w:name="_Toc461177260"/>
      <w:bookmarkStart w:id="344" w:name="_Toc461177893"/>
      <w:bookmarkStart w:id="345" w:name="_Toc461177989"/>
      <w:bookmarkStart w:id="346" w:name="_Toc461178175"/>
      <w:bookmarkStart w:id="347" w:name="_Toc461178271"/>
      <w:bookmarkStart w:id="348" w:name="_Toc461178525"/>
      <w:bookmarkStart w:id="349" w:name="_Toc461178621"/>
      <w:bookmarkStart w:id="350" w:name="_Toc461179325"/>
      <w:bookmarkStart w:id="351" w:name="_Toc461179421"/>
      <w:bookmarkStart w:id="352" w:name="_Toc461179893"/>
      <w:bookmarkStart w:id="353" w:name="_Toc461179989"/>
      <w:bookmarkStart w:id="354" w:name="_Toc461180086"/>
      <w:bookmarkStart w:id="355" w:name="_Toc461180182"/>
      <w:bookmarkStart w:id="356" w:name="_Toc461180474"/>
      <w:bookmarkStart w:id="357" w:name="_Toc461181466"/>
      <w:bookmarkStart w:id="358" w:name="_Toc461181563"/>
      <w:bookmarkStart w:id="359" w:name="_Toc461181911"/>
      <w:bookmarkStart w:id="360" w:name="_Toc461182008"/>
      <w:bookmarkStart w:id="361" w:name="_Toc461182107"/>
      <w:bookmarkStart w:id="362" w:name="_Toc461182205"/>
      <w:bookmarkStart w:id="363" w:name="_Toc461182401"/>
      <w:bookmarkStart w:id="364" w:name="_Toc461182501"/>
      <w:bookmarkStart w:id="365" w:name="_Toc461182599"/>
      <w:bookmarkStart w:id="366" w:name="_Toc461182718"/>
      <w:bookmarkStart w:id="367" w:name="_Toc461183020"/>
      <w:bookmarkStart w:id="368" w:name="_Toc461183340"/>
      <w:bookmarkStart w:id="369" w:name="_Toc461183053"/>
      <w:bookmarkStart w:id="370" w:name="_Toc461183505"/>
      <w:bookmarkStart w:id="371" w:name="_Toc461183610"/>
      <w:bookmarkStart w:id="372" w:name="_Toc461183715"/>
      <w:bookmarkStart w:id="373" w:name="_Toc461183874"/>
      <w:bookmarkStart w:id="374" w:name="_Toc461183979"/>
      <w:bookmarkStart w:id="375" w:name="_Toc461184086"/>
      <w:bookmarkStart w:id="376" w:name="_Toc461184191"/>
      <w:bookmarkStart w:id="377" w:name="_Toc461183892"/>
      <w:bookmarkStart w:id="378" w:name="_Toc461184305"/>
      <w:bookmarkStart w:id="379" w:name="_Toc461184411"/>
      <w:bookmarkStart w:id="380" w:name="_Toc461184516"/>
      <w:bookmarkStart w:id="381" w:name="_Toc461184727"/>
      <w:bookmarkStart w:id="382" w:name="_Toc461184832"/>
      <w:bookmarkStart w:id="383" w:name="_Toc461185013"/>
      <w:bookmarkStart w:id="384" w:name="_Toc461185118"/>
      <w:bookmarkStart w:id="385" w:name="_Toc461185388"/>
      <w:bookmarkStart w:id="386" w:name="_Toc461185493"/>
      <w:bookmarkStart w:id="387" w:name="_Toc461185814"/>
      <w:bookmarkStart w:id="388" w:name="_Toc461186238"/>
      <w:bookmarkStart w:id="389" w:name="_Toc461186343"/>
      <w:bookmarkStart w:id="390" w:name="_Toc461186554"/>
      <w:bookmarkStart w:id="391" w:name="_Toc461186659"/>
      <w:bookmarkStart w:id="392" w:name="_Toc461186764"/>
      <w:bookmarkStart w:id="393" w:name="_Toc461186871"/>
      <w:bookmarkStart w:id="394" w:name="_Toc461186976"/>
      <w:bookmarkStart w:id="395" w:name="_Toc461174241"/>
      <w:bookmarkStart w:id="396" w:name="_Toc461174439"/>
      <w:bookmarkStart w:id="397" w:name="_Toc461174533"/>
      <w:bookmarkStart w:id="398" w:name="_Toc461174726"/>
      <w:bookmarkStart w:id="399" w:name="_Toc461175398"/>
      <w:bookmarkStart w:id="400" w:name="_Toc461177165"/>
      <w:bookmarkStart w:id="401" w:name="_Toc461177261"/>
      <w:bookmarkStart w:id="402" w:name="_Toc461177894"/>
      <w:bookmarkStart w:id="403" w:name="_Toc461177990"/>
      <w:bookmarkStart w:id="404" w:name="_Toc461178176"/>
      <w:bookmarkStart w:id="405" w:name="_Toc461178272"/>
      <w:bookmarkStart w:id="406" w:name="_Toc461178526"/>
      <w:bookmarkStart w:id="407" w:name="_Toc461178622"/>
      <w:bookmarkStart w:id="408" w:name="_Toc461179326"/>
      <w:bookmarkStart w:id="409" w:name="_Toc461179422"/>
      <w:bookmarkStart w:id="410" w:name="_Toc461179894"/>
      <w:bookmarkStart w:id="411" w:name="_Toc461179990"/>
      <w:bookmarkStart w:id="412" w:name="_Toc461180087"/>
      <w:bookmarkStart w:id="413" w:name="_Toc461180183"/>
      <w:bookmarkStart w:id="414" w:name="_Toc461180475"/>
      <w:bookmarkStart w:id="415" w:name="_Toc461181467"/>
      <w:bookmarkStart w:id="416" w:name="_Toc461181564"/>
      <w:bookmarkStart w:id="417" w:name="_Toc461181912"/>
      <w:bookmarkStart w:id="418" w:name="_Toc461182009"/>
      <w:bookmarkStart w:id="419" w:name="_Toc461182108"/>
      <w:bookmarkStart w:id="420" w:name="_Toc461182206"/>
      <w:bookmarkStart w:id="421" w:name="_Toc461182402"/>
      <w:bookmarkStart w:id="422" w:name="_Toc461182502"/>
      <w:bookmarkStart w:id="423" w:name="_Toc461182600"/>
      <w:bookmarkStart w:id="424" w:name="_Toc461182349"/>
      <w:bookmarkStart w:id="425" w:name="_Toc461182719"/>
      <w:bookmarkStart w:id="426" w:name="_Toc461183021"/>
      <w:bookmarkStart w:id="427" w:name="_Toc461183341"/>
      <w:bookmarkStart w:id="428" w:name="_Toc461183054"/>
      <w:bookmarkStart w:id="429" w:name="_Toc461183506"/>
      <w:bookmarkStart w:id="430" w:name="_Toc461183611"/>
      <w:bookmarkStart w:id="431" w:name="_Toc461183716"/>
      <w:bookmarkStart w:id="432" w:name="_Toc461183875"/>
      <w:bookmarkStart w:id="433" w:name="_Toc461183980"/>
      <w:bookmarkStart w:id="434" w:name="_Toc461184087"/>
      <w:bookmarkStart w:id="435" w:name="_Toc461184192"/>
      <w:bookmarkStart w:id="436" w:name="_Toc461183893"/>
      <w:bookmarkStart w:id="437" w:name="_Toc461184306"/>
      <w:bookmarkStart w:id="438" w:name="_Toc461184412"/>
      <w:bookmarkStart w:id="439" w:name="_Toc461184517"/>
      <w:bookmarkStart w:id="440" w:name="_Toc461184728"/>
      <w:bookmarkStart w:id="441" w:name="_Toc461184833"/>
      <w:bookmarkStart w:id="442" w:name="_Toc461185014"/>
      <w:bookmarkStart w:id="443" w:name="_Toc461185119"/>
      <w:bookmarkStart w:id="444" w:name="_Toc461185389"/>
      <w:bookmarkStart w:id="445" w:name="_Toc461185494"/>
      <w:bookmarkStart w:id="446" w:name="_Toc461185815"/>
      <w:bookmarkStart w:id="447" w:name="_Toc461186239"/>
      <w:bookmarkStart w:id="448" w:name="_Toc461186344"/>
      <w:bookmarkStart w:id="449" w:name="_Toc461186555"/>
      <w:bookmarkStart w:id="450" w:name="_Toc461186660"/>
      <w:bookmarkStart w:id="451" w:name="_Toc461186765"/>
      <w:bookmarkStart w:id="452" w:name="_Toc461186872"/>
      <w:bookmarkStart w:id="453" w:name="_Toc461186977"/>
      <w:bookmarkStart w:id="454" w:name="_Toc461174242"/>
      <w:bookmarkStart w:id="455" w:name="_Toc461174440"/>
      <w:bookmarkStart w:id="456" w:name="_Toc461174534"/>
      <w:bookmarkStart w:id="457" w:name="_Toc461174727"/>
      <w:bookmarkStart w:id="458" w:name="_Toc461175399"/>
      <w:bookmarkStart w:id="459" w:name="_Toc461177166"/>
      <w:bookmarkStart w:id="460" w:name="_Toc461177262"/>
      <w:bookmarkStart w:id="461" w:name="_Toc461177895"/>
      <w:bookmarkStart w:id="462" w:name="_Toc461177991"/>
      <w:bookmarkStart w:id="463" w:name="_Toc461178177"/>
      <w:bookmarkStart w:id="464" w:name="_Toc461178273"/>
      <w:bookmarkStart w:id="465" w:name="_Toc461178527"/>
      <w:bookmarkStart w:id="466" w:name="_Toc461178623"/>
      <w:bookmarkStart w:id="467" w:name="_Toc461179327"/>
      <w:bookmarkStart w:id="468" w:name="_Toc461179423"/>
      <w:bookmarkStart w:id="469" w:name="_Toc461179895"/>
      <w:bookmarkStart w:id="470" w:name="_Toc461179991"/>
      <w:bookmarkStart w:id="471" w:name="_Toc461180088"/>
      <w:bookmarkStart w:id="472" w:name="_Toc461180184"/>
      <w:bookmarkStart w:id="473" w:name="_Toc461180476"/>
      <w:bookmarkStart w:id="474" w:name="_Toc461181468"/>
      <w:bookmarkStart w:id="475" w:name="_Toc461181565"/>
      <w:bookmarkStart w:id="476" w:name="_Toc461181913"/>
      <w:bookmarkStart w:id="477" w:name="_Toc461182010"/>
      <w:bookmarkStart w:id="478" w:name="_Toc461182109"/>
      <w:bookmarkStart w:id="479" w:name="_Toc461182207"/>
      <w:bookmarkStart w:id="480" w:name="_Toc461182403"/>
      <w:bookmarkStart w:id="481" w:name="_Toc461182503"/>
      <w:bookmarkStart w:id="482" w:name="_Toc461182601"/>
      <w:bookmarkStart w:id="483" w:name="_Toc461182720"/>
      <w:bookmarkStart w:id="484" w:name="_Toc461183022"/>
      <w:bookmarkStart w:id="485" w:name="_Toc461183342"/>
      <w:bookmarkStart w:id="486" w:name="_Toc461183055"/>
      <w:bookmarkStart w:id="487" w:name="_Toc461183507"/>
      <w:bookmarkStart w:id="488" w:name="_Toc461183612"/>
      <w:bookmarkStart w:id="489" w:name="_Toc461183717"/>
      <w:bookmarkStart w:id="490" w:name="_Toc461183876"/>
      <w:bookmarkStart w:id="491" w:name="_Toc461183981"/>
      <w:bookmarkStart w:id="492" w:name="_Toc461184088"/>
      <w:bookmarkStart w:id="493" w:name="_Toc461184193"/>
      <w:bookmarkStart w:id="494" w:name="_Toc461183894"/>
      <w:bookmarkStart w:id="495" w:name="_Toc461184307"/>
      <w:bookmarkStart w:id="496" w:name="_Toc461184413"/>
      <w:bookmarkStart w:id="497" w:name="_Toc461184518"/>
      <w:bookmarkStart w:id="498" w:name="_Toc461184729"/>
      <w:bookmarkStart w:id="499" w:name="_Toc461184834"/>
      <w:bookmarkStart w:id="500" w:name="_Toc461185015"/>
      <w:bookmarkStart w:id="501" w:name="_Toc461185120"/>
      <w:bookmarkStart w:id="502" w:name="_Toc461185390"/>
      <w:bookmarkStart w:id="503" w:name="_Toc461185495"/>
      <w:bookmarkStart w:id="504" w:name="_Toc461185816"/>
      <w:bookmarkStart w:id="505" w:name="_Toc461186240"/>
      <w:bookmarkStart w:id="506" w:name="_Toc461186345"/>
      <w:bookmarkStart w:id="507" w:name="_Toc461186556"/>
      <w:bookmarkStart w:id="508" w:name="_Toc461186661"/>
      <w:bookmarkStart w:id="509" w:name="_Toc461186766"/>
      <w:bookmarkStart w:id="510" w:name="_Toc461186873"/>
      <w:bookmarkStart w:id="511" w:name="_Toc461186978"/>
      <w:bookmarkStart w:id="512" w:name="_Toc461174243"/>
      <w:bookmarkStart w:id="513" w:name="_Toc461174441"/>
      <w:bookmarkStart w:id="514" w:name="_Toc461174535"/>
      <w:bookmarkStart w:id="515" w:name="_Toc461174728"/>
      <w:bookmarkStart w:id="516" w:name="_Toc461175400"/>
      <w:bookmarkStart w:id="517" w:name="_Toc461177167"/>
      <w:bookmarkStart w:id="518" w:name="_Toc461177263"/>
      <w:bookmarkStart w:id="519" w:name="_Toc461177896"/>
      <w:bookmarkStart w:id="520" w:name="_Toc461177992"/>
      <w:bookmarkStart w:id="521" w:name="_Toc461178178"/>
      <w:bookmarkStart w:id="522" w:name="_Toc461178274"/>
      <w:bookmarkStart w:id="523" w:name="_Toc461178528"/>
      <w:bookmarkStart w:id="524" w:name="_Toc461178624"/>
      <w:bookmarkStart w:id="525" w:name="_Toc461179328"/>
      <w:bookmarkStart w:id="526" w:name="_Toc461179424"/>
      <w:bookmarkStart w:id="527" w:name="_Toc461179896"/>
      <w:bookmarkStart w:id="528" w:name="_Toc461179992"/>
      <w:bookmarkStart w:id="529" w:name="_Toc461180089"/>
      <w:bookmarkStart w:id="530" w:name="_Toc461180185"/>
      <w:bookmarkStart w:id="531" w:name="_Toc461180477"/>
      <w:bookmarkStart w:id="532" w:name="_Toc461181469"/>
      <w:bookmarkStart w:id="533" w:name="_Toc461181566"/>
      <w:bookmarkStart w:id="534" w:name="_Toc461181914"/>
      <w:bookmarkStart w:id="535" w:name="_Toc461182011"/>
      <w:bookmarkStart w:id="536" w:name="_Toc461182110"/>
      <w:bookmarkStart w:id="537" w:name="_Toc461182208"/>
      <w:bookmarkStart w:id="538" w:name="_Toc461182404"/>
      <w:bookmarkStart w:id="539" w:name="_Toc461182504"/>
      <w:bookmarkStart w:id="540" w:name="_Toc461182602"/>
      <w:bookmarkStart w:id="541" w:name="_Toc461182351"/>
      <w:bookmarkStart w:id="542" w:name="_Toc461182721"/>
      <w:bookmarkStart w:id="543" w:name="_Toc461183023"/>
      <w:bookmarkStart w:id="544" w:name="_Toc461183343"/>
      <w:bookmarkStart w:id="545" w:name="_Toc461183056"/>
      <w:bookmarkStart w:id="546" w:name="_Toc461183508"/>
      <w:bookmarkStart w:id="547" w:name="_Toc461183613"/>
      <w:bookmarkStart w:id="548" w:name="_Toc461183718"/>
      <w:bookmarkStart w:id="549" w:name="_Toc461183877"/>
      <w:bookmarkStart w:id="550" w:name="_Toc461183982"/>
      <w:bookmarkStart w:id="551" w:name="_Toc461184089"/>
      <w:bookmarkStart w:id="552" w:name="_Toc461184194"/>
      <w:bookmarkStart w:id="553" w:name="_Toc461183895"/>
      <w:bookmarkStart w:id="554" w:name="_Toc461184308"/>
      <w:bookmarkStart w:id="555" w:name="_Toc461184414"/>
      <w:bookmarkStart w:id="556" w:name="_Toc461184519"/>
      <w:bookmarkStart w:id="557" w:name="_Toc461184730"/>
      <w:bookmarkStart w:id="558" w:name="_Toc461184835"/>
      <w:bookmarkStart w:id="559" w:name="_Toc461185016"/>
      <w:bookmarkStart w:id="560" w:name="_Toc461185121"/>
      <w:bookmarkStart w:id="561" w:name="_Toc461185391"/>
      <w:bookmarkStart w:id="562" w:name="_Toc461185496"/>
      <w:bookmarkStart w:id="563" w:name="_Toc461185817"/>
      <w:bookmarkStart w:id="564" w:name="_Toc461186241"/>
      <w:bookmarkStart w:id="565" w:name="_Toc461186346"/>
      <w:bookmarkStart w:id="566" w:name="_Toc461186557"/>
      <w:bookmarkStart w:id="567" w:name="_Toc461186662"/>
      <w:bookmarkStart w:id="568" w:name="_Toc461186767"/>
      <w:bookmarkStart w:id="569" w:name="_Toc461186874"/>
      <w:bookmarkStart w:id="570" w:name="_Toc461186979"/>
      <w:bookmarkStart w:id="571" w:name="_Toc461174244"/>
      <w:bookmarkStart w:id="572" w:name="_Toc461174442"/>
      <w:bookmarkStart w:id="573" w:name="_Toc461174536"/>
      <w:bookmarkStart w:id="574" w:name="_Toc461174729"/>
      <w:bookmarkStart w:id="575" w:name="_Toc461175401"/>
      <w:bookmarkStart w:id="576" w:name="_Toc461177168"/>
      <w:bookmarkStart w:id="577" w:name="_Toc461177264"/>
      <w:bookmarkStart w:id="578" w:name="_Toc461177897"/>
      <w:bookmarkStart w:id="579" w:name="_Toc461177993"/>
      <w:bookmarkStart w:id="580" w:name="_Toc461178179"/>
      <w:bookmarkStart w:id="581" w:name="_Toc461178275"/>
      <w:bookmarkStart w:id="582" w:name="_Toc461178529"/>
      <w:bookmarkStart w:id="583" w:name="_Toc461178625"/>
      <w:bookmarkStart w:id="584" w:name="_Toc461179329"/>
      <w:bookmarkStart w:id="585" w:name="_Toc461179425"/>
      <w:bookmarkStart w:id="586" w:name="_Toc461179897"/>
      <w:bookmarkStart w:id="587" w:name="_Toc461179993"/>
      <w:bookmarkStart w:id="588" w:name="_Toc461180090"/>
      <w:bookmarkStart w:id="589" w:name="_Toc461180186"/>
      <w:bookmarkStart w:id="590" w:name="_Toc461180478"/>
      <w:bookmarkStart w:id="591" w:name="_Toc461181470"/>
      <w:bookmarkStart w:id="592" w:name="_Toc461181567"/>
      <w:bookmarkStart w:id="593" w:name="_Toc461181915"/>
      <w:bookmarkStart w:id="594" w:name="_Toc461182012"/>
      <w:bookmarkStart w:id="595" w:name="_Toc461182111"/>
      <w:bookmarkStart w:id="596" w:name="_Toc461182209"/>
      <w:bookmarkStart w:id="597" w:name="_Toc461182405"/>
      <w:bookmarkStart w:id="598" w:name="_Toc461182505"/>
      <w:bookmarkStart w:id="599" w:name="_Toc461182603"/>
      <w:bookmarkStart w:id="600" w:name="_Toc461182722"/>
      <w:bookmarkStart w:id="601" w:name="_Toc461183024"/>
      <w:bookmarkStart w:id="602" w:name="_Toc461183344"/>
      <w:bookmarkStart w:id="603" w:name="_Toc461183057"/>
      <w:bookmarkStart w:id="604" w:name="_Toc461183509"/>
      <w:bookmarkStart w:id="605" w:name="_Toc461183614"/>
      <w:bookmarkStart w:id="606" w:name="_Toc461183719"/>
      <w:bookmarkStart w:id="607" w:name="_Toc461183878"/>
      <w:bookmarkStart w:id="608" w:name="_Toc461183983"/>
      <w:bookmarkStart w:id="609" w:name="_Toc461184090"/>
      <w:bookmarkStart w:id="610" w:name="_Toc461184195"/>
      <w:bookmarkStart w:id="611" w:name="_Toc461183904"/>
      <w:bookmarkStart w:id="612" w:name="_Toc461184309"/>
      <w:bookmarkStart w:id="613" w:name="_Toc461184415"/>
      <w:bookmarkStart w:id="614" w:name="_Toc461184520"/>
      <w:bookmarkStart w:id="615" w:name="_Toc461184731"/>
      <w:bookmarkStart w:id="616" w:name="_Toc461184836"/>
      <w:bookmarkStart w:id="617" w:name="_Toc461185017"/>
      <w:bookmarkStart w:id="618" w:name="_Toc461185122"/>
      <w:bookmarkStart w:id="619" w:name="_Toc461185392"/>
      <w:bookmarkStart w:id="620" w:name="_Toc461185497"/>
      <w:bookmarkStart w:id="621" w:name="_Toc461185818"/>
      <w:bookmarkStart w:id="622" w:name="_Toc461186242"/>
      <w:bookmarkStart w:id="623" w:name="_Toc461186347"/>
      <w:bookmarkStart w:id="624" w:name="_Toc461186558"/>
      <w:bookmarkStart w:id="625" w:name="_Toc461186663"/>
      <w:bookmarkStart w:id="626" w:name="_Toc461186768"/>
      <w:bookmarkStart w:id="627" w:name="_Toc461186875"/>
      <w:bookmarkStart w:id="628" w:name="_Toc461186980"/>
      <w:bookmarkStart w:id="629" w:name="_Toc461174245"/>
      <w:bookmarkStart w:id="630" w:name="_Toc461174443"/>
      <w:bookmarkStart w:id="631" w:name="_Toc461174537"/>
      <w:bookmarkStart w:id="632" w:name="_Toc461174730"/>
      <w:bookmarkStart w:id="633" w:name="_Toc461175402"/>
      <w:bookmarkStart w:id="634" w:name="_Toc461177169"/>
      <w:bookmarkStart w:id="635" w:name="_Toc461177265"/>
      <w:bookmarkStart w:id="636" w:name="_Toc461177898"/>
      <w:bookmarkStart w:id="637" w:name="_Toc461177994"/>
      <w:bookmarkStart w:id="638" w:name="_Toc461178180"/>
      <w:bookmarkStart w:id="639" w:name="_Toc461178276"/>
      <w:bookmarkStart w:id="640" w:name="_Toc461178530"/>
      <w:bookmarkStart w:id="641" w:name="_Toc461178626"/>
      <w:bookmarkStart w:id="642" w:name="_Toc461179330"/>
      <w:bookmarkStart w:id="643" w:name="_Toc461179426"/>
      <w:bookmarkStart w:id="644" w:name="_Toc461179898"/>
      <w:bookmarkStart w:id="645" w:name="_Toc461179994"/>
      <w:bookmarkStart w:id="646" w:name="_Toc461180091"/>
      <w:bookmarkStart w:id="647" w:name="_Toc461180187"/>
      <w:bookmarkStart w:id="648" w:name="_Toc461180479"/>
      <w:bookmarkStart w:id="649" w:name="_Toc461181471"/>
      <w:bookmarkStart w:id="650" w:name="_Toc461181568"/>
      <w:bookmarkStart w:id="651" w:name="_Toc461181916"/>
      <w:bookmarkStart w:id="652" w:name="_Toc461182013"/>
      <w:bookmarkStart w:id="653" w:name="_Toc461182112"/>
      <w:bookmarkStart w:id="654" w:name="_Toc461182210"/>
      <w:bookmarkStart w:id="655" w:name="_Toc461182406"/>
      <w:bookmarkStart w:id="656" w:name="_Toc461182506"/>
      <w:bookmarkStart w:id="657" w:name="_Toc461182604"/>
      <w:bookmarkStart w:id="658" w:name="_Toc461182723"/>
      <w:bookmarkStart w:id="659" w:name="_Toc461183025"/>
      <w:bookmarkStart w:id="660" w:name="_Toc461183345"/>
      <w:bookmarkStart w:id="661" w:name="_Toc461183058"/>
      <w:bookmarkStart w:id="662" w:name="_Toc461183510"/>
      <w:bookmarkStart w:id="663" w:name="_Toc461183615"/>
      <w:bookmarkStart w:id="664" w:name="_Toc461183720"/>
      <w:bookmarkStart w:id="665" w:name="_Toc461183879"/>
      <w:bookmarkStart w:id="666" w:name="_Toc461183984"/>
      <w:bookmarkStart w:id="667" w:name="_Toc461184091"/>
      <w:bookmarkStart w:id="668" w:name="_Toc461184196"/>
      <w:bookmarkStart w:id="669" w:name="_Toc461183905"/>
      <w:bookmarkStart w:id="670" w:name="_Toc461184310"/>
      <w:bookmarkStart w:id="671" w:name="_Toc461184416"/>
      <w:bookmarkStart w:id="672" w:name="_Toc461184521"/>
      <w:bookmarkStart w:id="673" w:name="_Toc461184732"/>
      <w:bookmarkStart w:id="674" w:name="_Toc461184837"/>
      <w:bookmarkStart w:id="675" w:name="_Toc461185018"/>
      <w:bookmarkStart w:id="676" w:name="_Toc461185123"/>
      <w:bookmarkStart w:id="677" w:name="_Toc461185393"/>
      <w:bookmarkStart w:id="678" w:name="_Toc461185498"/>
      <w:bookmarkStart w:id="679" w:name="_Toc461185819"/>
      <w:bookmarkStart w:id="680" w:name="_Toc461186243"/>
      <w:bookmarkStart w:id="681" w:name="_Toc461186348"/>
      <w:bookmarkStart w:id="682" w:name="_Toc461186559"/>
      <w:bookmarkStart w:id="683" w:name="_Toc461186664"/>
      <w:bookmarkStart w:id="684" w:name="_Toc461186769"/>
      <w:bookmarkStart w:id="685" w:name="_Toc461186876"/>
      <w:bookmarkStart w:id="686" w:name="_Toc461186981"/>
      <w:bookmarkStart w:id="687" w:name="_Toc461174248"/>
      <w:bookmarkStart w:id="688" w:name="_Toc461174446"/>
      <w:bookmarkStart w:id="689" w:name="_Toc461174540"/>
      <w:bookmarkStart w:id="690" w:name="_Toc461174733"/>
      <w:bookmarkStart w:id="691" w:name="_Toc461175341"/>
      <w:bookmarkStart w:id="692" w:name="_Toc461175405"/>
      <w:bookmarkStart w:id="693" w:name="_Toc461177172"/>
      <w:bookmarkStart w:id="694" w:name="_Toc461177268"/>
      <w:bookmarkStart w:id="695" w:name="_Toc461177901"/>
      <w:bookmarkStart w:id="696" w:name="_Toc461177997"/>
      <w:bookmarkStart w:id="697" w:name="_Toc461178183"/>
      <w:bookmarkStart w:id="698" w:name="_Toc461178279"/>
      <w:bookmarkStart w:id="699" w:name="_Toc461178533"/>
      <w:bookmarkStart w:id="700" w:name="_Toc461178629"/>
      <w:bookmarkStart w:id="701" w:name="_Toc461179333"/>
      <w:bookmarkStart w:id="702" w:name="_Toc461179429"/>
      <w:bookmarkStart w:id="703" w:name="_Toc461179901"/>
      <w:bookmarkStart w:id="704" w:name="_Toc461179997"/>
      <w:bookmarkStart w:id="705" w:name="_Toc461180094"/>
      <w:bookmarkStart w:id="706" w:name="_Toc461180190"/>
      <w:bookmarkStart w:id="707" w:name="_Toc461180482"/>
      <w:bookmarkStart w:id="708" w:name="_Toc461181474"/>
      <w:bookmarkStart w:id="709" w:name="_Toc461181571"/>
      <w:bookmarkStart w:id="710" w:name="_Toc461181919"/>
      <w:bookmarkStart w:id="711" w:name="_Toc461182016"/>
      <w:bookmarkStart w:id="712" w:name="_Toc461182115"/>
      <w:bookmarkStart w:id="713" w:name="_Toc461182213"/>
      <w:bookmarkStart w:id="714" w:name="_Toc461182409"/>
      <w:bookmarkStart w:id="715" w:name="_Toc461182509"/>
      <w:bookmarkStart w:id="716" w:name="_Toc461182607"/>
      <w:bookmarkStart w:id="717" w:name="_Toc461182726"/>
      <w:bookmarkStart w:id="718" w:name="_Toc461183028"/>
      <w:bookmarkStart w:id="719" w:name="_Toc461183348"/>
      <w:bookmarkStart w:id="720" w:name="_Toc461183061"/>
      <w:bookmarkStart w:id="721" w:name="_Toc461183513"/>
      <w:bookmarkStart w:id="722" w:name="_Toc461183618"/>
      <w:bookmarkStart w:id="723" w:name="_Toc461183723"/>
      <w:bookmarkStart w:id="724" w:name="_Toc461183882"/>
      <w:bookmarkStart w:id="725" w:name="_Toc461183987"/>
      <w:bookmarkStart w:id="726" w:name="_Toc461184094"/>
      <w:bookmarkStart w:id="727" w:name="_Toc461184199"/>
      <w:bookmarkStart w:id="728" w:name="_Toc461183908"/>
      <w:bookmarkStart w:id="729" w:name="_Toc461184313"/>
      <w:bookmarkStart w:id="730" w:name="_Toc461184419"/>
      <w:bookmarkStart w:id="731" w:name="_Toc461184524"/>
      <w:bookmarkStart w:id="732" w:name="_Toc461184735"/>
      <w:bookmarkStart w:id="733" w:name="_Toc461184840"/>
      <w:bookmarkStart w:id="734" w:name="_Toc461185021"/>
      <w:bookmarkStart w:id="735" w:name="_Toc461185126"/>
      <w:bookmarkStart w:id="736" w:name="_Toc461185396"/>
      <w:bookmarkStart w:id="737" w:name="_Toc461185501"/>
      <w:bookmarkStart w:id="738" w:name="_Toc461185822"/>
      <w:bookmarkStart w:id="739" w:name="_Toc461185995"/>
      <w:bookmarkStart w:id="740" w:name="_Toc461186246"/>
      <w:bookmarkStart w:id="741" w:name="_Toc461186351"/>
      <w:bookmarkStart w:id="742" w:name="_Toc461186562"/>
      <w:bookmarkStart w:id="743" w:name="_Toc461186667"/>
      <w:bookmarkStart w:id="744" w:name="_Toc461186772"/>
      <w:bookmarkStart w:id="745" w:name="_Toc461186879"/>
      <w:bookmarkStart w:id="746" w:name="_Toc461186984"/>
      <w:bookmarkStart w:id="747" w:name="_Toc462229714"/>
      <w:bookmarkStart w:id="748" w:name="_Toc462230062"/>
      <w:bookmarkStart w:id="749" w:name="_Toc462231423"/>
      <w:bookmarkStart w:id="750" w:name="_Toc463013924"/>
      <w:bookmarkStart w:id="751" w:name="_Toc463014033"/>
      <w:bookmarkStart w:id="752" w:name="_Toc463014467"/>
      <w:bookmarkStart w:id="753" w:name="_Toc463877000"/>
      <w:bookmarkStart w:id="754" w:name="_Toc465862794"/>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r w:rsidRPr="00924CA6">
        <w:t>New innovation data</w:t>
      </w:r>
      <w:bookmarkEnd w:id="747"/>
      <w:bookmarkEnd w:id="748"/>
      <w:bookmarkEnd w:id="749"/>
      <w:bookmarkEnd w:id="750"/>
      <w:bookmarkEnd w:id="751"/>
      <w:bookmarkEnd w:id="752"/>
      <w:bookmarkEnd w:id="753"/>
      <w:bookmarkEnd w:id="754"/>
    </w:p>
    <w:p w14:paraId="7418AF6A" w14:textId="77777777" w:rsidR="00D471AD" w:rsidRPr="001729A3" w:rsidRDefault="00D471AD" w:rsidP="00D471AD">
      <w:pPr>
        <w:pStyle w:val="BodyText"/>
      </w:pPr>
      <w:r w:rsidRPr="001729A3">
        <w:t>To continue meaningful and timely analyses of the Australian innovation system, the Office of the Chief Economist (OCE) at the Department of Industry, Innovation and Science collaborated with the ABS and the Australian Innovation Research Centre at the University of Tasmania to develop a suite of new innovation questions (Methodology 1.3 and feature</w:t>
      </w:r>
      <w:r>
        <w:t xml:space="preserve"> article, Innovating the innovation indicators)</w:t>
      </w:r>
      <w:r w:rsidRPr="001729A3">
        <w:t xml:space="preserve">. Three of these questions were taken up by the ABS in the Business Characteristics Survey (BCS; see Methodology 1.3 and 1.4). Throughout the report we present results from this ‘new generation’ of innovation indicators. </w:t>
      </w:r>
    </w:p>
    <w:p w14:paraId="7418AF6B" w14:textId="77777777" w:rsidR="00D471AD" w:rsidRPr="001729A3" w:rsidRDefault="00D471AD" w:rsidP="00D471AD">
      <w:pPr>
        <w:pStyle w:val="BodyText"/>
        <w:spacing w:after="133"/>
      </w:pPr>
      <w:r w:rsidRPr="00C341E6">
        <w:t>We have also created an</w:t>
      </w:r>
      <w:r w:rsidRPr="00C9759F">
        <w:t>d published an</w:t>
      </w:r>
      <w:r w:rsidRPr="00C341E6">
        <w:t xml:space="preserve"> </w:t>
      </w:r>
      <w:r w:rsidRPr="00C9759F">
        <w:t>Innovation Insights Database</w:t>
      </w:r>
      <w:r w:rsidRPr="00C341E6">
        <w:rPr>
          <w:i/>
        </w:rPr>
        <w:t>,</w:t>
      </w:r>
      <w:r w:rsidRPr="00C341E6">
        <w:t xml:space="preserve"> which collects</w:t>
      </w:r>
      <w:r w:rsidRPr="001729A3">
        <w:t xml:space="preserve"> input, output and outcome indicators of Australia's innovation system using a wide range of publicly available sources.</w:t>
      </w:r>
    </w:p>
    <w:p w14:paraId="7418AF6C" w14:textId="77777777" w:rsidR="00D471AD" w:rsidRPr="001729A3" w:rsidRDefault="00D471AD" w:rsidP="00D471AD">
      <w:pPr>
        <w:pStyle w:val="BodyText"/>
        <w:spacing w:after="120"/>
      </w:pPr>
      <w:r w:rsidRPr="001729A3">
        <w:t>We are able to combine existing data to create new insights or new indicators (Methodology 1.4). The BLADE provides the data environment that enables new indicators that integrate innovation characteristics and administrative data on business performance. A number of these new indicators are cited throughout the report.</w:t>
      </w:r>
    </w:p>
    <w:p w14:paraId="7418AF6D" w14:textId="77777777" w:rsidR="00D471AD" w:rsidRPr="000D502B" w:rsidRDefault="00D471AD" w:rsidP="00D471AD">
      <w:pPr>
        <w:pStyle w:val="Caption"/>
        <w:spacing w:before="113"/>
      </w:pPr>
      <w:r w:rsidRPr="000D502B">
        <w:t xml:space="preserve">Methodology </w:t>
      </w:r>
      <w:fldSimple w:instr=" STYLEREF 1 \s ">
        <w:r>
          <w:rPr>
            <w:noProof/>
          </w:rPr>
          <w:t>1</w:t>
        </w:r>
      </w:fldSimple>
      <w:r w:rsidRPr="000D502B">
        <w:t>.</w:t>
      </w:r>
      <w:fldSimple w:instr=" SEQ Methodology \* ARABIC \s 1 ">
        <w:r>
          <w:rPr>
            <w:noProof/>
          </w:rPr>
          <w:t>3</w:t>
        </w:r>
      </w:fldSimple>
      <w:r w:rsidRPr="000D502B">
        <w:t xml:space="preserve">: </w:t>
      </w:r>
      <w:r>
        <w:t xml:space="preserve">Three new or significantly improved </w:t>
      </w:r>
      <w:r w:rsidRPr="000D502B">
        <w:t>question</w:t>
      </w:r>
      <w:r>
        <w:t>s</w:t>
      </w:r>
      <w:r w:rsidRPr="000D502B">
        <w:t xml:space="preserve"> in the Business Characteristics Survey</w:t>
      </w:r>
    </w:p>
    <w:tbl>
      <w:tblPr>
        <w:tblStyle w:val="OCETable"/>
        <w:tblW w:w="4706" w:type="dxa"/>
        <w:tblInd w:w="57" w:type="dxa"/>
        <w:shd w:val="clear" w:color="auto" w:fill="292B67"/>
        <w:tblLayout w:type="fixed"/>
        <w:tblLook w:val="04A0" w:firstRow="1" w:lastRow="0" w:firstColumn="1" w:lastColumn="0" w:noHBand="0" w:noVBand="1"/>
        <w:tblCaption w:val="Three new or significantly improved questions in the Business Characteristics Survey"/>
        <w:tblDescription w:val="1.Innovation frequency&#10;The number of new or significantly improved goods or services introduced&#10;The number of new or significantly improved operational processes introduced&#10;The number of new or significantly improved organisational/managerial processes introduced &#10;The number of new or significantly improved marketing methods introduced&#10;2.Innovation investment &#10;Greater innovation expenditure ranges and a new percentage allocation against different types of expenditure.&#10;Additional innovation expenditure options: &#10;-Re-organisation of existing business models, work practices and decision-making processes&#10;-Other labour costs related to the development or introduction of new goods, services, processes or methods&#10;3.Innovation impact&#10;The percentage of income that resulted from new or significantly improved goods or services introduced&#10;"/>
      </w:tblPr>
      <w:tblGrid>
        <w:gridCol w:w="4706"/>
      </w:tblGrid>
      <w:tr w:rsidR="00D471AD" w:rsidRPr="000D502B" w14:paraId="7418AF7A"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92B67"/>
          </w:tcPr>
          <w:p w14:paraId="7418AF6E" w14:textId="77777777" w:rsidR="00D471AD" w:rsidRPr="00C5040E" w:rsidRDefault="00D471AD" w:rsidP="00D471AD">
            <w:pPr>
              <w:pStyle w:val="ListBullet"/>
              <w:numPr>
                <w:ilvl w:val="0"/>
                <w:numId w:val="26"/>
              </w:numPr>
              <w:rPr>
                <w:i w:val="0"/>
                <w:color w:val="FFFFFF" w:themeColor="background1"/>
              </w:rPr>
            </w:pPr>
            <w:r w:rsidRPr="00647AF9">
              <w:rPr>
                <w:color w:val="FFFFFF" w:themeColor="background1"/>
              </w:rPr>
              <w:t>Innovation frequency</w:t>
            </w:r>
          </w:p>
          <w:p w14:paraId="7418AF6F" w14:textId="77777777" w:rsidR="00D471AD" w:rsidRPr="00C5040E" w:rsidRDefault="00D471AD" w:rsidP="00D471AD">
            <w:pPr>
              <w:pStyle w:val="ListBullet"/>
              <w:numPr>
                <w:ilvl w:val="0"/>
                <w:numId w:val="17"/>
              </w:numPr>
              <w:ind w:right="113"/>
              <w:rPr>
                <w:i w:val="0"/>
                <w:color w:val="FFFFFF" w:themeColor="background1"/>
              </w:rPr>
            </w:pPr>
            <w:r w:rsidRPr="00647AF9">
              <w:rPr>
                <w:color w:val="FFFFFF" w:themeColor="background1"/>
              </w:rPr>
              <w:t>The number of new or significantly improved goods or services introduced</w:t>
            </w:r>
          </w:p>
          <w:p w14:paraId="7418AF70" w14:textId="77777777" w:rsidR="00D471AD" w:rsidRPr="00C5040E" w:rsidRDefault="00D471AD" w:rsidP="00D471AD">
            <w:pPr>
              <w:pStyle w:val="ListBullet"/>
              <w:numPr>
                <w:ilvl w:val="0"/>
                <w:numId w:val="17"/>
              </w:numPr>
              <w:ind w:right="113"/>
              <w:rPr>
                <w:i w:val="0"/>
                <w:color w:val="FFFFFF" w:themeColor="background1"/>
              </w:rPr>
            </w:pPr>
            <w:r w:rsidRPr="00647AF9">
              <w:rPr>
                <w:color w:val="FFFFFF" w:themeColor="background1"/>
              </w:rPr>
              <w:t>The number of new or significantly improved operational processes introduced</w:t>
            </w:r>
          </w:p>
          <w:p w14:paraId="7418AF71" w14:textId="77777777" w:rsidR="00D471AD" w:rsidRPr="00C5040E" w:rsidRDefault="00D471AD" w:rsidP="00D471AD">
            <w:pPr>
              <w:pStyle w:val="ListBullet"/>
              <w:numPr>
                <w:ilvl w:val="0"/>
                <w:numId w:val="17"/>
              </w:numPr>
              <w:ind w:right="113"/>
              <w:rPr>
                <w:i w:val="0"/>
                <w:color w:val="FFFFFF" w:themeColor="background1"/>
              </w:rPr>
            </w:pPr>
            <w:r w:rsidRPr="00647AF9">
              <w:rPr>
                <w:color w:val="FFFFFF" w:themeColor="background1"/>
              </w:rPr>
              <w:t xml:space="preserve">The number of new or significantly improved organisational/managerial processes introduced </w:t>
            </w:r>
          </w:p>
          <w:p w14:paraId="7418AF72" w14:textId="77777777" w:rsidR="00D471AD" w:rsidRPr="00C5040E" w:rsidRDefault="00D471AD" w:rsidP="00D471AD">
            <w:pPr>
              <w:pStyle w:val="ListBullet"/>
              <w:numPr>
                <w:ilvl w:val="0"/>
                <w:numId w:val="17"/>
              </w:numPr>
              <w:ind w:right="113"/>
              <w:rPr>
                <w:i w:val="0"/>
                <w:color w:val="FFFFFF" w:themeColor="background1"/>
              </w:rPr>
            </w:pPr>
            <w:r w:rsidRPr="00647AF9">
              <w:rPr>
                <w:color w:val="FFFFFF" w:themeColor="background1"/>
              </w:rPr>
              <w:t>The number of new or significantly improved marketing methods introduced</w:t>
            </w:r>
          </w:p>
          <w:p w14:paraId="7418AF73" w14:textId="77777777" w:rsidR="00D471AD" w:rsidRPr="00C5040E" w:rsidRDefault="00D471AD" w:rsidP="00D471AD">
            <w:pPr>
              <w:pStyle w:val="ListBullet"/>
              <w:numPr>
                <w:ilvl w:val="0"/>
                <w:numId w:val="26"/>
              </w:numPr>
              <w:ind w:right="113"/>
              <w:rPr>
                <w:i w:val="0"/>
                <w:color w:val="FFFFFF" w:themeColor="background1"/>
              </w:rPr>
            </w:pPr>
            <w:r w:rsidRPr="00647AF9">
              <w:rPr>
                <w:color w:val="FFFFFF" w:themeColor="background1"/>
              </w:rPr>
              <w:t xml:space="preserve">Innovation investment </w:t>
            </w:r>
          </w:p>
          <w:p w14:paraId="7418AF74" w14:textId="77777777" w:rsidR="00D471AD" w:rsidRPr="00C5040E" w:rsidRDefault="00D471AD" w:rsidP="00D471AD">
            <w:pPr>
              <w:pStyle w:val="ListBullet"/>
              <w:numPr>
                <w:ilvl w:val="0"/>
                <w:numId w:val="17"/>
              </w:numPr>
              <w:ind w:right="113"/>
              <w:rPr>
                <w:i w:val="0"/>
                <w:color w:val="FFFFFF" w:themeColor="background1"/>
              </w:rPr>
            </w:pPr>
            <w:r w:rsidRPr="00647AF9">
              <w:rPr>
                <w:color w:val="FFFFFF" w:themeColor="background1"/>
              </w:rPr>
              <w:t xml:space="preserve">Greater innovation expenditure ranges and a new percentage allocation against different types of </w:t>
            </w:r>
            <w:r w:rsidRPr="00C5040E">
              <w:rPr>
                <w:i w:val="0"/>
                <w:color w:val="FFFFFF" w:themeColor="background1"/>
              </w:rPr>
              <w:t>expenditure</w:t>
            </w:r>
            <w:r w:rsidRPr="00647AF9">
              <w:rPr>
                <w:color w:val="FFFFFF" w:themeColor="background1"/>
              </w:rPr>
              <w:t>.</w:t>
            </w:r>
          </w:p>
          <w:p w14:paraId="7418AF75" w14:textId="77777777" w:rsidR="00D471AD" w:rsidRPr="00C5040E" w:rsidRDefault="00D471AD" w:rsidP="00D471AD">
            <w:pPr>
              <w:pStyle w:val="ListBullet"/>
              <w:numPr>
                <w:ilvl w:val="0"/>
                <w:numId w:val="17"/>
              </w:numPr>
              <w:ind w:right="113"/>
              <w:rPr>
                <w:i w:val="0"/>
                <w:color w:val="FFFFFF" w:themeColor="background1"/>
              </w:rPr>
            </w:pPr>
            <w:r w:rsidRPr="00647AF9">
              <w:rPr>
                <w:color w:val="FFFFFF" w:themeColor="background1"/>
              </w:rPr>
              <w:t xml:space="preserve">Additional innovation expenditure options: </w:t>
            </w:r>
          </w:p>
          <w:p w14:paraId="7418AF76" w14:textId="77777777" w:rsidR="00D471AD" w:rsidRPr="00C5040E" w:rsidRDefault="00D471AD" w:rsidP="00D471AD">
            <w:pPr>
              <w:pStyle w:val="ListBullet2"/>
              <w:numPr>
                <w:ilvl w:val="1"/>
                <w:numId w:val="17"/>
              </w:numPr>
              <w:ind w:right="113"/>
              <w:rPr>
                <w:i w:val="0"/>
                <w:color w:val="FFFFFF" w:themeColor="background1"/>
              </w:rPr>
            </w:pPr>
            <w:r w:rsidRPr="00647AF9">
              <w:rPr>
                <w:color w:val="FFFFFF" w:themeColor="background1"/>
              </w:rPr>
              <w:t>Re-organisation of existing business models, work practices and decision</w:t>
            </w:r>
            <w:r w:rsidRPr="00C5040E">
              <w:rPr>
                <w:i w:val="0"/>
                <w:color w:val="FFFFFF" w:themeColor="background1"/>
              </w:rPr>
              <w:t>-</w:t>
            </w:r>
            <w:r w:rsidRPr="00647AF9">
              <w:rPr>
                <w:color w:val="FFFFFF" w:themeColor="background1"/>
              </w:rPr>
              <w:t>making processes</w:t>
            </w:r>
          </w:p>
          <w:p w14:paraId="7418AF77" w14:textId="77777777" w:rsidR="00D471AD" w:rsidRPr="00C5040E" w:rsidRDefault="00D471AD" w:rsidP="00D471AD">
            <w:pPr>
              <w:pStyle w:val="ListBullet2"/>
              <w:numPr>
                <w:ilvl w:val="1"/>
                <w:numId w:val="17"/>
              </w:numPr>
              <w:ind w:right="113"/>
              <w:rPr>
                <w:i w:val="0"/>
                <w:color w:val="FFFFFF" w:themeColor="background1"/>
              </w:rPr>
            </w:pPr>
            <w:r w:rsidRPr="00647AF9">
              <w:rPr>
                <w:color w:val="FFFFFF" w:themeColor="background1"/>
              </w:rPr>
              <w:t>Other labour costs related to the development or introduction of new goods, services, processes or methods</w:t>
            </w:r>
          </w:p>
          <w:p w14:paraId="7418AF78" w14:textId="77777777" w:rsidR="00D471AD" w:rsidRPr="00C5040E" w:rsidRDefault="00D471AD" w:rsidP="00D471AD">
            <w:pPr>
              <w:pStyle w:val="ListBullet"/>
              <w:numPr>
                <w:ilvl w:val="0"/>
                <w:numId w:val="26"/>
              </w:numPr>
              <w:ind w:right="113"/>
              <w:rPr>
                <w:i w:val="0"/>
                <w:color w:val="FFFFFF" w:themeColor="background1"/>
              </w:rPr>
            </w:pPr>
            <w:r w:rsidRPr="00647AF9">
              <w:rPr>
                <w:color w:val="FFFFFF" w:themeColor="background1"/>
              </w:rPr>
              <w:t>Innovation impact</w:t>
            </w:r>
          </w:p>
          <w:p w14:paraId="7418AF79" w14:textId="77777777" w:rsidR="00D471AD" w:rsidRPr="001729A3" w:rsidRDefault="00D471AD" w:rsidP="00D471AD">
            <w:pPr>
              <w:pStyle w:val="ListBullet"/>
              <w:numPr>
                <w:ilvl w:val="0"/>
                <w:numId w:val="17"/>
              </w:numPr>
              <w:spacing w:after="114"/>
              <w:ind w:right="113"/>
            </w:pPr>
            <w:r w:rsidRPr="00647AF9">
              <w:rPr>
                <w:color w:val="FFFFFF" w:themeColor="background1"/>
              </w:rPr>
              <w:t>The percentage of income that resulted from new or significantly improved goods or services introduced</w:t>
            </w:r>
          </w:p>
        </w:tc>
      </w:tr>
    </w:tbl>
    <w:p w14:paraId="7418AF7B" w14:textId="77777777" w:rsidR="00D471AD" w:rsidRDefault="00D471AD" w:rsidP="00D471AD"/>
    <w:p w14:paraId="7418AF7C" w14:textId="77777777" w:rsidR="00D471AD" w:rsidRPr="0061710B" w:rsidRDefault="00D471AD" w:rsidP="00D471AD">
      <w:pPr>
        <w:sectPr w:rsidR="00D471AD" w:rsidRPr="0061710B" w:rsidSect="00D471AD">
          <w:footnotePr>
            <w:numFmt w:val="upperRoman"/>
          </w:footnotePr>
          <w:endnotePr>
            <w:numFmt w:val="decimal"/>
          </w:endnotePr>
          <w:type w:val="continuous"/>
          <w:pgSz w:w="11906" w:h="16838" w:code="9"/>
          <w:pgMar w:top="1440" w:right="992" w:bottom="1440" w:left="992" w:header="709" w:footer="709" w:gutter="0"/>
          <w:cols w:num="2" w:space="971"/>
          <w:docGrid w:linePitch="360"/>
        </w:sectPr>
      </w:pPr>
    </w:p>
    <w:p w14:paraId="7418AF7D" w14:textId="77777777" w:rsidR="00D471AD" w:rsidRPr="000D502B" w:rsidRDefault="00D471AD" w:rsidP="00D471AD">
      <w:pPr>
        <w:pStyle w:val="Caption"/>
        <w:spacing w:before="114"/>
      </w:pPr>
      <w:r w:rsidRPr="000D502B">
        <w:t xml:space="preserve">Definition </w:t>
      </w:r>
      <w:fldSimple w:instr=" STYLEREF 1 \s ">
        <w:r>
          <w:rPr>
            <w:noProof/>
          </w:rPr>
          <w:t>1</w:t>
        </w:r>
      </w:fldSimple>
      <w:r w:rsidRPr="000D502B">
        <w:t>.</w:t>
      </w:r>
      <w:fldSimple w:instr=" SEQ Definition \* ARABIC \s 1 ">
        <w:r>
          <w:rPr>
            <w:noProof/>
          </w:rPr>
          <w:t>3</w:t>
        </w:r>
      </w:fldSimple>
      <w:r w:rsidRPr="000D502B">
        <w:t xml:space="preserve">: Types of innovation </w:t>
      </w:r>
    </w:p>
    <w:tbl>
      <w:tblPr>
        <w:tblStyle w:val="OCETable"/>
        <w:tblW w:w="5000" w:type="pct"/>
        <w:tblInd w:w="57" w:type="dxa"/>
        <w:tblLayout w:type="fixed"/>
        <w:tblLook w:val="04A0" w:firstRow="1" w:lastRow="0" w:firstColumn="1" w:lastColumn="0" w:noHBand="0" w:noVBand="1"/>
        <w:tblCaption w:val="Types of innovation"/>
        <w:tblDescription w:val="Product innovation is the introduction of a good or service that is new or significantly improved with respect to its characteristics or intended uses. This includes significant improvements in technical specifications, components and materials, incorporated software, user friendliness, or other functional characteristics.&#10;Process innovation is the implementation of a new or significantly improved production or delivery method. This includes significant changes in techniques, equipment and/or software.&#10;Marketing innovation is the implementation of a new marketing method involving significant changes in product design or packaging, product placement, product promotion, or pricing.&#10;Organisational innovation is the implementation of a new organisational method in the business’ business practices, workplace organisation, or external relations.&#10;Source: OECD (2005) Glossary of statistical terms&#10;"/>
      </w:tblPr>
      <w:tblGrid>
        <w:gridCol w:w="9894"/>
      </w:tblGrid>
      <w:tr w:rsidR="00D471AD" w:rsidRPr="000D502B" w14:paraId="7418AF83"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Mar>
              <w:left w:w="0" w:type="dxa"/>
              <w:right w:w="0" w:type="dxa"/>
            </w:tcMar>
          </w:tcPr>
          <w:p w14:paraId="7418AF7E" w14:textId="77777777" w:rsidR="00D471AD" w:rsidRPr="00882E31" w:rsidRDefault="00D471AD" w:rsidP="004A31A9">
            <w:pPr>
              <w:pStyle w:val="Definitiontext"/>
              <w:spacing w:before="240"/>
              <w:rPr>
                <w:i/>
                <w:lang w:val="en-AU"/>
              </w:rPr>
            </w:pPr>
            <w:r w:rsidRPr="00882E31">
              <w:rPr>
                <w:b/>
                <w:i/>
              </w:rPr>
              <w:t xml:space="preserve">Product innovation </w:t>
            </w:r>
            <w:r w:rsidRPr="00882E31">
              <w:rPr>
                <w:lang w:val="en-AU"/>
              </w:rPr>
              <w:t>is the introduction of a good or service that is new or significantly improved with respect to its characteristics or intended uses. This includes significant improvements in technical specifications, components and materials, incorporated software, user friendliness, or other functional characteristics.</w:t>
            </w:r>
          </w:p>
          <w:p w14:paraId="7418AF7F" w14:textId="77777777" w:rsidR="00D471AD" w:rsidRPr="00882E31" w:rsidRDefault="00D471AD" w:rsidP="004A31A9">
            <w:pPr>
              <w:pStyle w:val="Definitiontext"/>
              <w:spacing w:before="240"/>
              <w:rPr>
                <w:i/>
                <w:lang w:val="en-AU"/>
              </w:rPr>
            </w:pPr>
            <w:r w:rsidRPr="00882E31">
              <w:rPr>
                <w:b/>
                <w:i/>
              </w:rPr>
              <w:t>Process innovation</w:t>
            </w:r>
            <w:r w:rsidRPr="00882E31">
              <w:rPr>
                <w:b/>
                <w:lang w:val="en-AU"/>
              </w:rPr>
              <w:t xml:space="preserve"> </w:t>
            </w:r>
            <w:r w:rsidRPr="00882E31">
              <w:rPr>
                <w:lang w:val="en-AU"/>
              </w:rPr>
              <w:t>is the implementation of a new or significantly improved production or delivery method. This includes significant changes in techniques, equipment and/or software.</w:t>
            </w:r>
          </w:p>
          <w:p w14:paraId="7418AF80" w14:textId="77777777" w:rsidR="00D471AD" w:rsidRPr="00882E31" w:rsidRDefault="00D471AD" w:rsidP="004A31A9">
            <w:pPr>
              <w:pStyle w:val="Definitiontext"/>
              <w:spacing w:before="240"/>
              <w:rPr>
                <w:i/>
                <w:lang w:val="en-AU"/>
              </w:rPr>
            </w:pPr>
            <w:r w:rsidRPr="00882E31">
              <w:rPr>
                <w:b/>
                <w:i/>
              </w:rPr>
              <w:t>Marketing innovation</w:t>
            </w:r>
            <w:r w:rsidRPr="00882E31">
              <w:rPr>
                <w:b/>
                <w:lang w:val="en-AU"/>
              </w:rPr>
              <w:t xml:space="preserve"> </w:t>
            </w:r>
            <w:r w:rsidRPr="00882E31">
              <w:rPr>
                <w:lang w:val="en-AU"/>
              </w:rPr>
              <w:t>is the implementation of a new marketing method involving significant changes in product design or packaging, product placement, product promotion, or pricing.</w:t>
            </w:r>
          </w:p>
          <w:p w14:paraId="7418AF81" w14:textId="77777777" w:rsidR="00D471AD" w:rsidRDefault="00D471AD" w:rsidP="004A31A9">
            <w:pPr>
              <w:pStyle w:val="Definitiontext"/>
              <w:spacing w:after="113"/>
              <w:rPr>
                <w:lang w:val="en-AU"/>
              </w:rPr>
            </w:pPr>
            <w:r w:rsidRPr="00882E31">
              <w:rPr>
                <w:b/>
                <w:i/>
              </w:rPr>
              <w:t>Organisational innovation</w:t>
            </w:r>
            <w:r w:rsidRPr="00882E31">
              <w:rPr>
                <w:b/>
                <w:lang w:val="en-AU"/>
              </w:rPr>
              <w:t xml:space="preserve"> </w:t>
            </w:r>
            <w:r w:rsidRPr="00882E31">
              <w:rPr>
                <w:lang w:val="en-AU"/>
              </w:rPr>
              <w:t>is the implementation of a new organisational method in the business’ business practices, workplace organisation</w:t>
            </w:r>
            <w:r w:rsidRPr="00882E31">
              <w:rPr>
                <w:i/>
                <w:lang w:val="en-AU"/>
              </w:rPr>
              <w:t>,</w:t>
            </w:r>
            <w:r w:rsidRPr="00882E31">
              <w:rPr>
                <w:lang w:val="en-AU"/>
              </w:rPr>
              <w:t xml:space="preserve"> or external relations.</w:t>
            </w:r>
          </w:p>
          <w:p w14:paraId="7418AF82" w14:textId="77777777" w:rsidR="00D471AD" w:rsidRPr="001729A3" w:rsidRDefault="00D471AD" w:rsidP="004A31A9">
            <w:pPr>
              <w:pStyle w:val="Definitiontext"/>
              <w:spacing w:after="113"/>
              <w:rPr>
                <w:lang w:val="en-AU"/>
              </w:rPr>
            </w:pPr>
            <w:r w:rsidRPr="00C9759F">
              <w:rPr>
                <w:lang w:val="en-AU"/>
              </w:rPr>
              <w:t xml:space="preserve">Source: OECD (2005) </w:t>
            </w:r>
            <w:r w:rsidRPr="00C9759F">
              <w:rPr>
                <w:i/>
                <w:lang w:val="en-AU"/>
              </w:rPr>
              <w:t>Glossary of statistical terms</w:t>
            </w:r>
          </w:p>
        </w:tc>
      </w:tr>
    </w:tbl>
    <w:p w14:paraId="7418AF84" w14:textId="77777777" w:rsidR="00D471AD" w:rsidRPr="000D502B" w:rsidRDefault="00D471AD" w:rsidP="00D471AD">
      <w:pPr>
        <w:pStyle w:val="Caption"/>
        <w:keepNext w:val="0"/>
        <w:keepLines w:val="0"/>
        <w:spacing w:before="120"/>
      </w:pPr>
      <w:r w:rsidRPr="000D502B">
        <w:t xml:space="preserve">Methodology </w:t>
      </w:r>
      <w:fldSimple w:instr=" STYLEREF 1 \s ">
        <w:r>
          <w:rPr>
            <w:noProof/>
          </w:rPr>
          <w:t>1</w:t>
        </w:r>
      </w:fldSimple>
      <w:r w:rsidRPr="000D502B">
        <w:t>.</w:t>
      </w:r>
      <w:fldSimple w:instr=" SEQ Methodology \* ARABIC \s 1 ">
        <w:r>
          <w:rPr>
            <w:noProof/>
          </w:rPr>
          <w:t>4</w:t>
        </w:r>
      </w:fldSimple>
      <w:r w:rsidRPr="000D502B">
        <w:t>: Creating novel innovation indicators using the Business Characteristics Survey</w:t>
      </w:r>
    </w:p>
    <w:tbl>
      <w:tblPr>
        <w:tblStyle w:val="OCETable"/>
        <w:tblpPr w:leftFromText="180" w:rightFromText="180" w:vertAnchor="text" w:horzAnchor="margin" w:tblpY="83"/>
        <w:tblW w:w="5015" w:type="pct"/>
        <w:shd w:val="clear" w:color="auto" w:fill="292B67"/>
        <w:tblLayout w:type="fixed"/>
        <w:tblLook w:val="04A0" w:firstRow="1" w:lastRow="0" w:firstColumn="1" w:lastColumn="0" w:noHBand="0" w:noVBand="1"/>
        <w:tblCaption w:val="Creating novel innovation indicators using the Business Characteristics Survey"/>
        <w:tblDescription w:val="The AIS Reports rely on the Business Characteristics Survey (BCS), an annual survey administered by the ABS. The BCS is financially supported each year by the Department of Industry, Innovation and Science. The OCE collaborates with the ABS on the ongoing improvement of the BCS. Several new approaches and indicators discussed in this year’s report flow from this collaboration.&#10;The BCS is the vehicle for the ABS’ Integrated Business Characteristics Strategy, which integrates the collection and quality assurance of data required for input into the ABS’ Business Longitudinal Database. The BCS also produces point-in-time estimates for the use of information technology, innovation, and a broad range of other non-financial characteristics. &#10;Approximately 7000 businesses are randomly sampled using an online questionnaire, which is stratified by industry and employment. The sampling methodologies for the BCS are standard statistical practice and in line with other economic surveys in Australia and the OECD. All businesses on the Australian Business Register identified as having 300 or more employees are included in the sample. The ABS then uses the sample to estimate the activity of the entire employing business population.&#10;A key part of the BCS is a detailed set of questions on business innovation, which are asked every second year. This is why some business innovation data presented in this report is only available every second year. The detailed survey includes questions on drivers, sources of ideas, and collaboration for innovation. &#10;These detailed questions on innovation, and the broader BCS questions on markets and business performance, have allowed the department to undertake detailed analysis of the impact and nature of innovation in Australia, as well as constructing novel, customised innovation indicators. For example, by cross-tabulating business financial indicators with innovation questions, we get Figure 2.8. Any chart in this report that cites ‘ABS customised data’ is an example of this. &#10;The BCS is a relatively small sample of businesses in Australia. It is not a census. This means that when we try to evaluate the performance of small sectors of the economy, the quality of the insights can be poor because of sampling errors or unavailable data due to confidentiality restrictions. This has historically limited our ability to accurately measure the contribution of innovation to economic or productivity growth—a perennial question for policy makers. To develop robust economic policies, at some point Australia needs to measure innovation across all economically active businesses. We suggest that this be done through business income tax collection once every five to ten years.&#10;"/>
      </w:tblPr>
      <w:tblGrid>
        <w:gridCol w:w="9924"/>
      </w:tblGrid>
      <w:tr w:rsidR="00D471AD" w:rsidRPr="000D502B" w14:paraId="7418AF8B"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92B67"/>
          </w:tcPr>
          <w:p w14:paraId="7418AF85" w14:textId="77777777" w:rsidR="00D471AD" w:rsidRPr="00A53774" w:rsidRDefault="00D471AD" w:rsidP="004A31A9">
            <w:pPr>
              <w:pStyle w:val="Methodologyboxtext"/>
              <w:spacing w:before="160"/>
              <w:rPr>
                <w:i w:val="0"/>
              </w:rPr>
            </w:pPr>
            <w:r w:rsidRPr="00A53774">
              <w:rPr>
                <w:i w:val="0"/>
              </w:rPr>
              <w:t xml:space="preserve">The </w:t>
            </w:r>
            <w:r>
              <w:rPr>
                <w:i w:val="0"/>
              </w:rPr>
              <w:t xml:space="preserve">AIS </w:t>
            </w:r>
            <w:r w:rsidRPr="00A53774">
              <w:rPr>
                <w:i w:val="0"/>
              </w:rPr>
              <w:t xml:space="preserve">Reports </w:t>
            </w:r>
            <w:r>
              <w:rPr>
                <w:i w:val="0"/>
              </w:rPr>
              <w:t>rely</w:t>
            </w:r>
            <w:r w:rsidRPr="00A53774">
              <w:rPr>
                <w:i w:val="0"/>
              </w:rPr>
              <w:t xml:space="preserve"> on the Business Characteristics Survey (BCS), an annual survey administered by the ABS. The BCS is financially supported each year by the Department of Industry, Innovation and Science</w:t>
            </w:r>
            <w:r>
              <w:rPr>
                <w:i w:val="0"/>
              </w:rPr>
              <w:t>. T</w:t>
            </w:r>
            <w:r w:rsidRPr="00A53774">
              <w:rPr>
                <w:i w:val="0"/>
              </w:rPr>
              <w:t xml:space="preserve">he </w:t>
            </w:r>
            <w:r>
              <w:rPr>
                <w:i w:val="0"/>
              </w:rPr>
              <w:t xml:space="preserve">OCE </w:t>
            </w:r>
            <w:r w:rsidRPr="00A53774">
              <w:rPr>
                <w:i w:val="0"/>
              </w:rPr>
              <w:t xml:space="preserve">collaborates with the ABS on the ongoing improvement of the BCS. </w:t>
            </w:r>
            <w:r>
              <w:rPr>
                <w:i w:val="0"/>
              </w:rPr>
              <w:t xml:space="preserve">Several new approaches and </w:t>
            </w:r>
            <w:r w:rsidRPr="00A53774">
              <w:rPr>
                <w:i w:val="0"/>
              </w:rPr>
              <w:t xml:space="preserve">indicators discussed in this year’s report </w:t>
            </w:r>
            <w:r>
              <w:rPr>
                <w:i w:val="0"/>
              </w:rPr>
              <w:t xml:space="preserve">flow </w:t>
            </w:r>
            <w:r w:rsidRPr="00A53774">
              <w:rPr>
                <w:i w:val="0"/>
              </w:rPr>
              <w:t>from this collaboration.</w:t>
            </w:r>
          </w:p>
          <w:p w14:paraId="7418AF86" w14:textId="77777777" w:rsidR="00D471AD" w:rsidRPr="00A53774" w:rsidRDefault="00D471AD" w:rsidP="004A31A9">
            <w:pPr>
              <w:pStyle w:val="Methodologyboxtext"/>
              <w:rPr>
                <w:i w:val="0"/>
              </w:rPr>
            </w:pPr>
            <w:r w:rsidRPr="00A53774">
              <w:rPr>
                <w:i w:val="0"/>
              </w:rPr>
              <w:t>The BCS is the vehicle for the ABS’ Integrated Business Characteristics Strategy, which integrate</w:t>
            </w:r>
            <w:r>
              <w:rPr>
                <w:i w:val="0"/>
              </w:rPr>
              <w:t>s</w:t>
            </w:r>
            <w:r w:rsidRPr="00A53774">
              <w:rPr>
                <w:i w:val="0"/>
              </w:rPr>
              <w:t xml:space="preserve"> the collection and quality assurance of data required for input into the ABS’ Business Longitudinal Database. </w:t>
            </w:r>
            <w:r>
              <w:rPr>
                <w:i w:val="0"/>
              </w:rPr>
              <w:t xml:space="preserve">The BCS </w:t>
            </w:r>
            <w:r w:rsidRPr="00A53774">
              <w:rPr>
                <w:i w:val="0"/>
              </w:rPr>
              <w:t>also produces point-in-time estimates for the use of information technology, innovation</w:t>
            </w:r>
            <w:r w:rsidRPr="00660104">
              <w:rPr>
                <w:i w:val="0"/>
              </w:rPr>
              <w:t>,</w:t>
            </w:r>
            <w:r w:rsidRPr="00A53774">
              <w:rPr>
                <w:i w:val="0"/>
              </w:rPr>
              <w:t xml:space="preserve"> and a broad range of other non-financial characteristics.</w:t>
            </w:r>
            <w:r>
              <w:rPr>
                <w:i w:val="0"/>
              </w:rPr>
              <w:t xml:space="preserve"> </w:t>
            </w:r>
          </w:p>
          <w:p w14:paraId="7418AF87" w14:textId="77777777" w:rsidR="00D471AD" w:rsidRPr="0061710B" w:rsidRDefault="00D471AD" w:rsidP="004A31A9">
            <w:pPr>
              <w:pStyle w:val="Methodologyboxtext"/>
              <w:rPr>
                <w:i w:val="0"/>
              </w:rPr>
            </w:pPr>
            <w:r w:rsidRPr="00A53774">
              <w:rPr>
                <w:i w:val="0"/>
              </w:rPr>
              <w:t xml:space="preserve">Approximately 7000 </w:t>
            </w:r>
            <w:r>
              <w:rPr>
                <w:i w:val="0"/>
              </w:rPr>
              <w:t xml:space="preserve">businesses </w:t>
            </w:r>
            <w:r w:rsidRPr="00A53774">
              <w:rPr>
                <w:i w:val="0"/>
              </w:rPr>
              <w:t>are randomly sampled using an online questionnaire</w:t>
            </w:r>
            <w:r>
              <w:rPr>
                <w:i w:val="0"/>
              </w:rPr>
              <w:t xml:space="preserve">, which </w:t>
            </w:r>
            <w:r w:rsidRPr="00A53774">
              <w:rPr>
                <w:i w:val="0"/>
              </w:rPr>
              <w:t xml:space="preserve">is stratified by industry and employment. </w:t>
            </w:r>
            <w:r w:rsidRPr="005950BC">
              <w:rPr>
                <w:i w:val="0"/>
              </w:rPr>
              <w:t xml:space="preserve">The sampling </w:t>
            </w:r>
            <w:r>
              <w:rPr>
                <w:i w:val="0"/>
              </w:rPr>
              <w:t xml:space="preserve">methodologies </w:t>
            </w:r>
            <w:r w:rsidRPr="005950BC">
              <w:rPr>
                <w:i w:val="0"/>
              </w:rPr>
              <w:t xml:space="preserve">for </w:t>
            </w:r>
            <w:r>
              <w:rPr>
                <w:i w:val="0"/>
              </w:rPr>
              <w:t xml:space="preserve">the </w:t>
            </w:r>
            <w:r w:rsidRPr="005950BC">
              <w:rPr>
                <w:i w:val="0"/>
              </w:rPr>
              <w:t xml:space="preserve">BCS </w:t>
            </w:r>
            <w:r>
              <w:rPr>
                <w:i w:val="0"/>
              </w:rPr>
              <w:t xml:space="preserve">are </w:t>
            </w:r>
            <w:r w:rsidRPr="005950BC">
              <w:rPr>
                <w:i w:val="0"/>
              </w:rPr>
              <w:t xml:space="preserve">standard statistical practice </w:t>
            </w:r>
            <w:r>
              <w:rPr>
                <w:i w:val="0"/>
              </w:rPr>
              <w:t xml:space="preserve">and in line with </w:t>
            </w:r>
            <w:r w:rsidRPr="005950BC">
              <w:rPr>
                <w:i w:val="0"/>
              </w:rPr>
              <w:t xml:space="preserve">other economic surveys in Australia </w:t>
            </w:r>
            <w:r>
              <w:rPr>
                <w:i w:val="0"/>
              </w:rPr>
              <w:t xml:space="preserve">and </w:t>
            </w:r>
            <w:r w:rsidRPr="005950BC">
              <w:rPr>
                <w:i w:val="0"/>
              </w:rPr>
              <w:t>the OECD</w:t>
            </w:r>
            <w:r w:rsidRPr="0061710B">
              <w:rPr>
                <w:i w:val="0"/>
              </w:rPr>
              <w:t>. All businesses on the Australian Business Register identified as having 300 or more employees are included in the sample. The ABS then uses the sample to estimate the activity of the entire employing business population.</w:t>
            </w:r>
          </w:p>
          <w:p w14:paraId="7418AF88" w14:textId="77777777" w:rsidR="00D471AD" w:rsidRPr="00A53774" w:rsidRDefault="00D471AD" w:rsidP="004A31A9">
            <w:pPr>
              <w:pStyle w:val="Methodologyboxtext"/>
              <w:rPr>
                <w:i w:val="0"/>
              </w:rPr>
            </w:pPr>
            <w:r w:rsidRPr="00A53774">
              <w:rPr>
                <w:i w:val="0"/>
              </w:rPr>
              <w:t>A key part of the BCS is a detailed set of questions on business innovation</w:t>
            </w:r>
            <w:r>
              <w:rPr>
                <w:i w:val="0"/>
              </w:rPr>
              <w:t>,</w:t>
            </w:r>
            <w:r w:rsidRPr="00A53774">
              <w:rPr>
                <w:i w:val="0"/>
              </w:rPr>
              <w:t xml:space="preserve"> </w:t>
            </w:r>
            <w:r>
              <w:rPr>
                <w:i w:val="0"/>
              </w:rPr>
              <w:t xml:space="preserve">which </w:t>
            </w:r>
            <w:r w:rsidRPr="00A53774">
              <w:rPr>
                <w:i w:val="0"/>
              </w:rPr>
              <w:t>are asked every second year. This is why some business innovation data presented in this report is only available every second year. The detailed survey includes questions on drivers, sources of ideas</w:t>
            </w:r>
            <w:r w:rsidRPr="00660104">
              <w:rPr>
                <w:i w:val="0"/>
              </w:rPr>
              <w:t>,</w:t>
            </w:r>
            <w:r w:rsidRPr="00A53774">
              <w:rPr>
                <w:i w:val="0"/>
              </w:rPr>
              <w:t xml:space="preserve"> and collaboration for innovation. </w:t>
            </w:r>
          </w:p>
          <w:p w14:paraId="7418AF89" w14:textId="77777777" w:rsidR="00D471AD" w:rsidRPr="00A53774" w:rsidRDefault="00D471AD" w:rsidP="004A31A9">
            <w:pPr>
              <w:pStyle w:val="Methodologyboxtext"/>
              <w:rPr>
                <w:i w:val="0"/>
              </w:rPr>
            </w:pPr>
            <w:r w:rsidRPr="00A53774">
              <w:rPr>
                <w:i w:val="0"/>
              </w:rPr>
              <w:t xml:space="preserve">These detailed questions on innovation, and the broader BCS questions on markets and business performance, have allowed the </w:t>
            </w:r>
            <w:r>
              <w:rPr>
                <w:i w:val="0"/>
              </w:rPr>
              <w:t>d</w:t>
            </w:r>
            <w:r w:rsidRPr="00A53774">
              <w:rPr>
                <w:i w:val="0"/>
              </w:rPr>
              <w:t xml:space="preserve">epartment to undertake detailed analysis of the impact and nature of innovation in Australia, as well as </w:t>
            </w:r>
            <w:r>
              <w:rPr>
                <w:i w:val="0"/>
              </w:rPr>
              <w:t xml:space="preserve">constructing </w:t>
            </w:r>
            <w:r w:rsidRPr="00A53774">
              <w:rPr>
                <w:i w:val="0"/>
              </w:rPr>
              <w:t xml:space="preserve">novel, customised innovation indicators. For example, by cross-tabulating business financial indicators with innovation questions, we get </w:t>
            </w:r>
            <w:r>
              <w:rPr>
                <w:i w:val="0"/>
              </w:rPr>
              <w:t>Figure 2.8</w:t>
            </w:r>
            <w:r w:rsidRPr="00A53774">
              <w:rPr>
                <w:i w:val="0"/>
              </w:rPr>
              <w:t xml:space="preserve">. Any chart in this report that cites ‘ABS customised data’ is an example of this. </w:t>
            </w:r>
          </w:p>
          <w:p w14:paraId="7418AF8A" w14:textId="77777777" w:rsidR="00D471AD" w:rsidRPr="001729A3" w:rsidRDefault="00D471AD" w:rsidP="004A31A9">
            <w:pPr>
              <w:pStyle w:val="Methodologyboxtext"/>
            </w:pPr>
            <w:r w:rsidRPr="00A53774">
              <w:rPr>
                <w:i w:val="0"/>
              </w:rPr>
              <w:t xml:space="preserve">The BCS is a relatively small sample of </w:t>
            </w:r>
            <w:r>
              <w:rPr>
                <w:i w:val="0"/>
              </w:rPr>
              <w:t xml:space="preserve">businesses </w:t>
            </w:r>
            <w:r w:rsidRPr="00A53774">
              <w:rPr>
                <w:i w:val="0"/>
              </w:rPr>
              <w:t>in Australia. It is not a census. This means that when we try to evaluate the performance of small sectors of the economy</w:t>
            </w:r>
            <w:r w:rsidRPr="00660104">
              <w:rPr>
                <w:i w:val="0"/>
              </w:rPr>
              <w:t>,</w:t>
            </w:r>
            <w:r w:rsidRPr="00A53774">
              <w:rPr>
                <w:i w:val="0"/>
              </w:rPr>
              <w:t xml:space="preserve"> the quality </w:t>
            </w:r>
            <w:r>
              <w:rPr>
                <w:i w:val="0"/>
              </w:rPr>
              <w:t xml:space="preserve">of the insights </w:t>
            </w:r>
            <w:r w:rsidRPr="00A53774">
              <w:rPr>
                <w:i w:val="0"/>
              </w:rPr>
              <w:t>can be poor</w:t>
            </w:r>
            <w:r>
              <w:rPr>
                <w:i w:val="0"/>
              </w:rPr>
              <w:t xml:space="preserve"> because of sampling errors</w:t>
            </w:r>
            <w:r w:rsidRPr="00A53774">
              <w:rPr>
                <w:i w:val="0"/>
              </w:rPr>
              <w:t xml:space="preserve"> or unavailable </w:t>
            </w:r>
            <w:r>
              <w:rPr>
                <w:i w:val="0"/>
              </w:rPr>
              <w:t xml:space="preserve">data </w:t>
            </w:r>
            <w:r w:rsidRPr="00A53774">
              <w:rPr>
                <w:i w:val="0"/>
              </w:rPr>
              <w:t>due to confidentiality restrictions. This has historically limited our ability to accurately measure the contribution of innovation to economic or productivity growth</w:t>
            </w:r>
            <w:r w:rsidRPr="00660104">
              <w:rPr>
                <w:i w:val="0"/>
              </w:rPr>
              <w:t>—</w:t>
            </w:r>
            <w:r w:rsidRPr="00A53774">
              <w:rPr>
                <w:i w:val="0"/>
              </w:rPr>
              <w:t xml:space="preserve">a perennial question </w:t>
            </w:r>
            <w:r>
              <w:rPr>
                <w:i w:val="0"/>
              </w:rPr>
              <w:t>for</w:t>
            </w:r>
            <w:r w:rsidRPr="00A53774">
              <w:rPr>
                <w:i w:val="0"/>
              </w:rPr>
              <w:t xml:space="preserve"> policy</w:t>
            </w:r>
            <w:r w:rsidRPr="00660104">
              <w:rPr>
                <w:i w:val="0"/>
              </w:rPr>
              <w:t xml:space="preserve"> </w:t>
            </w:r>
            <w:r w:rsidRPr="00A53774">
              <w:rPr>
                <w:i w:val="0"/>
              </w:rPr>
              <w:t xml:space="preserve">makers. </w:t>
            </w:r>
            <w:r>
              <w:rPr>
                <w:i w:val="0"/>
              </w:rPr>
              <w:t>To develop robust economic policies, a</w:t>
            </w:r>
            <w:r w:rsidRPr="00A53774">
              <w:rPr>
                <w:i w:val="0"/>
              </w:rPr>
              <w:t xml:space="preserve">t some point Australia needs to measure innovation across all economically active </w:t>
            </w:r>
            <w:r>
              <w:rPr>
                <w:i w:val="0"/>
              </w:rPr>
              <w:t>businesses</w:t>
            </w:r>
            <w:r w:rsidRPr="00A53774">
              <w:rPr>
                <w:i w:val="0"/>
              </w:rPr>
              <w:t xml:space="preserve">. We suggest that this be done through </w:t>
            </w:r>
            <w:r>
              <w:rPr>
                <w:i w:val="0"/>
              </w:rPr>
              <w:t>b</w:t>
            </w:r>
            <w:r w:rsidRPr="00A53774">
              <w:rPr>
                <w:i w:val="0"/>
              </w:rPr>
              <w:t xml:space="preserve">usiness </w:t>
            </w:r>
            <w:r>
              <w:rPr>
                <w:i w:val="0"/>
              </w:rPr>
              <w:t>i</w:t>
            </w:r>
            <w:r w:rsidRPr="00A53774">
              <w:rPr>
                <w:i w:val="0"/>
              </w:rPr>
              <w:t xml:space="preserve">ncome </w:t>
            </w:r>
            <w:r>
              <w:rPr>
                <w:i w:val="0"/>
              </w:rPr>
              <w:t>t</w:t>
            </w:r>
            <w:r w:rsidRPr="00A53774">
              <w:rPr>
                <w:i w:val="0"/>
              </w:rPr>
              <w:t>ax collection once every five to ten years.</w:t>
            </w:r>
          </w:p>
        </w:tc>
      </w:tr>
    </w:tbl>
    <w:p w14:paraId="7418AF8C" w14:textId="77777777" w:rsidR="00D471AD" w:rsidRPr="001729A3" w:rsidRDefault="00D471AD" w:rsidP="00D471AD">
      <w:pPr>
        <w:pStyle w:val="BodyText"/>
      </w:pPr>
    </w:p>
    <w:p w14:paraId="7418AF8D" w14:textId="77777777" w:rsidR="00D471AD" w:rsidRPr="001729A3" w:rsidRDefault="00D471AD" w:rsidP="00D471AD">
      <w:pPr>
        <w:pStyle w:val="BodyText"/>
        <w:sectPr w:rsidR="00D471AD" w:rsidRPr="001729A3" w:rsidSect="00D471AD">
          <w:footnotePr>
            <w:numFmt w:val="upperRoman"/>
          </w:footnotePr>
          <w:endnotePr>
            <w:numFmt w:val="decimal"/>
          </w:endnotePr>
          <w:pgSz w:w="11906" w:h="16838" w:code="9"/>
          <w:pgMar w:top="1440" w:right="1020" w:bottom="1440" w:left="992" w:header="709" w:footer="709" w:gutter="0"/>
          <w:cols w:space="708"/>
          <w:docGrid w:linePitch="360"/>
        </w:sectPr>
      </w:pPr>
    </w:p>
    <w:p w14:paraId="7418AF8E" w14:textId="77777777" w:rsidR="00D471AD" w:rsidRPr="001729A3" w:rsidRDefault="00D471AD" w:rsidP="00D471AD">
      <w:pPr>
        <w:pStyle w:val="BodyText"/>
      </w:pPr>
    </w:p>
    <w:p w14:paraId="7418AF8F" w14:textId="77777777" w:rsidR="00D471AD" w:rsidRPr="001729A3" w:rsidRDefault="00D471AD" w:rsidP="00D471AD">
      <w:pPr>
        <w:pStyle w:val="BodyText"/>
        <w:sectPr w:rsidR="00D471AD" w:rsidRPr="001729A3" w:rsidSect="00D471AD">
          <w:footnotePr>
            <w:numFmt w:val="upperRoman"/>
          </w:footnotePr>
          <w:endnotePr>
            <w:numFmt w:val="decimal"/>
          </w:endnotePr>
          <w:type w:val="continuous"/>
          <w:pgSz w:w="11906" w:h="16838" w:code="9"/>
          <w:pgMar w:top="1440" w:right="1020" w:bottom="1440" w:left="992" w:header="709" w:footer="709" w:gutter="0"/>
          <w:cols w:num="2" w:space="708"/>
          <w:docGrid w:linePitch="360"/>
        </w:sectPr>
      </w:pPr>
    </w:p>
    <w:p w14:paraId="7418AF90" w14:textId="77777777" w:rsidR="00D471AD" w:rsidRPr="001729A3" w:rsidRDefault="00D471AD" w:rsidP="00D471AD">
      <w:pPr>
        <w:pStyle w:val="BodyText"/>
        <w:sectPr w:rsidR="00D471AD" w:rsidRPr="001729A3" w:rsidSect="00D471AD">
          <w:footnotePr>
            <w:numFmt w:val="upperRoman"/>
          </w:footnotePr>
          <w:endnotePr>
            <w:numFmt w:val="decimal"/>
          </w:endnotePr>
          <w:pgSz w:w="11906" w:h="16838" w:code="9"/>
          <w:pgMar w:top="1440" w:right="1020" w:bottom="1440" w:left="992" w:header="709" w:footer="709" w:gutter="0"/>
          <w:cols w:num="2" w:space="708"/>
          <w:docGrid w:linePitch="360"/>
        </w:sectPr>
      </w:pPr>
    </w:p>
    <w:p w14:paraId="7418AF91" w14:textId="77777777" w:rsidR="00D471AD" w:rsidRPr="001729A3" w:rsidRDefault="00D471AD" w:rsidP="00D471AD">
      <w:pPr>
        <w:pStyle w:val="FACSheading"/>
        <w:rPr>
          <w:lang w:val="en-AU"/>
        </w:rPr>
      </w:pPr>
      <w:bookmarkStart w:id="755" w:name="_Toc461624457"/>
      <w:bookmarkStart w:id="756" w:name="_Toc461629682"/>
      <w:bookmarkStart w:id="757" w:name="_Toc461633012"/>
      <w:bookmarkStart w:id="758" w:name="_Toc461634282"/>
      <w:bookmarkStart w:id="759" w:name="_Toc462229715"/>
      <w:bookmarkStart w:id="760" w:name="_Toc462230063"/>
      <w:bookmarkStart w:id="761" w:name="_Toc462231424"/>
      <w:bookmarkStart w:id="762" w:name="_Toc463013925"/>
      <w:bookmarkStart w:id="763" w:name="_Toc463014034"/>
      <w:bookmarkStart w:id="764" w:name="_Toc463014468"/>
      <w:bookmarkStart w:id="765" w:name="_Toc463877001"/>
      <w:bookmarkStart w:id="766" w:name="_Toc465862795"/>
      <w:r w:rsidRPr="001729A3">
        <w:rPr>
          <w:lang w:val="en-AU"/>
        </w:rPr>
        <w:t>Feature article: Innovating the innovation indicator</w:t>
      </w:r>
      <w:bookmarkEnd w:id="755"/>
      <w:bookmarkEnd w:id="756"/>
      <w:bookmarkEnd w:id="757"/>
      <w:bookmarkEnd w:id="758"/>
      <w:r w:rsidRPr="001729A3">
        <w:rPr>
          <w:lang w:val="en-AU"/>
        </w:rPr>
        <w:t>s</w:t>
      </w:r>
      <w:bookmarkEnd w:id="759"/>
      <w:bookmarkEnd w:id="760"/>
      <w:bookmarkEnd w:id="761"/>
      <w:bookmarkEnd w:id="762"/>
      <w:bookmarkEnd w:id="763"/>
      <w:bookmarkEnd w:id="764"/>
      <w:bookmarkEnd w:id="765"/>
      <w:bookmarkEnd w:id="766"/>
    </w:p>
    <w:tbl>
      <w:tblPr>
        <w:tblW w:w="0" w:type="auto"/>
        <w:tblLook w:val="04A0" w:firstRow="1" w:lastRow="0" w:firstColumn="1" w:lastColumn="0" w:noHBand="0" w:noVBand="1"/>
      </w:tblPr>
      <w:tblGrid>
        <w:gridCol w:w="4159"/>
      </w:tblGrid>
      <w:tr w:rsidR="00D471AD" w:rsidRPr="000D502B" w14:paraId="7418AF93" w14:textId="77777777" w:rsidTr="004A31A9">
        <w:tc>
          <w:tcPr>
            <w:tcW w:w="4159" w:type="dxa"/>
          </w:tcPr>
          <w:p w14:paraId="7418AF92" w14:textId="77777777" w:rsidR="00D471AD" w:rsidRPr="001729A3" w:rsidRDefault="00D471AD" w:rsidP="004A31A9">
            <w:pPr>
              <w:pStyle w:val="Author"/>
              <w:ind w:left="-111"/>
            </w:pPr>
            <w:r w:rsidRPr="001729A3">
              <w:t>Kieran O’Brien and Anthony Arundel</w:t>
            </w:r>
          </w:p>
        </w:tc>
      </w:tr>
    </w:tbl>
    <w:p w14:paraId="7418AF94" w14:textId="77777777" w:rsidR="00D471AD" w:rsidRPr="001729A3" w:rsidRDefault="00D471AD" w:rsidP="00D471AD">
      <w:pPr>
        <w:pStyle w:val="FeatureArticletext"/>
        <w:rPr>
          <w:i w:val="0"/>
        </w:rPr>
      </w:pPr>
      <w:r w:rsidRPr="001729A3">
        <w:rPr>
          <w:i w:val="0"/>
        </w:rPr>
        <w:t>In 2015, the Australian Innovation Research Centre (AIRC) at the University of Tasmania undertook a pilot survey of Australian businesses to gather new data on the frequency, cost and impacts of different types of business innovation activity in Australia. The project was a collaboration between the AIRC</w:t>
      </w:r>
      <w:r w:rsidRPr="00660104">
        <w:rPr>
          <w:i w:val="0"/>
        </w:rPr>
        <w:t>;</w:t>
      </w:r>
      <w:r w:rsidRPr="001729A3">
        <w:rPr>
          <w:i w:val="0"/>
        </w:rPr>
        <w:t xml:space="preserve"> the Department of Industry, Innovation and Science</w:t>
      </w:r>
      <w:r w:rsidRPr="00660104">
        <w:rPr>
          <w:i w:val="0"/>
        </w:rPr>
        <w:t>;</w:t>
      </w:r>
      <w:r w:rsidRPr="001729A3">
        <w:rPr>
          <w:i w:val="0"/>
        </w:rPr>
        <w:t xml:space="preserve"> and the Australian Bureau of Statistics. The objectives of the study were to</w:t>
      </w:r>
      <w:r w:rsidRPr="00660104">
        <w:rPr>
          <w:i w:val="0"/>
        </w:rPr>
        <w:t>:</w:t>
      </w:r>
      <w:r w:rsidRPr="001729A3">
        <w:rPr>
          <w:i w:val="0"/>
        </w:rPr>
        <w:t xml:space="preserve"> </w:t>
      </w:r>
    </w:p>
    <w:p w14:paraId="7418AF95" w14:textId="77777777" w:rsidR="00D471AD" w:rsidRPr="001729A3" w:rsidRDefault="00D471AD" w:rsidP="00D471AD">
      <w:pPr>
        <w:pStyle w:val="FeatureArticletext"/>
        <w:numPr>
          <w:ilvl w:val="0"/>
          <w:numId w:val="10"/>
        </w:numPr>
        <w:rPr>
          <w:i w:val="0"/>
        </w:rPr>
      </w:pPr>
      <w:r w:rsidRPr="00660104">
        <w:rPr>
          <w:i w:val="0"/>
        </w:rPr>
        <w:t>d</w:t>
      </w:r>
      <w:r w:rsidRPr="001729A3">
        <w:rPr>
          <w:i w:val="0"/>
        </w:rPr>
        <w:t xml:space="preserve">etermine if useful, high-quality data could be collected from Australian businesses on the frequency, costs and impacts of their innovative activities </w:t>
      </w:r>
    </w:p>
    <w:p w14:paraId="7418AF96" w14:textId="77777777" w:rsidR="00D471AD" w:rsidRPr="001729A3" w:rsidRDefault="00D471AD" w:rsidP="00D471AD">
      <w:pPr>
        <w:pStyle w:val="FeatureArticletext"/>
        <w:numPr>
          <w:ilvl w:val="0"/>
          <w:numId w:val="10"/>
        </w:numPr>
        <w:rPr>
          <w:i w:val="0"/>
        </w:rPr>
      </w:pPr>
      <w:r>
        <w:rPr>
          <w:i w:val="0"/>
        </w:rPr>
        <w:t>d</w:t>
      </w:r>
      <w:r w:rsidRPr="001729A3">
        <w:rPr>
          <w:i w:val="0"/>
        </w:rPr>
        <w:t>etermine if new survey questions on these topics could provide useful data for businesses, governments and researchers.</w:t>
      </w:r>
    </w:p>
    <w:p w14:paraId="7418AF97" w14:textId="77777777" w:rsidR="00D471AD" w:rsidRPr="001729A3" w:rsidRDefault="00D471AD" w:rsidP="00D471AD">
      <w:pPr>
        <w:pStyle w:val="FeatureArticletext"/>
        <w:rPr>
          <w:i w:val="0"/>
        </w:rPr>
      </w:pPr>
      <w:r w:rsidRPr="001729A3">
        <w:rPr>
          <w:i w:val="0"/>
        </w:rPr>
        <w:t xml:space="preserve">In the pilot survey, mailed and online questionnaires were sent to a random sample of 1600 Australian businesses in all industries except for Public administration and safety, Education and training, </w:t>
      </w:r>
      <w:r w:rsidRPr="00660104">
        <w:rPr>
          <w:i w:val="0"/>
        </w:rPr>
        <w:t xml:space="preserve">and </w:t>
      </w:r>
      <w:r w:rsidRPr="001729A3">
        <w:rPr>
          <w:i w:val="0"/>
        </w:rPr>
        <w:t>Financial asset investing and superannuation. Survey questions covered business innovation activities in the 2014 calendar year (ended 31 December 2014). Of</w:t>
      </w:r>
      <w:r w:rsidRPr="00660104">
        <w:rPr>
          <w:i w:val="0"/>
        </w:rPr>
        <w:t xml:space="preserve"> the</w:t>
      </w:r>
      <w:r w:rsidRPr="001729A3">
        <w:rPr>
          <w:i w:val="0"/>
        </w:rPr>
        <w:t xml:space="preserve"> 1600 businesses in the study sample, 359 completed the questionnaire, giving a response rate of 22.4 per cent. The distribution of businesses by industry is very similar for both the 359 participating businesses and the full sample of 1600 businesses. Consequently, the industries in scope are well represented in the results.</w:t>
      </w:r>
    </w:p>
    <w:p w14:paraId="7418AF98" w14:textId="77777777" w:rsidR="00D471AD" w:rsidRPr="001729A3" w:rsidRDefault="00D471AD" w:rsidP="00D471AD">
      <w:pPr>
        <w:pStyle w:val="FeatureArticletext"/>
        <w:rPr>
          <w:i w:val="0"/>
        </w:rPr>
      </w:pPr>
      <w:r w:rsidRPr="001729A3">
        <w:rPr>
          <w:i w:val="0"/>
        </w:rPr>
        <w:t xml:space="preserve">Our report assesses 20 new indicators and analyses the results of a pilot survey using these questions. The full report can be found </w:t>
      </w:r>
      <w:hyperlink r:id="rId46" w:history="1">
        <w:r w:rsidRPr="001729A3">
          <w:rPr>
            <w:rStyle w:val="Hyperlink"/>
            <w:i w:val="0"/>
          </w:rPr>
          <w:t>here</w:t>
        </w:r>
      </w:hyperlink>
      <w:r w:rsidRPr="001729A3">
        <w:rPr>
          <w:i w:val="0"/>
        </w:rPr>
        <w:t>.</w:t>
      </w:r>
      <w:r w:rsidRPr="001729A3">
        <w:rPr>
          <w:rStyle w:val="EndnoteReference"/>
          <w:i w:val="0"/>
        </w:rPr>
        <w:endnoteReference w:id="7"/>
      </w:r>
    </w:p>
    <w:p w14:paraId="7418AF99" w14:textId="77777777" w:rsidR="00D471AD" w:rsidRPr="001729A3" w:rsidRDefault="00D471AD" w:rsidP="00D471AD">
      <w:pPr>
        <w:pStyle w:val="FeatureArticletext"/>
        <w:rPr>
          <w:i w:val="0"/>
        </w:rPr>
      </w:pPr>
      <w:r w:rsidRPr="001729A3">
        <w:rPr>
          <w:i w:val="0"/>
        </w:rPr>
        <w:t xml:space="preserve">Results from these questions offer improved understanding of the frequency, costs and impacts of innovation in Australian businesses. </w:t>
      </w:r>
    </w:p>
    <w:p w14:paraId="7418AF9A" w14:textId="77777777" w:rsidR="00D471AD" w:rsidRPr="001729A3" w:rsidRDefault="00D471AD" w:rsidP="00D471AD">
      <w:pPr>
        <w:pStyle w:val="FeatureArticletext"/>
      </w:pPr>
      <w:r w:rsidRPr="001729A3">
        <w:t>Innovation investments</w:t>
      </w:r>
    </w:p>
    <w:p w14:paraId="7418AF9B" w14:textId="77777777" w:rsidR="00D471AD" w:rsidRPr="001729A3" w:rsidRDefault="00D471AD" w:rsidP="00D471AD">
      <w:pPr>
        <w:pStyle w:val="FeatureArticletext"/>
        <w:rPr>
          <w:i w:val="0"/>
        </w:rPr>
      </w:pPr>
      <w:r w:rsidRPr="001729A3">
        <w:rPr>
          <w:i w:val="0"/>
        </w:rPr>
        <w:t xml:space="preserve">Investment in innovation can be measured by the expenditures that businesses make to develop and implement any innovations. Innovation investment can include external expenditures on ‘tangible’ items such as new equipment, machinery or technology; or purchases of ‘intangible’ items such research, consulting or design services, technology licences or patents. </w:t>
      </w:r>
    </w:p>
    <w:p w14:paraId="7418AF9C" w14:textId="77777777" w:rsidR="00D471AD" w:rsidRPr="001729A3" w:rsidRDefault="00D471AD" w:rsidP="00D471AD">
      <w:pPr>
        <w:pStyle w:val="FeatureArticletext"/>
        <w:rPr>
          <w:i w:val="0"/>
        </w:rPr>
      </w:pPr>
      <w:r w:rsidRPr="001729A3">
        <w:rPr>
          <w:i w:val="0"/>
        </w:rPr>
        <w:t>Alternatively, internal innovation investments include expenses on development activities within the business, such as for staff</w:t>
      </w:r>
      <w:r w:rsidRPr="00660104">
        <w:rPr>
          <w:i w:val="0"/>
        </w:rPr>
        <w:t xml:space="preserve"> </w:t>
      </w:r>
      <w:r w:rsidRPr="001729A3">
        <w:rPr>
          <w:i w:val="0"/>
        </w:rPr>
        <w:t>training or in-house software development.</w:t>
      </w:r>
    </w:p>
    <w:p w14:paraId="7418AF9D" w14:textId="77777777" w:rsidR="00D471AD" w:rsidRPr="001729A3" w:rsidRDefault="00D471AD" w:rsidP="00D471AD">
      <w:pPr>
        <w:pStyle w:val="FeatureArticletext"/>
        <w:rPr>
          <w:i w:val="0"/>
        </w:rPr>
      </w:pPr>
      <w:r w:rsidRPr="001729A3">
        <w:rPr>
          <w:i w:val="0"/>
        </w:rPr>
        <w:t>For the majority of businesses (52 per cent), their expenditures on external activities for innovation were greater than their internal expenditures. In the survey, total reported expenditure on all external activities for innovation was approximately $1.8 billion in 2014. The vast majority of total external expenditure (88 per cent) was for purchasing new machinery, equipment or technology for innovation (</w:t>
      </w:r>
      <w:r w:rsidRPr="001729A3">
        <w:rPr>
          <w:i w:val="0"/>
        </w:rPr>
        <w:fldChar w:fldCharType="begin"/>
      </w:r>
      <w:r w:rsidRPr="001729A3">
        <w:rPr>
          <w:i w:val="0"/>
        </w:rPr>
        <w:instrText xml:space="preserve"> REF _Ref461113347 \h  \* MERGEFORMAT </w:instrText>
      </w:r>
      <w:r w:rsidRPr="001729A3">
        <w:rPr>
          <w:i w:val="0"/>
        </w:rPr>
      </w:r>
      <w:r w:rsidRPr="001729A3">
        <w:rPr>
          <w:i w:val="0"/>
        </w:rPr>
        <w:fldChar w:fldCharType="separate"/>
      </w:r>
      <w:r w:rsidRPr="00861CE4">
        <w:rPr>
          <w:i w:val="0"/>
        </w:rPr>
        <w:t>Figure 1.2</w:t>
      </w:r>
      <w:r w:rsidRPr="001729A3">
        <w:rPr>
          <w:i w:val="0"/>
        </w:rPr>
        <w:fldChar w:fldCharType="end"/>
      </w:r>
      <w:r w:rsidRPr="001729A3">
        <w:rPr>
          <w:i w:val="0"/>
        </w:rPr>
        <w:t xml:space="preserve">). This was followed by purchases of design, marketing or training services from other organisations (10 per cent of total external investment). Purchases of licenses and external research services accounted for only 2 per cent of the total.  </w:t>
      </w:r>
    </w:p>
    <w:p w14:paraId="7418AF9E" w14:textId="77777777" w:rsidR="00D471AD" w:rsidRPr="000D502B" w:rsidRDefault="00D471AD" w:rsidP="00D471AD">
      <w:pPr>
        <w:rPr>
          <w:i/>
          <w:color w:val="22789A"/>
        </w:rPr>
      </w:pPr>
      <w:r w:rsidRPr="000D502B">
        <w:rPr>
          <w:i/>
          <w:color w:val="22789A"/>
        </w:rPr>
        <w:t>Innovation management planning</w:t>
      </w:r>
    </w:p>
    <w:p w14:paraId="7418AF9F" w14:textId="77777777" w:rsidR="00D471AD" w:rsidRPr="001729A3" w:rsidRDefault="00D471AD" w:rsidP="00D471AD">
      <w:pPr>
        <w:pStyle w:val="BodyText"/>
        <w:rPr>
          <w:color w:val="22789A"/>
        </w:rPr>
      </w:pPr>
      <w:r w:rsidRPr="001729A3">
        <w:rPr>
          <w:color w:val="22789A"/>
        </w:rPr>
        <w:t>The survey asked businesses whether they had an innovation management plan or policy in 2014</w:t>
      </w:r>
      <w:r w:rsidRPr="00660104">
        <w:rPr>
          <w:color w:val="22789A"/>
        </w:rPr>
        <w:t>,</w:t>
      </w:r>
      <w:r w:rsidRPr="001729A3">
        <w:rPr>
          <w:color w:val="22789A"/>
        </w:rPr>
        <w:t xml:space="preserve"> and what the contents of that plan covered. Of all responding businesses (including innovators and non-innovators), 33 per cent reported having an innovation management plan/policy in 2014. However, only 10 per cent reported that their plan was documented in a written format. Relatively few business innovation plans (36 per cent) included a method for rewarding individuals or teams involved in successful innovations.</w:t>
      </w:r>
    </w:p>
    <w:p w14:paraId="7418AFA0" w14:textId="77777777" w:rsidR="00D471AD" w:rsidRPr="001729A3" w:rsidRDefault="00D471AD" w:rsidP="00D471AD">
      <w:pPr>
        <w:pStyle w:val="BodyText"/>
        <w:rPr>
          <w:color w:val="22789A"/>
        </w:rPr>
      </w:pPr>
      <w:r w:rsidRPr="001729A3">
        <w:rPr>
          <w:color w:val="22789A"/>
        </w:rPr>
        <w:t xml:space="preserve">Though not shown here, more detailed analysis of these results showed that businesses with a written innovation management plan were more likely than those without a plan to have higher reported innovation sales. </w:t>
      </w:r>
    </w:p>
    <w:p w14:paraId="7418AFA1" w14:textId="77777777" w:rsidR="00D471AD" w:rsidRPr="001729A3" w:rsidRDefault="00D471AD" w:rsidP="00D471AD">
      <w:pPr>
        <w:pStyle w:val="BodyText"/>
        <w:rPr>
          <w:color w:val="22789A"/>
        </w:rPr>
      </w:pPr>
      <w:r w:rsidRPr="001729A3">
        <w:rPr>
          <w:color w:val="22789A"/>
        </w:rPr>
        <w:t xml:space="preserve">An active innovation management plan is one way to help shape the direction and success of different innovation activities and strategies, and the results suggest potential for further formal innovation management in Australian businesses. </w:t>
      </w:r>
    </w:p>
    <w:p w14:paraId="7418AFA2" w14:textId="77777777" w:rsidR="00D471AD" w:rsidRDefault="00D471AD" w:rsidP="00D471AD">
      <w:pPr>
        <w:pStyle w:val="Caption"/>
      </w:pPr>
      <w:bookmarkStart w:id="767" w:name="_Ref461113347"/>
      <w:bookmarkStart w:id="768" w:name="_Toc461198216"/>
      <w:bookmarkStart w:id="769" w:name="_Toc461198758"/>
      <w:bookmarkStart w:id="770" w:name="_Toc461204046"/>
      <w:bookmarkStart w:id="771" w:name="_Toc461541642"/>
      <w:bookmarkStart w:id="772" w:name="_Toc461545397"/>
      <w:bookmarkStart w:id="773" w:name="_Toc461624393"/>
      <w:bookmarkStart w:id="774" w:name="_Toc461629618"/>
      <w:bookmarkStart w:id="775" w:name="_Toc461632948"/>
      <w:bookmarkStart w:id="776" w:name="_Toc461634218"/>
      <w:bookmarkStart w:id="777" w:name="_Toc463013871"/>
      <w:bookmarkStart w:id="778" w:name="_Toc463013980"/>
      <w:bookmarkStart w:id="779" w:name="_Toc463014414"/>
      <w:bookmarkStart w:id="780" w:name="_Toc463877054"/>
      <w:bookmarkStart w:id="781" w:name="_Toc465864566"/>
      <w:bookmarkStart w:id="782" w:name="_Toc461527490"/>
      <w:bookmarkStart w:id="783" w:name="_Toc461539525"/>
      <w:bookmarkStart w:id="784" w:name="_Ref461114457"/>
      <w:r w:rsidRPr="000D502B">
        <w:t xml:space="preserve">Figure </w:t>
      </w:r>
      <w:fldSimple w:instr=" STYLEREF 1 \s ">
        <w:r>
          <w:rPr>
            <w:noProof/>
          </w:rPr>
          <w:t>1</w:t>
        </w:r>
      </w:fldSimple>
      <w:r w:rsidRPr="000D502B">
        <w:t>.</w:t>
      </w:r>
      <w:fldSimple w:instr=" SEQ Figure \* ARABIC \s 1 ">
        <w:r>
          <w:rPr>
            <w:noProof/>
          </w:rPr>
          <w:t>2</w:t>
        </w:r>
      </w:fldSimple>
      <w:bookmarkEnd w:id="767"/>
      <w:r w:rsidRPr="000D502B">
        <w:t>: Total expenditures on external activities for innovation, 2014</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7418AFA3" w14:textId="77777777" w:rsidR="00D471AD" w:rsidRPr="0067148C" w:rsidRDefault="00D471AD" w:rsidP="00D471AD">
      <w:r>
        <w:rPr>
          <w:noProof/>
          <w:lang w:eastAsia="en-AU"/>
        </w:rPr>
        <w:drawing>
          <wp:inline distT="0" distB="0" distL="0" distR="0" wp14:anchorId="7418C60D" wp14:editId="7418C60E">
            <wp:extent cx="2987040" cy="2170430"/>
            <wp:effectExtent l="0" t="0" r="3810" b="1270"/>
            <wp:docPr id="21" name="Picture 21" descr="Figure 1.2 show the breakdown of innovation investment in the sample survey. It shows that most expenditure, 88.3 per cent, was spent on machinery, equipment and technology. Design, marketing and training had the second most expenditure for innovation with 9.8 per cent. Next was licenses for patents etc. The least was spent on research services." title="Figure 1.2: Total expenditures on external activities for innovatio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7040" cy="2170430"/>
                    </a:xfrm>
                    <a:prstGeom prst="rect">
                      <a:avLst/>
                    </a:prstGeom>
                    <a:noFill/>
                  </pic:spPr>
                </pic:pic>
              </a:graphicData>
            </a:graphic>
          </wp:inline>
        </w:drawing>
      </w:r>
    </w:p>
    <w:bookmarkEnd w:id="782"/>
    <w:bookmarkEnd w:id="783"/>
    <w:p w14:paraId="7418AFA4" w14:textId="77777777" w:rsidR="00D471AD" w:rsidRPr="001729A3" w:rsidRDefault="00D471AD" w:rsidP="00D471AD">
      <w:pPr>
        <w:pStyle w:val="Source"/>
        <w:rPr>
          <w:lang w:val="en-AU"/>
        </w:rPr>
      </w:pPr>
      <w:r w:rsidRPr="001729A3">
        <w:rPr>
          <w:lang w:val="en-AU"/>
        </w:rPr>
        <w:t xml:space="preserve">Source: </w:t>
      </w:r>
      <w:r w:rsidRPr="00677944">
        <w:rPr>
          <w:lang w:val="en-AU"/>
        </w:rPr>
        <w:t xml:space="preserve">O'Brien K, Arundel A and Butchart DB (2015) </w:t>
      </w:r>
      <w:r w:rsidRPr="00677944">
        <w:rPr>
          <w:i/>
          <w:iCs/>
          <w:lang w:val="en-AU"/>
        </w:rPr>
        <w:t>New evidence on the frequency, impacts and costs of activities to develop innovations in Australian businesses: Results from a 2015 pilot survey</w:t>
      </w:r>
      <w:r w:rsidRPr="00677944">
        <w:rPr>
          <w:lang w:val="en-AU"/>
        </w:rPr>
        <w:t>, Hobart, University of Tasmania and Australian Innovation Research Centre</w:t>
      </w:r>
    </w:p>
    <w:bookmarkEnd w:id="784"/>
    <w:p w14:paraId="7418AFA5" w14:textId="77777777" w:rsidR="00D471AD" w:rsidRPr="001729A3" w:rsidRDefault="00D471AD" w:rsidP="00D471AD">
      <w:pPr>
        <w:pStyle w:val="BodyText"/>
        <w:rPr>
          <w:i/>
          <w:color w:val="22789A"/>
        </w:rPr>
      </w:pPr>
      <w:r w:rsidRPr="001729A3">
        <w:rPr>
          <w:i/>
          <w:color w:val="22789A"/>
        </w:rPr>
        <w:t xml:space="preserve">Most important innovations for Australian businesses </w:t>
      </w:r>
    </w:p>
    <w:p w14:paraId="7418AFA6" w14:textId="77777777" w:rsidR="00D471AD" w:rsidRPr="001729A3" w:rsidRDefault="00D471AD" w:rsidP="00D471AD">
      <w:pPr>
        <w:pStyle w:val="BodyText"/>
        <w:rPr>
          <w:color w:val="22789A"/>
        </w:rPr>
      </w:pPr>
      <w:r w:rsidRPr="001729A3">
        <w:rPr>
          <w:color w:val="22789A"/>
        </w:rPr>
        <w:t xml:space="preserve">Innovative businesses were asked to identify the single innovation introduced in 2014 that was most important for the financial position of the business. This question provides a new measure of the impact of different types of innovation on business performance. </w:t>
      </w:r>
    </w:p>
    <w:p w14:paraId="7418AFA7" w14:textId="77777777" w:rsidR="00D471AD" w:rsidRPr="001729A3" w:rsidRDefault="00D471AD" w:rsidP="00D471AD">
      <w:pPr>
        <w:pStyle w:val="BodyText"/>
        <w:rPr>
          <w:color w:val="22789A"/>
        </w:rPr>
      </w:pPr>
      <w:r w:rsidRPr="001729A3">
        <w:rPr>
          <w:color w:val="22789A"/>
        </w:rPr>
        <w:t xml:space="preserve">For 47 per cent of respondents, the most important innovation in 2014 was an operational process innovation, while 31 per cent cited an organisational or managerial process innovation as most important. Innovative goods were the least common, cited by only 14 per cent of respondents. Of note, innovative services were cited more than twice as often (28 per cent) as innovative goods. This is because considerably more respondent businesses are in services than in manufacturing, which reflects the structure of the Australian economy. </w:t>
      </w:r>
    </w:p>
    <w:p w14:paraId="7418AFA8" w14:textId="77777777" w:rsidR="00D471AD" w:rsidRPr="001729A3" w:rsidRDefault="00D471AD" w:rsidP="00D471AD">
      <w:pPr>
        <w:pStyle w:val="BodyText"/>
        <w:rPr>
          <w:color w:val="22789A"/>
        </w:rPr>
      </w:pPr>
      <w:r w:rsidRPr="001729A3">
        <w:rPr>
          <w:color w:val="22789A"/>
        </w:rPr>
        <w:t>The high frequency of process innovations (operational or organisational) indicates that many Australian businesses obtain greater financial benefits from efficiency and quality improvements than from product (goods and services) innovations.</w:t>
      </w:r>
    </w:p>
    <w:p w14:paraId="7418AFA9" w14:textId="77777777" w:rsidR="00D471AD" w:rsidRPr="001729A3" w:rsidRDefault="00D471AD" w:rsidP="00D471AD">
      <w:pPr>
        <w:pStyle w:val="BodyText"/>
        <w:rPr>
          <w:color w:val="22789A"/>
        </w:rPr>
      </w:pPr>
      <w:r w:rsidRPr="001729A3">
        <w:rPr>
          <w:color w:val="22789A"/>
        </w:rPr>
        <w:t>The survey also asked innovative businesses to estimate the number of person-months required to develop and implement their single most important innovation in 2014.</w:t>
      </w:r>
      <w:r w:rsidRPr="001729A3">
        <w:rPr>
          <w:color w:val="22789A"/>
          <w:vertAlign w:val="superscript"/>
        </w:rPr>
        <w:footnoteReference w:id="1"/>
      </w:r>
      <w:r w:rsidRPr="001729A3">
        <w:rPr>
          <w:color w:val="22789A"/>
        </w:rPr>
        <w:t xml:space="preserve"> The results provide an indication of the scale of innovation projects, the speed of implementation, and the costs associated with those innovations that had the most impact in Australian businesses. </w:t>
      </w:r>
    </w:p>
    <w:p w14:paraId="7418AFAA" w14:textId="77777777" w:rsidR="00D471AD" w:rsidRPr="001729A3" w:rsidRDefault="00D471AD" w:rsidP="00D471AD">
      <w:pPr>
        <w:pStyle w:val="BodyText"/>
        <w:spacing w:after="120"/>
        <w:rPr>
          <w:color w:val="22789A"/>
        </w:rPr>
      </w:pPr>
      <w:r w:rsidRPr="001729A3">
        <w:rPr>
          <w:color w:val="22789A"/>
        </w:rPr>
        <w:fldChar w:fldCharType="begin"/>
      </w:r>
      <w:r w:rsidRPr="001729A3">
        <w:rPr>
          <w:color w:val="22789A"/>
        </w:rPr>
        <w:instrText xml:space="preserve"> REF _Ref461479304 \h  \* MERGEFORMAT </w:instrText>
      </w:r>
      <w:r w:rsidRPr="001729A3">
        <w:rPr>
          <w:color w:val="22789A"/>
        </w:rPr>
      </w:r>
      <w:r w:rsidRPr="001729A3">
        <w:rPr>
          <w:color w:val="22789A"/>
        </w:rPr>
        <w:fldChar w:fldCharType="separate"/>
      </w:r>
      <w:r w:rsidRPr="00861CE4">
        <w:rPr>
          <w:color w:val="22789A"/>
        </w:rPr>
        <w:t>Figure 1.3</w:t>
      </w:r>
      <w:r w:rsidRPr="001729A3">
        <w:rPr>
          <w:color w:val="22789A"/>
        </w:rPr>
        <w:fldChar w:fldCharType="end"/>
      </w:r>
      <w:r w:rsidRPr="001729A3">
        <w:rPr>
          <w:color w:val="22789A"/>
        </w:rPr>
        <w:t xml:space="preserve"> shows that 66 per cent of innovative businesses report a development time of less than 6 person</w:t>
      </w:r>
      <w:r w:rsidRPr="00660104">
        <w:rPr>
          <w:color w:val="22789A"/>
        </w:rPr>
        <w:t>-</w:t>
      </w:r>
      <w:r w:rsidRPr="001729A3">
        <w:rPr>
          <w:color w:val="22789A"/>
        </w:rPr>
        <w:t>months. Furthermore, 29 per cent of businesses report a development time of less than 1 person</w:t>
      </w:r>
      <w:r w:rsidRPr="00660104">
        <w:rPr>
          <w:color w:val="22789A"/>
        </w:rPr>
        <w:t>-</w:t>
      </w:r>
      <w:r w:rsidRPr="001729A3">
        <w:rPr>
          <w:color w:val="22789A"/>
        </w:rPr>
        <w:t>month. These results partly reflect the small number of employees in many respondent businesses, but also demonstrate that small, incremental innovations have important outcomes for many businesses in Australia.</w:t>
      </w:r>
    </w:p>
    <w:p w14:paraId="7418AFAB" w14:textId="77777777" w:rsidR="00D471AD" w:rsidRPr="000D502B" w:rsidRDefault="00D471AD" w:rsidP="00D471AD">
      <w:pPr>
        <w:pStyle w:val="Caption"/>
      </w:pPr>
      <w:bookmarkStart w:id="785" w:name="_Ref461113501"/>
      <w:bookmarkStart w:id="786" w:name="_Ref461479304"/>
      <w:bookmarkStart w:id="787" w:name="_Toc461198217"/>
      <w:bookmarkStart w:id="788" w:name="_Toc461198759"/>
      <w:bookmarkStart w:id="789" w:name="_Toc461204047"/>
      <w:bookmarkStart w:id="790" w:name="_Toc461527491"/>
      <w:bookmarkStart w:id="791" w:name="_Toc461539526"/>
      <w:bookmarkStart w:id="792" w:name="_Toc461541643"/>
      <w:bookmarkStart w:id="793" w:name="_Toc461545398"/>
      <w:bookmarkStart w:id="794" w:name="_Toc461624394"/>
      <w:bookmarkStart w:id="795" w:name="_Toc461629619"/>
      <w:bookmarkStart w:id="796" w:name="_Toc461632949"/>
      <w:bookmarkStart w:id="797" w:name="_Toc461634219"/>
      <w:bookmarkStart w:id="798" w:name="_Toc463013872"/>
      <w:bookmarkStart w:id="799" w:name="_Toc463013981"/>
      <w:bookmarkStart w:id="800" w:name="_Toc463014415"/>
      <w:bookmarkStart w:id="801" w:name="_Toc463877055"/>
      <w:bookmarkStart w:id="802" w:name="_Toc465864567"/>
      <w:r w:rsidRPr="000D502B">
        <w:t xml:space="preserve">Figure </w:t>
      </w:r>
      <w:fldSimple w:instr=" STYLEREF 1 \s ">
        <w:r>
          <w:rPr>
            <w:noProof/>
          </w:rPr>
          <w:t>1</w:t>
        </w:r>
      </w:fldSimple>
      <w:r w:rsidRPr="000D502B">
        <w:t>.</w:t>
      </w:r>
      <w:fldSimple w:instr=" SEQ Figure \* ARABIC \s 1 ">
        <w:r>
          <w:rPr>
            <w:noProof/>
          </w:rPr>
          <w:t>3</w:t>
        </w:r>
      </w:fldSimple>
      <w:bookmarkEnd w:id="785"/>
      <w:bookmarkEnd w:id="786"/>
      <w:r w:rsidRPr="000D502B">
        <w:t>: Person-months required to develop most important innovation in 2014</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7418AFAC" w14:textId="77777777" w:rsidR="00D471AD" w:rsidRPr="001729A3" w:rsidRDefault="00D471AD" w:rsidP="00D471AD">
      <w:pPr>
        <w:pStyle w:val="Note"/>
        <w:rPr>
          <w:lang w:val="en-AU"/>
        </w:rPr>
      </w:pPr>
      <w:r>
        <w:rPr>
          <w:noProof/>
          <w:lang w:val="en-AU" w:eastAsia="en-AU"/>
        </w:rPr>
        <w:drawing>
          <wp:inline distT="0" distB="0" distL="0" distR="0" wp14:anchorId="7418C60F" wp14:editId="7418C610">
            <wp:extent cx="2993390" cy="2164080"/>
            <wp:effectExtent l="0" t="0" r="0" b="7620"/>
            <wp:docPr id="75" name="Picture 75" descr="Figure 1.3 shows the number of person-months required to develop business’ most important innovation in 2014. 66 per cent of firms took less than six person-months, 19 per cent took six to twelve person-months, and 15 per cent took over one person-year." title="Figure 1.3: Person-months required to develop most important innovation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93390" cy="2164080"/>
                    </a:xfrm>
                    <a:prstGeom prst="rect">
                      <a:avLst/>
                    </a:prstGeom>
                    <a:noFill/>
                  </pic:spPr>
                </pic:pic>
              </a:graphicData>
            </a:graphic>
          </wp:inline>
        </w:drawing>
      </w:r>
    </w:p>
    <w:p w14:paraId="7418AFAD" w14:textId="77777777" w:rsidR="00D471AD" w:rsidRPr="001729A3" w:rsidRDefault="00D471AD" w:rsidP="00D471AD">
      <w:pPr>
        <w:pStyle w:val="Source"/>
        <w:rPr>
          <w:lang w:val="en-AU"/>
        </w:rPr>
      </w:pPr>
      <w:r w:rsidRPr="001729A3">
        <w:rPr>
          <w:lang w:val="en-AU"/>
        </w:rPr>
        <w:t xml:space="preserve">Source: </w:t>
      </w:r>
      <w:r w:rsidRPr="00677944">
        <w:rPr>
          <w:lang w:val="en-AU"/>
        </w:rPr>
        <w:t xml:space="preserve">O'Brien K, Arundel A and Butchart DB (2015) </w:t>
      </w:r>
      <w:r w:rsidRPr="00677944">
        <w:rPr>
          <w:i/>
          <w:iCs/>
          <w:lang w:val="en-AU"/>
        </w:rPr>
        <w:t>New evidence on the frequency, impacts and costs of activities to develop innovations in Australian businesses: Results from a 2015 pilot survey</w:t>
      </w:r>
      <w:r w:rsidRPr="00677944">
        <w:rPr>
          <w:lang w:val="en-AU"/>
        </w:rPr>
        <w:t>, Hobart, University of Tasmania and Australian Innovation Research Centre</w:t>
      </w:r>
    </w:p>
    <w:p w14:paraId="7418AFAE" w14:textId="77777777" w:rsidR="00D471AD" w:rsidRPr="000D502B" w:rsidRDefault="00D471AD" w:rsidP="00D471AD"/>
    <w:p w14:paraId="7418AFAF" w14:textId="77777777" w:rsidR="00D471AD" w:rsidRPr="000D502B" w:rsidRDefault="00D471AD" w:rsidP="00D471AD">
      <w:pPr>
        <w:pStyle w:val="Caption"/>
      </w:pPr>
      <w:r w:rsidRPr="000D502B">
        <w:t xml:space="preserve">Methodology </w:t>
      </w:r>
      <w:fldSimple w:instr=" STYLEREF 1 \s ">
        <w:r>
          <w:rPr>
            <w:noProof/>
          </w:rPr>
          <w:t>1</w:t>
        </w:r>
      </w:fldSimple>
      <w:r w:rsidRPr="000D502B">
        <w:t>.</w:t>
      </w:r>
      <w:fldSimple w:instr=" SEQ Methodology \* ARABIC \s 1 ">
        <w:r>
          <w:rPr>
            <w:noProof/>
          </w:rPr>
          <w:t>5</w:t>
        </w:r>
      </w:fldSimple>
      <w:r w:rsidRPr="000D502B">
        <w:t>: The Management Capability Survey</w:t>
      </w:r>
    </w:p>
    <w:tbl>
      <w:tblPr>
        <w:tblStyle w:val="OCETable"/>
        <w:tblW w:w="4479" w:type="dxa"/>
        <w:tblInd w:w="57" w:type="dxa"/>
        <w:shd w:val="clear" w:color="auto" w:fill="292B67"/>
        <w:tblLayout w:type="fixed"/>
        <w:tblLook w:val="04A0" w:firstRow="1" w:lastRow="0" w:firstColumn="1" w:lastColumn="0" w:noHBand="0" w:noVBand="1"/>
        <w:tblCaption w:val="The Management Capability Survey"/>
        <w:tblDescription w:val="The role of management and leadership in driving innovation, investment, performance, collaboration and the building of business capability is increasingly recognised. Recent empirical work on US businesses suggests that one quarter of cross-country and within-country total factor productivity gaps can be attributed to management practices.  &#10;The Management Capability Survey (MCS) is an ambitious project that aims to expand understanding of Australia’s business management performance. The MCS is a collaboration between the OCE, the ABS, the University of Technology Sydney (UTS) and Stanford University (USA). &#10;The MCS will sample over 15 000 businesses from all sectors of the economy and all classes of business size. The MCS will develop a comprehensive management dataset, covering all sectors of the Australian economy. The survey will include questions on performance monitoring, target setting, incentives/people management and strategic planning and management. The survey is targeted at CEOs and business owners rather than a range of managers within a business.&#10;The project aims to:&#10; provide improved capability and understanding of organisational and strategic management capability in businesses across the Australian economy&#10; deliver rigorous analysis of management capability and its importance to productivity and economic growth.&#10; provide data that allows for rigorous evaluation of industry programmes that focus on management capability, such as the Industry Growth Centres and the Entrepreneurs Programme&#10; benchmark Australia’s business management capability against other countries.&#10;Results from the MCS will be released by the ABS in mid-2017. The OCE will be linking the management capability results to the BLADE to determine the impact of management capability on business financial performance and broader economic and productivity growth. Results are expected in mid-2017, and will be published on the ABS and OCE websites (www.industry.gov.au/innovationreport).&#10;"/>
      </w:tblPr>
      <w:tblGrid>
        <w:gridCol w:w="4479"/>
      </w:tblGrid>
      <w:tr w:rsidR="00D471AD" w:rsidRPr="000D502B" w14:paraId="7418AFB9"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92B67"/>
          </w:tcPr>
          <w:p w14:paraId="7418AFB0" w14:textId="77777777" w:rsidR="00D471AD" w:rsidRPr="00A53774" w:rsidRDefault="00D471AD" w:rsidP="004A31A9">
            <w:pPr>
              <w:pStyle w:val="Methodologytext"/>
              <w:spacing w:before="160"/>
              <w:rPr>
                <w:i w:val="0"/>
              </w:rPr>
            </w:pPr>
            <w:r w:rsidRPr="00A53774">
              <w:rPr>
                <w:i w:val="0"/>
              </w:rPr>
              <w:t xml:space="preserve">The role of management and leadership in driving innovation, investment, performance, collaboration and the building of </w:t>
            </w:r>
            <w:r>
              <w:rPr>
                <w:i w:val="0"/>
              </w:rPr>
              <w:t xml:space="preserve">business </w:t>
            </w:r>
            <w:r w:rsidRPr="00A53774">
              <w:rPr>
                <w:i w:val="0"/>
              </w:rPr>
              <w:t xml:space="preserve">capability is increasingly recognised. Recent empirical work </w:t>
            </w:r>
            <w:r>
              <w:rPr>
                <w:i w:val="0"/>
              </w:rPr>
              <w:t xml:space="preserve">on US businesses </w:t>
            </w:r>
            <w:r w:rsidRPr="00A53774">
              <w:rPr>
                <w:i w:val="0"/>
              </w:rPr>
              <w:t>suggests that one</w:t>
            </w:r>
            <w:r w:rsidRPr="00660104">
              <w:rPr>
                <w:i w:val="0"/>
              </w:rPr>
              <w:t xml:space="preserve"> </w:t>
            </w:r>
            <w:r w:rsidRPr="00A53774">
              <w:rPr>
                <w:i w:val="0"/>
              </w:rPr>
              <w:t>quarter of cross-country and within</w:t>
            </w:r>
            <w:r w:rsidRPr="00660104">
              <w:rPr>
                <w:i w:val="0"/>
              </w:rPr>
              <w:t>-</w:t>
            </w:r>
            <w:r w:rsidRPr="00A53774">
              <w:rPr>
                <w:i w:val="0"/>
              </w:rPr>
              <w:t>country total factor productivity gaps can be attributed to management practices.</w:t>
            </w:r>
            <w:r>
              <w:rPr>
                <w:rStyle w:val="EndnoteReference"/>
                <w:i w:val="0"/>
              </w:rPr>
              <w:endnoteReference w:id="8"/>
            </w:r>
            <w:r w:rsidRPr="00A53774">
              <w:rPr>
                <w:i w:val="0"/>
              </w:rPr>
              <w:t xml:space="preserve"> </w:t>
            </w:r>
          </w:p>
          <w:p w14:paraId="7418AFB1" w14:textId="77777777" w:rsidR="00D471AD" w:rsidRPr="00A53774" w:rsidRDefault="00D471AD" w:rsidP="004A31A9">
            <w:pPr>
              <w:pStyle w:val="Methodologytext"/>
              <w:rPr>
                <w:i w:val="0"/>
              </w:rPr>
            </w:pPr>
            <w:r w:rsidRPr="00A53774">
              <w:rPr>
                <w:i w:val="0"/>
              </w:rPr>
              <w:t>The Management Capability Survey</w:t>
            </w:r>
            <w:r>
              <w:rPr>
                <w:i w:val="0"/>
              </w:rPr>
              <w:t xml:space="preserve"> (MCS)</w:t>
            </w:r>
            <w:r w:rsidRPr="00A53774">
              <w:rPr>
                <w:i w:val="0"/>
              </w:rPr>
              <w:t xml:space="preserve"> is an ambitious project that aims to expand understanding of Australia’s </w:t>
            </w:r>
            <w:r>
              <w:rPr>
                <w:i w:val="0"/>
              </w:rPr>
              <w:t xml:space="preserve">business </w:t>
            </w:r>
            <w:r w:rsidRPr="00A53774">
              <w:rPr>
                <w:i w:val="0"/>
              </w:rPr>
              <w:t>management performance.</w:t>
            </w:r>
            <w:r>
              <w:rPr>
                <w:i w:val="0"/>
              </w:rPr>
              <w:t xml:space="preserve"> </w:t>
            </w:r>
            <w:r w:rsidRPr="00A53774">
              <w:rPr>
                <w:i w:val="0"/>
              </w:rPr>
              <w:t xml:space="preserve">The </w:t>
            </w:r>
            <w:r w:rsidRPr="00660104">
              <w:rPr>
                <w:i w:val="0"/>
              </w:rPr>
              <w:t>MCS</w:t>
            </w:r>
            <w:r w:rsidRPr="00A53774">
              <w:rPr>
                <w:i w:val="0"/>
              </w:rPr>
              <w:t xml:space="preserve"> is a collaboration between the OCE, the ABS, the University of Technology Sydney </w:t>
            </w:r>
            <w:r>
              <w:rPr>
                <w:i w:val="0"/>
              </w:rPr>
              <w:t xml:space="preserve">(UTS) </w:t>
            </w:r>
            <w:r w:rsidRPr="00A53774">
              <w:rPr>
                <w:i w:val="0"/>
              </w:rPr>
              <w:t xml:space="preserve">and Stanford University (USA). </w:t>
            </w:r>
          </w:p>
          <w:p w14:paraId="7418AFB2" w14:textId="77777777" w:rsidR="00D471AD" w:rsidRPr="00A53774" w:rsidRDefault="00D471AD" w:rsidP="004A31A9">
            <w:pPr>
              <w:pStyle w:val="Methodologytext"/>
              <w:rPr>
                <w:i w:val="0"/>
              </w:rPr>
            </w:pPr>
            <w:r w:rsidRPr="00A53774">
              <w:rPr>
                <w:i w:val="0"/>
              </w:rPr>
              <w:t xml:space="preserve">The </w:t>
            </w:r>
            <w:r w:rsidRPr="00660104">
              <w:rPr>
                <w:i w:val="0"/>
              </w:rPr>
              <w:t>MCS</w:t>
            </w:r>
            <w:r w:rsidRPr="00A53774">
              <w:rPr>
                <w:i w:val="0"/>
              </w:rPr>
              <w:t xml:space="preserve"> will sample over 15 000 </w:t>
            </w:r>
            <w:r>
              <w:rPr>
                <w:i w:val="0"/>
              </w:rPr>
              <w:t xml:space="preserve">businesses </w:t>
            </w:r>
            <w:r w:rsidRPr="00A53774">
              <w:rPr>
                <w:i w:val="0"/>
              </w:rPr>
              <w:t xml:space="preserve">from all sectors of the economy and all classes of </w:t>
            </w:r>
            <w:r>
              <w:rPr>
                <w:i w:val="0"/>
              </w:rPr>
              <w:t xml:space="preserve">business </w:t>
            </w:r>
            <w:r w:rsidRPr="00A53774">
              <w:rPr>
                <w:i w:val="0"/>
              </w:rPr>
              <w:t xml:space="preserve">size. The </w:t>
            </w:r>
            <w:r>
              <w:rPr>
                <w:i w:val="0"/>
              </w:rPr>
              <w:t>MCS</w:t>
            </w:r>
            <w:r w:rsidRPr="00A53774">
              <w:rPr>
                <w:i w:val="0"/>
              </w:rPr>
              <w:t xml:space="preserve"> will develop a comprehensive management dataset, covering all sectors of the Australian economy. The </w:t>
            </w:r>
            <w:r w:rsidRPr="00660104">
              <w:rPr>
                <w:i w:val="0"/>
              </w:rPr>
              <w:t>s</w:t>
            </w:r>
            <w:r w:rsidRPr="00A53774">
              <w:rPr>
                <w:i w:val="0"/>
              </w:rPr>
              <w:t>urvey will include questions on performance monitoring, target setting, incentives/people management and strategic planning and management.</w:t>
            </w:r>
            <w:r>
              <w:rPr>
                <w:i w:val="0"/>
              </w:rPr>
              <w:t xml:space="preserve"> The survey is targeted at CEOs and business owners rather than a range of managers within a business.</w:t>
            </w:r>
          </w:p>
          <w:p w14:paraId="7418AFB3" w14:textId="77777777" w:rsidR="00D471AD" w:rsidRPr="00A53774" w:rsidRDefault="00D471AD" w:rsidP="004A31A9">
            <w:pPr>
              <w:pStyle w:val="Methodologytext"/>
              <w:rPr>
                <w:i w:val="0"/>
              </w:rPr>
            </w:pPr>
            <w:r w:rsidRPr="00A53774">
              <w:rPr>
                <w:i w:val="0"/>
              </w:rPr>
              <w:t>The project aims to:</w:t>
            </w:r>
          </w:p>
          <w:p w14:paraId="7418AFB4" w14:textId="77777777" w:rsidR="00D471AD" w:rsidRPr="00A45C8A" w:rsidRDefault="00D471AD" w:rsidP="004A31A9">
            <w:pPr>
              <w:pStyle w:val="ListBullet"/>
              <w:rPr>
                <w:color w:val="FFFFFF" w:themeColor="background1"/>
                <w:sz w:val="19"/>
              </w:rPr>
            </w:pPr>
            <w:r w:rsidRPr="00A45C8A">
              <w:rPr>
                <w:color w:val="FFFFFF" w:themeColor="background1"/>
                <w:sz w:val="19"/>
                <w:szCs w:val="19"/>
              </w:rPr>
              <w:t>p</w:t>
            </w:r>
            <w:r w:rsidRPr="00A45C8A">
              <w:rPr>
                <w:color w:val="FFFFFF" w:themeColor="background1"/>
                <w:sz w:val="19"/>
              </w:rPr>
              <w:t>rovide</w:t>
            </w:r>
            <w:r w:rsidRPr="001729A3">
              <w:rPr>
                <w:color w:val="FFFFFF" w:themeColor="background1"/>
                <w:sz w:val="19"/>
              </w:rPr>
              <w:t xml:space="preserve"> improved capability and understanding of organisational and strategic management capability in businesses across the Australian economy</w:t>
            </w:r>
          </w:p>
          <w:p w14:paraId="7418AFB5" w14:textId="77777777" w:rsidR="00D471AD" w:rsidRPr="00A45C8A" w:rsidRDefault="00D471AD" w:rsidP="004A31A9">
            <w:pPr>
              <w:pStyle w:val="ListBullet"/>
              <w:rPr>
                <w:color w:val="FFFFFF" w:themeColor="background1"/>
                <w:sz w:val="19"/>
              </w:rPr>
            </w:pPr>
            <w:r w:rsidRPr="00A45C8A">
              <w:rPr>
                <w:color w:val="FFFFFF" w:themeColor="background1"/>
                <w:sz w:val="19"/>
                <w:szCs w:val="19"/>
              </w:rPr>
              <w:t>d</w:t>
            </w:r>
            <w:r w:rsidRPr="00A45C8A">
              <w:rPr>
                <w:color w:val="FFFFFF" w:themeColor="background1"/>
                <w:sz w:val="19"/>
              </w:rPr>
              <w:t>eliver</w:t>
            </w:r>
            <w:r w:rsidRPr="001729A3">
              <w:rPr>
                <w:color w:val="FFFFFF" w:themeColor="background1"/>
                <w:sz w:val="19"/>
              </w:rPr>
              <w:t xml:space="preserve"> rigorous analysis of management capability and its importance to productivity and economic growth.</w:t>
            </w:r>
          </w:p>
          <w:p w14:paraId="7418AFB6" w14:textId="77777777" w:rsidR="00D471AD" w:rsidRPr="00A45C8A" w:rsidRDefault="00D471AD" w:rsidP="004A31A9">
            <w:pPr>
              <w:pStyle w:val="ListBullet"/>
              <w:rPr>
                <w:color w:val="FFFFFF" w:themeColor="background1"/>
                <w:sz w:val="19"/>
              </w:rPr>
            </w:pPr>
            <w:r w:rsidRPr="00A45C8A">
              <w:rPr>
                <w:color w:val="FFFFFF" w:themeColor="background1"/>
                <w:sz w:val="19"/>
                <w:szCs w:val="19"/>
              </w:rPr>
              <w:t>p</w:t>
            </w:r>
            <w:r w:rsidRPr="00A45C8A">
              <w:rPr>
                <w:color w:val="FFFFFF" w:themeColor="background1"/>
                <w:sz w:val="19"/>
              </w:rPr>
              <w:t>rovide</w:t>
            </w:r>
            <w:r w:rsidRPr="001729A3">
              <w:rPr>
                <w:color w:val="FFFFFF" w:themeColor="background1"/>
                <w:sz w:val="19"/>
              </w:rPr>
              <w:t xml:space="preserve"> data that allows for rigorous evaluation of industry programmes that focus on management capability, such as the Industry Growth Centres and the Entrepreneurs Programme</w:t>
            </w:r>
          </w:p>
          <w:p w14:paraId="7418AFB7" w14:textId="77777777" w:rsidR="00D471AD" w:rsidRPr="00A45C8A" w:rsidRDefault="00D471AD" w:rsidP="004A31A9">
            <w:pPr>
              <w:pStyle w:val="ListBullet"/>
              <w:rPr>
                <w:color w:val="FFFFFF" w:themeColor="background1"/>
                <w:sz w:val="19"/>
              </w:rPr>
            </w:pPr>
            <w:r w:rsidRPr="00A45C8A">
              <w:rPr>
                <w:color w:val="FFFFFF" w:themeColor="background1"/>
                <w:sz w:val="19"/>
                <w:szCs w:val="19"/>
              </w:rPr>
              <w:t>b</w:t>
            </w:r>
            <w:r w:rsidRPr="00A45C8A">
              <w:rPr>
                <w:color w:val="FFFFFF" w:themeColor="background1"/>
                <w:sz w:val="19"/>
              </w:rPr>
              <w:t>enchmark</w:t>
            </w:r>
            <w:r w:rsidRPr="001729A3">
              <w:rPr>
                <w:color w:val="FFFFFF" w:themeColor="background1"/>
                <w:sz w:val="19"/>
              </w:rPr>
              <w:t xml:space="preserve"> Australia’s business management capability against other countries.</w:t>
            </w:r>
          </w:p>
          <w:p w14:paraId="7418AFB8" w14:textId="77777777" w:rsidR="00D471AD" w:rsidRPr="000D502B" w:rsidRDefault="00D471AD" w:rsidP="004A31A9">
            <w:pPr>
              <w:pStyle w:val="Methodologytext"/>
            </w:pPr>
            <w:r>
              <w:rPr>
                <w:i w:val="0"/>
                <w:color w:val="FFFFFF" w:themeColor="background1"/>
              </w:rPr>
              <w:t xml:space="preserve">Results </w:t>
            </w:r>
            <w:r w:rsidRPr="00A53774">
              <w:rPr>
                <w:i w:val="0"/>
                <w:color w:val="FFFFFF" w:themeColor="background1"/>
              </w:rPr>
              <w:t xml:space="preserve">from the </w:t>
            </w:r>
            <w:r w:rsidRPr="00660104">
              <w:rPr>
                <w:i w:val="0"/>
                <w:color w:val="FFFFFF" w:themeColor="background1"/>
              </w:rPr>
              <w:t>MCS</w:t>
            </w:r>
            <w:r w:rsidRPr="00A53774">
              <w:rPr>
                <w:i w:val="0"/>
              </w:rPr>
              <w:t xml:space="preserve"> will be released by the ABS in mid-2017. The OCE will be linking the management capability results to the </w:t>
            </w:r>
            <w:r>
              <w:rPr>
                <w:i w:val="0"/>
              </w:rPr>
              <w:t>BLADE</w:t>
            </w:r>
            <w:r w:rsidRPr="00A53774">
              <w:rPr>
                <w:i w:val="0"/>
              </w:rPr>
              <w:t xml:space="preserve"> to determine the impact of management capability on </w:t>
            </w:r>
            <w:r>
              <w:rPr>
                <w:i w:val="0"/>
              </w:rPr>
              <w:t xml:space="preserve">business </w:t>
            </w:r>
            <w:r w:rsidRPr="00A53774">
              <w:rPr>
                <w:i w:val="0"/>
              </w:rPr>
              <w:t>financial performance and broader economic and productivity growth. Results are expected in mid-2017</w:t>
            </w:r>
            <w:r w:rsidRPr="00660104">
              <w:rPr>
                <w:i w:val="0"/>
              </w:rPr>
              <w:t>,</w:t>
            </w:r>
            <w:r w:rsidRPr="00A53774">
              <w:rPr>
                <w:i w:val="0"/>
              </w:rPr>
              <w:t xml:space="preserve"> and will be published on the </w:t>
            </w:r>
            <w:r w:rsidRPr="00A53774">
              <w:rPr>
                <w:i w:val="0"/>
                <w:color w:val="FFFFFF" w:themeColor="background1"/>
                <w:szCs w:val="19"/>
              </w:rPr>
              <w:t>ABS and OCE websites (www.industry.gov.au/innovationreport).</w:t>
            </w:r>
          </w:p>
        </w:tc>
      </w:tr>
    </w:tbl>
    <w:p w14:paraId="7418AFBA" w14:textId="77777777" w:rsidR="00D471AD" w:rsidRPr="001729A3" w:rsidRDefault="00D471AD" w:rsidP="00D471AD">
      <w:pPr>
        <w:pStyle w:val="FACSheading"/>
        <w:rPr>
          <w:lang w:val="en-AU"/>
        </w:rPr>
      </w:pPr>
      <w:bookmarkStart w:id="803" w:name="_Toc461174542"/>
      <w:bookmarkStart w:id="804" w:name="_Toc461180096"/>
      <w:bookmarkStart w:id="805" w:name="_Toc461180192"/>
      <w:bookmarkStart w:id="806" w:name="_Toc461180484"/>
      <w:bookmarkStart w:id="807" w:name="_Toc461180564"/>
      <w:bookmarkStart w:id="808" w:name="_Toc461180613"/>
      <w:bookmarkStart w:id="809" w:name="_Toc461183220"/>
      <w:bookmarkStart w:id="810" w:name="_Toc461183272"/>
      <w:bookmarkStart w:id="811" w:name="_Toc461183350"/>
      <w:bookmarkStart w:id="812" w:name="_Toc461183815"/>
      <w:bookmarkStart w:id="813" w:name="_Toc461184421"/>
      <w:bookmarkStart w:id="814" w:name="_Toc461184526"/>
      <w:bookmarkStart w:id="815" w:name="_Toc461186564"/>
      <w:bookmarkStart w:id="816" w:name="_Toc461186881"/>
      <w:bookmarkStart w:id="817" w:name="_Toc461186986"/>
      <w:bookmarkStart w:id="818" w:name="_Toc461187245"/>
      <w:bookmarkStart w:id="819" w:name="_Toc461198273"/>
      <w:bookmarkStart w:id="820" w:name="_Toc461198815"/>
      <w:bookmarkStart w:id="821" w:name="_Toc461204103"/>
      <w:r w:rsidRPr="00547ACA">
        <w:rPr>
          <w:rStyle w:val="BodyTextChar"/>
        </w:rPr>
        <w:br w:type="column"/>
      </w:r>
      <w:bookmarkStart w:id="822" w:name="_Toc461624460"/>
      <w:bookmarkStart w:id="823" w:name="_Toc461629685"/>
      <w:bookmarkStart w:id="824" w:name="_Toc461633015"/>
      <w:bookmarkStart w:id="825" w:name="_Toc461634285"/>
      <w:bookmarkStart w:id="826" w:name="_Toc462229716"/>
      <w:bookmarkStart w:id="827" w:name="_Toc462230064"/>
      <w:bookmarkStart w:id="828" w:name="_Toc462231425"/>
      <w:bookmarkStart w:id="829" w:name="_Toc463013926"/>
      <w:bookmarkStart w:id="830" w:name="_Toc463014035"/>
      <w:bookmarkStart w:id="831" w:name="_Toc463014469"/>
      <w:bookmarkStart w:id="832" w:name="_Toc463877002"/>
      <w:bookmarkStart w:id="833" w:name="_Toc465862796"/>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r w:rsidRPr="001729A3">
        <w:rPr>
          <w:lang w:val="en-AU"/>
        </w:rPr>
        <w:t>Feature article: theSPACE</w:t>
      </w:r>
      <w:bookmarkEnd w:id="822"/>
      <w:bookmarkEnd w:id="823"/>
      <w:bookmarkEnd w:id="824"/>
      <w:bookmarkEnd w:id="825"/>
      <w:bookmarkEnd w:id="826"/>
      <w:bookmarkEnd w:id="827"/>
      <w:bookmarkEnd w:id="828"/>
      <w:bookmarkEnd w:id="829"/>
      <w:bookmarkEnd w:id="830"/>
      <w:bookmarkEnd w:id="831"/>
      <w:bookmarkEnd w:id="832"/>
      <w:bookmarkEnd w:id="833"/>
    </w:p>
    <w:tbl>
      <w:tblPr>
        <w:tblW w:w="0" w:type="auto"/>
        <w:tblLook w:val="04A0" w:firstRow="1" w:lastRow="0" w:firstColumn="1" w:lastColumn="0" w:noHBand="0" w:noVBand="1"/>
      </w:tblPr>
      <w:tblGrid>
        <w:gridCol w:w="4159"/>
      </w:tblGrid>
      <w:tr w:rsidR="00D471AD" w:rsidRPr="000D502B" w14:paraId="7418AFBD" w14:textId="77777777" w:rsidTr="004A31A9">
        <w:tc>
          <w:tcPr>
            <w:tcW w:w="4159" w:type="dxa"/>
          </w:tcPr>
          <w:p w14:paraId="7418AFBB" w14:textId="77777777" w:rsidR="00D471AD" w:rsidRPr="001729A3" w:rsidRDefault="00D471AD" w:rsidP="004A31A9">
            <w:pPr>
              <w:pStyle w:val="Author"/>
            </w:pPr>
            <w:r w:rsidRPr="001729A3">
              <w:t>Author Troy Haines</w:t>
            </w:r>
          </w:p>
          <w:p w14:paraId="7418AFBC" w14:textId="77777777" w:rsidR="00D471AD" w:rsidRPr="001729A3" w:rsidRDefault="00D471AD" w:rsidP="004A31A9">
            <w:pPr>
              <w:pStyle w:val="Author"/>
            </w:pPr>
            <w:r w:rsidRPr="001729A3">
              <w:t>CEO, theSPACE, Australasia</w:t>
            </w:r>
          </w:p>
        </w:tc>
      </w:tr>
    </w:tbl>
    <w:p w14:paraId="7418AFBE" w14:textId="77777777" w:rsidR="00D471AD" w:rsidRPr="001729A3" w:rsidRDefault="00D471AD" w:rsidP="00D471AD">
      <w:pPr>
        <w:pStyle w:val="CellSpaceBefore"/>
      </w:pPr>
    </w:p>
    <w:tbl>
      <w:tblPr>
        <w:tblStyle w:val="OCETable"/>
        <w:tblW w:w="4706" w:type="dxa"/>
        <w:tblLayout w:type="fixed"/>
        <w:tblCellMar>
          <w:left w:w="0" w:type="dxa"/>
          <w:right w:w="0" w:type="dxa"/>
        </w:tblCellMar>
        <w:tblLook w:val="04A0" w:firstRow="1" w:lastRow="0" w:firstColumn="1" w:lastColumn="0" w:noHBand="0" w:noVBand="1"/>
        <w:tblCaption w:val="Placeholder table"/>
      </w:tblPr>
      <w:tblGrid>
        <w:gridCol w:w="4706"/>
      </w:tblGrid>
      <w:tr w:rsidR="00D471AD" w:rsidRPr="000D502B" w14:paraId="7418AFC0" w14:textId="77777777" w:rsidTr="004A31A9">
        <w:trPr>
          <w:cnfStyle w:val="100000000000" w:firstRow="1" w:lastRow="0" w:firstColumn="0" w:lastColumn="0" w:oddVBand="0" w:evenVBand="0" w:oddHBand="0" w:evenHBand="0" w:firstRowFirstColumn="0" w:firstRowLastColumn="0" w:lastRowFirstColumn="0" w:lastRowLastColumn="0"/>
          <w:cantSplit/>
          <w:trHeight w:hRule="exact" w:val="3402"/>
          <w:tblHeader/>
        </w:trPr>
        <w:tc>
          <w:tcPr>
            <w:tcW w:w="4706" w:type="dxa"/>
            <w:shd w:val="clear" w:color="auto" w:fill="auto"/>
          </w:tcPr>
          <w:p w14:paraId="7418AFBF" w14:textId="77777777" w:rsidR="00D471AD" w:rsidRPr="000D502B" w:rsidRDefault="00D471AD" w:rsidP="004A31A9">
            <w:pPr>
              <w:pStyle w:val="Placeholder"/>
            </w:pPr>
            <w:r w:rsidRPr="000D502B">
              <w:rPr>
                <w:noProof/>
                <w:lang w:eastAsia="en-AU"/>
              </w:rPr>
              <w:drawing>
                <wp:inline distT="0" distB="0" distL="0" distR="0" wp14:anchorId="7418C611" wp14:editId="7418C612">
                  <wp:extent cx="1384300" cy="2160270"/>
                  <wp:effectExtent l="0" t="0" r="6350" b="0"/>
                  <wp:docPr id="22" name="Picture 22" descr="CEO, theSPACE, Australasia" title="Troy Ha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oy 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84300" cy="2160270"/>
                          </a:xfrm>
                          <a:prstGeom prst="rect">
                            <a:avLst/>
                          </a:prstGeom>
                        </pic:spPr>
                      </pic:pic>
                    </a:graphicData>
                  </a:graphic>
                </wp:inline>
              </w:drawing>
            </w:r>
          </w:p>
        </w:tc>
      </w:tr>
    </w:tbl>
    <w:p w14:paraId="7418AFC1" w14:textId="77777777" w:rsidR="00D471AD" w:rsidRPr="001729A3" w:rsidRDefault="00D471AD" w:rsidP="00D471AD">
      <w:pPr>
        <w:pStyle w:val="CellSpaceBefore"/>
      </w:pPr>
    </w:p>
    <w:tbl>
      <w:tblPr>
        <w:tblStyle w:val="OCETable"/>
        <w:tblW w:w="4706" w:type="dxa"/>
        <w:tblLayout w:type="fixed"/>
        <w:tblCellMar>
          <w:left w:w="0" w:type="dxa"/>
          <w:right w:w="0" w:type="dxa"/>
        </w:tblCellMar>
        <w:tblLook w:val="04A0" w:firstRow="1" w:lastRow="0" w:firstColumn="1" w:lastColumn="0" w:noHBand="0" w:noVBand="1"/>
        <w:tblCaption w:val="Placeholder table"/>
      </w:tblPr>
      <w:tblGrid>
        <w:gridCol w:w="4706"/>
      </w:tblGrid>
      <w:tr w:rsidR="00D471AD" w:rsidRPr="000D502B" w14:paraId="7418AFC3" w14:textId="77777777" w:rsidTr="004A31A9">
        <w:trPr>
          <w:cnfStyle w:val="100000000000" w:firstRow="1" w:lastRow="0" w:firstColumn="0" w:lastColumn="0" w:oddVBand="0" w:evenVBand="0" w:oddHBand="0" w:evenHBand="0" w:firstRowFirstColumn="0" w:firstRowLastColumn="0" w:lastRowFirstColumn="0" w:lastRowLastColumn="0"/>
          <w:cantSplit/>
          <w:trHeight w:hRule="exact" w:val="2074"/>
          <w:tblHeader/>
        </w:trPr>
        <w:tc>
          <w:tcPr>
            <w:tcW w:w="4706" w:type="dxa"/>
            <w:shd w:val="clear" w:color="auto" w:fill="auto"/>
          </w:tcPr>
          <w:p w14:paraId="7418AFC2" w14:textId="77777777" w:rsidR="00D471AD" w:rsidRPr="000D502B" w:rsidRDefault="00D471AD" w:rsidP="004A31A9">
            <w:pPr>
              <w:pStyle w:val="Placeholder"/>
            </w:pPr>
            <w:r w:rsidRPr="000D502B">
              <w:rPr>
                <w:noProof/>
                <w:lang w:eastAsia="en-AU"/>
              </w:rPr>
              <w:drawing>
                <wp:inline distT="0" distB="0" distL="0" distR="0" wp14:anchorId="7418C613" wp14:editId="7418C614">
                  <wp:extent cx="2988310" cy="1319530"/>
                  <wp:effectExtent l="0" t="0" r="2540" b="0"/>
                  <wp:docPr id="23" name="Picture 23" descr="Logo says 'Turning ideas into reality''" title="theSPACE Australas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PACElogo-white-turningideas-Darker_AUS.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88310" cy="1319530"/>
                          </a:xfrm>
                          <a:prstGeom prst="rect">
                            <a:avLst/>
                          </a:prstGeom>
                        </pic:spPr>
                      </pic:pic>
                    </a:graphicData>
                  </a:graphic>
                </wp:inline>
              </w:drawing>
            </w:r>
          </w:p>
        </w:tc>
      </w:tr>
      <w:tr w:rsidR="00D471AD" w:rsidRPr="000D502B" w14:paraId="7418AFC5" w14:textId="77777777" w:rsidTr="004A31A9">
        <w:trPr>
          <w:cantSplit/>
        </w:trPr>
        <w:tc>
          <w:tcPr>
            <w:tcW w:w="4706" w:type="dxa"/>
            <w:shd w:val="clear" w:color="auto" w:fill="auto"/>
          </w:tcPr>
          <w:p w14:paraId="7418AFC4" w14:textId="77777777" w:rsidR="00D471AD" w:rsidRPr="001729A3" w:rsidRDefault="00D471AD" w:rsidP="004A31A9">
            <w:pPr>
              <w:pStyle w:val="FeatureArticletext"/>
            </w:pPr>
          </w:p>
        </w:tc>
      </w:tr>
    </w:tbl>
    <w:p w14:paraId="7418AFC6" w14:textId="77777777" w:rsidR="00D471AD" w:rsidRPr="001729A3" w:rsidRDefault="00D471AD" w:rsidP="00D471AD">
      <w:pPr>
        <w:pStyle w:val="BodyText"/>
        <w:rPr>
          <w:color w:val="22789A"/>
        </w:rPr>
      </w:pPr>
      <w:r w:rsidRPr="001729A3">
        <w:rPr>
          <w:color w:val="22789A"/>
        </w:rPr>
        <w:t xml:space="preserve">In regions such as Cairns, Queensland, we experience similar challenges to other regional areas in Australia. The challenges of high unemployment, fading traditional industries, a lack of economic diversity, and a ‘brain drain’ of talent to urban centres all highlight the need for novel economic development strategies. Innovation and entrepreneurship are highlighted as potential solutions, but both require knowledge and support to be successful. </w:t>
      </w:r>
    </w:p>
    <w:p w14:paraId="7418AFC7" w14:textId="77777777" w:rsidR="00D471AD" w:rsidRPr="001729A3" w:rsidRDefault="00D471AD" w:rsidP="00D471AD">
      <w:pPr>
        <w:pStyle w:val="BodyText"/>
        <w:rPr>
          <w:color w:val="22789A"/>
        </w:rPr>
      </w:pPr>
      <w:r w:rsidRPr="001729A3">
        <w:rPr>
          <w:color w:val="22789A"/>
        </w:rPr>
        <w:t xml:space="preserve">TheSPACE is </w:t>
      </w:r>
      <w:r w:rsidRPr="00660104">
        <w:rPr>
          <w:color w:val="22789A"/>
        </w:rPr>
        <w:t>Far N</w:t>
      </w:r>
      <w:r w:rsidRPr="001729A3">
        <w:rPr>
          <w:color w:val="22789A"/>
        </w:rPr>
        <w:t>orth Queensland’s innovation and start-up hub. By studying models developed abroad, such as in Boulder and Silicon Valley, and through our own experiences and assessments of regional entrepreneurs</w:t>
      </w:r>
      <w:r w:rsidRPr="00660104">
        <w:rPr>
          <w:color w:val="22789A"/>
        </w:rPr>
        <w:t>,</w:t>
      </w:r>
      <w:r w:rsidRPr="001729A3">
        <w:rPr>
          <w:color w:val="22789A"/>
        </w:rPr>
        <w:t xml:space="preserve"> we identified the following key ingredients of a start-up and innovation ecosystem:</w:t>
      </w:r>
    </w:p>
    <w:p w14:paraId="7418AFC8" w14:textId="77777777" w:rsidR="00D471AD" w:rsidRPr="009D7514" w:rsidRDefault="00D471AD" w:rsidP="00D471AD">
      <w:pPr>
        <w:pStyle w:val="FeatureArticletext"/>
        <w:numPr>
          <w:ilvl w:val="0"/>
          <w:numId w:val="9"/>
        </w:numPr>
        <w:ind w:left="360" w:hanging="360"/>
        <w:rPr>
          <w:i w:val="0"/>
        </w:rPr>
      </w:pPr>
      <w:r w:rsidRPr="009D7514">
        <w:rPr>
          <w:i w:val="0"/>
        </w:rPr>
        <w:t>Culture: It is essential to develop an entrepreneurial culture among all stakeholders within a region.</w:t>
      </w:r>
      <w:r w:rsidRPr="009D7514">
        <w:rPr>
          <w:i w:val="0"/>
          <w:vertAlign w:val="superscript"/>
        </w:rPr>
        <w:endnoteReference w:id="9"/>
      </w:r>
      <w:r w:rsidRPr="009D7514">
        <w:rPr>
          <w:i w:val="0"/>
        </w:rPr>
        <w:t xml:space="preserve"> Small businesses differ from start-ups and stakeholders need to understand the ‘scalability’ and ‘innovation’ required for a start-up to deliver the growth required for economic development. </w:t>
      </w:r>
    </w:p>
    <w:p w14:paraId="7418AFC9" w14:textId="77777777" w:rsidR="00D471AD" w:rsidRPr="009D7514" w:rsidRDefault="00D471AD" w:rsidP="00D471AD">
      <w:pPr>
        <w:pStyle w:val="FeatureArticletext"/>
        <w:numPr>
          <w:ilvl w:val="0"/>
          <w:numId w:val="9"/>
        </w:numPr>
        <w:ind w:left="360" w:hanging="360"/>
        <w:rPr>
          <w:i w:val="0"/>
        </w:rPr>
      </w:pPr>
      <w:r w:rsidRPr="009D7514">
        <w:rPr>
          <w:i w:val="0"/>
        </w:rPr>
        <w:t>Champion(s): An ecosystem needs a champion or a team of champions to provide a driving force, and to keep stakeholders focused and moving forward on an ongoing basis. Ideally, champions benefit from the ecosystem as entrepreneurs, but also develop it for the benefit of the broader community.</w:t>
      </w:r>
    </w:p>
    <w:p w14:paraId="7418AFCA" w14:textId="77777777" w:rsidR="00D471AD" w:rsidRPr="009D7514" w:rsidRDefault="00D471AD" w:rsidP="00D471AD">
      <w:pPr>
        <w:pStyle w:val="FeatureArticletext"/>
        <w:numPr>
          <w:ilvl w:val="0"/>
          <w:numId w:val="9"/>
        </w:numPr>
        <w:ind w:left="360" w:hanging="360"/>
        <w:rPr>
          <w:i w:val="0"/>
        </w:rPr>
      </w:pPr>
      <w:r w:rsidRPr="009D7514">
        <w:rPr>
          <w:i w:val="0"/>
        </w:rPr>
        <w:t>Stakeholder engagement: In a regional context, the saying ‘it takes a village to raise a start-up’ is particularly relevant. Key stakeholders in a region include local, state, and federal governments; service providers (e.g. accountants, lawyers and consultants); educational and research institutions; mentors; investors; media; and, most importantly, entrepreneurs.</w:t>
      </w:r>
    </w:p>
    <w:p w14:paraId="7418AFCB" w14:textId="77777777" w:rsidR="00D471AD" w:rsidRPr="009D7514" w:rsidRDefault="00D471AD" w:rsidP="00D471AD">
      <w:pPr>
        <w:pStyle w:val="FeatureArticletext"/>
        <w:numPr>
          <w:ilvl w:val="0"/>
          <w:numId w:val="9"/>
        </w:numPr>
        <w:ind w:left="360" w:hanging="360"/>
        <w:rPr>
          <w:i w:val="0"/>
        </w:rPr>
      </w:pPr>
      <w:r w:rsidRPr="009D7514">
        <w:rPr>
          <w:i w:val="0"/>
        </w:rPr>
        <w:t>Process: To build capacity in a region, there must be a clear process (or runway) that will lead entrepreneurs from idea to commercialisation to exit, and provide the necessary support services along the way.</w:t>
      </w:r>
      <w:r w:rsidRPr="009D7514">
        <w:rPr>
          <w:i w:val="0"/>
          <w:vertAlign w:val="superscript"/>
        </w:rPr>
        <w:endnoteReference w:id="10"/>
      </w:r>
    </w:p>
    <w:p w14:paraId="7418AFCC" w14:textId="77777777" w:rsidR="00D471AD" w:rsidRPr="009D7514" w:rsidRDefault="00D471AD" w:rsidP="00D471AD">
      <w:pPr>
        <w:pStyle w:val="FeatureArticletext"/>
        <w:numPr>
          <w:ilvl w:val="0"/>
          <w:numId w:val="9"/>
        </w:numPr>
        <w:ind w:left="360" w:hanging="360"/>
        <w:rPr>
          <w:i w:val="0"/>
        </w:rPr>
      </w:pPr>
      <w:r w:rsidRPr="009D7514">
        <w:rPr>
          <w:i w:val="0"/>
        </w:rPr>
        <w:t xml:space="preserve">Physical space and events: Entrepreneurs benefit from the availability of co-working spaces, which become a means of sharing information and knowledge, building a community, and fostering the necessary culture. </w:t>
      </w:r>
    </w:p>
    <w:p w14:paraId="7418AFCD" w14:textId="77777777" w:rsidR="00D471AD" w:rsidRPr="001729A3" w:rsidRDefault="00D471AD" w:rsidP="00D471AD">
      <w:pPr>
        <w:pStyle w:val="CellSpaceBefore"/>
        <w:rPr>
          <w:color w:val="22789A"/>
          <w:sz w:val="20"/>
        </w:rPr>
      </w:pPr>
      <w:r w:rsidRPr="001729A3">
        <w:rPr>
          <w:color w:val="22789A"/>
          <w:sz w:val="20"/>
        </w:rPr>
        <w:t>Some recommendations for others wishing to build a sustainable regional start-up and innovation ecosystem are:</w:t>
      </w:r>
    </w:p>
    <w:p w14:paraId="7418AFCE" w14:textId="77777777" w:rsidR="00D471AD" w:rsidRPr="009D7514" w:rsidRDefault="00D471AD" w:rsidP="00D471AD">
      <w:pPr>
        <w:pStyle w:val="ListNumber"/>
        <w:numPr>
          <w:ilvl w:val="0"/>
          <w:numId w:val="15"/>
        </w:numPr>
        <w:jc w:val="both"/>
        <w:rPr>
          <w:color w:val="22789A"/>
          <w:sz w:val="20"/>
        </w:rPr>
      </w:pPr>
      <w:r w:rsidRPr="009D7514">
        <w:rPr>
          <w:color w:val="22789A"/>
          <w:sz w:val="20"/>
        </w:rPr>
        <w:t xml:space="preserve">Recognise that building an ecosystem takes more than just funding an accelerator or incubator: Ecosystem building requires a cultural shift where failure is celebrated, tall poppies are encouraged, and global entrepreneurship becomes common. An ecosystem requires bringing together diverse components—especially people—and developing a process to turn ideas into reality. The goal is to bring long-term capability and sustainability to the region from which companies will emerge, not just in the short term, but long into the future. </w:t>
      </w:r>
    </w:p>
    <w:p w14:paraId="7418AFCF" w14:textId="77777777" w:rsidR="00D471AD" w:rsidRPr="009D7514" w:rsidRDefault="00D471AD" w:rsidP="00D471AD">
      <w:pPr>
        <w:pStyle w:val="ListNumber"/>
        <w:numPr>
          <w:ilvl w:val="0"/>
          <w:numId w:val="15"/>
        </w:numPr>
        <w:jc w:val="both"/>
        <w:rPr>
          <w:color w:val="22789A"/>
          <w:sz w:val="20"/>
        </w:rPr>
      </w:pPr>
      <w:r w:rsidRPr="009D7514">
        <w:rPr>
          <w:color w:val="22789A"/>
          <w:sz w:val="20"/>
        </w:rPr>
        <w:t xml:space="preserve">Take a lean approach to space: A physical space provides a place to run events and programmes, gives entrepreneurs a place to work, and helps provide a focus to the ecosystem. We have found that, in the early stages of building an ecosystem, growing the community and soft infrastructure (i.e. the ecosystem and culture) is far more important than a physical space. We encourage a lean mentality to growing the co-working space in step with the needs of the growing community. </w:t>
      </w:r>
    </w:p>
    <w:p w14:paraId="7418AFD0" w14:textId="77777777" w:rsidR="00D471AD" w:rsidRPr="009D7514" w:rsidRDefault="00D471AD" w:rsidP="00D471AD">
      <w:pPr>
        <w:pStyle w:val="ListNumber"/>
        <w:numPr>
          <w:ilvl w:val="0"/>
          <w:numId w:val="15"/>
        </w:numPr>
        <w:jc w:val="both"/>
        <w:rPr>
          <w:color w:val="22789A"/>
          <w:sz w:val="20"/>
        </w:rPr>
      </w:pPr>
      <w:r w:rsidRPr="009D7514">
        <w:rPr>
          <w:color w:val="22789A"/>
          <w:sz w:val="20"/>
        </w:rPr>
        <w:t xml:space="preserve">Reflect the region: It is important for the ecosystem to reflect and embrace the uniqueness of its own region. </w:t>
      </w:r>
    </w:p>
    <w:p w14:paraId="7418AFD1" w14:textId="77777777" w:rsidR="00D471AD" w:rsidRPr="009D7514" w:rsidRDefault="00D471AD" w:rsidP="00D471AD">
      <w:pPr>
        <w:pStyle w:val="ListNumber"/>
        <w:numPr>
          <w:ilvl w:val="0"/>
          <w:numId w:val="15"/>
        </w:numPr>
        <w:jc w:val="both"/>
        <w:rPr>
          <w:color w:val="22789A"/>
          <w:sz w:val="20"/>
        </w:rPr>
      </w:pPr>
      <w:r w:rsidRPr="009D7514">
        <w:rPr>
          <w:color w:val="22789A"/>
          <w:sz w:val="20"/>
        </w:rPr>
        <w:t>View technology as only part of the solution: A start-up and innovation ecosystem is not just about developers ‘building apps’. For example, in our experience some of the most innovative people in the regions are tradespeople. The opportunity is to bring technology to what regions already do well, and educate our entrepreneurs on an effective commercialisation process.</w:t>
      </w:r>
    </w:p>
    <w:p w14:paraId="7418AFD2" w14:textId="77777777" w:rsidR="00D471AD" w:rsidRPr="009D7514" w:rsidRDefault="00D471AD" w:rsidP="00D471AD">
      <w:pPr>
        <w:pStyle w:val="ListNumber"/>
        <w:numPr>
          <w:ilvl w:val="0"/>
          <w:numId w:val="15"/>
        </w:numPr>
        <w:jc w:val="both"/>
        <w:rPr>
          <w:color w:val="22789A"/>
          <w:sz w:val="20"/>
        </w:rPr>
      </w:pPr>
      <w:r w:rsidRPr="009D7514">
        <w:rPr>
          <w:color w:val="22789A"/>
          <w:sz w:val="20"/>
        </w:rPr>
        <w:t xml:space="preserve">Reduce volunteer burnout: Having a trained start-up and innovation coach helps to overcome volunteer burnout, builds capacity in the region, and provides sustainable revenue. </w:t>
      </w:r>
    </w:p>
    <w:p w14:paraId="7418AFD3" w14:textId="77777777" w:rsidR="00D471AD" w:rsidRPr="009D7514" w:rsidRDefault="00D471AD" w:rsidP="00D471AD">
      <w:pPr>
        <w:pStyle w:val="ListNumber"/>
        <w:numPr>
          <w:ilvl w:val="0"/>
          <w:numId w:val="15"/>
        </w:numPr>
        <w:jc w:val="both"/>
        <w:rPr>
          <w:color w:val="22789A"/>
          <w:sz w:val="20"/>
        </w:rPr>
      </w:pPr>
      <w:r w:rsidRPr="009D7514">
        <w:rPr>
          <w:color w:val="22789A"/>
          <w:sz w:val="20"/>
        </w:rPr>
        <w:t>Focus on sustainability: Initial funding from high net worth individuals or government agencies to start an ecosystem certainly can be helpful, but building a sustainable business model (which is not solely reliant on funding) is critical. Our model has allowed us to grow to five staff over the past four years.</w:t>
      </w:r>
    </w:p>
    <w:p w14:paraId="7418AFD4" w14:textId="77777777" w:rsidR="00D471AD" w:rsidRPr="009D7514" w:rsidRDefault="00D471AD" w:rsidP="00D471AD">
      <w:pPr>
        <w:pStyle w:val="ListNumber"/>
        <w:numPr>
          <w:ilvl w:val="0"/>
          <w:numId w:val="15"/>
        </w:numPr>
        <w:jc w:val="both"/>
        <w:rPr>
          <w:color w:val="22789A"/>
          <w:sz w:val="20"/>
        </w:rPr>
      </w:pPr>
      <w:r w:rsidRPr="009D7514">
        <w:rPr>
          <w:color w:val="22789A"/>
          <w:sz w:val="20"/>
        </w:rPr>
        <w:t xml:space="preserve">Entrepreneurs are at the heart of any ecosystem: In an ecosystem, stakeholders may make or take particular roles that might do more harm than good, even when their intentions are good. For example, we’ve learned that it’s not the governments’ or the investors’ role to lead the ecosystem. These stakeholders play key roles in ecosystem development, but entrepreneurs need to be the ones to drive the development of the ecosystem, as it creates a culture of entrepreneurship. </w:t>
      </w:r>
    </w:p>
    <w:p w14:paraId="7418AFD5" w14:textId="77777777" w:rsidR="00D471AD" w:rsidRPr="009D7514" w:rsidRDefault="00D471AD" w:rsidP="00D471AD">
      <w:pPr>
        <w:pStyle w:val="ListNumber"/>
        <w:numPr>
          <w:ilvl w:val="0"/>
          <w:numId w:val="15"/>
        </w:numPr>
        <w:jc w:val="both"/>
        <w:rPr>
          <w:color w:val="22789A"/>
          <w:sz w:val="20"/>
        </w:rPr>
      </w:pPr>
      <w:r w:rsidRPr="009D7514">
        <w:rPr>
          <w:color w:val="22789A"/>
          <w:sz w:val="20"/>
        </w:rPr>
        <w:t xml:space="preserve">Build from the grassroots up: Having a trained start-up and innovation coach provides high levels of support for early-stage entrepreneurs who require significant amounts of time for development and nurturing. This approach fosters a grassroots approach to ideation in the communities, and helps build the ecosystem organically. </w:t>
      </w:r>
    </w:p>
    <w:p w14:paraId="7418AFD6" w14:textId="77777777" w:rsidR="00D471AD" w:rsidRPr="001729A3" w:rsidRDefault="00D471AD" w:rsidP="00D471AD">
      <w:pPr>
        <w:pStyle w:val="CellSpaceBefore"/>
        <w:rPr>
          <w:color w:val="22789A"/>
          <w:sz w:val="20"/>
        </w:rPr>
      </w:pPr>
      <w:r w:rsidRPr="001729A3">
        <w:rPr>
          <w:color w:val="22789A"/>
          <w:sz w:val="20"/>
        </w:rPr>
        <w:t xml:space="preserve">Although it is still early days, we are seeing positive activity in </w:t>
      </w:r>
      <w:r>
        <w:rPr>
          <w:color w:val="22789A"/>
          <w:sz w:val="20"/>
        </w:rPr>
        <w:t>other</w:t>
      </w:r>
      <w:r w:rsidRPr="001729A3">
        <w:rPr>
          <w:color w:val="22789A"/>
          <w:sz w:val="20"/>
        </w:rPr>
        <w:t xml:space="preserve"> regions and finding champions inspired to do the work in building the ecosystems. Our regions are beginning to understand that building ecosystems for economic growth is far more than a short-term goal of establishing an incubator or accelerator. Building an ecosystem is about creating a cultural shift that will allow a community to be strategically agile long into the future. It requires working with students in schools and universities and teaching them the fundamentals of entrepreneurship, particularly how to turn an idea into a scalable business. </w:t>
      </w:r>
    </w:p>
    <w:p w14:paraId="7418AFD7" w14:textId="77777777" w:rsidR="00D471AD" w:rsidRPr="001729A3" w:rsidRDefault="00D471AD" w:rsidP="00D471AD">
      <w:pPr>
        <w:pStyle w:val="CellSpaceBefore"/>
        <w:rPr>
          <w:color w:val="22789A"/>
          <w:sz w:val="20"/>
        </w:rPr>
      </w:pPr>
      <w:r w:rsidRPr="001729A3">
        <w:rPr>
          <w:color w:val="22789A"/>
          <w:sz w:val="20"/>
        </w:rPr>
        <w:t>The future of a region's economic development will depend on a widespread culture shift to entrepreneurship that is educated around risk</w:t>
      </w:r>
      <w:r w:rsidRPr="00660104">
        <w:rPr>
          <w:color w:val="22789A"/>
          <w:sz w:val="20"/>
        </w:rPr>
        <w:t>,</w:t>
      </w:r>
      <w:r w:rsidRPr="001729A3">
        <w:rPr>
          <w:color w:val="22789A"/>
          <w:sz w:val="20"/>
        </w:rPr>
        <w:t xml:space="preserve"> and views strategic failure as a learning opportunity. To remain relevant in the modern global economy, it is critical that regions in Australia (and around the world) embrace building ecosystems and adopt processes that help entrepreneurs turn good ideas into high-growth, scalable businesses. That is the path we’re taking in Cairns, and in supporting other regions throughout Australia we hope our model and experiences will encourage many other regions to do the same.</w:t>
      </w:r>
    </w:p>
    <w:p w14:paraId="7418AFD8" w14:textId="77777777" w:rsidR="00D471AD" w:rsidRPr="000D502B" w:rsidRDefault="00D471AD" w:rsidP="00D471AD">
      <w:pPr>
        <w:pStyle w:val="Placeholder"/>
      </w:pPr>
    </w:p>
    <w:p w14:paraId="7418AFD9" w14:textId="77777777" w:rsidR="00D471AD" w:rsidRPr="000D502B" w:rsidRDefault="00D471AD" w:rsidP="00D471AD">
      <w:pPr>
        <w:pStyle w:val="Placeholder"/>
        <w:jc w:val="both"/>
        <w:rPr>
          <w:color w:val="22789A"/>
          <w:sz w:val="20"/>
        </w:rPr>
      </w:pPr>
      <w:r w:rsidRPr="000D502B">
        <w:rPr>
          <w:color w:val="22789A"/>
          <w:sz w:val="20"/>
        </w:rPr>
        <w:t xml:space="preserve">For more information visit </w:t>
      </w:r>
      <w:r>
        <w:rPr>
          <w:color w:val="22789A"/>
          <w:sz w:val="20"/>
        </w:rPr>
        <w:t>t</w:t>
      </w:r>
      <w:r w:rsidRPr="000D502B">
        <w:rPr>
          <w:color w:val="22789A"/>
          <w:sz w:val="20"/>
        </w:rPr>
        <w:t xml:space="preserve">heSPACE </w:t>
      </w:r>
      <w:hyperlink r:id="rId51" w:history="1">
        <w:r w:rsidRPr="000D502B">
          <w:rPr>
            <w:rStyle w:val="Hyperlink"/>
            <w:sz w:val="20"/>
          </w:rPr>
          <w:t>website</w:t>
        </w:r>
      </w:hyperlink>
      <w:r w:rsidRPr="000D502B">
        <w:rPr>
          <w:color w:val="22789A"/>
          <w:sz w:val="20"/>
        </w:rPr>
        <w:t>.</w:t>
      </w:r>
      <w:r>
        <w:rPr>
          <w:rStyle w:val="EndnoteReference"/>
          <w:color w:val="22789A"/>
          <w:sz w:val="20"/>
        </w:rPr>
        <w:endnoteReference w:id="11"/>
      </w:r>
    </w:p>
    <w:p w14:paraId="7418AFDA" w14:textId="77777777" w:rsidR="00D471AD" w:rsidRPr="001729A3" w:rsidRDefault="00D471AD" w:rsidP="00D471AD">
      <w:pPr>
        <w:pStyle w:val="BodyText"/>
        <w:sectPr w:rsidR="00D471AD" w:rsidRPr="001729A3" w:rsidSect="00D471AD">
          <w:footnotePr>
            <w:numFmt w:val="upperRoman"/>
          </w:footnotePr>
          <w:endnotePr>
            <w:numFmt w:val="decimal"/>
          </w:endnotePr>
          <w:type w:val="continuous"/>
          <w:pgSz w:w="11906" w:h="16838" w:code="9"/>
          <w:pgMar w:top="1440" w:right="992" w:bottom="1440" w:left="992" w:header="709" w:footer="709" w:gutter="0"/>
          <w:cols w:num="2" w:space="971"/>
          <w:docGrid w:linePitch="360"/>
        </w:sectPr>
      </w:pPr>
      <w:r w:rsidRPr="001729A3">
        <w:t xml:space="preserve"> </w:t>
      </w:r>
    </w:p>
    <w:p w14:paraId="7418AFDB" w14:textId="77777777" w:rsidR="00D471AD" w:rsidRPr="000D502B" w:rsidRDefault="00D471AD" w:rsidP="00D471AD">
      <w:pPr>
        <w:pStyle w:val="Heading1"/>
      </w:pPr>
      <w:bookmarkStart w:id="834" w:name="_Toc461180486"/>
      <w:bookmarkStart w:id="835" w:name="_Toc461180566"/>
      <w:bookmarkStart w:id="836" w:name="_Toc461180615"/>
      <w:bookmarkStart w:id="837" w:name="_Toc461183223"/>
      <w:bookmarkStart w:id="838" w:name="_Toc461183275"/>
      <w:bookmarkStart w:id="839" w:name="_Toc461183353"/>
      <w:bookmarkStart w:id="840" w:name="_Toc461183818"/>
      <w:bookmarkStart w:id="841" w:name="_Toc461184424"/>
      <w:bookmarkStart w:id="842" w:name="_Toc461184529"/>
      <w:bookmarkStart w:id="843" w:name="_Toc461186567"/>
      <w:bookmarkStart w:id="844" w:name="_Toc461186884"/>
      <w:bookmarkStart w:id="845" w:name="_Toc461186989"/>
      <w:bookmarkStart w:id="846" w:name="_Toc461187248"/>
      <w:bookmarkStart w:id="847" w:name="_Toc461198275"/>
      <w:bookmarkStart w:id="848" w:name="_Toc461198817"/>
      <w:bookmarkStart w:id="849" w:name="_Toc461204105"/>
      <w:bookmarkStart w:id="850" w:name="_Toc461527556"/>
      <w:bookmarkStart w:id="851" w:name="_Toc461624461"/>
      <w:bookmarkStart w:id="852" w:name="_Toc461629686"/>
      <w:bookmarkStart w:id="853" w:name="_Toc461633016"/>
      <w:bookmarkStart w:id="854" w:name="_Toc461634286"/>
      <w:bookmarkStart w:id="855" w:name="_Toc462229717"/>
      <w:bookmarkStart w:id="856" w:name="_Toc462230065"/>
      <w:bookmarkStart w:id="857" w:name="_Toc462231426"/>
      <w:bookmarkStart w:id="858" w:name="_Toc463013927"/>
      <w:bookmarkStart w:id="859" w:name="_Toc463014036"/>
      <w:bookmarkStart w:id="860" w:name="_Toc463014470"/>
      <w:bookmarkStart w:id="861" w:name="_Toc463877003"/>
      <w:bookmarkStart w:id="862" w:name="_Toc465862797"/>
      <w:r w:rsidRPr="000D502B">
        <w:t xml:space="preserve">Why is </w:t>
      </w:r>
      <w:r w:rsidRPr="009D7514">
        <w:t>innovation</w:t>
      </w:r>
      <w:r w:rsidRPr="000D502B">
        <w:t xml:space="preserve"> important?</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7418AFDC" w14:textId="77777777" w:rsidR="00D471AD" w:rsidRPr="001729A3" w:rsidRDefault="00D471AD" w:rsidP="00D471AD">
      <w:pPr>
        <w:pStyle w:val="BodyText"/>
      </w:pPr>
      <w:r w:rsidRPr="001729A3">
        <w:t xml:space="preserve">Decades of economic research demonstrate that innovation is a key </w:t>
      </w:r>
      <w:r>
        <w:t>driver of</w:t>
      </w:r>
      <w:r w:rsidRPr="001729A3">
        <w:t xml:space="preserve"> competitiveness and growth for both businesses and societies.</w:t>
      </w:r>
      <w:r w:rsidRPr="001729A3">
        <w:rPr>
          <w:rStyle w:val="EndnoteReference"/>
        </w:rPr>
        <w:endnoteReference w:id="12"/>
      </w:r>
      <w:r w:rsidRPr="001729A3">
        <w:t xml:space="preserve"> We have introduced new indicators and new analysis that show a significant causal impact of innovation on business performance. All else being equal, the impact of innovation on business growth is significant and positive, and this effect gets stronger as businesses innovate more regularly. High</w:t>
      </w:r>
      <w:r>
        <w:t>-</w:t>
      </w:r>
      <w:r w:rsidRPr="001729A3">
        <w:t xml:space="preserve">growth businesses drive the majority of employment, sales, exports and economic growth in Australia. In particular, start-up businesses that are less than three years old make a disproportionate contribution to growth </w:t>
      </w:r>
      <w:r>
        <w:t>o</w:t>
      </w:r>
      <w:r w:rsidRPr="001729A3">
        <w:t>n every indicator examined.</w:t>
      </w:r>
    </w:p>
    <w:p w14:paraId="7418AFDD" w14:textId="77777777" w:rsidR="00D471AD" w:rsidRPr="001729A3" w:rsidRDefault="00D471AD" w:rsidP="00D471AD">
      <w:pPr>
        <w:pStyle w:val="BodyText"/>
      </w:pPr>
      <w:bookmarkStart w:id="863" w:name="_Toc461180487"/>
      <w:bookmarkStart w:id="864" w:name="_Toc461180567"/>
      <w:bookmarkStart w:id="865" w:name="_Toc461180616"/>
      <w:bookmarkStart w:id="866" w:name="_Toc461183224"/>
      <w:bookmarkStart w:id="867" w:name="_Toc461183276"/>
      <w:bookmarkStart w:id="868" w:name="_Toc461183354"/>
      <w:bookmarkStart w:id="869" w:name="_Toc461183819"/>
      <w:bookmarkStart w:id="870" w:name="_Toc461184425"/>
      <w:bookmarkStart w:id="871" w:name="_Toc461184530"/>
      <w:bookmarkStart w:id="872" w:name="_Toc461186568"/>
      <w:bookmarkStart w:id="873" w:name="_Toc461186885"/>
      <w:bookmarkStart w:id="874" w:name="_Toc461186990"/>
      <w:bookmarkStart w:id="875" w:name="_Toc461187249"/>
      <w:bookmarkStart w:id="876" w:name="_Toc461198276"/>
      <w:bookmarkStart w:id="877" w:name="_Toc461198818"/>
      <w:bookmarkStart w:id="878" w:name="_Toc461204106"/>
      <w:bookmarkStart w:id="879" w:name="_Toc461527557"/>
      <w:bookmarkStart w:id="880" w:name="_Toc461624462"/>
      <w:bookmarkStart w:id="881" w:name="_Toc461629687"/>
      <w:bookmarkStart w:id="882" w:name="_Toc461633017"/>
      <w:bookmarkStart w:id="883" w:name="_Toc461634287"/>
      <w:r w:rsidRPr="001729A3">
        <w:t>Consistent with the literature, this chapter introduces new indicators and new analysis to provide compelling evidence of the impact of innovation on Australian society.</w:t>
      </w:r>
    </w:p>
    <w:p w14:paraId="7418AFDE" w14:textId="77777777" w:rsidR="00D471AD" w:rsidRPr="000D502B" w:rsidRDefault="00D471AD" w:rsidP="00D471AD">
      <w:pPr>
        <w:pStyle w:val="Heading2"/>
      </w:pPr>
      <w:bookmarkStart w:id="884" w:name="_Toc462229718"/>
      <w:bookmarkStart w:id="885" w:name="_Toc462230066"/>
      <w:bookmarkStart w:id="886" w:name="_Toc462231427"/>
      <w:bookmarkStart w:id="887" w:name="_Toc463013928"/>
      <w:bookmarkStart w:id="888" w:name="_Toc463014037"/>
      <w:bookmarkStart w:id="889" w:name="_Toc463014471"/>
      <w:bookmarkStart w:id="890" w:name="_Toc463877004"/>
      <w:bookmarkStart w:id="891" w:name="_Toc465862798"/>
      <w:r>
        <w:t>Innovation is a key factor for competitiveness</w:t>
      </w:r>
      <w:bookmarkEnd w:id="884"/>
      <w:bookmarkEnd w:id="885"/>
      <w:bookmarkEnd w:id="886"/>
      <w:bookmarkEnd w:id="887"/>
      <w:bookmarkEnd w:id="888"/>
      <w:bookmarkEnd w:id="889"/>
      <w:bookmarkEnd w:id="890"/>
      <w:bookmarkEnd w:id="891"/>
    </w:p>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14:paraId="7418AFDF" w14:textId="77777777" w:rsidR="00D471AD" w:rsidRPr="001729A3" w:rsidRDefault="00D471AD" w:rsidP="00D471AD">
      <w:pPr>
        <w:pStyle w:val="BodyText"/>
      </w:pPr>
      <w:r w:rsidRPr="001729A3">
        <w:t xml:space="preserve">Innovation is a key factor for competitiveness and growth in developed economies like </w:t>
      </w:r>
      <w:r w:rsidRPr="00660104">
        <w:t>Australia’s</w:t>
      </w:r>
      <w:r w:rsidRPr="001729A3">
        <w:t>.</w:t>
      </w:r>
      <w:r w:rsidRPr="001729A3">
        <w:rPr>
          <w:rStyle w:val="EndnoteReference"/>
        </w:rPr>
        <w:endnoteReference w:id="13"/>
      </w:r>
      <w:r w:rsidRPr="001729A3">
        <w:t xml:space="preserve"> The OECD estimates that as much as 50 per cent of economic growth in its member countries can be accounted for by innovation activity</w:t>
      </w:r>
      <w:r w:rsidRPr="00660104">
        <w:t>,</w:t>
      </w:r>
      <w:r w:rsidRPr="001729A3">
        <w:t xml:space="preserve"> and that this contribution will grow.</w:t>
      </w:r>
      <w:r w:rsidRPr="001729A3">
        <w:rPr>
          <w:vertAlign w:val="superscript"/>
        </w:rPr>
        <w:endnoteReference w:id="14"/>
      </w:r>
      <w:r w:rsidRPr="001729A3">
        <w:t xml:space="preserve"> Innovation has been demonstrated to drive productivity growth and the competitive advantage of businesses.</w:t>
      </w:r>
      <w:r w:rsidRPr="001729A3">
        <w:rPr>
          <w:rStyle w:val="EndnoteReference"/>
        </w:rPr>
        <w:endnoteReference w:id="15"/>
      </w:r>
      <w:r w:rsidRPr="001729A3">
        <w:t xml:space="preserve"> </w:t>
      </w:r>
    </w:p>
    <w:p w14:paraId="7418AFE0" w14:textId="77777777" w:rsidR="00D471AD" w:rsidRPr="001729A3" w:rsidRDefault="00D471AD" w:rsidP="00D471AD">
      <w:pPr>
        <w:pStyle w:val="BodyText"/>
      </w:pPr>
      <w:r w:rsidRPr="001729A3">
        <w:t>Market disruption comes from new goods or services and business model innovation. Businesses that deliver highly novel, new-to-market goods and services create temporary monopolies that drive up profits and market share for their business. A competitive edge requires the production and marketing of new goods and services that are unique, not easily reproduced</w:t>
      </w:r>
      <w:r w:rsidRPr="00660104">
        <w:t>,</w:t>
      </w:r>
      <w:r w:rsidRPr="001729A3">
        <w:t xml:space="preserve"> and that create value to the customer or capture value for the business.</w:t>
      </w:r>
    </w:p>
    <w:p w14:paraId="7418AFE1" w14:textId="77777777" w:rsidR="00D471AD" w:rsidRPr="001729A3" w:rsidRDefault="00D471AD" w:rsidP="00D471AD">
      <w:pPr>
        <w:pStyle w:val="BodyText"/>
      </w:pPr>
      <w:r w:rsidRPr="001729A3">
        <w:t>For</w:t>
      </w:r>
      <w:r w:rsidRPr="001729A3" w:rsidDel="00FA6ACF">
        <w:t xml:space="preserve"> </w:t>
      </w:r>
      <w:r w:rsidRPr="001729A3">
        <w:t>incremental process and organisational innovation, the business gets a cost advantage over its competitors by using resource inputs more productively. This allows a business to gain a higher mark-up at the prevailing market price, or to use a combination of lower price and higher mark-up than its competitors to gain market share and higher profit margins.</w:t>
      </w:r>
      <w:r w:rsidRPr="001729A3">
        <w:rPr>
          <w:vertAlign w:val="superscript"/>
        </w:rPr>
        <w:footnoteReference w:id="2"/>
      </w:r>
    </w:p>
    <w:p w14:paraId="7418AFE2" w14:textId="77777777" w:rsidR="00D471AD" w:rsidRPr="001729A3" w:rsidRDefault="00D471AD" w:rsidP="00D471AD">
      <w:pPr>
        <w:pStyle w:val="BodyText"/>
      </w:pPr>
      <w:r w:rsidRPr="001729A3">
        <w:t>A healthy innovation system is therefore vital to Australia if we are to maintain and improve our economic position in the face of increasing global competition, climate change and an ageing workforce.</w:t>
      </w:r>
    </w:p>
    <w:p w14:paraId="7418AFE3" w14:textId="77777777" w:rsidR="00D471AD" w:rsidRPr="001729A3" w:rsidRDefault="00D471AD" w:rsidP="00D471AD">
      <w:pPr>
        <w:pStyle w:val="BodyText"/>
      </w:pPr>
      <w:r w:rsidRPr="001729A3">
        <w:t>Just as effective innovation can be a source of competitive advantage to a business, a high-performing innovation system can deliver competitive advantage to the Australian economy.</w:t>
      </w:r>
      <w:r w:rsidRPr="001729A3">
        <w:rPr>
          <w:vertAlign w:val="superscript"/>
        </w:rPr>
        <w:endnoteReference w:id="16"/>
      </w:r>
      <w:r w:rsidRPr="001729A3">
        <w:t xml:space="preserve"> Research shows that in competitive markets</w:t>
      </w:r>
      <w:r>
        <w:t>,</w:t>
      </w:r>
      <w:r w:rsidRPr="001729A3">
        <w:t xml:space="preserve"> innovative businesses out-compete other businesses by achieving higher rates of business survival and growth in employment and profits.</w:t>
      </w:r>
      <w:r w:rsidRPr="001729A3">
        <w:rPr>
          <w:vertAlign w:val="superscript"/>
        </w:rPr>
        <w:endnoteReference w:id="17"/>
      </w:r>
      <w:r w:rsidRPr="001729A3">
        <w:t xml:space="preserve"> Uncompetitive businesses fail and their resources are reallocated to these more productive and profitable business, resulting in allocative efficiency and increasing aggregate productivity growth across the economy.</w:t>
      </w:r>
      <w:r w:rsidRPr="001729A3">
        <w:rPr>
          <w:vertAlign w:val="superscript"/>
        </w:rPr>
        <w:endnoteReference w:id="18"/>
      </w:r>
      <w:r w:rsidRPr="001729A3">
        <w:t xml:space="preserve"> Businesses with exposure to international competition have more than double the rate of productivity growth, better management quality, and greater and more novel innovation than their domestic counterparts.</w:t>
      </w:r>
      <w:r w:rsidRPr="001729A3">
        <w:rPr>
          <w:vertAlign w:val="superscript"/>
        </w:rPr>
        <w:endnoteReference w:id="19"/>
      </w:r>
      <w:r w:rsidRPr="001729A3">
        <w:t xml:space="preserve"> </w:t>
      </w:r>
    </w:p>
    <w:p w14:paraId="7418AFE4" w14:textId="77777777" w:rsidR="00D471AD" w:rsidRPr="000D502B" w:rsidRDefault="00D471AD" w:rsidP="00D471AD">
      <w:pPr>
        <w:pStyle w:val="Heading2"/>
      </w:pPr>
      <w:bookmarkStart w:id="892" w:name="_Toc462230067"/>
      <w:bookmarkStart w:id="893" w:name="_Toc462231428"/>
      <w:bookmarkStart w:id="894" w:name="_Toc463013929"/>
      <w:bookmarkStart w:id="895" w:name="_Toc463014038"/>
      <w:bookmarkStart w:id="896" w:name="_Toc463014472"/>
      <w:bookmarkStart w:id="897" w:name="_Toc463877005"/>
      <w:bookmarkStart w:id="898" w:name="_Toc465862799"/>
      <w:bookmarkStart w:id="899" w:name="_Toc461174546"/>
      <w:bookmarkStart w:id="900" w:name="_Toc461180100"/>
      <w:bookmarkStart w:id="901" w:name="_Toc461180196"/>
      <w:bookmarkStart w:id="902" w:name="_Toc461180488"/>
      <w:bookmarkStart w:id="903" w:name="_Toc461180568"/>
      <w:bookmarkStart w:id="904" w:name="_Toc461180617"/>
      <w:bookmarkStart w:id="905" w:name="_Toc461183225"/>
      <w:bookmarkStart w:id="906" w:name="_Toc461183277"/>
      <w:bookmarkStart w:id="907" w:name="_Toc461183355"/>
      <w:bookmarkStart w:id="908" w:name="_Toc461183820"/>
      <w:bookmarkStart w:id="909" w:name="_Toc461184426"/>
      <w:bookmarkStart w:id="910" w:name="_Toc461184531"/>
      <w:bookmarkStart w:id="911" w:name="_Toc461186569"/>
      <w:bookmarkStart w:id="912" w:name="_Toc461186886"/>
      <w:bookmarkStart w:id="913" w:name="_Toc461186991"/>
      <w:bookmarkStart w:id="914" w:name="_Toc461187250"/>
      <w:bookmarkStart w:id="915" w:name="_Toc461198277"/>
      <w:bookmarkStart w:id="916" w:name="_Toc461198819"/>
      <w:bookmarkStart w:id="917" w:name="_Toc461204107"/>
      <w:bookmarkStart w:id="918" w:name="_Toc461527558"/>
      <w:bookmarkStart w:id="919" w:name="_Toc461624463"/>
      <w:bookmarkStart w:id="920" w:name="_Toc461629688"/>
      <w:bookmarkStart w:id="921" w:name="_Toc461633018"/>
      <w:bookmarkStart w:id="922" w:name="_Toc461634288"/>
      <w:r w:rsidRPr="000D502B">
        <w:t>Measuring the outcomes of the innovation system</w:t>
      </w:r>
      <w:bookmarkEnd w:id="892"/>
      <w:bookmarkEnd w:id="893"/>
      <w:bookmarkEnd w:id="894"/>
      <w:bookmarkEnd w:id="895"/>
      <w:bookmarkEnd w:id="896"/>
      <w:bookmarkEnd w:id="897"/>
      <w:bookmarkEnd w:id="898"/>
    </w:p>
    <w:p w14:paraId="7418AFE5" w14:textId="77777777" w:rsidR="00D471AD" w:rsidRPr="001729A3" w:rsidRDefault="00D471AD" w:rsidP="00D471AD">
      <w:pPr>
        <w:pStyle w:val="BodyText"/>
      </w:pPr>
      <w:r w:rsidRPr="001729A3">
        <w:t xml:space="preserve">One way to indirectly measure the performance of the innovation system is to review how Australia performs on broad outcome indicators. Economic, health, employment, social inclusion, social equity and environmental sustainability outcomes (Tables </w:t>
      </w:r>
      <w:hyperlink r:id="rId52" w:history="1">
        <w:r w:rsidRPr="001729A3">
          <w:rPr>
            <w:rStyle w:val="Hyperlink"/>
          </w:rPr>
          <w:t>A1</w:t>
        </w:r>
      </w:hyperlink>
      <w:r w:rsidRPr="001729A3">
        <w:t xml:space="preserve"> and </w:t>
      </w:r>
      <w:hyperlink r:id="rId53" w:history="1">
        <w:r w:rsidRPr="001729A3">
          <w:rPr>
            <w:rStyle w:val="Hyperlink"/>
          </w:rPr>
          <w:t>A2</w:t>
        </w:r>
      </w:hyperlink>
      <w:r w:rsidRPr="001729A3">
        <w:t>) will in part reflect past performance of the innovation system</w:t>
      </w:r>
      <w:r>
        <w:t>,</w:t>
      </w:r>
      <w:r w:rsidRPr="001729A3">
        <w:t xml:space="preserve"> and identify areas requiring further development.</w:t>
      </w:r>
    </w:p>
    <w:p w14:paraId="7418AFE6" w14:textId="77777777" w:rsidR="00D471AD" w:rsidRPr="001729A3" w:rsidRDefault="00D471AD" w:rsidP="00D471AD">
      <w:pPr>
        <w:pStyle w:val="BodyText"/>
      </w:pPr>
      <w:r w:rsidRPr="001729A3">
        <w:t>There has been a steady</w:t>
      </w:r>
      <w:r w:rsidRPr="001729A3" w:rsidDel="00B66385">
        <w:t xml:space="preserve"> </w:t>
      </w:r>
      <w:r w:rsidRPr="001729A3">
        <w:t>increase in real GDP. Australia is currently ranked 12th of 3</w:t>
      </w:r>
      <w:r>
        <w:t>6</w:t>
      </w:r>
      <w:r w:rsidRPr="001729A3">
        <w:t xml:space="preserve"> OECD+</w:t>
      </w:r>
      <w:r>
        <w:rPr>
          <w:rStyle w:val="FootnoteReference"/>
        </w:rPr>
        <w:footnoteReference w:id="3"/>
      </w:r>
      <w:r w:rsidRPr="001729A3">
        <w:t xml:space="preserve"> countries </w:t>
      </w:r>
      <w:r>
        <w:t>for the index of  GDP per capita relative to the USA</w:t>
      </w:r>
      <w:r w:rsidRPr="001729A3">
        <w:t xml:space="preserve">. Australia’s score dropped in 2015 for the second consecutive year since its highest level in 2013. </w:t>
      </w:r>
    </w:p>
    <w:p w14:paraId="7418AFE7" w14:textId="77777777" w:rsidR="00D471AD" w:rsidRPr="001729A3" w:rsidRDefault="00D471AD" w:rsidP="00D471AD">
      <w:pPr>
        <w:pStyle w:val="BodyText"/>
      </w:pPr>
      <w:r w:rsidRPr="001729A3">
        <w:t xml:space="preserve">Australia’s GDP per capita was previously assisted by the boom in commodity markets. The commodity boom resulted in favourable terms of trade, so the recent decline can be correlated with the decreasing demand and lower prices for Australia’s resources. In the wake of the mining boom, productivity gains have been weak. </w:t>
      </w:r>
    </w:p>
    <w:p w14:paraId="7418AFE8" w14:textId="77777777" w:rsidR="00D471AD" w:rsidRPr="001729A3" w:rsidRDefault="00D471AD" w:rsidP="00D471AD">
      <w:pPr>
        <w:pStyle w:val="BodyText"/>
      </w:pPr>
      <w:r w:rsidRPr="001729A3">
        <w:t>Australia is currently ranked last of 3</w:t>
      </w:r>
      <w:r>
        <w:t>5</w:t>
      </w:r>
      <w:r w:rsidRPr="001729A3">
        <w:t xml:space="preserve"> OECD+ countries on economic complexity</w:t>
      </w:r>
      <w:r>
        <w:t>.</w:t>
      </w:r>
      <w:r>
        <w:rPr>
          <w:rStyle w:val="EndnoteReference"/>
        </w:rPr>
        <w:endnoteReference w:id="20"/>
      </w:r>
      <w:r w:rsidRPr="001729A3">
        <w:t xml:space="preserve"> Given the relationship between market diversification and innovation presented in Sections 2.</w:t>
      </w:r>
      <w:r>
        <w:t>5</w:t>
      </w:r>
      <w:r w:rsidRPr="001729A3">
        <w:t xml:space="preserve"> and 3.2</w:t>
      </w:r>
      <w:r>
        <w:t>, this may reflect the fact that Australia is a resource rich country and a significant share of its exports is made up of commodities</w:t>
      </w:r>
      <w:r w:rsidRPr="001729A3">
        <w:t>.</w:t>
      </w:r>
      <w:r w:rsidRPr="001729A3">
        <w:rPr>
          <w:rStyle w:val="FootnoteReference"/>
        </w:rPr>
        <w:footnoteReference w:id="4"/>
      </w:r>
    </w:p>
    <w:p w14:paraId="7418AFE9" w14:textId="77777777" w:rsidR="00D471AD" w:rsidRPr="001729A3" w:rsidRDefault="00D471AD" w:rsidP="00D471AD">
      <w:pPr>
        <w:pStyle w:val="BodyText"/>
      </w:pPr>
      <w:r w:rsidRPr="001729A3">
        <w:t>GDP per hour worked is above the OECD+ average</w:t>
      </w:r>
      <w:r>
        <w:t>,</w:t>
      </w:r>
      <w:r w:rsidRPr="001729A3">
        <w:t xml:space="preserve"> but well behind the OECD+ top five country average. Only the Australian mining sector appears to have productivity levels above the OECD average and amongst leading businesses worldwide. This is consistent with a high R&amp;D intensity and revealed technological advantage in that sector.</w:t>
      </w:r>
      <w:r w:rsidRPr="001729A3">
        <w:rPr>
          <w:vertAlign w:val="superscript"/>
        </w:rPr>
        <w:endnoteReference w:id="21"/>
      </w:r>
    </w:p>
    <w:p w14:paraId="7418AFEA" w14:textId="77777777" w:rsidR="00D471AD" w:rsidRPr="001729A3" w:rsidRDefault="00D471AD" w:rsidP="00D471AD">
      <w:pPr>
        <w:pStyle w:val="BodyText"/>
      </w:pPr>
      <w:r w:rsidRPr="001729A3">
        <w:t>The OECD has found that productivity growth at the global frontier has remained relatively robust in the 21st century, despite the slowdown in average productivity growth for most OECD countries. For example, labour productivity at the global frontier (the global top 100 most productive businesses) increased at an average annual rate of 3.5 per cent in the manufacturing sector over the 2000s, compared to an average growth in labour productivity of just 0.5 per cent for non-frontier businesses. This gap is even greater in the services sector. The OECD has raised concerns that this rising gap in productivity growth between the global frontier and other businesses represents:</w:t>
      </w:r>
    </w:p>
    <w:p w14:paraId="7418AFEB" w14:textId="77777777" w:rsidR="00D471AD" w:rsidRPr="001729A3" w:rsidRDefault="00D471AD" w:rsidP="00D471AD">
      <w:pPr>
        <w:pStyle w:val="ListBullet"/>
        <w:numPr>
          <w:ilvl w:val="0"/>
          <w:numId w:val="11"/>
        </w:numPr>
      </w:pPr>
      <w:r w:rsidRPr="001729A3">
        <w:t>a poor ability of the most advanced businesses nationally to adopt new technologies and knowledge developed at the global frontier</w:t>
      </w:r>
    </w:p>
    <w:p w14:paraId="7418AFEC" w14:textId="77777777" w:rsidR="00D471AD" w:rsidRPr="001729A3" w:rsidRDefault="00D471AD" w:rsidP="00D471AD">
      <w:pPr>
        <w:pStyle w:val="ListBullet"/>
        <w:numPr>
          <w:ilvl w:val="0"/>
          <w:numId w:val="11"/>
        </w:numPr>
      </w:pPr>
      <w:r w:rsidRPr="001729A3">
        <w:t>limited diffusion of existing technologies and knowledge from national frontier businesses to laggards</w:t>
      </w:r>
    </w:p>
    <w:p w14:paraId="7418AFED" w14:textId="77777777" w:rsidR="00D471AD" w:rsidRPr="001729A3" w:rsidRDefault="00D471AD" w:rsidP="00D471AD">
      <w:pPr>
        <w:pStyle w:val="ListBullet"/>
        <w:numPr>
          <w:ilvl w:val="0"/>
          <w:numId w:val="11"/>
        </w:numPr>
      </w:pPr>
      <w:r w:rsidRPr="001729A3">
        <w:t>a rise of tacit knowledge as a source of competitive advantage for global frontier businesses.</w:t>
      </w:r>
      <w:r w:rsidRPr="001729A3">
        <w:rPr>
          <w:vertAlign w:val="superscript"/>
        </w:rPr>
        <w:endnoteReference w:id="22"/>
      </w:r>
    </w:p>
    <w:p w14:paraId="7418AFEE" w14:textId="77777777" w:rsidR="00D471AD" w:rsidRPr="000D502B" w:rsidRDefault="00D471AD" w:rsidP="00D471AD">
      <w:pPr>
        <w:pStyle w:val="Heading2"/>
      </w:pPr>
      <w:bookmarkStart w:id="923" w:name="_Toc462230068"/>
      <w:bookmarkStart w:id="924" w:name="_Toc462231429"/>
      <w:bookmarkStart w:id="925" w:name="_Toc463013930"/>
      <w:bookmarkStart w:id="926" w:name="_Toc463014039"/>
      <w:bookmarkStart w:id="927" w:name="_Toc463014473"/>
      <w:bookmarkStart w:id="928" w:name="_Toc463877006"/>
      <w:bookmarkStart w:id="929" w:name="_Toc465862800"/>
      <w:r>
        <w:t>The economic contribution of i</w:t>
      </w:r>
      <w:r w:rsidRPr="000D502B">
        <w:t xml:space="preserve">nnovative </w:t>
      </w:r>
      <w:r>
        <w:t>businesses</w:t>
      </w:r>
      <w:bookmarkEnd w:id="923"/>
      <w:bookmarkEnd w:id="924"/>
      <w:bookmarkEnd w:id="925"/>
      <w:bookmarkEnd w:id="926"/>
      <w:bookmarkEnd w:id="927"/>
      <w:bookmarkEnd w:id="928"/>
      <w:bookmarkEnd w:id="929"/>
    </w:p>
    <w:p w14:paraId="7418AFEF" w14:textId="77777777" w:rsidR="00D471AD" w:rsidRPr="001729A3" w:rsidRDefault="00D471AD" w:rsidP="00D471AD">
      <w:pPr>
        <w:pStyle w:val="BodyText"/>
      </w:pPr>
      <w:r w:rsidRPr="001729A3">
        <w:t>Another way of looking at the contribution of innovative businesses to the economy is to estimate whether their share of total economic activity is more than you would expect from their total share of all businesses.</w:t>
      </w:r>
    </w:p>
    <w:p w14:paraId="7418AFF0" w14:textId="77777777" w:rsidR="00D471AD" w:rsidRPr="001729A3" w:rsidRDefault="00D471AD" w:rsidP="00D471AD">
      <w:pPr>
        <w:pStyle w:val="BodyText"/>
      </w:pPr>
      <w:r w:rsidRPr="001729A3">
        <w:fldChar w:fldCharType="begin"/>
      </w:r>
      <w:r w:rsidRPr="001729A3">
        <w:instrText xml:space="preserve"> REF _Ref462068171 \h </w:instrText>
      </w:r>
      <w:r w:rsidRPr="001729A3">
        <w:fldChar w:fldCharType="separate"/>
      </w:r>
      <w:r w:rsidRPr="000D502B">
        <w:t xml:space="preserve">Figure </w:t>
      </w:r>
      <w:r>
        <w:rPr>
          <w:noProof/>
        </w:rPr>
        <w:t>2</w:t>
      </w:r>
      <w:r w:rsidRPr="000D502B">
        <w:t>.</w:t>
      </w:r>
      <w:r>
        <w:rPr>
          <w:noProof/>
        </w:rPr>
        <w:t>1</w:t>
      </w:r>
      <w:r w:rsidRPr="001729A3">
        <w:fldChar w:fldCharType="end"/>
      </w:r>
      <w:r w:rsidRPr="001729A3">
        <w:t xml:space="preserve"> illustrates the disproportionate share of the Australian economy’s total income, net income and employment held by innovation-active businesses. Although innovation-active businesses were only 45 per cent of all employing businesses in 2014–15, they accounted for over 60 per cent of sales and employment. Businesses introducing new</w:t>
      </w:r>
      <w:r>
        <w:t>-</w:t>
      </w:r>
      <w:r w:rsidRPr="001729A3">
        <w:t>to</w:t>
      </w:r>
      <w:r>
        <w:t>-</w:t>
      </w:r>
      <w:r w:rsidRPr="001729A3">
        <w:t>market innovation (Chapter 3) have an even greater disproportionate share of sales and employment (up to three times what one would expect from their share of businesses). These findings reinforce international studies that show that innovative businesses can disproportionately drive job creation and income growth.</w:t>
      </w:r>
      <w:r w:rsidRPr="001729A3">
        <w:rPr>
          <w:vertAlign w:val="superscript"/>
        </w:rPr>
        <w:endnoteReference w:id="23"/>
      </w:r>
    </w:p>
    <w:p w14:paraId="7418AFF1" w14:textId="77777777" w:rsidR="00D471AD" w:rsidRPr="001729A3" w:rsidRDefault="00D471AD" w:rsidP="00D471AD">
      <w:pPr>
        <w:pStyle w:val="BodyText"/>
        <w:sectPr w:rsidR="00D471AD" w:rsidRPr="001729A3" w:rsidSect="004A31A9">
          <w:headerReference w:type="even" r:id="rId54"/>
          <w:headerReference w:type="default" r:id="rId55"/>
          <w:footerReference w:type="default" r:id="rId56"/>
          <w:headerReference w:type="first" r:id="rId57"/>
          <w:footerReference w:type="first" r:id="rId58"/>
          <w:footnotePr>
            <w:numFmt w:val="upperRoman"/>
          </w:footnotePr>
          <w:endnotePr>
            <w:numFmt w:val="decimal"/>
          </w:endnotePr>
          <w:pgSz w:w="11906" w:h="16838" w:code="9"/>
          <w:pgMar w:top="1440" w:right="1020" w:bottom="1440" w:left="992" w:header="709" w:footer="709" w:gutter="0"/>
          <w:cols w:num="2" w:space="708"/>
          <w:docGrid w:linePitch="360"/>
        </w:sectPr>
      </w:pPr>
    </w:p>
    <w:p w14:paraId="7418AFF2" w14:textId="77777777" w:rsidR="00D471AD" w:rsidRDefault="00D471AD" w:rsidP="00D471AD">
      <w:pPr>
        <w:pStyle w:val="Caption"/>
      </w:pPr>
      <w:bookmarkStart w:id="930" w:name="_Ref462068171"/>
      <w:bookmarkStart w:id="931" w:name="_Toc463013873"/>
      <w:bookmarkStart w:id="932" w:name="_Toc463013982"/>
      <w:bookmarkStart w:id="933" w:name="_Toc463014416"/>
      <w:bookmarkStart w:id="934" w:name="_Toc463877056"/>
      <w:bookmarkStart w:id="935" w:name="_Toc465864568"/>
      <w:r w:rsidRPr="000D502B">
        <w:t xml:space="preserve">Figure </w:t>
      </w:r>
      <w:fldSimple w:instr=" STYLEREF 1 \s ">
        <w:r>
          <w:rPr>
            <w:noProof/>
          </w:rPr>
          <w:t>2</w:t>
        </w:r>
      </w:fldSimple>
      <w:r w:rsidRPr="000D502B">
        <w:t>.</w:t>
      </w:r>
      <w:fldSimple w:instr=" SEQ Figure \* ARABIC \s 1 ">
        <w:r>
          <w:rPr>
            <w:noProof/>
          </w:rPr>
          <w:t>1</w:t>
        </w:r>
      </w:fldSimple>
      <w:bookmarkEnd w:id="930"/>
      <w:r w:rsidRPr="000D502B">
        <w:t xml:space="preserve">: Total estimated number of employing </w:t>
      </w:r>
      <w:r>
        <w:t xml:space="preserve">businesses </w:t>
      </w:r>
      <w:r w:rsidRPr="000D502B">
        <w:t>that are innovation-active</w:t>
      </w:r>
      <w:r>
        <w:t>,</w:t>
      </w:r>
      <w:r w:rsidRPr="000D502B">
        <w:t xml:space="preserve"> and their contribution to employment, income and capital expenditure, 2014–15</w:t>
      </w:r>
      <w:bookmarkEnd w:id="931"/>
      <w:bookmarkEnd w:id="932"/>
      <w:bookmarkEnd w:id="933"/>
      <w:bookmarkEnd w:id="934"/>
      <w:bookmarkEnd w:id="935"/>
    </w:p>
    <w:p w14:paraId="7418AFF3" w14:textId="77777777" w:rsidR="00D471AD" w:rsidRPr="00CC1677" w:rsidRDefault="00D471AD" w:rsidP="00D471AD">
      <w:r>
        <w:rPr>
          <w:noProof/>
          <w:lang w:eastAsia="en-AU"/>
        </w:rPr>
        <w:drawing>
          <wp:inline distT="0" distB="0" distL="0" distR="0" wp14:anchorId="7418C615" wp14:editId="7418C616">
            <wp:extent cx="5480685" cy="2901950"/>
            <wp:effectExtent l="0" t="0" r="5715" b="0"/>
            <wp:docPr id="33" name="Picture 33" descr="Figure 2.1 is based on ABS Business Characteristics Survey customised data for the period 2014–15. It is a horizontal bar chart illustrating the contribution of innovation-active businesses to employment, income and capital expenditure, by the mode of innovation (new-to-market, new-to-firm) versus non-innovators. The figure shows that innovating businesses have a disproportionate share of the Australian economy’s total income, internet income and employment compared to firms that do not innovate. Although innovation-active firms accounted for only 45 per cent of businesses in 2013–14, they accounted for 65 per cent of employment, and 75 per cent of internet income in the whole economy." title="Figure 2.1: Total estimated number of employing businesses that are innovation-active, and their contribution to employment, income and capital expenditure,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0685" cy="2901950"/>
                    </a:xfrm>
                    <a:prstGeom prst="rect">
                      <a:avLst/>
                    </a:prstGeom>
                    <a:noFill/>
                  </pic:spPr>
                </pic:pic>
              </a:graphicData>
            </a:graphic>
          </wp:inline>
        </w:drawing>
      </w:r>
    </w:p>
    <w:p w14:paraId="7418AFF4" w14:textId="77777777" w:rsidR="00D471AD" w:rsidRPr="001729A3" w:rsidRDefault="00D471AD" w:rsidP="00D471AD">
      <w:pPr>
        <w:pStyle w:val="Note"/>
        <w:rPr>
          <w:lang w:val="en-AU"/>
        </w:rPr>
      </w:pPr>
      <w:r w:rsidRPr="001729A3">
        <w:rPr>
          <w:lang w:val="en-AU"/>
        </w:rPr>
        <w:t xml:space="preserve">Notes: Estimates of the number of businesses operating in Australia can be derived from a number of sources within the </w:t>
      </w:r>
      <w:r w:rsidRPr="00660104">
        <w:rPr>
          <w:lang w:val="en-AU"/>
        </w:rPr>
        <w:t>A</w:t>
      </w:r>
      <w:r>
        <w:rPr>
          <w:lang w:val="en-AU"/>
        </w:rPr>
        <w:t>BS</w:t>
      </w:r>
      <w:r w:rsidRPr="001729A3">
        <w:rPr>
          <w:lang w:val="en-AU"/>
        </w:rPr>
        <w:t>. Variations will occur because of differing data sources, differing scope and coverage definitions between surveys, as well as variations due to sampling and non-sampling error.</w:t>
      </w:r>
    </w:p>
    <w:p w14:paraId="7418AFF5" w14:textId="77777777" w:rsidR="00D471AD" w:rsidRPr="001729A3" w:rsidRDefault="00D471AD" w:rsidP="00D471AD">
      <w:pPr>
        <w:pStyle w:val="Source"/>
        <w:rPr>
          <w:lang w:val="en-AU"/>
        </w:rPr>
        <w:sectPr w:rsidR="00D471AD" w:rsidRPr="001729A3" w:rsidSect="004A31A9">
          <w:footnotePr>
            <w:numFmt w:val="upperRoman"/>
          </w:footnotePr>
          <w:endnotePr>
            <w:numFmt w:val="decimal"/>
          </w:endnotePr>
          <w:pgSz w:w="11906" w:h="16838" w:code="9"/>
          <w:pgMar w:top="1440" w:right="1020" w:bottom="1440" w:left="992" w:header="709" w:footer="709" w:gutter="0"/>
          <w:cols w:space="708"/>
          <w:docGrid w:linePitch="360"/>
        </w:sectPr>
      </w:pPr>
      <w:r w:rsidRPr="001729A3">
        <w:rPr>
          <w:lang w:val="en-AU"/>
        </w:rPr>
        <w:t>Source: Customised ABS data commissioned by the Department of Industry, Innovation and Science</w:t>
      </w:r>
      <w:r w:rsidRPr="001729A3" w:rsidDel="00AD5860">
        <w:rPr>
          <w:lang w:val="en-AU"/>
        </w:rPr>
        <w:t xml:space="preserve"> </w:t>
      </w:r>
    </w:p>
    <w:p w14:paraId="7418AFF6" w14:textId="77777777" w:rsidR="00D471AD" w:rsidRPr="000D502B" w:rsidRDefault="00D471AD" w:rsidP="00D471AD">
      <w:pPr>
        <w:pStyle w:val="Heading2"/>
      </w:pPr>
      <w:bookmarkStart w:id="936" w:name="_Toc462230069"/>
      <w:bookmarkStart w:id="937" w:name="_Toc462231430"/>
      <w:bookmarkStart w:id="938" w:name="_Toc463013931"/>
      <w:bookmarkStart w:id="939" w:name="_Toc463014040"/>
      <w:bookmarkStart w:id="940" w:name="_Toc463014474"/>
      <w:bookmarkStart w:id="941" w:name="_Toc463877007"/>
      <w:bookmarkStart w:id="942" w:name="_Toc465862801"/>
      <w:r>
        <w:t>The economic contribution of h</w:t>
      </w:r>
      <w:r w:rsidRPr="00B92AF5">
        <w:t>igh</w:t>
      </w:r>
      <w:r>
        <w:t>-</w:t>
      </w:r>
      <w:r w:rsidRPr="00B92AF5">
        <w:t>growth businesses</w:t>
      </w:r>
      <w:bookmarkEnd w:id="936"/>
      <w:bookmarkEnd w:id="937"/>
      <w:bookmarkEnd w:id="938"/>
      <w:bookmarkEnd w:id="939"/>
      <w:bookmarkEnd w:id="940"/>
      <w:bookmarkEnd w:id="941"/>
      <w:bookmarkEnd w:id="942"/>
    </w:p>
    <w:p w14:paraId="7418AFF7" w14:textId="77777777" w:rsidR="00D471AD" w:rsidRPr="001729A3" w:rsidRDefault="00D471AD" w:rsidP="00D471AD">
      <w:pPr>
        <w:pStyle w:val="BodyText"/>
      </w:pPr>
      <w:r w:rsidRPr="001729A3">
        <w:t>High</w:t>
      </w:r>
      <w:r>
        <w:t>-</w:t>
      </w:r>
      <w:r w:rsidRPr="001729A3">
        <w:t>growth businesses are a small fraction of total businesses in an economy</w:t>
      </w:r>
      <w:r>
        <w:t>,</w:t>
      </w:r>
      <w:r w:rsidRPr="001729A3">
        <w:t xml:space="preserve"> yet generate most of the jobs and sales turnover. They are most likely to be young, most likely to be innovative</w:t>
      </w:r>
      <w:r>
        <w:t>,</w:t>
      </w:r>
      <w:r w:rsidRPr="001729A3">
        <w:t xml:space="preserve"> and are found across all sectors of the economy. Most international studies also indicate that these businesses </w:t>
      </w:r>
      <w:r>
        <w:t>seldom remain</w:t>
      </w:r>
      <w:r w:rsidRPr="001729A3">
        <w:t xml:space="preserve"> as high</w:t>
      </w:r>
      <w:r>
        <w:t>-</w:t>
      </w:r>
      <w:r w:rsidRPr="001729A3">
        <w:t xml:space="preserve">growth businesses, to the </w:t>
      </w:r>
      <w:r w:rsidRPr="001729A3" w:rsidDel="00D73C98">
        <w:t>extent that the emergence of high</w:t>
      </w:r>
      <w:r>
        <w:t>-</w:t>
      </w:r>
      <w:r w:rsidRPr="001729A3" w:rsidDel="00D73C98">
        <w:t xml:space="preserve">growth </w:t>
      </w:r>
      <w:r w:rsidRPr="001729A3">
        <w:t xml:space="preserve">businesses </w:t>
      </w:r>
      <w:r w:rsidRPr="001729A3" w:rsidDel="00D73C98">
        <w:t xml:space="preserve">is often likened to </w:t>
      </w:r>
      <w:r w:rsidRPr="001729A3">
        <w:t>a random process</w:t>
      </w:r>
      <w:r w:rsidRPr="00AF5802">
        <w:t>, meaning high-growth businesses cannot be identified ex ante.</w:t>
      </w:r>
      <w:r w:rsidRPr="001729A3">
        <w:rPr>
          <w:vertAlign w:val="superscript"/>
        </w:rPr>
        <w:endnoteReference w:id="24"/>
      </w:r>
    </w:p>
    <w:p w14:paraId="7418AFF8" w14:textId="77777777" w:rsidR="00D471AD" w:rsidRPr="001729A3" w:rsidRDefault="00D471AD" w:rsidP="00D471AD">
      <w:pPr>
        <w:pStyle w:val="BodyText"/>
      </w:pPr>
      <w:r w:rsidRPr="001729A3">
        <w:t>Earlier analysis undertaken by the OCE shows that, compared with their low</w:t>
      </w:r>
      <w:r>
        <w:t>-</w:t>
      </w:r>
      <w:r w:rsidRPr="001729A3">
        <w:t xml:space="preserve"> and medium</w:t>
      </w:r>
      <w:r>
        <w:t>-</w:t>
      </w:r>
      <w:r w:rsidRPr="001729A3">
        <w:t>growth counterparts, Australian high employment growth micro start-ups exhibit superior financial performance, higher innovation activity (particularly operational process and organisational/managerial innovation) and a greater demand for external equity finance.</w:t>
      </w:r>
      <w:r w:rsidRPr="001729A3">
        <w:rPr>
          <w:vertAlign w:val="superscript"/>
        </w:rPr>
        <w:endnoteReference w:id="25"/>
      </w:r>
    </w:p>
    <w:p w14:paraId="7418AFF9" w14:textId="77777777" w:rsidR="00D471AD" w:rsidRPr="001729A3" w:rsidRDefault="00D471AD" w:rsidP="00D471AD">
      <w:pPr>
        <w:pStyle w:val="BodyText"/>
      </w:pPr>
      <w:r w:rsidRPr="001729A3">
        <w:t>From a management perspective, medium and high employment growth start-ups were also significantly more likely to monitor and assess their performance across a wider range of performance indicators. T</w:t>
      </w:r>
      <w:r>
        <w:t>hese</w:t>
      </w:r>
      <w:r w:rsidRPr="001729A3">
        <w:t xml:space="preserve"> data </w:t>
      </w:r>
      <w:r>
        <w:t>are</w:t>
      </w:r>
      <w:r w:rsidRPr="001729A3">
        <w:t xml:space="preserve"> consistent with other evidence that suggests that sustained innovation and high growth comes from superior strategic management.</w:t>
      </w:r>
      <w:r w:rsidRPr="001729A3">
        <w:rPr>
          <w:vertAlign w:val="superscript"/>
        </w:rPr>
        <w:endnoteReference w:id="26"/>
      </w:r>
    </w:p>
    <w:p w14:paraId="7418AFFA" w14:textId="77777777" w:rsidR="00D471AD" w:rsidRPr="000D502B" w:rsidRDefault="00D471AD" w:rsidP="00D471AD">
      <w:pPr>
        <w:pStyle w:val="Caption"/>
        <w:spacing w:before="120"/>
      </w:pPr>
      <w:r w:rsidRPr="000D502B">
        <w:t xml:space="preserve">Definition </w:t>
      </w:r>
      <w:fldSimple w:instr=" STYLEREF 1 \s ">
        <w:r>
          <w:rPr>
            <w:noProof/>
          </w:rPr>
          <w:t>2</w:t>
        </w:r>
      </w:fldSimple>
      <w:r w:rsidRPr="000D502B">
        <w:t>.</w:t>
      </w:r>
      <w:fldSimple w:instr=" SEQ Definition \* ARABIC \s 1 ">
        <w:r>
          <w:rPr>
            <w:noProof/>
          </w:rPr>
          <w:t>1</w:t>
        </w:r>
      </w:fldSimple>
      <w:r w:rsidRPr="000D502B">
        <w:t xml:space="preserve">: </w:t>
      </w:r>
      <w:r>
        <w:t>OECD r</w:t>
      </w:r>
      <w:r w:rsidRPr="000D502B">
        <w:t>elative measures of growth</w:t>
      </w:r>
    </w:p>
    <w:tbl>
      <w:tblPr>
        <w:tblStyle w:val="OCETable"/>
        <w:tblW w:w="5000" w:type="pct"/>
        <w:tblInd w:w="57" w:type="dxa"/>
        <w:tblLayout w:type="fixed"/>
        <w:tblLook w:val="04A0" w:firstRow="1" w:lastRow="0" w:firstColumn="1" w:lastColumn="0" w:noHBand="0" w:noVBand="1"/>
        <w:tblCaption w:val="OECD relative measures of growth"/>
        <w:tblDescription w:val="High-growth businesses are businesses with average annualised growth in sales or employment greater than 20 per cent a year over a three-year period.&#10;Gazelles form a subset of high-growth businesses that have been employers for a period of up to five years.&#10;Medium-growth businesses are businesses with average annualised growth in sales or employment between 10 and 20 per cent a year over a three-year period.&#10;Low-growth businesses are businesses with average annualised growth in sales or employment between 1 and 10 per cent a year over a three-year period.&#10;Nil- or negative-growth businesses are businesses with average annualised growth in sales or employment equal to or less than zero per cent a year over a three-year period.&#10;"/>
      </w:tblPr>
      <w:tblGrid>
        <w:gridCol w:w="4593"/>
      </w:tblGrid>
      <w:tr w:rsidR="00D471AD" w:rsidRPr="000D502B" w14:paraId="7418B000"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Mar>
              <w:left w:w="0" w:type="dxa"/>
              <w:right w:w="0" w:type="dxa"/>
            </w:tcMar>
          </w:tcPr>
          <w:p w14:paraId="7418AFFB" w14:textId="77777777" w:rsidR="00D471AD" w:rsidRPr="00882E31" w:rsidRDefault="00D471AD" w:rsidP="004A31A9">
            <w:pPr>
              <w:pStyle w:val="Definitiontext"/>
              <w:jc w:val="both"/>
              <w:rPr>
                <w:i/>
                <w:lang w:val="en-AU"/>
              </w:rPr>
            </w:pPr>
            <w:r w:rsidRPr="00882E31">
              <w:rPr>
                <w:lang w:val="en-AU"/>
              </w:rPr>
              <w:t>High</w:t>
            </w:r>
            <w:r w:rsidRPr="00882E31">
              <w:rPr>
                <w:i/>
                <w:lang w:val="en-AU"/>
              </w:rPr>
              <w:t>-</w:t>
            </w:r>
            <w:r w:rsidRPr="00882E31">
              <w:rPr>
                <w:lang w:val="en-AU"/>
              </w:rPr>
              <w:t>growth businesses are businesses with average annualised growth in sales or employment greater than 20 per cent a year over a three-year period.</w:t>
            </w:r>
          </w:p>
          <w:p w14:paraId="7418AFFC" w14:textId="77777777" w:rsidR="00D471AD" w:rsidRPr="00882E31" w:rsidRDefault="00D471AD" w:rsidP="004A31A9">
            <w:pPr>
              <w:pStyle w:val="Definitiontext"/>
              <w:jc w:val="both"/>
              <w:rPr>
                <w:i/>
                <w:lang w:val="en-AU"/>
              </w:rPr>
            </w:pPr>
            <w:r w:rsidRPr="00882E31">
              <w:rPr>
                <w:lang w:val="en-AU"/>
              </w:rPr>
              <w:t>Gazelles form a subset of high-growth businesses that have been employers for a period of up to five years.</w:t>
            </w:r>
          </w:p>
          <w:p w14:paraId="7418AFFD" w14:textId="77777777" w:rsidR="00D471AD" w:rsidRPr="00882E31" w:rsidRDefault="00D471AD" w:rsidP="004A31A9">
            <w:pPr>
              <w:pStyle w:val="Definitiontext"/>
              <w:jc w:val="both"/>
              <w:rPr>
                <w:i/>
                <w:lang w:val="en-AU"/>
              </w:rPr>
            </w:pPr>
            <w:r w:rsidRPr="00882E31">
              <w:rPr>
                <w:lang w:val="en-AU"/>
              </w:rPr>
              <w:t>Medium</w:t>
            </w:r>
            <w:r w:rsidRPr="00882E31">
              <w:rPr>
                <w:i/>
                <w:lang w:val="en-AU"/>
              </w:rPr>
              <w:t>-</w:t>
            </w:r>
            <w:r w:rsidRPr="00882E31">
              <w:rPr>
                <w:lang w:val="en-AU"/>
              </w:rPr>
              <w:t>growth businesses are businesses with average annualised growth in sales or employment between 10 and 20 per cent a year over a three-year period.</w:t>
            </w:r>
          </w:p>
          <w:p w14:paraId="7418AFFE" w14:textId="77777777" w:rsidR="00D471AD" w:rsidRPr="00882E31" w:rsidRDefault="00D471AD" w:rsidP="004A31A9">
            <w:pPr>
              <w:pStyle w:val="Definitiontext"/>
              <w:jc w:val="both"/>
              <w:rPr>
                <w:i/>
                <w:lang w:val="en-AU"/>
              </w:rPr>
            </w:pPr>
            <w:r w:rsidRPr="00882E31">
              <w:rPr>
                <w:lang w:val="en-AU"/>
              </w:rPr>
              <w:t>Low</w:t>
            </w:r>
            <w:r w:rsidRPr="00882E31">
              <w:rPr>
                <w:i/>
                <w:lang w:val="en-AU"/>
              </w:rPr>
              <w:t>-</w:t>
            </w:r>
            <w:r w:rsidRPr="00882E31">
              <w:rPr>
                <w:lang w:val="en-AU"/>
              </w:rPr>
              <w:t>growth businesses are businesses with average annualised growth in sales or employment between 1 and 10 per cent a year over a three-year period.</w:t>
            </w:r>
          </w:p>
          <w:p w14:paraId="7418AFFF" w14:textId="77777777" w:rsidR="00D471AD" w:rsidRPr="001729A3" w:rsidRDefault="00D471AD" w:rsidP="004A31A9">
            <w:pPr>
              <w:pStyle w:val="Definitiontext"/>
              <w:spacing w:after="113"/>
              <w:jc w:val="both"/>
              <w:rPr>
                <w:lang w:val="en-AU"/>
              </w:rPr>
            </w:pPr>
            <w:r w:rsidRPr="00882E31">
              <w:rPr>
                <w:lang w:val="en-AU"/>
              </w:rPr>
              <w:t>Nil</w:t>
            </w:r>
            <w:r w:rsidRPr="00882E31">
              <w:rPr>
                <w:i/>
                <w:lang w:val="en-AU"/>
              </w:rPr>
              <w:t>-</w:t>
            </w:r>
            <w:r w:rsidRPr="00882E31">
              <w:rPr>
                <w:lang w:val="en-AU"/>
              </w:rPr>
              <w:t xml:space="preserve"> or negative</w:t>
            </w:r>
            <w:r w:rsidRPr="00882E31">
              <w:rPr>
                <w:i/>
                <w:lang w:val="en-AU"/>
              </w:rPr>
              <w:t>-</w:t>
            </w:r>
            <w:r w:rsidRPr="00882E31">
              <w:rPr>
                <w:lang w:val="en-AU"/>
              </w:rPr>
              <w:t>growth businesses are businesses with average annualised growth in sales or employment equal to or less than zero per cent a year over a three-year period.</w:t>
            </w:r>
          </w:p>
        </w:tc>
      </w:tr>
    </w:tbl>
    <w:p w14:paraId="7418B001" w14:textId="77777777" w:rsidR="00D471AD" w:rsidRDefault="00D471AD" w:rsidP="00D471AD">
      <w:pPr>
        <w:pStyle w:val="BodyText"/>
      </w:pPr>
    </w:p>
    <w:p w14:paraId="7418B002" w14:textId="77777777" w:rsidR="00D471AD" w:rsidRPr="000D502B" w:rsidRDefault="00D471AD" w:rsidP="00D471AD">
      <w:pPr>
        <w:pStyle w:val="Caption"/>
      </w:pPr>
      <w:r w:rsidRPr="000D502B">
        <w:t xml:space="preserve">Definition </w:t>
      </w:r>
      <w:fldSimple w:instr=" STYLEREF 1 \s ">
        <w:r>
          <w:rPr>
            <w:noProof/>
          </w:rPr>
          <w:t>2</w:t>
        </w:r>
      </w:fldSimple>
      <w:r w:rsidRPr="000D502B">
        <w:t>.</w:t>
      </w:r>
      <w:fldSimple w:instr=" SEQ Definition \* ARABIC \s 1 ">
        <w:r>
          <w:rPr>
            <w:noProof/>
          </w:rPr>
          <w:t>2</w:t>
        </w:r>
      </w:fldSimple>
      <w:r w:rsidRPr="000D502B">
        <w:t xml:space="preserve">: </w:t>
      </w:r>
      <w:r>
        <w:t xml:space="preserve">Business </w:t>
      </w:r>
      <w:r w:rsidRPr="000D502B">
        <w:t>age classes</w:t>
      </w:r>
    </w:p>
    <w:tbl>
      <w:tblPr>
        <w:tblStyle w:val="OCETable"/>
        <w:tblW w:w="5000" w:type="pct"/>
        <w:tblInd w:w="57" w:type="dxa"/>
        <w:tblLayout w:type="fixed"/>
        <w:tblLook w:val="04A0" w:firstRow="1" w:lastRow="0" w:firstColumn="1" w:lastColumn="0" w:noHBand="0" w:noVBand="1"/>
        <w:tblCaption w:val="Business age classes"/>
        <w:tblDescription w:val="We adopt the business age class definitions set out by the OECD. Young businesses are defined as businesses aged between zero and five years of age. Start-ups are a specific subset of young businesses within the first three years of operation (0–2 years old).&#10;Mature businesses are defined as those businesses aged six years and older. Old businesses are a specific subset of mature businesses that are ten or more years old.&#10;"/>
      </w:tblPr>
      <w:tblGrid>
        <w:gridCol w:w="4593"/>
      </w:tblGrid>
      <w:tr w:rsidR="00D471AD" w:rsidRPr="000D502B" w14:paraId="7418B006"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Mar>
              <w:left w:w="0" w:type="dxa"/>
              <w:right w:w="0" w:type="dxa"/>
            </w:tcMar>
          </w:tcPr>
          <w:p w14:paraId="7418B003" w14:textId="77777777" w:rsidR="00D471AD" w:rsidRPr="00882E31" w:rsidRDefault="00D471AD" w:rsidP="004A31A9">
            <w:pPr>
              <w:pStyle w:val="Definitiontext"/>
              <w:jc w:val="both"/>
              <w:rPr>
                <w:i/>
                <w:lang w:val="en-AU"/>
              </w:rPr>
            </w:pPr>
            <w:r w:rsidRPr="00882E31">
              <w:rPr>
                <w:lang w:val="en-AU"/>
              </w:rPr>
              <w:t>We adopt the business age class definitions set out by the OECD. Young businesses are defined as businesses aged between zero and five years of age. Start-ups are a specific subset of young businesses within the first three years of operation (0–2 years old).</w:t>
            </w:r>
          </w:p>
          <w:p w14:paraId="7418B004" w14:textId="77777777" w:rsidR="00D471AD" w:rsidRPr="00882E31" w:rsidRDefault="00D471AD" w:rsidP="004A31A9">
            <w:pPr>
              <w:pStyle w:val="Definitiontext"/>
              <w:jc w:val="both"/>
              <w:rPr>
                <w:i/>
                <w:lang w:val="en-AU"/>
              </w:rPr>
            </w:pPr>
            <w:r w:rsidRPr="00882E31">
              <w:rPr>
                <w:lang w:val="en-AU"/>
              </w:rPr>
              <w:t>Mature businesses are defined as those businesses aged six years and older. Old businesses are a specific subset of mature businesses that are ten or more years old.</w:t>
            </w:r>
          </w:p>
          <w:p w14:paraId="7418B005" w14:textId="77777777" w:rsidR="00D471AD" w:rsidRPr="001729A3" w:rsidRDefault="00D471AD" w:rsidP="004A31A9">
            <w:pPr>
              <w:pStyle w:val="Definitiontext"/>
              <w:spacing w:after="113"/>
              <w:rPr>
                <w:lang w:val="en-AU"/>
              </w:rPr>
            </w:pPr>
            <w:r w:rsidRPr="000D502B">
              <w:rPr>
                <w:noProof/>
                <w:lang w:val="en-AU" w:eastAsia="en-AU"/>
              </w:rPr>
              <w:drawing>
                <wp:inline distT="0" distB="0" distL="0" distR="0" wp14:anchorId="7418C617" wp14:editId="7418C618">
                  <wp:extent cx="2771775" cy="882015"/>
                  <wp:effectExtent l="0" t="0" r="9525" b="0"/>
                  <wp:docPr id="30" name="Picture 30" descr="The diagram above provides a schematic definition of firms by their age as set out by the OECD standards. Using arrows from left to right to show the increasing firm age, the diagram divides firms into two broad categories of ‘young’ and ‘mature’ firms. The young firms are defined as firms aged in the range of 0-5; and the mature firms as those aged 6 years and older. Under this broad categorisation, the diagram subdivides each category based on two age ranges. Young firms are subdivided into ‘start-ups’ that are firms in the age range of 0-2 years, and other young firms that are in the age range of 3-5 years. Mature firms are also subdivided into two sub-categories: firms in the age range of 6-9 and old firms in the age range of more than 10 years. " title="Definition box 2.1 diagram"/>
                  <wp:cNvGraphicFramePr/>
                  <a:graphic xmlns:a="http://schemas.openxmlformats.org/drawingml/2006/main">
                    <a:graphicData uri="http://schemas.openxmlformats.org/drawingml/2006/picture">
                      <pic:pic xmlns:pic="http://schemas.openxmlformats.org/drawingml/2006/picture">
                        <pic:nvPicPr>
                          <pic:cNvPr id="4" name="Picture 2" descr="The diagram above provides a schematic definition of firms by their age as set out by the OECD standards. Using arrows from left to right to show the increasing firm age, the diagram divides firms into two broad categories of ‘young’ and ‘mature’ firms. The young firms are defined as firms aged in the range of 0-5; and the mature firms as those aged 6 years and older. Under this broad categorisation, the diagram subdivides each category based on two age ranges. Young firms are subdivided into ‘start-ups’ that are firms in the age range of 0-2 years, and other young firms that are in the age range of 3-5 years. Mature firms are also subdivided into two sub-categories: firms in the age range of 6-9 and old firms in the age range of more than 10 years. " title="Box 2.1 diagram"/>
                          <pic:cNvPicPr/>
                        </pic:nvPicPr>
                        <pic:blipFill>
                          <a:blip r:embed="rId60"/>
                          <a:stretch>
                            <a:fillRect/>
                          </a:stretch>
                        </pic:blipFill>
                        <pic:spPr>
                          <a:xfrm>
                            <a:off x="0" y="0"/>
                            <a:ext cx="2779650" cy="884521"/>
                          </a:xfrm>
                          <a:prstGeom prst="rect">
                            <a:avLst/>
                          </a:prstGeom>
                          <a:noFill/>
                          <a:ln>
                            <a:noFill/>
                            <a:prstDash/>
                          </a:ln>
                        </pic:spPr>
                      </pic:pic>
                    </a:graphicData>
                  </a:graphic>
                </wp:inline>
              </w:drawing>
            </w:r>
          </w:p>
        </w:tc>
      </w:tr>
    </w:tbl>
    <w:p w14:paraId="7418B007" w14:textId="77777777" w:rsidR="00D471AD" w:rsidRPr="00924CA6" w:rsidRDefault="00D471AD" w:rsidP="00D471AD">
      <w:pPr>
        <w:pStyle w:val="BodyText"/>
      </w:pPr>
      <w:r w:rsidRPr="001729A3">
        <w:t>Using the BLADE and relative definitions of sales growth and age (Definitions 2.</w:t>
      </w:r>
      <w:r w:rsidRPr="00660104">
        <w:t>1</w:t>
      </w:r>
      <w:r w:rsidRPr="001729A3">
        <w:t xml:space="preserve"> and 2.</w:t>
      </w:r>
      <w:r w:rsidRPr="00660104">
        <w:t>2</w:t>
      </w:r>
      <w:r w:rsidRPr="001729A3">
        <w:t>), we were able to show that, unsurprisingly, high sales growth businesses make a disproportionate contribution to growth in Australia (</w:t>
      </w:r>
      <w:r w:rsidRPr="001729A3">
        <w:fldChar w:fldCharType="begin"/>
      </w:r>
      <w:r w:rsidRPr="001729A3">
        <w:instrText xml:space="preserve"> REF _Ref462067026 \h </w:instrText>
      </w:r>
      <w:r w:rsidRPr="001729A3">
        <w:fldChar w:fldCharType="separate"/>
      </w:r>
      <w:r w:rsidRPr="000D502B">
        <w:t xml:space="preserve">Figure </w:t>
      </w:r>
      <w:r>
        <w:rPr>
          <w:noProof/>
        </w:rPr>
        <w:t>2</w:t>
      </w:r>
      <w:r w:rsidRPr="000D502B">
        <w:t>.</w:t>
      </w:r>
      <w:r>
        <w:rPr>
          <w:noProof/>
        </w:rPr>
        <w:t>2</w:t>
      </w:r>
      <w:r w:rsidRPr="001729A3">
        <w:fldChar w:fldCharType="end"/>
      </w:r>
      <w:r w:rsidRPr="001729A3">
        <w:t xml:space="preserve"> and </w:t>
      </w:r>
      <w:r w:rsidRPr="001729A3">
        <w:fldChar w:fldCharType="begin"/>
      </w:r>
      <w:r w:rsidRPr="001729A3">
        <w:instrText xml:space="preserve"> REF _Ref462067041 \h </w:instrText>
      </w:r>
      <w:r w:rsidRPr="001729A3">
        <w:fldChar w:fldCharType="separate"/>
      </w:r>
      <w:r w:rsidRPr="000D502B">
        <w:t xml:space="preserve">Figure </w:t>
      </w:r>
      <w:r>
        <w:rPr>
          <w:noProof/>
        </w:rPr>
        <w:t>2</w:t>
      </w:r>
      <w:r w:rsidRPr="000D502B">
        <w:t>.</w:t>
      </w:r>
      <w:r>
        <w:rPr>
          <w:noProof/>
        </w:rPr>
        <w:t>3</w:t>
      </w:r>
      <w:r w:rsidRPr="001729A3">
        <w:fldChar w:fldCharType="end"/>
      </w:r>
      <w:r w:rsidRPr="001729A3">
        <w:t>; Methodology 2.1). Over the seven</w:t>
      </w:r>
      <w:r>
        <w:t>-</w:t>
      </w:r>
      <w:r w:rsidRPr="001729A3">
        <w:t xml:space="preserve">year period from 2004–05 to 2010–11 there were </w:t>
      </w:r>
      <w:r>
        <w:t xml:space="preserve">over </w:t>
      </w:r>
      <w:r w:rsidRPr="001729A3">
        <w:t xml:space="preserve">800 000 new jobs created, total sales grew by $1.4 trillion, export sales grew by $0.22 trillion, and $0.44 trillion of value was added to the economy. High sales growth businesses generated the majority of this growth, accounting for 66 per cent of net </w:t>
      </w:r>
      <w:r>
        <w:t xml:space="preserve">positive </w:t>
      </w:r>
      <w:r w:rsidRPr="001729A3">
        <w:t>employment growth, 67 per cent of net</w:t>
      </w:r>
      <w:r>
        <w:t xml:space="preserve"> positive</w:t>
      </w:r>
      <w:r w:rsidRPr="001729A3">
        <w:t xml:space="preserve"> sales growth, 84 per cent of net </w:t>
      </w:r>
      <w:r>
        <w:t xml:space="preserve">positive </w:t>
      </w:r>
      <w:r w:rsidRPr="001729A3">
        <w:t xml:space="preserve">export growth and 70 per cent of </w:t>
      </w:r>
      <w:r>
        <w:t xml:space="preserve">net positive </w:t>
      </w:r>
      <w:r w:rsidRPr="001729A3">
        <w:t>economic growth. High sales growth businesses accounted for around 30 per cent of all busin</w:t>
      </w:r>
      <w:r>
        <w:t xml:space="preserve">esses in Australia. The results </w:t>
      </w:r>
      <w:r w:rsidRPr="001729A3">
        <w:t>are similar when using employment as the growth indicator.</w:t>
      </w:r>
      <w:r>
        <w:br w:type="column"/>
      </w:r>
      <w:bookmarkStart w:id="943" w:name="_Toc462230070"/>
      <w:bookmarkStart w:id="944" w:name="_Toc462231431"/>
      <w:bookmarkStart w:id="945" w:name="_Toc463013932"/>
      <w:bookmarkStart w:id="946" w:name="_Toc463014041"/>
      <w:bookmarkStart w:id="947" w:name="_Toc463014475"/>
      <w:bookmarkStart w:id="948" w:name="_Toc463877008"/>
      <w:bookmarkStart w:id="949" w:name="_Toc465862802"/>
      <w:r w:rsidRPr="007D5C50">
        <w:rPr>
          <w:rFonts w:asciiTheme="majorHAnsi" w:eastAsia="Times New Roman" w:hAnsiTheme="majorHAnsi" w:cs="Arial"/>
          <w:bCs/>
          <w:i/>
          <w:sz w:val="22"/>
        </w:rPr>
        <w:t>Start-ups and growth</w:t>
      </w:r>
      <w:bookmarkEnd w:id="943"/>
      <w:bookmarkEnd w:id="944"/>
      <w:bookmarkEnd w:id="945"/>
      <w:bookmarkEnd w:id="946"/>
      <w:bookmarkEnd w:id="947"/>
      <w:bookmarkEnd w:id="948"/>
      <w:bookmarkEnd w:id="949"/>
    </w:p>
    <w:p w14:paraId="7418B008" w14:textId="77777777" w:rsidR="001C2998" w:rsidRDefault="001C2998" w:rsidP="001C2998">
      <w:pPr>
        <w:pStyle w:val="BodyText"/>
      </w:pPr>
      <w:r w:rsidRPr="00BF0A38">
        <w:t>Figure 2.3 shows that start-ups (0-2 years) are the largest contributor to job creation, accounting for 1.2 million new jobs over the period 2004–05 to 2010–11. This represented 90 per cent of net positive job creation. The contribution of start-ups is not directly comparable with the number stated in the 2015 report. The latest analysis includes an additional financial year and data from financial corporations was excluded based on advice from the ABS. While start-ups accounted for the majority of net job creation, their net contribution to sales, exports and economic growth is not as great as mature businesses. Our latest research finds that over the seven-year period, high sales growth start-ups generated the majority of start-ups jobs (780 000 out of 1.2 million jobs). In addition, high sales growth start-ups created $360 billion in sales, $100 billion in value added and $15 billion in exports over the same period.</w:t>
      </w:r>
    </w:p>
    <w:p w14:paraId="7418B009" w14:textId="77777777" w:rsidR="00D471AD" w:rsidRPr="001729A3" w:rsidRDefault="00D471AD" w:rsidP="00D471AD">
      <w:pPr>
        <w:pStyle w:val="BodyText"/>
      </w:pPr>
      <w:r w:rsidRPr="001729A3">
        <w:t>Although the absolute impact of start-ups might be lower, they make a disproportionate contribution to growth in all indicators observed: employment, total sales, export sales and value added (</w:t>
      </w:r>
      <w:r w:rsidRPr="001729A3">
        <w:fldChar w:fldCharType="begin"/>
      </w:r>
      <w:r w:rsidRPr="001729A3">
        <w:instrText xml:space="preserve"> REF _Ref462067081 \h </w:instrText>
      </w:r>
      <w:r w:rsidRPr="001729A3">
        <w:fldChar w:fldCharType="separate"/>
      </w:r>
      <w:r w:rsidRPr="000D502B">
        <w:t xml:space="preserve">Figure </w:t>
      </w:r>
      <w:r>
        <w:rPr>
          <w:noProof/>
        </w:rPr>
        <w:t>2</w:t>
      </w:r>
      <w:r w:rsidRPr="000D502B">
        <w:t>.</w:t>
      </w:r>
      <w:r>
        <w:rPr>
          <w:noProof/>
        </w:rPr>
        <w:t>4</w:t>
      </w:r>
      <w:r w:rsidRPr="001729A3">
        <w:fldChar w:fldCharType="end"/>
      </w:r>
      <w:r w:rsidRPr="001729A3">
        <w:t>). For example, start-ups make a high economy-wide contribution to net employment creation. This is because they tend to add more than they subtract overall</w:t>
      </w:r>
      <w:r>
        <w:t>,</w:t>
      </w:r>
      <w:r w:rsidRPr="001729A3">
        <w:t xml:space="preserve"> but also more than double what one would expect from their share of total employment (</w:t>
      </w:r>
      <w:r w:rsidRPr="001729A3">
        <w:fldChar w:fldCharType="begin"/>
      </w:r>
      <w:r w:rsidRPr="001729A3">
        <w:instrText xml:space="preserve"> REF _Ref462067081 \h </w:instrText>
      </w:r>
      <w:r w:rsidRPr="001729A3">
        <w:fldChar w:fldCharType="separate"/>
      </w:r>
      <w:r w:rsidRPr="000D502B">
        <w:t xml:space="preserve">Figure </w:t>
      </w:r>
      <w:r>
        <w:rPr>
          <w:noProof/>
        </w:rPr>
        <w:t>2</w:t>
      </w:r>
      <w:r w:rsidRPr="000D502B">
        <w:t>.</w:t>
      </w:r>
      <w:r>
        <w:rPr>
          <w:noProof/>
        </w:rPr>
        <w:t>4</w:t>
      </w:r>
      <w:r w:rsidRPr="001729A3">
        <w:fldChar w:fldCharType="end"/>
      </w:r>
      <w:r w:rsidRPr="001729A3">
        <w:t>). As businesses age they make a lower contribution to growth in every indicator examined, such that by the time they are six or more years old they contribute less than their total aggregate share (of the relevant indicator).</w:t>
      </w:r>
    </w:p>
    <w:p w14:paraId="7418B00A" w14:textId="77777777" w:rsidR="00D471AD" w:rsidRPr="001729A3" w:rsidRDefault="00D471AD" w:rsidP="00D471AD">
      <w:pPr>
        <w:pStyle w:val="BodyText"/>
      </w:pPr>
      <w:r w:rsidRPr="001729A3">
        <w:t>This sort of micro-aggregate analysis is complex. While the results show that start-ups contribute disproportionately to employment creation in Australia, mature medium and large businesses are still significant net contributors to sales and value</w:t>
      </w:r>
      <w:r>
        <w:t>-</w:t>
      </w:r>
      <w:r w:rsidRPr="001729A3">
        <w:t>added growth</w:t>
      </w:r>
      <w:r>
        <w:t>,</w:t>
      </w:r>
      <w:r w:rsidRPr="001729A3">
        <w:t xml:space="preserve"> and are the major net contributors to export growth. With the exception of employment, mature small businesses tend to generate net losses in the Australian economy. This is why the cumulative effect of mature businesses can often appear as a net negative (</w:t>
      </w:r>
      <w:r w:rsidRPr="001729A3">
        <w:fldChar w:fldCharType="begin"/>
      </w:r>
      <w:r w:rsidRPr="001729A3">
        <w:instrText xml:space="preserve"> REF _Ref462067041 \h </w:instrText>
      </w:r>
      <w:r w:rsidRPr="001729A3">
        <w:fldChar w:fldCharType="separate"/>
      </w:r>
      <w:r w:rsidRPr="000D502B">
        <w:t xml:space="preserve">Figure </w:t>
      </w:r>
      <w:r>
        <w:rPr>
          <w:noProof/>
        </w:rPr>
        <w:t>2</w:t>
      </w:r>
      <w:r w:rsidRPr="000D502B">
        <w:t>.</w:t>
      </w:r>
      <w:r>
        <w:rPr>
          <w:noProof/>
        </w:rPr>
        <w:t>3</w:t>
      </w:r>
      <w:r w:rsidRPr="001729A3">
        <w:fldChar w:fldCharType="end"/>
      </w:r>
      <w:r w:rsidRPr="001729A3">
        <w:t>).</w:t>
      </w:r>
    </w:p>
    <w:p w14:paraId="7418B00B" w14:textId="77777777" w:rsidR="00D471AD" w:rsidRPr="001729A3" w:rsidRDefault="00D471AD" w:rsidP="00D471AD">
      <w:pPr>
        <w:pStyle w:val="BodyText"/>
        <w:sectPr w:rsidR="00D471AD" w:rsidRPr="001729A3" w:rsidSect="004A31A9">
          <w:footnotePr>
            <w:numFmt w:val="upperRoman"/>
          </w:footnotePr>
          <w:endnotePr>
            <w:numFmt w:val="decimal"/>
          </w:endnotePr>
          <w:type w:val="continuous"/>
          <w:pgSz w:w="11906" w:h="16838" w:code="9"/>
          <w:pgMar w:top="1440" w:right="1020" w:bottom="1440" w:left="992" w:header="709" w:footer="709" w:gutter="0"/>
          <w:cols w:num="2" w:space="708"/>
          <w:docGrid w:linePitch="360"/>
        </w:sectPr>
      </w:pPr>
    </w:p>
    <w:p w14:paraId="7418B00C" w14:textId="77777777" w:rsidR="00D471AD" w:rsidRPr="000D502B" w:rsidRDefault="00D471AD" w:rsidP="00D471AD">
      <w:pPr>
        <w:pStyle w:val="Caption"/>
      </w:pPr>
      <w:bookmarkStart w:id="950" w:name="_Ref462067026"/>
      <w:bookmarkStart w:id="951" w:name="_Toc463013874"/>
      <w:bookmarkStart w:id="952" w:name="_Toc463013983"/>
      <w:bookmarkStart w:id="953" w:name="_Toc463014417"/>
      <w:bookmarkStart w:id="954" w:name="_Toc463877057"/>
      <w:bookmarkStart w:id="955" w:name="_Toc465864569"/>
      <w:r w:rsidRPr="000D502B">
        <w:t xml:space="preserve">Figure </w:t>
      </w:r>
      <w:fldSimple w:instr=" STYLEREF 1 \s ">
        <w:r>
          <w:rPr>
            <w:noProof/>
          </w:rPr>
          <w:t>2</w:t>
        </w:r>
      </w:fldSimple>
      <w:r w:rsidRPr="000D502B">
        <w:t>.</w:t>
      </w:r>
      <w:fldSimple w:instr=" SEQ Figure \* ARABIC \s 1 ">
        <w:r>
          <w:rPr>
            <w:noProof/>
          </w:rPr>
          <w:t>2</w:t>
        </w:r>
      </w:fldSimple>
      <w:bookmarkEnd w:id="950"/>
      <w:r w:rsidRPr="000D502B">
        <w:t xml:space="preserve">: The net contribution of </w:t>
      </w:r>
      <w:r>
        <w:t xml:space="preserve">businesses </w:t>
      </w:r>
      <w:r w:rsidRPr="000D502B">
        <w:t xml:space="preserve">to economic growth, by </w:t>
      </w:r>
      <w:r>
        <w:t xml:space="preserve">business </w:t>
      </w:r>
      <w:r w:rsidRPr="000D502B">
        <w:t>age and average annualised growth class, 2004–05 to 2010–11</w:t>
      </w:r>
      <w:bookmarkEnd w:id="951"/>
      <w:bookmarkEnd w:id="952"/>
      <w:bookmarkEnd w:id="953"/>
      <w:bookmarkEnd w:id="954"/>
      <w:bookmarkEnd w:id="955"/>
    </w:p>
    <w:tbl>
      <w:tblPr>
        <w:tblStyle w:val="OCETable"/>
        <w:tblW w:w="9979" w:type="dxa"/>
        <w:tblInd w:w="108" w:type="dxa"/>
        <w:tblLayout w:type="fixed"/>
        <w:tblLook w:val="04A0" w:firstRow="1" w:lastRow="0" w:firstColumn="1" w:lastColumn="0" w:noHBand="0" w:noVBand="1"/>
        <w:tblCaption w:val="Placeholder table"/>
      </w:tblPr>
      <w:tblGrid>
        <w:gridCol w:w="9979"/>
      </w:tblGrid>
      <w:tr w:rsidR="00D471AD" w:rsidRPr="000D502B" w14:paraId="7418B00E" w14:textId="77777777" w:rsidTr="004A31A9">
        <w:trPr>
          <w:cnfStyle w:val="100000000000" w:firstRow="1" w:lastRow="0" w:firstColumn="0" w:lastColumn="0" w:oddVBand="0" w:evenVBand="0" w:oddHBand="0" w:evenHBand="0" w:firstRowFirstColumn="0" w:firstRowLastColumn="0" w:lastRowFirstColumn="0" w:lastRowLastColumn="0"/>
          <w:trHeight w:hRule="exact" w:val="4536"/>
          <w:tblHeader/>
        </w:trPr>
        <w:tc>
          <w:tcPr>
            <w:tcW w:w="9979" w:type="dxa"/>
            <w:shd w:val="clear" w:color="auto" w:fill="auto"/>
          </w:tcPr>
          <w:p w14:paraId="7418B00D" w14:textId="77777777" w:rsidR="00D471AD" w:rsidRPr="000D502B" w:rsidRDefault="00D471AD" w:rsidP="004A31A9">
            <w:pPr>
              <w:pStyle w:val="Placeholder"/>
            </w:pPr>
            <w:r>
              <w:rPr>
                <w:noProof/>
                <w:lang w:eastAsia="en-AU"/>
              </w:rPr>
              <w:drawing>
                <wp:inline distT="0" distB="0" distL="0" distR="0" wp14:anchorId="7418C619" wp14:editId="7418C61A">
                  <wp:extent cx="6346190" cy="2889885"/>
                  <wp:effectExtent l="0" t="0" r="0" b="5715"/>
                  <wp:docPr id="6" name="Picture 6" descr="Figure 2.2 shows the net contribution of businesses to economic growth, using value added, in constant prices. It shows that high growth businesses added $586 billion (constant prices) to the economy while nil or negative growth businesses took $397 billion from the economy. It shows that over the period (2004–05 to 2010–11) $440 billion was added to the economy, of which start-ups accounted for $164 billion." title="Figure 2.2: The net contribution of businesses to economic growth, by business age and average annualised growth class, 2004–05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46190" cy="2889885"/>
                          </a:xfrm>
                          <a:prstGeom prst="rect">
                            <a:avLst/>
                          </a:prstGeom>
                          <a:noFill/>
                        </pic:spPr>
                      </pic:pic>
                    </a:graphicData>
                  </a:graphic>
                </wp:inline>
              </w:drawing>
            </w:r>
          </w:p>
        </w:tc>
      </w:tr>
    </w:tbl>
    <w:p w14:paraId="7418B00F" w14:textId="77777777" w:rsidR="00D471AD" w:rsidRPr="001729A3" w:rsidRDefault="00D471AD" w:rsidP="00D471AD">
      <w:pPr>
        <w:pStyle w:val="Note"/>
        <w:rPr>
          <w:lang w:val="en-AU"/>
        </w:rPr>
      </w:pPr>
      <w:r w:rsidRPr="001729A3">
        <w:rPr>
          <w:lang w:val="en-AU"/>
        </w:rPr>
        <w:t xml:space="preserve">Notes: Averages incorporate all industry classes except </w:t>
      </w:r>
      <w:hyperlink r:id="rId62" w:history="1">
        <w:r w:rsidRPr="000743B0">
          <w:rPr>
            <w:rStyle w:val="Hyperlink"/>
            <w:lang w:val="en-AU"/>
          </w:rPr>
          <w:t>Standard Institutional Sector Classification of Australia</w:t>
        </w:r>
      </w:hyperlink>
      <w:r w:rsidRPr="001729A3" w:rsidDel="000F45C4">
        <w:rPr>
          <w:lang w:val="en-AU"/>
        </w:rPr>
        <w:t xml:space="preserve"> </w:t>
      </w:r>
      <w:r w:rsidRPr="001729A3">
        <w:rPr>
          <w:lang w:val="en-AU"/>
        </w:rPr>
        <w:t xml:space="preserve">2 </w:t>
      </w:r>
      <w:r>
        <w:rPr>
          <w:lang w:val="en-AU"/>
        </w:rPr>
        <w:t xml:space="preserve">(SISCA2) </w:t>
      </w:r>
      <w:r w:rsidRPr="001729A3">
        <w:rPr>
          <w:lang w:val="en-AU"/>
        </w:rPr>
        <w:t>businesses. Average annualised growth rates are calculated on a total sales basis over a rolling three</w:t>
      </w:r>
      <w:r>
        <w:rPr>
          <w:lang w:val="en-AU"/>
        </w:rPr>
        <w:t>-</w:t>
      </w:r>
      <w:r w:rsidRPr="001729A3">
        <w:rPr>
          <w:lang w:val="en-AU"/>
        </w:rPr>
        <w:t>year period.</w:t>
      </w:r>
      <w:r w:rsidRPr="001729A3">
        <w:rPr>
          <w:rStyle w:val="EndnoteReference"/>
          <w:lang w:val="en-AU"/>
        </w:rPr>
        <w:endnoteReference w:id="27"/>
      </w:r>
    </w:p>
    <w:p w14:paraId="7418B010" w14:textId="77777777" w:rsidR="00D471AD" w:rsidRPr="001729A3" w:rsidRDefault="00D471AD" w:rsidP="00D471AD">
      <w:pPr>
        <w:pStyle w:val="Source"/>
        <w:rPr>
          <w:lang w:val="en-AU"/>
        </w:rPr>
      </w:pPr>
      <w:r w:rsidRPr="001729A3">
        <w:rPr>
          <w:lang w:val="en-AU"/>
        </w:rPr>
        <w:t>Source: ABS (2016) Business Longitudinal Analy</w:t>
      </w:r>
      <w:r>
        <w:rPr>
          <w:lang w:val="en-AU"/>
        </w:rPr>
        <w:t>sis</w:t>
      </w:r>
      <w:r w:rsidRPr="001729A3">
        <w:rPr>
          <w:lang w:val="en-AU"/>
        </w:rPr>
        <w:t xml:space="preserve"> Data Environment. Customised data report commissioned by the Department of Industry, Innovation and Science</w:t>
      </w:r>
    </w:p>
    <w:p w14:paraId="7418B011" w14:textId="77777777" w:rsidR="00D471AD" w:rsidRPr="000D502B" w:rsidRDefault="00D471AD" w:rsidP="00D471AD">
      <w:pPr>
        <w:pStyle w:val="Caption"/>
        <w:spacing w:before="114"/>
      </w:pPr>
      <w:bookmarkStart w:id="956" w:name="_Ref462067041"/>
      <w:bookmarkStart w:id="957" w:name="_Toc463013875"/>
      <w:bookmarkStart w:id="958" w:name="_Toc463013984"/>
      <w:bookmarkStart w:id="959" w:name="_Toc463014418"/>
      <w:bookmarkStart w:id="960" w:name="_Toc463877058"/>
      <w:bookmarkStart w:id="961" w:name="_Toc465864570"/>
      <w:r w:rsidRPr="000D502B">
        <w:t xml:space="preserve">Figure </w:t>
      </w:r>
      <w:fldSimple w:instr=" STYLEREF 1 \s ">
        <w:r>
          <w:rPr>
            <w:noProof/>
          </w:rPr>
          <w:t>2</w:t>
        </w:r>
      </w:fldSimple>
      <w:r w:rsidRPr="000D502B">
        <w:t>.</w:t>
      </w:r>
      <w:fldSimple w:instr=" SEQ Figure \* ARABIC \s 1 ">
        <w:r>
          <w:rPr>
            <w:noProof/>
          </w:rPr>
          <w:t>3</w:t>
        </w:r>
      </w:fldSimple>
      <w:bookmarkEnd w:id="956"/>
      <w:r w:rsidRPr="000D502B">
        <w:t xml:space="preserve">: The net contribution of </w:t>
      </w:r>
      <w:r>
        <w:t xml:space="preserve">businesses </w:t>
      </w:r>
      <w:r w:rsidRPr="000D502B">
        <w:t xml:space="preserve">to employment growth, by </w:t>
      </w:r>
      <w:r>
        <w:t xml:space="preserve">business </w:t>
      </w:r>
      <w:r w:rsidRPr="000D502B">
        <w:t>age and average annualised growth class, 2004–05 to 2010-11</w:t>
      </w:r>
      <w:bookmarkEnd w:id="957"/>
      <w:bookmarkEnd w:id="958"/>
      <w:bookmarkEnd w:id="959"/>
      <w:bookmarkEnd w:id="960"/>
      <w:bookmarkEnd w:id="961"/>
    </w:p>
    <w:tbl>
      <w:tblPr>
        <w:tblStyle w:val="OCETable"/>
        <w:tblW w:w="9979" w:type="dxa"/>
        <w:tblInd w:w="108" w:type="dxa"/>
        <w:tblLayout w:type="fixed"/>
        <w:tblLook w:val="04A0" w:firstRow="1" w:lastRow="0" w:firstColumn="1" w:lastColumn="0" w:noHBand="0" w:noVBand="1"/>
        <w:tblCaption w:val="Placeholder table"/>
      </w:tblPr>
      <w:tblGrid>
        <w:gridCol w:w="9979"/>
      </w:tblGrid>
      <w:tr w:rsidR="00D471AD" w:rsidRPr="000D502B" w14:paraId="7418B013" w14:textId="77777777" w:rsidTr="004A31A9">
        <w:trPr>
          <w:cnfStyle w:val="100000000000" w:firstRow="1" w:lastRow="0" w:firstColumn="0" w:lastColumn="0" w:oddVBand="0" w:evenVBand="0" w:oddHBand="0" w:evenHBand="0" w:firstRowFirstColumn="0" w:firstRowLastColumn="0" w:lastRowFirstColumn="0" w:lastRowLastColumn="0"/>
          <w:trHeight w:hRule="exact" w:val="4536"/>
          <w:tblHeader/>
        </w:trPr>
        <w:tc>
          <w:tcPr>
            <w:tcW w:w="9979" w:type="dxa"/>
            <w:shd w:val="clear" w:color="auto" w:fill="auto"/>
          </w:tcPr>
          <w:p w14:paraId="7418B012" w14:textId="77777777" w:rsidR="00D471AD" w:rsidRPr="000D502B" w:rsidRDefault="00D471AD" w:rsidP="004A31A9">
            <w:pPr>
              <w:pStyle w:val="Placeholder"/>
            </w:pPr>
            <w:r>
              <w:rPr>
                <w:noProof/>
                <w:lang w:eastAsia="en-AU"/>
              </w:rPr>
              <w:drawing>
                <wp:inline distT="0" distB="0" distL="0" distR="0" wp14:anchorId="7418C61B" wp14:editId="7418C61C">
                  <wp:extent cx="6086475" cy="2823993"/>
                  <wp:effectExtent l="0" t="0" r="0" b="0"/>
                  <wp:docPr id="36" name="Picture 36" descr="Figure 2.3 shows the net contribution of businesses to employment growth. It shows that high-growth businesses created two million jobs, while nil or negative growth businesses lost 2.4 million jobs. Over the period (2004–05 to 2010–11), there were (net) 820,000 new jobs created. Start-ups accounted for 1.2 million new jobs)" title="Figure 2.3: The net contribution of businesses to employment growth, by business age and average annualised growth class, 2004–05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3469" cy="2827238"/>
                          </a:xfrm>
                          <a:prstGeom prst="rect">
                            <a:avLst/>
                          </a:prstGeom>
                          <a:noFill/>
                        </pic:spPr>
                      </pic:pic>
                    </a:graphicData>
                  </a:graphic>
                </wp:inline>
              </w:drawing>
            </w:r>
          </w:p>
        </w:tc>
      </w:tr>
    </w:tbl>
    <w:p w14:paraId="7418B014" w14:textId="77777777" w:rsidR="00D471AD" w:rsidRPr="00D073A8" w:rsidRDefault="00D471AD" w:rsidP="00D471AD">
      <w:pPr>
        <w:pStyle w:val="Source"/>
        <w:rPr>
          <w:lang w:val="en-AU"/>
        </w:rPr>
      </w:pPr>
      <w:r w:rsidRPr="00D073A8">
        <w:rPr>
          <w:lang w:val="en-AU"/>
        </w:rPr>
        <w:t xml:space="preserve">Notes: Averages incorporate all industry classes except SISCA2 businesses. Average annualised growth rates are calculated on a total </w:t>
      </w:r>
      <w:r>
        <w:rPr>
          <w:lang w:val="en-AU"/>
        </w:rPr>
        <w:t>employment</w:t>
      </w:r>
      <w:r w:rsidRPr="00D073A8">
        <w:rPr>
          <w:lang w:val="en-AU"/>
        </w:rPr>
        <w:t xml:space="preserve"> basis over a rolling three-year period.</w:t>
      </w:r>
    </w:p>
    <w:p w14:paraId="7418B015" w14:textId="77777777" w:rsidR="00D471AD" w:rsidRPr="00D073A8" w:rsidRDefault="00D471AD" w:rsidP="00D471AD">
      <w:pPr>
        <w:pStyle w:val="Source"/>
        <w:rPr>
          <w:lang w:val="en-AU"/>
        </w:rPr>
      </w:pPr>
      <w:r w:rsidRPr="00D073A8">
        <w:rPr>
          <w:lang w:val="en-AU"/>
        </w:rPr>
        <w:t xml:space="preserve">Source: </w:t>
      </w:r>
      <w:r w:rsidRPr="001729A3">
        <w:rPr>
          <w:lang w:val="en-AU"/>
        </w:rPr>
        <w:t>Customised ABS data commissioned by the Department of Industry, Innovation and Science</w:t>
      </w:r>
      <w:r w:rsidRPr="001729A3" w:rsidDel="00AD5860">
        <w:rPr>
          <w:lang w:val="en-AU"/>
        </w:rPr>
        <w:t xml:space="preserve"> </w:t>
      </w:r>
    </w:p>
    <w:p w14:paraId="7418B016" w14:textId="77777777" w:rsidR="00D471AD" w:rsidRPr="001729A3" w:rsidRDefault="00D471AD" w:rsidP="00D471AD">
      <w:pPr>
        <w:pStyle w:val="BodyText"/>
      </w:pPr>
    </w:p>
    <w:p w14:paraId="7418B017" w14:textId="77777777" w:rsidR="00D471AD" w:rsidRPr="001729A3" w:rsidRDefault="00D471AD" w:rsidP="00D471AD">
      <w:pPr>
        <w:pStyle w:val="BodyText"/>
        <w:sectPr w:rsidR="00D471AD" w:rsidRPr="001729A3" w:rsidSect="004A31A9">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018" w14:textId="77777777" w:rsidR="00D471AD" w:rsidRPr="000D502B" w:rsidRDefault="00D471AD" w:rsidP="00D471AD">
      <w:pPr>
        <w:pStyle w:val="Caption"/>
      </w:pPr>
      <w:bookmarkStart w:id="962" w:name="_Ref462067081"/>
      <w:bookmarkStart w:id="963" w:name="_Toc463013876"/>
      <w:bookmarkStart w:id="964" w:name="_Toc463013985"/>
      <w:bookmarkStart w:id="965" w:name="_Toc463014419"/>
      <w:bookmarkStart w:id="966" w:name="_Toc463877059"/>
      <w:bookmarkStart w:id="967" w:name="_Toc465864571"/>
      <w:r w:rsidRPr="000D502B">
        <w:t xml:space="preserve">Figure </w:t>
      </w:r>
      <w:fldSimple w:instr=" STYLEREF 1 \s ">
        <w:r>
          <w:rPr>
            <w:noProof/>
          </w:rPr>
          <w:t>2</w:t>
        </w:r>
      </w:fldSimple>
      <w:r w:rsidRPr="000D502B">
        <w:t>.</w:t>
      </w:r>
      <w:fldSimple w:instr=" SEQ Figure \* ARABIC \s 1 ">
        <w:r>
          <w:rPr>
            <w:noProof/>
          </w:rPr>
          <w:t>4</w:t>
        </w:r>
      </w:fldSimple>
      <w:bookmarkEnd w:id="962"/>
      <w:r w:rsidRPr="000D502B">
        <w:t xml:space="preserve">: Contribution of </w:t>
      </w:r>
      <w:r>
        <w:t xml:space="preserve">businesses </w:t>
      </w:r>
      <w:r w:rsidRPr="000D502B">
        <w:t>of different ages to growth relative to their share of employment, total sales, export sales or value added in Australia, 2004–05 to 2010–11</w:t>
      </w:r>
      <w:bookmarkEnd w:id="963"/>
      <w:bookmarkEnd w:id="964"/>
      <w:bookmarkEnd w:id="965"/>
      <w:bookmarkEnd w:id="966"/>
      <w:bookmarkEnd w:id="967"/>
    </w:p>
    <w:p w14:paraId="7418B019" w14:textId="77777777" w:rsidR="00D471AD" w:rsidRPr="000D502B" w:rsidRDefault="00D471AD" w:rsidP="00D471AD">
      <w:r>
        <w:rPr>
          <w:noProof/>
          <w:lang w:eastAsia="en-AU"/>
        </w:rPr>
        <w:drawing>
          <wp:inline distT="0" distB="0" distL="0" distR="0" wp14:anchorId="7418C61D" wp14:editId="7418C61E">
            <wp:extent cx="2987040" cy="2188845"/>
            <wp:effectExtent l="0" t="0" r="3810" b="1905"/>
            <wp:docPr id="15" name="Picture 15" descr="Figure 2.4 shows the contribution of businesses of different ages to growth, relative to their share of employment, total sales, export sales and value added in Australia, for the period 2004–05 to 2010–11. Businesses aged 0–2 years contribute disproportionately, with the average relative contribution being 233 per cent across the four categories for this age group. Businesses aged six or more years contribute relatively less, with their average contribution only 79 per cent, relative to their respective shares. Firms aged 3–5 years contribute almost exactly their fair share, with their average contribution being 99 per cent across the categories." title="Figure 2.4: Contribution of businesses of different ages to growth relative to their share of employment, total sales, export sales or value added in Australia, 2004–05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87040" cy="2188845"/>
                    </a:xfrm>
                    <a:prstGeom prst="rect">
                      <a:avLst/>
                    </a:prstGeom>
                    <a:noFill/>
                  </pic:spPr>
                </pic:pic>
              </a:graphicData>
            </a:graphic>
          </wp:inline>
        </w:drawing>
      </w:r>
    </w:p>
    <w:p w14:paraId="7418B01A" w14:textId="77777777" w:rsidR="00D471AD" w:rsidRPr="001729A3" w:rsidRDefault="00D471AD" w:rsidP="00D471AD">
      <w:pPr>
        <w:pStyle w:val="Note"/>
        <w:rPr>
          <w:lang w:val="en-AU"/>
        </w:rPr>
      </w:pPr>
      <w:r w:rsidRPr="001729A3">
        <w:rPr>
          <w:lang w:val="en-AU"/>
        </w:rPr>
        <w:t>Notes: Averages incorporate all industry classes except SISCA2 businesses. Relative growth contribution is calculated as the percentage contribution to total aggregate growth</w:t>
      </w:r>
      <w:r>
        <w:rPr>
          <w:lang w:val="en-AU"/>
        </w:rPr>
        <w:t xml:space="preserve"> (</w:t>
      </w:r>
      <w:r w:rsidRPr="001729A3">
        <w:rPr>
          <w:lang w:val="en-AU"/>
        </w:rPr>
        <w:t>e.g. employment</w:t>
      </w:r>
      <w:r>
        <w:rPr>
          <w:lang w:val="en-AU"/>
        </w:rPr>
        <w:t>)</w:t>
      </w:r>
      <w:r w:rsidRPr="001729A3">
        <w:rPr>
          <w:lang w:val="en-AU"/>
        </w:rPr>
        <w:t xml:space="preserve"> divided by that sector’s total share of employment </w:t>
      </w:r>
      <w:r>
        <w:rPr>
          <w:lang w:val="en-AU"/>
        </w:rPr>
        <w:t>(</w:t>
      </w:r>
      <w:r w:rsidRPr="001729A3">
        <w:rPr>
          <w:lang w:val="en-AU"/>
        </w:rPr>
        <w:t>i.e. relative to 100 per cent</w:t>
      </w:r>
      <w:r>
        <w:rPr>
          <w:lang w:val="en-AU"/>
        </w:rPr>
        <w:t>)</w:t>
      </w:r>
      <w:r w:rsidRPr="00660104">
        <w:rPr>
          <w:lang w:val="en-AU"/>
        </w:rPr>
        <w:t>.</w:t>
      </w:r>
      <w:r w:rsidRPr="001729A3">
        <w:rPr>
          <w:lang w:val="en-AU"/>
        </w:rPr>
        <w:t xml:space="preserve"> </w:t>
      </w:r>
    </w:p>
    <w:p w14:paraId="7418B01B" w14:textId="77777777" w:rsidR="00D471AD" w:rsidRPr="001729A3" w:rsidRDefault="00D471AD" w:rsidP="00D471AD">
      <w:pPr>
        <w:pStyle w:val="Note"/>
        <w:keepNext w:val="0"/>
        <w:rPr>
          <w:lang w:val="en-AU"/>
        </w:rPr>
      </w:pPr>
      <w:r w:rsidRPr="001729A3">
        <w:rPr>
          <w:lang w:val="en-AU"/>
        </w:rPr>
        <w:t>Source: Customised ABS data commissioned by the Department of Industry, Innovation and Science</w:t>
      </w:r>
    </w:p>
    <w:p w14:paraId="7418B01C" w14:textId="77777777" w:rsidR="00D471AD" w:rsidRPr="000D502B" w:rsidRDefault="00D471AD" w:rsidP="00D471AD">
      <w:pPr>
        <w:pStyle w:val="Caption"/>
      </w:pPr>
      <w:r w:rsidRPr="000D502B">
        <w:t xml:space="preserve">Methodology </w:t>
      </w:r>
      <w:fldSimple w:instr=" STYLEREF 1 \s ">
        <w:r>
          <w:rPr>
            <w:noProof/>
          </w:rPr>
          <w:t>2</w:t>
        </w:r>
      </w:fldSimple>
      <w:r w:rsidRPr="000D502B">
        <w:t>.</w:t>
      </w:r>
      <w:fldSimple w:instr=" SEQ Methodology \* ARABIC \s 1 ">
        <w:r>
          <w:rPr>
            <w:noProof/>
          </w:rPr>
          <w:t>1</w:t>
        </w:r>
      </w:fldSimple>
      <w:r w:rsidRPr="000D502B">
        <w:t xml:space="preserve">: Calculating the contribution of </w:t>
      </w:r>
      <w:r>
        <w:t xml:space="preserve">businesses </w:t>
      </w:r>
      <w:r w:rsidRPr="000D502B">
        <w:t>to national aggregates</w:t>
      </w:r>
    </w:p>
    <w:tbl>
      <w:tblPr>
        <w:tblStyle w:val="OCETable"/>
        <w:tblW w:w="4706" w:type="dxa"/>
        <w:tblInd w:w="57" w:type="dxa"/>
        <w:shd w:val="clear" w:color="auto" w:fill="292B67"/>
        <w:tblLayout w:type="fixed"/>
        <w:tblLook w:val="04A0" w:firstRow="1" w:lastRow="0" w:firstColumn="1" w:lastColumn="0" w:noHBand="0" w:noVBand="1"/>
        <w:tblCaption w:val="Calculating the contribution of businesses to national aggregates"/>
        <w:tblDescription w:val="We use the ABS’ BLADE to calculate the contribution of businesses of different ages, sizes and growth classes to aggregate growth in total sales, export sales, employment, labour productivity and value added.&#10;We use total sales growth as the basis for defining the growth classes. The three-year annualised growth rate and business age definition restricts the length of the period we can analyse to 2004–05 to 2010–11. We have done similar work using a one-year growth rate and found similar results over the longer period 2002–03 to 2013–14.&#10;Growth ranges for the first year of a unit's existence are calculated based on their rate of change for sales and/or full-time equivalent (FTE) employees in their first consecutive year.&#10;SISCA2 businesses (Finance &amp; Insurance sector) and a handful of businesses with extreme and unlikely values have been excluded.&#10;Value Added has been calculated as: Sales income (BAS Turnover less GST payable) minus Intermediate Usage (BAS Other (i.e. current expenses) less GST credits). Capital expenses and wages/salaries are not part of VA calculation. Labour productivity is the ratio of Value Added per full-time equivalent (FTE) employee.&#10;Businesses contribute where they are classified each cycle, so a business can contribute to different age, size and growth classes over time.&#10;Firms that exit during the period are included in the results where their growth could be determined.&#10;"/>
      </w:tblPr>
      <w:tblGrid>
        <w:gridCol w:w="4706"/>
      </w:tblGrid>
      <w:tr w:rsidR="00D471AD" w:rsidRPr="000D502B" w14:paraId="7418B024"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92B67"/>
          </w:tcPr>
          <w:p w14:paraId="7418B01D" w14:textId="77777777" w:rsidR="00D471AD" w:rsidRPr="00A53774" w:rsidRDefault="00D471AD" w:rsidP="004A31A9">
            <w:pPr>
              <w:pStyle w:val="Methodologytext"/>
              <w:spacing w:before="160"/>
              <w:rPr>
                <w:i w:val="0"/>
              </w:rPr>
            </w:pPr>
            <w:r w:rsidRPr="00A53774">
              <w:rPr>
                <w:i w:val="0"/>
              </w:rPr>
              <w:t xml:space="preserve">We use the ABS’ </w:t>
            </w:r>
            <w:r>
              <w:rPr>
                <w:i w:val="0"/>
              </w:rPr>
              <w:t>BLADE</w:t>
            </w:r>
            <w:r w:rsidRPr="00A53774">
              <w:rPr>
                <w:i w:val="0"/>
              </w:rPr>
              <w:t xml:space="preserve"> to calculate the contribution of </w:t>
            </w:r>
            <w:r>
              <w:rPr>
                <w:i w:val="0"/>
              </w:rPr>
              <w:t xml:space="preserve">businesses </w:t>
            </w:r>
            <w:r w:rsidRPr="00A53774">
              <w:rPr>
                <w:i w:val="0"/>
              </w:rPr>
              <w:t>of different ages, sizes and growth classes to aggregate growth in total sales, export sales, employment, labour productivity and value added.</w:t>
            </w:r>
          </w:p>
          <w:p w14:paraId="7418B01E" w14:textId="77777777" w:rsidR="00D471AD" w:rsidRPr="00A53774" w:rsidRDefault="00D471AD" w:rsidP="004A31A9">
            <w:pPr>
              <w:pStyle w:val="Methodologytext"/>
              <w:rPr>
                <w:i w:val="0"/>
              </w:rPr>
            </w:pPr>
            <w:r w:rsidRPr="00A53774">
              <w:rPr>
                <w:i w:val="0"/>
              </w:rPr>
              <w:t>We use total sales growth as the basis for defining the growth classes. The three</w:t>
            </w:r>
            <w:r>
              <w:rPr>
                <w:i w:val="0"/>
              </w:rPr>
              <w:t>-</w:t>
            </w:r>
            <w:r w:rsidRPr="00A53774">
              <w:rPr>
                <w:i w:val="0"/>
              </w:rPr>
              <w:t xml:space="preserve">year annualised growth rate and </w:t>
            </w:r>
            <w:r>
              <w:rPr>
                <w:i w:val="0"/>
              </w:rPr>
              <w:t xml:space="preserve">business </w:t>
            </w:r>
            <w:r w:rsidRPr="00A53774">
              <w:rPr>
                <w:i w:val="0"/>
              </w:rPr>
              <w:t>age definition restricts the length of the period we can analyse to 2004–05 to 2010–11. We have done similar work using a one</w:t>
            </w:r>
            <w:r>
              <w:rPr>
                <w:i w:val="0"/>
              </w:rPr>
              <w:t>-</w:t>
            </w:r>
            <w:r w:rsidRPr="00A53774">
              <w:rPr>
                <w:i w:val="0"/>
              </w:rPr>
              <w:t>year growth rate and found similar results over the longer period 2002–03 to 2013–14.</w:t>
            </w:r>
          </w:p>
          <w:p w14:paraId="7418B01F" w14:textId="77777777" w:rsidR="00D471AD" w:rsidRPr="00A53774" w:rsidRDefault="00D471AD" w:rsidP="004A31A9">
            <w:pPr>
              <w:pStyle w:val="Methodologytext"/>
              <w:rPr>
                <w:i w:val="0"/>
              </w:rPr>
            </w:pPr>
            <w:r w:rsidRPr="00A53774">
              <w:rPr>
                <w:i w:val="0"/>
              </w:rPr>
              <w:t>Growth ranges for the first year of a unit's existence are calculated based on their rate of change for sales and/or full-time equivalent (FTE) employees in their first consecutive year.</w:t>
            </w:r>
          </w:p>
          <w:p w14:paraId="7418B020" w14:textId="77777777" w:rsidR="00D471AD" w:rsidRPr="00A53774" w:rsidRDefault="00D471AD" w:rsidP="004A31A9">
            <w:pPr>
              <w:pStyle w:val="Methodologytext"/>
              <w:rPr>
                <w:i w:val="0"/>
              </w:rPr>
            </w:pPr>
            <w:r w:rsidRPr="00A53774">
              <w:rPr>
                <w:i w:val="0"/>
              </w:rPr>
              <w:t xml:space="preserve">SISCA2 </w:t>
            </w:r>
            <w:r>
              <w:rPr>
                <w:i w:val="0"/>
              </w:rPr>
              <w:t xml:space="preserve">businesses </w:t>
            </w:r>
            <w:r w:rsidRPr="00A53774">
              <w:rPr>
                <w:i w:val="0"/>
              </w:rPr>
              <w:t xml:space="preserve">(Finance &amp; Insurance sector) and a handful of </w:t>
            </w:r>
            <w:r>
              <w:rPr>
                <w:i w:val="0"/>
              </w:rPr>
              <w:t xml:space="preserve">businesses </w:t>
            </w:r>
            <w:r w:rsidRPr="00A53774">
              <w:rPr>
                <w:i w:val="0"/>
              </w:rPr>
              <w:t>with extreme and unlikely values have been excluded.</w:t>
            </w:r>
          </w:p>
          <w:p w14:paraId="7418B021" w14:textId="77777777" w:rsidR="00D471AD" w:rsidRPr="00A53774" w:rsidRDefault="00D471AD" w:rsidP="004A31A9">
            <w:pPr>
              <w:pStyle w:val="Methodologytext"/>
              <w:rPr>
                <w:i w:val="0"/>
              </w:rPr>
            </w:pPr>
            <w:r w:rsidRPr="00A53774">
              <w:rPr>
                <w:i w:val="0"/>
              </w:rPr>
              <w:t xml:space="preserve">Value Added has been calculated as: Sales income (BAS Turnover less GST payable) minus Intermediate Usage (BAS Other </w:t>
            </w:r>
            <w:r>
              <w:rPr>
                <w:i w:val="0"/>
              </w:rPr>
              <w:t>(</w:t>
            </w:r>
            <w:r w:rsidRPr="00A53774">
              <w:rPr>
                <w:i w:val="0"/>
              </w:rPr>
              <w:t>i.e. current expenses</w:t>
            </w:r>
            <w:r>
              <w:rPr>
                <w:i w:val="0"/>
              </w:rPr>
              <w:t>)</w:t>
            </w:r>
            <w:r w:rsidRPr="00A53774">
              <w:rPr>
                <w:i w:val="0"/>
              </w:rPr>
              <w:t xml:space="preserve"> less GST credits). Capital expenses and wages/salaries are not part of VA calculation. Labour productivity is the ratio of Value Added per </w:t>
            </w:r>
            <w:r>
              <w:rPr>
                <w:i w:val="0"/>
              </w:rPr>
              <w:t>f</w:t>
            </w:r>
            <w:r w:rsidRPr="00660104">
              <w:rPr>
                <w:i w:val="0"/>
              </w:rPr>
              <w:t>ull</w:t>
            </w:r>
            <w:r>
              <w:rPr>
                <w:i w:val="0"/>
              </w:rPr>
              <w:t>-t</w:t>
            </w:r>
            <w:r w:rsidRPr="00660104">
              <w:rPr>
                <w:i w:val="0"/>
              </w:rPr>
              <w:t xml:space="preserve">ime </w:t>
            </w:r>
            <w:r>
              <w:rPr>
                <w:i w:val="0"/>
              </w:rPr>
              <w:t>e</w:t>
            </w:r>
            <w:r w:rsidRPr="00A53774">
              <w:rPr>
                <w:i w:val="0"/>
              </w:rPr>
              <w:t>quivalent (FTE) employee.</w:t>
            </w:r>
          </w:p>
          <w:p w14:paraId="7418B022" w14:textId="77777777" w:rsidR="00D471AD" w:rsidRDefault="00D471AD" w:rsidP="004A31A9">
            <w:pPr>
              <w:pStyle w:val="Methodologyboxtext"/>
              <w:rPr>
                <w:i w:val="0"/>
              </w:rPr>
            </w:pPr>
            <w:r>
              <w:rPr>
                <w:i w:val="0"/>
              </w:rPr>
              <w:t xml:space="preserve">Businesses </w:t>
            </w:r>
            <w:r w:rsidRPr="00A53774">
              <w:rPr>
                <w:i w:val="0"/>
              </w:rPr>
              <w:t xml:space="preserve">contribute where they are classified each cycle, so a </w:t>
            </w:r>
            <w:r>
              <w:rPr>
                <w:i w:val="0"/>
              </w:rPr>
              <w:t xml:space="preserve">business </w:t>
            </w:r>
            <w:r w:rsidRPr="00A53774">
              <w:rPr>
                <w:i w:val="0"/>
              </w:rPr>
              <w:t>can contribute to different age, size and growth classes over time.</w:t>
            </w:r>
          </w:p>
          <w:p w14:paraId="7418B023" w14:textId="77777777" w:rsidR="00D471AD" w:rsidRPr="000D502B" w:rsidRDefault="00D471AD" w:rsidP="004A31A9">
            <w:pPr>
              <w:pStyle w:val="Methodologyboxtext"/>
            </w:pPr>
            <w:r>
              <w:rPr>
                <w:i w:val="0"/>
              </w:rPr>
              <w:t>Firms that exit during the period are included in the results where their growth could be determined.</w:t>
            </w:r>
          </w:p>
        </w:tc>
      </w:tr>
    </w:tbl>
    <w:p w14:paraId="7418B025" w14:textId="77777777" w:rsidR="00D471AD" w:rsidRDefault="00D471AD" w:rsidP="00D471AD">
      <w:pPr>
        <w:pStyle w:val="BodyText"/>
      </w:pPr>
    </w:p>
    <w:p w14:paraId="7418B026" w14:textId="77777777" w:rsidR="00D471AD" w:rsidRPr="000D502B" w:rsidRDefault="00D471AD" w:rsidP="00D471AD">
      <w:pPr>
        <w:pStyle w:val="Heading2"/>
      </w:pPr>
      <w:r w:rsidRPr="000D502B">
        <w:br w:type="column"/>
      </w:r>
      <w:bookmarkStart w:id="968" w:name="_Toc462230072"/>
      <w:bookmarkStart w:id="969" w:name="_Toc462231433"/>
      <w:bookmarkStart w:id="970" w:name="_Toc463013934"/>
      <w:bookmarkStart w:id="971" w:name="_Toc463014043"/>
      <w:bookmarkStart w:id="972" w:name="_Toc463014477"/>
      <w:bookmarkStart w:id="973" w:name="_Toc463877009"/>
      <w:bookmarkStart w:id="974" w:name="_Toc465862803"/>
      <w:bookmarkStart w:id="975" w:name="_Ref462132659"/>
      <w:bookmarkStart w:id="976" w:name="_Toc462230071"/>
      <w:bookmarkStart w:id="977" w:name="_Toc462231432"/>
      <w:bookmarkStart w:id="978" w:name="_Toc463013933"/>
      <w:bookmarkStart w:id="979" w:name="_Toc463014042"/>
      <w:bookmarkStart w:id="980" w:name="_Toc463014476"/>
      <w:r>
        <w:t>The benefits of i</w:t>
      </w:r>
      <w:r w:rsidRPr="00B92AF5">
        <w:t>nnovation</w:t>
      </w:r>
      <w:bookmarkEnd w:id="968"/>
      <w:bookmarkEnd w:id="969"/>
      <w:bookmarkEnd w:id="970"/>
      <w:bookmarkEnd w:id="971"/>
      <w:bookmarkEnd w:id="972"/>
      <w:bookmarkEnd w:id="973"/>
      <w:bookmarkEnd w:id="974"/>
    </w:p>
    <w:p w14:paraId="7418B027" w14:textId="77777777" w:rsidR="00D471AD" w:rsidRPr="001729A3" w:rsidRDefault="00D471AD" w:rsidP="00D471AD">
      <w:pPr>
        <w:pStyle w:val="BodyText"/>
      </w:pPr>
      <w:r w:rsidRPr="001729A3">
        <w:t xml:space="preserve">The link between innovation and broader business performance in Australia is demonstrated in </w:t>
      </w:r>
      <w:r w:rsidRPr="001729A3">
        <w:fldChar w:fldCharType="begin"/>
      </w:r>
      <w:r w:rsidRPr="001729A3">
        <w:instrText xml:space="preserve"> REF _Ref461114418 \h </w:instrText>
      </w:r>
      <w:r w:rsidRPr="001729A3">
        <w:fldChar w:fldCharType="separate"/>
      </w:r>
      <w:r w:rsidRPr="000D502B">
        <w:t xml:space="preserve">Figure </w:t>
      </w:r>
      <w:r>
        <w:rPr>
          <w:noProof/>
        </w:rPr>
        <w:t>2</w:t>
      </w:r>
      <w:r w:rsidRPr="000D502B">
        <w:t>.</w:t>
      </w:r>
      <w:r>
        <w:rPr>
          <w:noProof/>
        </w:rPr>
        <w:t>5</w:t>
      </w:r>
      <w:r w:rsidRPr="001729A3">
        <w:fldChar w:fldCharType="end"/>
      </w:r>
      <w:r w:rsidRPr="001729A3">
        <w:t>. The data shows that in 2014–15, innovation was significantly correlated with higher business productivity growth, employment growth, market diversification and a range of other performance outcomes.</w:t>
      </w:r>
      <w:r w:rsidRPr="001729A3">
        <w:rPr>
          <w:vertAlign w:val="superscript"/>
        </w:rPr>
        <w:endnoteReference w:id="28"/>
      </w:r>
      <w:r w:rsidRPr="001729A3">
        <w:t xml:space="preserve"> These results are consistent across all industry sectors and over time.</w:t>
      </w:r>
      <w:r w:rsidRPr="001729A3">
        <w:rPr>
          <w:vertAlign w:val="superscript"/>
        </w:rPr>
        <w:endnoteReference w:id="29"/>
      </w:r>
      <w:r w:rsidRPr="001729A3">
        <w:t xml:space="preserve"> Compared with businesses that don’t innovate, innovati</w:t>
      </w:r>
      <w:r>
        <w:t>on-active</w:t>
      </w:r>
      <w:r w:rsidRPr="001729A3">
        <w:t xml:space="preserve"> Australian businesses are:</w:t>
      </w:r>
    </w:p>
    <w:p w14:paraId="7418B028" w14:textId="77777777" w:rsidR="00D471AD" w:rsidRPr="001729A3" w:rsidRDefault="00D471AD" w:rsidP="00D471AD">
      <w:pPr>
        <w:pStyle w:val="ListBullet3"/>
        <w:numPr>
          <w:ilvl w:val="0"/>
          <w:numId w:val="12"/>
        </w:numPr>
      </w:pPr>
      <w:r w:rsidRPr="001729A3">
        <w:t>40 per cent more likely to increase income and profitability</w:t>
      </w:r>
    </w:p>
    <w:p w14:paraId="7418B029" w14:textId="77777777" w:rsidR="00D471AD" w:rsidRPr="001729A3" w:rsidRDefault="00D471AD" w:rsidP="00D471AD">
      <w:pPr>
        <w:pStyle w:val="ListBullet3"/>
        <w:numPr>
          <w:ilvl w:val="0"/>
          <w:numId w:val="12"/>
        </w:numPr>
      </w:pPr>
      <w:r w:rsidRPr="001729A3">
        <w:t>twice as likely to export</w:t>
      </w:r>
      <w:r>
        <w:t>,</w:t>
      </w:r>
      <w:r w:rsidRPr="001729A3">
        <w:t xml:space="preserve"> and five times more likely to increase the number of export markets targeted</w:t>
      </w:r>
    </w:p>
    <w:p w14:paraId="7418B02A" w14:textId="77777777" w:rsidR="00D471AD" w:rsidRPr="001729A3" w:rsidRDefault="00D471AD" w:rsidP="00D471AD">
      <w:pPr>
        <w:pStyle w:val="ListBullet3"/>
        <w:numPr>
          <w:ilvl w:val="0"/>
          <w:numId w:val="12"/>
        </w:numPr>
      </w:pPr>
      <w:r w:rsidRPr="001729A3">
        <w:t>two to three times more likely to report increased productivity, employment and training</w:t>
      </w:r>
    </w:p>
    <w:p w14:paraId="7418B02B" w14:textId="77777777" w:rsidR="00D471AD" w:rsidRPr="001729A3" w:rsidRDefault="00D471AD" w:rsidP="00D471AD">
      <w:pPr>
        <w:pStyle w:val="ListBullet3"/>
        <w:numPr>
          <w:ilvl w:val="0"/>
          <w:numId w:val="12"/>
        </w:numPr>
      </w:pPr>
      <w:r w:rsidRPr="001729A3">
        <w:t>three times more likely to increase investment in IT</w:t>
      </w:r>
    </w:p>
    <w:p w14:paraId="7418B02C" w14:textId="77777777" w:rsidR="00D471AD" w:rsidRPr="001729A3" w:rsidRDefault="00D471AD" w:rsidP="00D471AD">
      <w:pPr>
        <w:pStyle w:val="ListBullet3"/>
        <w:numPr>
          <w:ilvl w:val="0"/>
          <w:numId w:val="12"/>
        </w:numPr>
      </w:pPr>
      <w:r w:rsidRPr="001729A3">
        <w:t>almost five times more likely to increase the range of goods and services offered</w:t>
      </w:r>
      <w:r>
        <w:t>,</w:t>
      </w:r>
      <w:r w:rsidRPr="001729A3">
        <w:t xml:space="preserve"> and make social contributions such as donations.</w:t>
      </w:r>
    </w:p>
    <w:p w14:paraId="7418B02D" w14:textId="77777777" w:rsidR="00D471AD" w:rsidRPr="001729A3" w:rsidRDefault="00D471AD" w:rsidP="00D471AD">
      <w:pPr>
        <w:pStyle w:val="BodyText"/>
      </w:pPr>
      <w:r w:rsidRPr="001729A3">
        <w:t>These results are consistent with research that demonstrates a positive relationship between innovation, competitiveness and</w:t>
      </w:r>
      <w:r>
        <w:t>,</w:t>
      </w:r>
      <w:r w:rsidRPr="001729A3">
        <w:t xml:space="preserve"> in particular, exporting and productivity growth.</w:t>
      </w:r>
      <w:r w:rsidRPr="001729A3">
        <w:rPr>
          <w:vertAlign w:val="superscript"/>
        </w:rPr>
        <w:endnoteReference w:id="30"/>
      </w:r>
      <w:r w:rsidRPr="001729A3">
        <w:t xml:space="preserve"> Recent research shows that salary, employment and productivity benefits can persist for years after an innovation is introduced.</w:t>
      </w:r>
      <w:r w:rsidRPr="001729A3">
        <w:rPr>
          <w:vertAlign w:val="superscript"/>
        </w:rPr>
        <w:endnoteReference w:id="31"/>
      </w:r>
    </w:p>
    <w:p w14:paraId="7418B02E" w14:textId="77777777" w:rsidR="00D471AD" w:rsidRPr="000D502B" w:rsidRDefault="00D471AD" w:rsidP="00D471AD">
      <w:pPr>
        <w:pStyle w:val="Caption"/>
      </w:pPr>
      <w:bookmarkStart w:id="981" w:name="_Ref461114418"/>
      <w:bookmarkStart w:id="982" w:name="_Toc461198222"/>
      <w:bookmarkStart w:id="983" w:name="_Toc461198764"/>
      <w:bookmarkStart w:id="984" w:name="_Toc461204052"/>
      <w:bookmarkStart w:id="985" w:name="_Toc461527494"/>
      <w:bookmarkStart w:id="986" w:name="_Toc461539529"/>
      <w:bookmarkStart w:id="987" w:name="_Toc461541646"/>
      <w:bookmarkStart w:id="988" w:name="_Toc461545401"/>
      <w:bookmarkStart w:id="989" w:name="_Toc461624397"/>
      <w:bookmarkStart w:id="990" w:name="_Toc461629622"/>
      <w:bookmarkStart w:id="991" w:name="_Toc461632952"/>
      <w:bookmarkStart w:id="992" w:name="_Toc461634222"/>
      <w:bookmarkStart w:id="993" w:name="_Toc463013878"/>
      <w:bookmarkStart w:id="994" w:name="_Toc463013987"/>
      <w:bookmarkStart w:id="995" w:name="_Toc463014421"/>
      <w:bookmarkStart w:id="996" w:name="_Toc463877060"/>
      <w:bookmarkStart w:id="997" w:name="_Toc465864572"/>
      <w:r w:rsidRPr="000D502B">
        <w:t xml:space="preserve">Figure </w:t>
      </w:r>
      <w:fldSimple w:instr=" STYLEREF 1 \s ">
        <w:r>
          <w:rPr>
            <w:noProof/>
          </w:rPr>
          <w:t>2</w:t>
        </w:r>
      </w:fldSimple>
      <w:r w:rsidRPr="000D502B">
        <w:t>.</w:t>
      </w:r>
      <w:fldSimple w:instr=" SEQ Figure \* ARABIC \s 1 ">
        <w:r>
          <w:rPr>
            <w:noProof/>
          </w:rPr>
          <w:t>5</w:t>
        </w:r>
      </w:fldSimple>
      <w:bookmarkEnd w:id="981"/>
      <w:r w:rsidRPr="000D502B">
        <w:t xml:space="preserve">: Increases in </w:t>
      </w:r>
      <w:r>
        <w:t xml:space="preserve">business </w:t>
      </w:r>
      <w:r w:rsidRPr="000D502B">
        <w:t>performance and activities compared to the previous year, by innovation status, 2014–15</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7418B02F" w14:textId="77777777" w:rsidR="00D471AD" w:rsidRPr="000D502B" w:rsidRDefault="00D471AD" w:rsidP="00D471AD">
      <w:r>
        <w:rPr>
          <w:noProof/>
          <w:lang w:eastAsia="en-AU"/>
        </w:rPr>
        <w:drawing>
          <wp:inline distT="0" distB="0" distL="0" distR="0" wp14:anchorId="7418C61F" wp14:editId="7418C620">
            <wp:extent cx="2703830" cy="7683597"/>
            <wp:effectExtent l="0" t="0" r="1270" b="0"/>
            <wp:docPr id="76" name="Picture 76" descr="Figure 2.5 shows the changes in business performance and activities compared to the previous year, by innovation status. It is a horizontal clustered bar chart that shows that:&#10;• 43.1 per cent of innovation-active businesses had an increase in income from sales of goods or services, compared to 30.7 per cent of non-innovation-active businesses&#10;• 32.6 per cent of innovation-active businesses had an increase in profitability, compared to 23.5 per cent of non-innovation-active businesses&#10;• 31.5 per cent of innovation-active businesses had an increase in productivity, compared to 15.4 per cent of non-innovation-active businesses&#10;• 26.5 per cent of innovation-active businesses had an increase in the range of goods or services offered, compared to 5.7 per cent of non-innovation-active businesses&#10;• 25.8 per cent of innovation-active businesses had an increase in expenditure on information technology, compared to 8.3 per cent of non-innovation-active businesses&#10;• 21.3 per cent of innovation-active businesses had an increase in total number of jobs or positions, compared to 7.8 per cent of non-innovation-active businesses&#10;• 13.5 per cent of innovation-active businesses had an increase in structured or formal training for employees, compared to 3.3 per cent of non-innovation-active businesses&#10;• 13.2 per cent of innovation-active businesses had an increase in social contributions, compared to 2.8 per cent of non-innovation-active businesses&#10;• 12.7 per cent of innovation-active businesses had an increase in contracting out work or outsourcing, compared to 3.8 per cent of non-innovation active businesses&#10;• 2.6 per cent of innovation-active businesses had an increase in export markets targeted compared to non-innovation-active businesses.&#10;" title="Figure 2.5: Increases in business performance and activities compared to the previous year, by innovation status,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14800" cy="7714770"/>
                    </a:xfrm>
                    <a:prstGeom prst="rect">
                      <a:avLst/>
                    </a:prstGeom>
                    <a:noFill/>
                  </pic:spPr>
                </pic:pic>
              </a:graphicData>
            </a:graphic>
          </wp:inline>
        </w:drawing>
      </w:r>
    </w:p>
    <w:p w14:paraId="7418B030" w14:textId="77777777" w:rsidR="00D471AD" w:rsidRPr="001729A3" w:rsidRDefault="00D471AD" w:rsidP="00D471AD">
      <w:pPr>
        <w:pStyle w:val="Source"/>
        <w:rPr>
          <w:lang w:val="en-AU"/>
        </w:rPr>
      </w:pPr>
      <w:r w:rsidRPr="001729A3">
        <w:rPr>
          <w:lang w:val="en-AU"/>
        </w:rPr>
        <w:t xml:space="preserve">Source: ABS (2016) </w:t>
      </w:r>
      <w:r w:rsidRPr="00F53408">
        <w:rPr>
          <w:i/>
          <w:lang w:val="en-AU"/>
        </w:rPr>
        <w:t>Selected characteristics of Australian business</w:t>
      </w:r>
      <w:r w:rsidRPr="00C24E99">
        <w:rPr>
          <w:i/>
          <w:lang w:val="en-AU"/>
        </w:rPr>
        <w:t>, 2014–15</w:t>
      </w:r>
      <w:r w:rsidRPr="001729A3">
        <w:rPr>
          <w:lang w:val="en-AU"/>
        </w:rPr>
        <w:t>, cat. no. 8167.0</w:t>
      </w:r>
    </w:p>
    <w:p w14:paraId="7418B031" w14:textId="77777777" w:rsidR="00D471AD" w:rsidRPr="000D502B" w:rsidRDefault="00D471AD" w:rsidP="00D471AD">
      <w:pPr>
        <w:pStyle w:val="Heading2"/>
      </w:pPr>
      <w:bookmarkStart w:id="998" w:name="_Toc463877010"/>
      <w:bookmarkStart w:id="999" w:name="_Toc465862804"/>
      <w:r>
        <w:t>The</w:t>
      </w:r>
      <w:r w:rsidRPr="000D502B">
        <w:t xml:space="preserve"> relationship between innovation and </w:t>
      </w:r>
      <w:r>
        <w:t xml:space="preserve">firm </w:t>
      </w:r>
      <w:r w:rsidRPr="000D502B">
        <w:t>growth</w:t>
      </w:r>
      <w:bookmarkEnd w:id="975"/>
      <w:bookmarkEnd w:id="976"/>
      <w:bookmarkEnd w:id="977"/>
      <w:bookmarkEnd w:id="978"/>
      <w:bookmarkEnd w:id="979"/>
      <w:bookmarkEnd w:id="980"/>
      <w:bookmarkEnd w:id="998"/>
      <w:bookmarkEnd w:id="999"/>
    </w:p>
    <w:p w14:paraId="7418B032" w14:textId="77777777" w:rsidR="00D471AD" w:rsidRPr="001729A3" w:rsidRDefault="00D471AD" w:rsidP="00D471AD">
      <w:pPr>
        <w:pStyle w:val="BodyText"/>
      </w:pPr>
      <w:r>
        <w:t>A common</w:t>
      </w:r>
      <w:r w:rsidRPr="001729A3">
        <w:t xml:space="preserve"> criticism of measures of the impact of innovation is the problem of causation. </w:t>
      </w:r>
      <w:r>
        <w:t>Since there are numerous</w:t>
      </w:r>
      <w:r w:rsidRPr="001729A3">
        <w:t xml:space="preserve"> ways in which a business could gain competitive advantage</w:t>
      </w:r>
      <w:r>
        <w:t>,</w:t>
      </w:r>
      <w:r w:rsidRPr="001729A3">
        <w:t xml:space="preserve"> a strong correlation between business performance and innovation may simply reflect </w:t>
      </w:r>
      <w:r>
        <w:t xml:space="preserve">some </w:t>
      </w:r>
      <w:r w:rsidRPr="001729A3">
        <w:t>other aspects of</w:t>
      </w:r>
      <w:r>
        <w:t xml:space="preserve"> the</w:t>
      </w:r>
      <w:r w:rsidRPr="001729A3">
        <w:t xml:space="preserve"> </w:t>
      </w:r>
      <w:r>
        <w:t>business that do not relate to innovation</w:t>
      </w:r>
      <w:r w:rsidRPr="001729A3">
        <w:t xml:space="preserve">. </w:t>
      </w:r>
      <w:r>
        <w:t xml:space="preserve">Moreover, the results presented in </w:t>
      </w:r>
      <w:r>
        <w:fldChar w:fldCharType="begin"/>
      </w:r>
      <w:r>
        <w:instrText xml:space="preserve"> REF _Ref461114418 \h </w:instrText>
      </w:r>
      <w:r>
        <w:fldChar w:fldCharType="separate"/>
      </w:r>
      <w:r w:rsidRPr="000D502B">
        <w:t xml:space="preserve">Figure </w:t>
      </w:r>
      <w:r>
        <w:rPr>
          <w:noProof/>
        </w:rPr>
        <w:t>2</w:t>
      </w:r>
      <w:r w:rsidRPr="000D502B">
        <w:t>.</w:t>
      </w:r>
      <w:r>
        <w:rPr>
          <w:noProof/>
        </w:rPr>
        <w:t>5</w:t>
      </w:r>
      <w:r>
        <w:fldChar w:fldCharType="end"/>
      </w:r>
      <w:r>
        <w:t xml:space="preserve"> rely on self-reported data collected in the BCS, which can suffer from a selection bias.</w:t>
      </w:r>
    </w:p>
    <w:p w14:paraId="7418B033" w14:textId="77777777" w:rsidR="00D471AD" w:rsidRPr="001729A3" w:rsidRDefault="00D471AD" w:rsidP="00D471AD">
      <w:pPr>
        <w:pStyle w:val="BodyText"/>
      </w:pPr>
      <w:r>
        <w:t xml:space="preserve">To address these issues, we worked with the ABS to develop a new metric to measure the impact of innovation on business performance in a more reliable fashion </w:t>
      </w:r>
      <w:r w:rsidRPr="001729A3">
        <w:t>(Methodology 2.2)</w:t>
      </w:r>
      <w:r>
        <w:t xml:space="preserve">. </w:t>
      </w:r>
      <w:r w:rsidRPr="001729A3">
        <w:fldChar w:fldCharType="begin"/>
      </w:r>
      <w:r w:rsidRPr="001729A3">
        <w:instrText xml:space="preserve"> REF _Ref462067527 \h </w:instrText>
      </w:r>
      <w:r w:rsidRPr="001729A3">
        <w:fldChar w:fldCharType="separate"/>
      </w:r>
      <w:r w:rsidRPr="000D502B">
        <w:t xml:space="preserve">Figure </w:t>
      </w:r>
      <w:r>
        <w:rPr>
          <w:noProof/>
        </w:rPr>
        <w:t>2</w:t>
      </w:r>
      <w:r w:rsidRPr="000D502B">
        <w:t>.</w:t>
      </w:r>
      <w:r>
        <w:rPr>
          <w:noProof/>
        </w:rPr>
        <w:t>6</w:t>
      </w:r>
      <w:r w:rsidRPr="001729A3">
        <w:fldChar w:fldCharType="end"/>
      </w:r>
      <w:r w:rsidRPr="001729A3">
        <w:t xml:space="preserve"> shows a significant positive association between innovation and business performance. In particular</w:t>
      </w:r>
      <w:r>
        <w:t>,</w:t>
      </w:r>
      <w:r w:rsidRPr="001729A3">
        <w:t xml:space="preserve"> we show that businesses that persistently innovate (see Definition 2.3) significantly outgrow other businesses in sales, value added, employment and profit.</w:t>
      </w:r>
    </w:p>
    <w:p w14:paraId="7418B034" w14:textId="77777777" w:rsidR="00D471AD" w:rsidRDefault="00D471AD" w:rsidP="00D471AD">
      <w:pPr>
        <w:pStyle w:val="BodyText"/>
      </w:pPr>
      <w:r>
        <w:t>New analysis using BLADE shows that the frequency of innovation matters, as the positive impact of innovation gets stronger when businesses innovate more frequently. Persistent innovators significantly outgrow other businesses in terms of sales, value added, employment and profit growth. The data shows that between the period 2008–09 and 2010–11, persistent innovators generated:</w:t>
      </w:r>
    </w:p>
    <w:p w14:paraId="7418B035" w14:textId="77777777" w:rsidR="00D471AD" w:rsidRDefault="00D471AD" w:rsidP="00D471AD">
      <w:pPr>
        <w:pStyle w:val="ListBullet"/>
      </w:pPr>
      <w:r>
        <w:t>18 times the value added growth of intermittent  innovators</w:t>
      </w:r>
    </w:p>
    <w:p w14:paraId="7418B036" w14:textId="77777777" w:rsidR="00D471AD" w:rsidRDefault="00D471AD" w:rsidP="00D471AD">
      <w:pPr>
        <w:pStyle w:val="ListBullet"/>
      </w:pPr>
      <w:r>
        <w:t>four times the employment growth of regular innovators</w:t>
      </w:r>
    </w:p>
    <w:p w14:paraId="7418B037" w14:textId="77777777" w:rsidR="00D471AD" w:rsidRPr="001729A3" w:rsidRDefault="00D471AD" w:rsidP="00D471AD">
      <w:pPr>
        <w:pStyle w:val="ListBullet"/>
      </w:pPr>
      <w:r>
        <w:t>five times the sales growth of regular innovators.</w:t>
      </w:r>
    </w:p>
    <w:p w14:paraId="7418B038" w14:textId="77777777" w:rsidR="00D471AD" w:rsidRPr="001729A3" w:rsidRDefault="00D471AD" w:rsidP="00D471AD">
      <w:pPr>
        <w:pStyle w:val="BodyText"/>
      </w:pPr>
      <w:r w:rsidRPr="001729A3">
        <w:t>We applied a propensity score matching model and regression to BLADE data to simulate a randomised control</w:t>
      </w:r>
      <w:r>
        <w:t>led</w:t>
      </w:r>
      <w:r w:rsidRPr="001729A3">
        <w:t xml:space="preserve"> experiment. The results show that the relationship between innovation and business growth is significant, positive and direct (</w:t>
      </w:r>
      <w:r w:rsidRPr="001729A3">
        <w:fldChar w:fldCharType="begin"/>
      </w:r>
      <w:r w:rsidRPr="001729A3">
        <w:instrText xml:space="preserve"> REF _Ref462067492 \h </w:instrText>
      </w:r>
      <w:r w:rsidRPr="001729A3">
        <w:fldChar w:fldCharType="separate"/>
      </w:r>
      <w:r w:rsidRPr="000D502B">
        <w:t xml:space="preserve">Table </w:t>
      </w:r>
      <w:r>
        <w:rPr>
          <w:noProof/>
        </w:rPr>
        <w:t>2</w:t>
      </w:r>
      <w:r w:rsidRPr="000D502B">
        <w:t>.</w:t>
      </w:r>
      <w:r>
        <w:rPr>
          <w:noProof/>
        </w:rPr>
        <w:t>1</w:t>
      </w:r>
      <w:r w:rsidRPr="001729A3">
        <w:fldChar w:fldCharType="end"/>
      </w:r>
      <w:r w:rsidRPr="001729A3">
        <w:t>). Regressions using innovation persistence group dummy variables show positive and significant coefficients for gross output growth and value</w:t>
      </w:r>
      <w:r>
        <w:t>-</w:t>
      </w:r>
      <w:r w:rsidRPr="001729A3">
        <w:t>added growth (data not shown).</w:t>
      </w:r>
    </w:p>
    <w:p w14:paraId="7418B039" w14:textId="77777777" w:rsidR="00D471AD" w:rsidRPr="001729A3" w:rsidRDefault="00D471AD" w:rsidP="00D471AD">
      <w:pPr>
        <w:pStyle w:val="BodyText"/>
      </w:pPr>
      <w:r w:rsidRPr="001308F5">
        <w:t>By addressing causal uncertainty over the three year period in the study, we show a strong modelling evidence of a causal relationship between innovation and business performance</w:t>
      </w:r>
      <w:r>
        <w:t>.</w:t>
      </w:r>
    </w:p>
    <w:p w14:paraId="7418B03A" w14:textId="77777777" w:rsidR="00D471AD" w:rsidRPr="000D502B" w:rsidRDefault="00D471AD" w:rsidP="00D471AD">
      <w:pPr>
        <w:pStyle w:val="Caption"/>
      </w:pPr>
      <w:r w:rsidRPr="000D502B">
        <w:t xml:space="preserve">Definition </w:t>
      </w:r>
      <w:fldSimple w:instr=" STYLEREF 1 \s ">
        <w:r>
          <w:rPr>
            <w:noProof/>
          </w:rPr>
          <w:t>2</w:t>
        </w:r>
      </w:fldSimple>
      <w:r w:rsidRPr="000D502B">
        <w:t>.</w:t>
      </w:r>
      <w:fldSimple w:instr=" SEQ Definition \* ARABIC \s 1 ">
        <w:r>
          <w:rPr>
            <w:noProof/>
          </w:rPr>
          <w:t>3</w:t>
        </w:r>
      </w:fldSimple>
      <w:r w:rsidRPr="000D502B">
        <w:t>: Innovation persistence</w:t>
      </w:r>
    </w:p>
    <w:tbl>
      <w:tblPr>
        <w:tblStyle w:val="OCETable"/>
        <w:tblW w:w="5000" w:type="pct"/>
        <w:tblInd w:w="57" w:type="dxa"/>
        <w:tblLayout w:type="fixed"/>
        <w:tblLook w:val="04A0" w:firstRow="1" w:lastRow="0" w:firstColumn="1" w:lastColumn="0" w:noHBand="0" w:noVBand="1"/>
        <w:tblCaption w:val="Innovation persistence"/>
        <w:tblDescription w:val="‘Persistent innovators’ are businesses that reported introducing any innovation every year over a three-year period.&#10;‘Regular innovators’ are businesses that reported introducing any innovation in two years out of a three-year period.&#10;‘Intermittent innovators’ are businesses that reported introducing any innovation in one year out of a three-year period.&#10;‘Non-innovators’ are businesses that did not report introducing any innovation within a three- year period.&#10;"/>
      </w:tblPr>
      <w:tblGrid>
        <w:gridCol w:w="4593"/>
      </w:tblGrid>
      <w:tr w:rsidR="00D471AD" w:rsidRPr="000D502B" w14:paraId="7418B03F"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Mar>
              <w:left w:w="0" w:type="dxa"/>
              <w:right w:w="0" w:type="dxa"/>
            </w:tcMar>
          </w:tcPr>
          <w:p w14:paraId="7418B03B" w14:textId="77777777" w:rsidR="00D471AD" w:rsidRPr="00882E31" w:rsidRDefault="00D471AD" w:rsidP="004A31A9">
            <w:pPr>
              <w:pStyle w:val="Definitiontext"/>
              <w:rPr>
                <w:i/>
                <w:lang w:val="en-AU"/>
              </w:rPr>
            </w:pPr>
            <w:r w:rsidRPr="00882E31">
              <w:rPr>
                <w:lang w:val="en-AU"/>
              </w:rPr>
              <w:t>‘Persistent innovators’ are businesses that reported introducing any innovation every year over a three</w:t>
            </w:r>
            <w:r w:rsidRPr="00882E31">
              <w:rPr>
                <w:i/>
                <w:lang w:val="en-AU"/>
              </w:rPr>
              <w:t>-</w:t>
            </w:r>
            <w:r w:rsidRPr="00882E31">
              <w:rPr>
                <w:lang w:val="en-AU"/>
              </w:rPr>
              <w:t>year period.</w:t>
            </w:r>
          </w:p>
          <w:p w14:paraId="7418B03C" w14:textId="77777777" w:rsidR="00D471AD" w:rsidRPr="00882E31" w:rsidRDefault="00D471AD" w:rsidP="004A31A9">
            <w:pPr>
              <w:pStyle w:val="Definitiontext"/>
              <w:rPr>
                <w:i/>
                <w:lang w:val="en-AU"/>
              </w:rPr>
            </w:pPr>
            <w:r w:rsidRPr="00882E31">
              <w:rPr>
                <w:lang w:val="en-AU"/>
              </w:rPr>
              <w:t>‘Regular innovators’ are businesses that reported introducing any innovation in two years out of a three</w:t>
            </w:r>
            <w:r w:rsidRPr="00882E31">
              <w:rPr>
                <w:i/>
                <w:lang w:val="en-AU"/>
              </w:rPr>
              <w:t>-</w:t>
            </w:r>
            <w:r w:rsidRPr="00882E31">
              <w:rPr>
                <w:lang w:val="en-AU"/>
              </w:rPr>
              <w:t>year period.</w:t>
            </w:r>
          </w:p>
          <w:p w14:paraId="7418B03D" w14:textId="77777777" w:rsidR="00D471AD" w:rsidRPr="00882E31" w:rsidRDefault="00D471AD" w:rsidP="004A31A9">
            <w:pPr>
              <w:pStyle w:val="Definitiontext"/>
              <w:rPr>
                <w:i/>
                <w:lang w:val="en-AU"/>
              </w:rPr>
            </w:pPr>
            <w:r w:rsidRPr="00882E31">
              <w:rPr>
                <w:lang w:val="en-AU"/>
              </w:rPr>
              <w:t>‘Intermittent innovators’ are businesses that reported introducing any innovation in one year out of a three</w:t>
            </w:r>
            <w:r w:rsidRPr="00882E31">
              <w:rPr>
                <w:i/>
                <w:lang w:val="en-AU"/>
              </w:rPr>
              <w:t>-</w:t>
            </w:r>
            <w:r w:rsidRPr="00882E31">
              <w:rPr>
                <w:lang w:val="en-AU"/>
              </w:rPr>
              <w:t>year period.</w:t>
            </w:r>
          </w:p>
          <w:p w14:paraId="7418B03E" w14:textId="77777777" w:rsidR="00D471AD" w:rsidRPr="001729A3" w:rsidRDefault="00D471AD" w:rsidP="004A31A9">
            <w:pPr>
              <w:pStyle w:val="Definitiontext"/>
              <w:spacing w:after="113"/>
              <w:rPr>
                <w:lang w:val="en-AU"/>
              </w:rPr>
            </w:pPr>
            <w:r w:rsidRPr="00882E31">
              <w:rPr>
                <w:lang w:val="en-AU"/>
              </w:rPr>
              <w:t>‘Non-innovators’ are businesses that did not report introducing any innovation within a three</w:t>
            </w:r>
            <w:r w:rsidRPr="00882E31">
              <w:rPr>
                <w:i/>
                <w:lang w:val="en-AU"/>
              </w:rPr>
              <w:t>-</w:t>
            </w:r>
            <w:r w:rsidRPr="00882E31">
              <w:rPr>
                <w:lang w:val="en-AU"/>
              </w:rPr>
              <w:t xml:space="preserve"> year period.</w:t>
            </w:r>
          </w:p>
        </w:tc>
      </w:tr>
    </w:tbl>
    <w:p w14:paraId="7418B040" w14:textId="77777777" w:rsidR="00D471AD" w:rsidRDefault="00D471AD" w:rsidP="00D471AD">
      <w:pPr>
        <w:pStyle w:val="Caption"/>
        <w:sectPr w:rsidR="00D471AD" w:rsidSect="004A31A9">
          <w:footnotePr>
            <w:numFmt w:val="upperRoman"/>
          </w:footnotePr>
          <w:endnotePr>
            <w:numFmt w:val="decimal"/>
          </w:endnotePr>
          <w:pgSz w:w="11906" w:h="16838" w:code="9"/>
          <w:pgMar w:top="1440" w:right="1020" w:bottom="1440" w:left="992" w:header="709" w:footer="709" w:gutter="0"/>
          <w:cols w:num="2" w:space="708"/>
          <w:docGrid w:linePitch="360"/>
        </w:sectPr>
      </w:pPr>
    </w:p>
    <w:p w14:paraId="7418B041" w14:textId="77777777" w:rsidR="00D471AD" w:rsidRPr="000D502B" w:rsidRDefault="00D471AD" w:rsidP="00D471AD">
      <w:pPr>
        <w:pStyle w:val="Caption"/>
      </w:pPr>
      <w:bookmarkStart w:id="1000" w:name="_Ref462067527"/>
      <w:bookmarkStart w:id="1001" w:name="_Toc463013877"/>
      <w:bookmarkStart w:id="1002" w:name="_Toc463013986"/>
      <w:bookmarkStart w:id="1003" w:name="_Toc463014420"/>
      <w:bookmarkStart w:id="1004" w:name="_Toc463877061"/>
      <w:bookmarkStart w:id="1005" w:name="_Toc465864573"/>
      <w:r w:rsidRPr="000D502B">
        <w:t xml:space="preserve">Figure </w:t>
      </w:r>
      <w:fldSimple w:instr=" STYLEREF 1 \s ">
        <w:r>
          <w:rPr>
            <w:noProof/>
          </w:rPr>
          <w:t>2</w:t>
        </w:r>
      </w:fldSimple>
      <w:r w:rsidRPr="000D502B">
        <w:t>.</w:t>
      </w:r>
      <w:fldSimple w:instr=" SEQ Figure \* ARABIC \s 1 ">
        <w:r>
          <w:rPr>
            <w:noProof/>
          </w:rPr>
          <w:t>6</w:t>
        </w:r>
      </w:fldSimple>
      <w:bookmarkEnd w:id="1000"/>
      <w:r w:rsidRPr="000D502B">
        <w:t xml:space="preserve">: Median </w:t>
      </w:r>
      <w:r>
        <w:t xml:space="preserve">growth of </w:t>
      </w:r>
      <w:r w:rsidRPr="000D502B">
        <w:t>annual sales (panel A), value added (panel B), gross operating profit (panel C) and employment growth (panel D)</w:t>
      </w:r>
      <w:r>
        <w:t>, by innovation persistence, 2008</w:t>
      </w:r>
      <w:r w:rsidRPr="000D502B">
        <w:t>–</w:t>
      </w:r>
      <w:r>
        <w:t>09</w:t>
      </w:r>
      <w:r w:rsidRPr="000D502B">
        <w:t xml:space="preserve"> to 201</w:t>
      </w:r>
      <w:r>
        <w:t>0</w:t>
      </w:r>
      <w:r w:rsidRPr="000D502B">
        <w:t>–1</w:t>
      </w:r>
      <w:bookmarkEnd w:id="1001"/>
      <w:bookmarkEnd w:id="1002"/>
      <w:bookmarkEnd w:id="1003"/>
      <w:r>
        <w:t>1</w:t>
      </w:r>
      <w:bookmarkEnd w:id="1004"/>
      <w:bookmarkEnd w:id="1005"/>
    </w:p>
    <w:p w14:paraId="7418B042" w14:textId="77777777" w:rsidR="00D471AD" w:rsidRPr="000D502B" w:rsidRDefault="00D471AD" w:rsidP="00D471AD">
      <w:r w:rsidRPr="000D502B">
        <w:rPr>
          <w:noProof/>
          <w:lang w:eastAsia="en-AU"/>
        </w:rPr>
        <w:drawing>
          <wp:inline distT="0" distB="0" distL="0" distR="0" wp14:anchorId="7418C621" wp14:editId="7418C622">
            <wp:extent cx="2254250" cy="1697209"/>
            <wp:effectExtent l="0" t="0" r="0" b="0"/>
            <wp:docPr id="40" name="Picture 40" descr="Figure 2.6 has four panels, each with a column graph showing business performance by innovation persistence for the period 2008–09 to 2010–11. &#10;• Panel A shows median growth of annual sales. Persistent innovators had $63,205 sales growth, regular innovators had $13,368 sales growth, and intermittent innovators had $1,068, while non-innovators had -$935." title="Figure 2.6: Median growth of annual sales (panel A), value added (panel B), gross operating profit (panel C) and employment growth (panel D), by innovation persistence, 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3642" cy="1704280"/>
                    </a:xfrm>
                    <a:prstGeom prst="rect">
                      <a:avLst/>
                    </a:prstGeom>
                    <a:noFill/>
                  </pic:spPr>
                </pic:pic>
              </a:graphicData>
            </a:graphic>
          </wp:inline>
        </w:drawing>
      </w:r>
    </w:p>
    <w:p w14:paraId="7418B043" w14:textId="77777777" w:rsidR="00D471AD" w:rsidRPr="000D502B" w:rsidRDefault="00D471AD" w:rsidP="00D471AD">
      <w:r w:rsidRPr="000D502B">
        <w:rPr>
          <w:noProof/>
          <w:lang w:eastAsia="en-AU"/>
        </w:rPr>
        <w:drawing>
          <wp:inline distT="0" distB="0" distL="0" distR="0" wp14:anchorId="7418C623" wp14:editId="7418C624">
            <wp:extent cx="2255334" cy="1701209"/>
            <wp:effectExtent l="0" t="0" r="0" b="0"/>
            <wp:docPr id="41" name="Picture 41" descr="Figure 2.6 has four panels, each with a column graph showing business performance by innovation persistence for the period 2008–09 to 2010–11. &#10;• Panel B shows median growth of value added. Persistent innovators had $20,999 value added growth, regular innovators had $11,631 value added growth, and intermittent innovators had $1,156 value added growth, while non-innovators had -$154 value added growth" title="Figure 2.6: Median growth of annual sales (panel A), value added (panel B), gross operating profit (panel C) and employment growth (panel D), by innovation persistence, 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72365" cy="1714056"/>
                    </a:xfrm>
                    <a:prstGeom prst="rect">
                      <a:avLst/>
                    </a:prstGeom>
                    <a:noFill/>
                  </pic:spPr>
                </pic:pic>
              </a:graphicData>
            </a:graphic>
          </wp:inline>
        </w:drawing>
      </w:r>
    </w:p>
    <w:p w14:paraId="7418B044" w14:textId="77777777" w:rsidR="00D471AD" w:rsidRPr="000D502B" w:rsidRDefault="00D471AD" w:rsidP="00D471AD">
      <w:r w:rsidRPr="000D502B">
        <w:rPr>
          <w:noProof/>
          <w:lang w:eastAsia="en-AU"/>
        </w:rPr>
        <w:drawing>
          <wp:inline distT="0" distB="0" distL="0" distR="0" wp14:anchorId="7418C625" wp14:editId="7418C626">
            <wp:extent cx="2169646" cy="1637414"/>
            <wp:effectExtent l="0" t="0" r="2540" b="1270"/>
            <wp:docPr id="51" name="Picture 51" descr="Figure 2.6 has four panels, each with a column graph showing business performance by innovation persistence for the period 2008–09 to 2010–11. &#10;• Panel C shows median profit growth. Persistent innovators had $54,944 profit growth, regular innovators had $1,393 profit growth, $326 profit growth, while non-innovators had $0 profit growth" title="Figure 2.6: Median growth of annual sales (panel A), value added (panel B), gross operating profit (panel C) and employment growth (panel D), by innovation persistence, 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3866" cy="1648146"/>
                    </a:xfrm>
                    <a:prstGeom prst="rect">
                      <a:avLst/>
                    </a:prstGeom>
                    <a:noFill/>
                  </pic:spPr>
                </pic:pic>
              </a:graphicData>
            </a:graphic>
          </wp:inline>
        </w:drawing>
      </w:r>
    </w:p>
    <w:p w14:paraId="7418B045" w14:textId="77777777" w:rsidR="00D471AD" w:rsidRPr="000D502B" w:rsidRDefault="00D471AD" w:rsidP="00D471AD">
      <w:r>
        <w:rPr>
          <w:noProof/>
          <w:lang w:eastAsia="en-AU"/>
        </w:rPr>
        <w:drawing>
          <wp:inline distT="0" distB="0" distL="0" distR="0" wp14:anchorId="7418C627" wp14:editId="7418C628">
            <wp:extent cx="2147777" cy="1556042"/>
            <wp:effectExtent l="0" t="0" r="5080" b="6350"/>
            <wp:docPr id="13" name="Picture 13" descr="Figure 2.6 has four panels, each with a column graph showing business performance by innovation persistence for the period 2008–09 to 2010–11. &#10;• Panel D shows median employment growth (FTE). Persistent innovators had 0.42 employment growth, regular innovators had 0.1 employment growth, while intermittent and non-innovators had 0 employment growth. &#10;" title="Figure 2.6: Median growth of annual sales (panel A), value added (panel B), gross operating profit (panel C) and employment growth (panel D), by innovation persistence, 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70081" cy="1572201"/>
                    </a:xfrm>
                    <a:prstGeom prst="rect">
                      <a:avLst/>
                    </a:prstGeom>
                    <a:noFill/>
                  </pic:spPr>
                </pic:pic>
              </a:graphicData>
            </a:graphic>
          </wp:inline>
        </w:drawing>
      </w:r>
    </w:p>
    <w:p w14:paraId="7418B046" w14:textId="77777777" w:rsidR="00D471AD" w:rsidRDefault="00D471AD" w:rsidP="00D471AD">
      <w:pPr>
        <w:pStyle w:val="Source"/>
      </w:pPr>
      <w:r w:rsidRPr="001729A3">
        <w:rPr>
          <w:lang w:val="en-AU"/>
        </w:rPr>
        <w:t>Note: This chart includes both simple and complex firms</w:t>
      </w:r>
      <w:r>
        <w:rPr>
          <w:lang w:val="en-AU"/>
        </w:rPr>
        <w:t>,</w:t>
      </w:r>
      <w:r w:rsidRPr="001729A3">
        <w:rPr>
          <w:lang w:val="en-AU"/>
        </w:rPr>
        <w:t xml:space="preserve"> and therefore differs from Table 2.1. </w:t>
      </w:r>
      <w:r>
        <w:rPr>
          <w:lang w:val="en-AU"/>
        </w:rPr>
        <w:t xml:space="preserve">They also report on different time periods. </w:t>
      </w:r>
      <w:r w:rsidRPr="001729A3">
        <w:rPr>
          <w:lang w:val="en-AU"/>
        </w:rPr>
        <w:t xml:space="preserve">Analysis of Variance shows a significant effect of innovation persistence on these four growth indicators (p&lt;0.05) for both SMEs and </w:t>
      </w:r>
      <w:r>
        <w:rPr>
          <w:lang w:val="en-AU"/>
        </w:rPr>
        <w:t>large firms.</w:t>
      </w:r>
      <w:r>
        <w:rPr>
          <w:lang w:val="en-AU"/>
        </w:rPr>
        <w:br/>
      </w:r>
      <w:r w:rsidRPr="008C2F03">
        <w:rPr>
          <w:lang w:val="en-AU"/>
        </w:rPr>
        <w:t>Source: ABS (2016) Business Longitudinal Analysis Data Environment. Customised data report commissioned by the Department of Industry, Innovation and Science</w:t>
      </w:r>
    </w:p>
    <w:p w14:paraId="7418B047" w14:textId="77777777" w:rsidR="00D471AD" w:rsidRPr="001308F5" w:rsidRDefault="00D471AD" w:rsidP="00D471AD">
      <w:pPr>
        <w:sectPr w:rsidR="00D471AD" w:rsidRPr="001308F5" w:rsidSect="004A31A9">
          <w:footnotePr>
            <w:numFmt w:val="upperRoman"/>
          </w:footnotePr>
          <w:endnotePr>
            <w:numFmt w:val="decimal"/>
          </w:endnotePr>
          <w:pgSz w:w="11906" w:h="16838" w:code="9"/>
          <w:pgMar w:top="1440" w:right="1020" w:bottom="1440" w:left="992" w:header="709" w:footer="709" w:gutter="0"/>
          <w:cols w:num="2" w:space="708"/>
          <w:docGrid w:linePitch="360"/>
        </w:sectPr>
      </w:pPr>
    </w:p>
    <w:p w14:paraId="7418B048" w14:textId="77777777" w:rsidR="00D471AD" w:rsidRPr="000D502B" w:rsidRDefault="00D471AD" w:rsidP="00D471AD">
      <w:pPr>
        <w:pStyle w:val="Caption"/>
        <w:keepNext w:val="0"/>
        <w:keepLines w:val="0"/>
      </w:pPr>
      <w:r w:rsidRPr="000D502B">
        <w:t xml:space="preserve">Methodology </w:t>
      </w:r>
      <w:fldSimple w:instr=" STYLEREF 1 \s ">
        <w:r>
          <w:rPr>
            <w:noProof/>
          </w:rPr>
          <w:t>2</w:t>
        </w:r>
      </w:fldSimple>
      <w:r w:rsidRPr="000D502B">
        <w:t>.</w:t>
      </w:r>
      <w:fldSimple w:instr=" SEQ Methodology \* ARABIC \s 1 ">
        <w:r>
          <w:rPr>
            <w:noProof/>
          </w:rPr>
          <w:t>2</w:t>
        </w:r>
      </w:fldSimple>
      <w:r w:rsidRPr="000D502B">
        <w:t xml:space="preserve">: </w:t>
      </w:r>
      <w:r>
        <w:t>Measuring the impact of innovation persistence</w:t>
      </w:r>
    </w:p>
    <w:tbl>
      <w:tblPr>
        <w:tblStyle w:val="OCETable"/>
        <w:tblpPr w:leftFromText="180" w:rightFromText="180" w:vertAnchor="text" w:horzAnchor="margin" w:tblpY="83"/>
        <w:tblW w:w="5015" w:type="pct"/>
        <w:shd w:val="clear" w:color="auto" w:fill="292B67"/>
        <w:tblLayout w:type="fixed"/>
        <w:tblLook w:val="04A0" w:firstRow="1" w:lastRow="0" w:firstColumn="1" w:lastColumn="0" w:noHBand="0" w:noVBand="1"/>
        <w:tblCaption w:val="Measuring the impact of innovation persistence"/>
        <w:tblDescription w:val="In this study we examined the performance of Australian businesses that reported persistence of innovation over the three-year period, 2011–12 to 2013–14.&#10;We generated a balanced panel sample distribution of 6000 businesses from the BLADE. We determined the impact of the persistence of innovation on 2013 outcomes, using business characteristics from 2011 as covariates and non-innovators as the control group. We looked at simple business (where these have simple structures and a single ABN) and complex business (large, diverse and complex structure) models.&#10;We investigated the causal relationship between business innovation and performance using propensity score matching (kernel method). This technique is designed to minimise selection bias by matching each innovating business with a non-innovating business that has the same or similar observed characteristics. This has the effect of minimising the effect of other characteristics that might influence a business’s performance. We controlled for business age, size, sector, information and communication technology (ICT) intensity, collaboration, competition, foreign ownership, government assistance, flexible working arrangements, skills base, skills shortages, export status and debt or equity finance seeking behaviour. &#10;Histogram and kernel density of propensity scores mapping show that the distribution of propensity scores becomes more similar between the treated and control groups after matching. Plots reveal a clear overlapping of the distributions. This is consistent across all models used. There is also a large reduction in bias.&#10;Regressions using persistence group dummy variables for gross output and value added were carried out to confirm the presence of cumulative effects from innovation persistence.&#10;"/>
      </w:tblPr>
      <w:tblGrid>
        <w:gridCol w:w="9924"/>
      </w:tblGrid>
      <w:tr w:rsidR="00D471AD" w:rsidRPr="000D502B" w14:paraId="7418B04E"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92B67"/>
          </w:tcPr>
          <w:p w14:paraId="7418B049" w14:textId="77777777" w:rsidR="00D471AD" w:rsidRPr="001729A3" w:rsidRDefault="00D471AD" w:rsidP="004A31A9">
            <w:pPr>
              <w:pStyle w:val="Definitiontext"/>
              <w:rPr>
                <w:rFonts w:eastAsiaTheme="minorHAnsi"/>
                <w:i/>
                <w:color w:val="F0F0F0"/>
                <w:lang w:val="en-AU"/>
              </w:rPr>
            </w:pPr>
            <w:r w:rsidRPr="001729A3">
              <w:rPr>
                <w:rFonts w:eastAsiaTheme="minorHAnsi"/>
                <w:color w:val="F0F0F0"/>
                <w:lang w:val="en-AU"/>
              </w:rPr>
              <w:t>In this study we examined the performance of Australian businesses that reported persistence of innovation over the three</w:t>
            </w:r>
            <w:r>
              <w:rPr>
                <w:rFonts w:eastAsiaTheme="minorHAnsi" w:cstheme="minorBidi"/>
                <w:i/>
                <w:color w:val="F0F0F0"/>
                <w:szCs w:val="22"/>
                <w:lang w:val="en-AU"/>
              </w:rPr>
              <w:t>-</w:t>
            </w:r>
            <w:r w:rsidRPr="001729A3">
              <w:rPr>
                <w:rFonts w:eastAsiaTheme="minorHAnsi"/>
                <w:color w:val="F0F0F0"/>
                <w:lang w:val="en-AU"/>
              </w:rPr>
              <w:t>year period, 2011–12 to 2013–14.</w:t>
            </w:r>
          </w:p>
          <w:p w14:paraId="7418B04A" w14:textId="77777777" w:rsidR="00D471AD" w:rsidRPr="001729A3" w:rsidRDefault="00D471AD" w:rsidP="004A31A9">
            <w:pPr>
              <w:pStyle w:val="Definitiontext"/>
              <w:rPr>
                <w:rFonts w:eastAsiaTheme="minorHAnsi"/>
                <w:i/>
                <w:color w:val="F0F0F0"/>
                <w:lang w:val="en-AU"/>
              </w:rPr>
            </w:pPr>
            <w:r w:rsidRPr="001729A3">
              <w:rPr>
                <w:rFonts w:eastAsiaTheme="minorHAnsi"/>
                <w:color w:val="F0F0F0"/>
                <w:lang w:val="en-AU"/>
              </w:rPr>
              <w:t xml:space="preserve">We generated a balanced panel sample distribution of 6000 businesses from the </w:t>
            </w:r>
            <w:r w:rsidRPr="00E96E5F">
              <w:rPr>
                <w:rFonts w:eastAsiaTheme="minorHAnsi" w:cstheme="minorBidi"/>
                <w:color w:val="F0F0F0"/>
                <w:szCs w:val="22"/>
                <w:lang w:val="en-AU"/>
              </w:rPr>
              <w:t>BLADE</w:t>
            </w:r>
            <w:r w:rsidRPr="001729A3">
              <w:rPr>
                <w:rFonts w:eastAsiaTheme="minorHAnsi"/>
                <w:color w:val="F0F0F0"/>
                <w:lang w:val="en-AU"/>
              </w:rPr>
              <w:t>. We determined the impact of the persistence of innovation on 2013 outcomes, using business characteristics from 2011 as covariates and non-innovators as the control group. We looked at simple business (where these have simple structures and a single ABN) and complex business (large, diverse and complex structure) models.</w:t>
            </w:r>
          </w:p>
          <w:p w14:paraId="7418B04B" w14:textId="77777777" w:rsidR="00D471AD" w:rsidRPr="001729A3" w:rsidRDefault="00D471AD" w:rsidP="004A31A9">
            <w:pPr>
              <w:pStyle w:val="Definitiontext"/>
              <w:rPr>
                <w:rFonts w:eastAsiaTheme="minorHAnsi"/>
                <w:i/>
                <w:color w:val="F0F0F0"/>
                <w:lang w:val="en-AU"/>
              </w:rPr>
            </w:pPr>
            <w:r w:rsidRPr="001729A3">
              <w:rPr>
                <w:rFonts w:eastAsiaTheme="minorHAnsi"/>
                <w:color w:val="F0F0F0"/>
                <w:lang w:val="en-AU"/>
              </w:rPr>
              <w:t xml:space="preserve">We investigated the causal relationship between business innovation and performance using propensity score matching (kernel method). This technique is designed to minimise selection bias by matching each innovating business with a non-innovating business that has the same or similar observed characteristics. This has the effect of minimising the effect of other characteristics that might influence a business’s performance. We controlled for business age, size, sector, information and communication technology (ICT) intensity, collaboration, competition, foreign ownership, government assistance, flexible working arrangements, skills base, skills shortages, export status and debt or equity finance seeking behaviour. </w:t>
            </w:r>
          </w:p>
          <w:p w14:paraId="7418B04C" w14:textId="77777777" w:rsidR="00D471AD" w:rsidRPr="001729A3" w:rsidRDefault="00D471AD" w:rsidP="004A31A9">
            <w:pPr>
              <w:pStyle w:val="Definitiontext"/>
              <w:rPr>
                <w:rFonts w:eastAsiaTheme="minorHAnsi"/>
                <w:i/>
                <w:color w:val="F0F0F0"/>
                <w:lang w:val="en-AU"/>
              </w:rPr>
            </w:pPr>
            <w:r w:rsidRPr="001729A3">
              <w:rPr>
                <w:rFonts w:eastAsiaTheme="minorHAnsi"/>
                <w:color w:val="F0F0F0"/>
                <w:lang w:val="en-AU"/>
              </w:rPr>
              <w:t>Histogram and kernel density of propensity scores mapping show that the distribution of propensity scores becomes more similar between the treated and control groups after matching. Plots reveal a clear overlapping of the distributions. This is consistent across all models used. There is also a large reduction in bias.</w:t>
            </w:r>
          </w:p>
          <w:p w14:paraId="7418B04D" w14:textId="77777777" w:rsidR="00D471AD" w:rsidRPr="001729A3" w:rsidRDefault="00D471AD" w:rsidP="004A31A9">
            <w:pPr>
              <w:pStyle w:val="Definitiontext"/>
              <w:rPr>
                <w:rFonts w:eastAsiaTheme="minorHAnsi"/>
                <w:lang w:val="en-AU"/>
              </w:rPr>
            </w:pPr>
            <w:r w:rsidRPr="001729A3">
              <w:rPr>
                <w:rFonts w:eastAsiaTheme="minorHAnsi"/>
                <w:color w:val="F0F0F0"/>
                <w:lang w:val="en-AU"/>
              </w:rPr>
              <w:t>Regressions using persistence group dummy variables for gross output and value added were carried out to confirm the presence of cumulative effects from innovation persistence.</w:t>
            </w:r>
          </w:p>
        </w:tc>
      </w:tr>
    </w:tbl>
    <w:p w14:paraId="7418B04F" w14:textId="77777777" w:rsidR="00D471AD" w:rsidRPr="001729A3" w:rsidRDefault="00D471AD" w:rsidP="00D471AD">
      <w:pPr>
        <w:pStyle w:val="BodyText"/>
        <w:sectPr w:rsidR="00D471AD" w:rsidRPr="001729A3" w:rsidSect="004A31A9">
          <w:footnotePr>
            <w:numFmt w:val="upperRoman"/>
          </w:footnotePr>
          <w:endnotePr>
            <w:numFmt w:val="decimal"/>
          </w:endnotePr>
          <w:pgSz w:w="11906" w:h="16838" w:code="9"/>
          <w:pgMar w:top="1440" w:right="1020" w:bottom="1440" w:left="992" w:header="709" w:footer="709" w:gutter="0"/>
          <w:cols w:space="708"/>
          <w:docGrid w:linePitch="360"/>
        </w:sectPr>
      </w:pPr>
    </w:p>
    <w:p w14:paraId="7418B050" w14:textId="77777777" w:rsidR="00D471AD" w:rsidRPr="000D502B" w:rsidRDefault="00D471AD" w:rsidP="00D471AD">
      <w:pPr>
        <w:pStyle w:val="Caption"/>
      </w:pPr>
      <w:bookmarkStart w:id="1006" w:name="_Ref462067492"/>
      <w:r w:rsidRPr="000D502B">
        <w:t xml:space="preserve">Table </w:t>
      </w:r>
      <w:fldSimple w:instr=" STYLEREF 1 \s ">
        <w:r>
          <w:rPr>
            <w:noProof/>
          </w:rPr>
          <w:t>2</w:t>
        </w:r>
      </w:fldSimple>
      <w:r w:rsidRPr="000D502B">
        <w:t>.</w:t>
      </w:r>
      <w:fldSimple w:instr=" SEQ Table \* ARABIC \s 1 ">
        <w:r>
          <w:rPr>
            <w:noProof/>
          </w:rPr>
          <w:t>1</w:t>
        </w:r>
      </w:fldSimple>
      <w:bookmarkEnd w:id="1006"/>
      <w:r w:rsidRPr="000D502B">
        <w:t xml:space="preserve">: </w:t>
      </w:r>
      <w:r>
        <w:t>Average treatment effect on treatment differences between simple-structured innovators and non-innovators (control)</w:t>
      </w:r>
      <w:r w:rsidRPr="000D502B">
        <w:t xml:space="preserve">, </w:t>
      </w:r>
      <w:r>
        <w:t>by innovation persistence,</w:t>
      </w:r>
      <w:r w:rsidRPr="000D502B">
        <w:t xml:space="preserve"> 2010–11 to 2012–13.</w:t>
      </w:r>
    </w:p>
    <w:tbl>
      <w:tblPr>
        <w:tblW w:w="4821" w:type="pct"/>
        <w:tblInd w:w="57" w:type="dxa"/>
        <w:shd w:val="clear" w:color="auto" w:fill="CAE7F3"/>
        <w:tblLayout w:type="fixed"/>
        <w:tblLook w:val="04A0" w:firstRow="1" w:lastRow="0" w:firstColumn="1" w:lastColumn="0" w:noHBand="0" w:noVBand="1"/>
      </w:tblPr>
      <w:tblGrid>
        <w:gridCol w:w="5241"/>
        <w:gridCol w:w="1577"/>
        <w:gridCol w:w="1300"/>
        <w:gridCol w:w="11"/>
        <w:gridCol w:w="1281"/>
        <w:gridCol w:w="21"/>
      </w:tblGrid>
      <w:tr w:rsidR="00D471AD" w:rsidRPr="000D502B" w14:paraId="7418B055" w14:textId="77777777" w:rsidTr="004A31A9">
        <w:trPr>
          <w:gridAfter w:val="1"/>
          <w:wAfter w:w="11" w:type="pct"/>
          <w:trHeight w:val="855"/>
        </w:trPr>
        <w:tc>
          <w:tcPr>
            <w:tcW w:w="2779" w:type="pct"/>
            <w:shd w:val="clear" w:color="auto" w:fill="22789A"/>
            <w:noWrap/>
            <w:vAlign w:val="center"/>
            <w:hideMark/>
          </w:tcPr>
          <w:p w14:paraId="7418B051" w14:textId="77777777" w:rsidR="00D471AD" w:rsidRPr="000D502B" w:rsidRDefault="00D471AD" w:rsidP="004A31A9">
            <w:pPr>
              <w:keepNext/>
              <w:spacing w:before="120" w:after="120"/>
              <w:rPr>
                <w:rFonts w:cs="Arial"/>
                <w:i/>
                <w:color w:val="FFFFFF"/>
                <w:sz w:val="18"/>
                <w:szCs w:val="18"/>
                <w:lang w:eastAsia="en-AU"/>
              </w:rPr>
            </w:pPr>
            <w:r w:rsidRPr="000D502B">
              <w:rPr>
                <w:rFonts w:cs="Arial"/>
                <w:i/>
                <w:color w:val="FFFFFF"/>
                <w:sz w:val="18"/>
                <w:szCs w:val="18"/>
                <w:lang w:eastAsia="en-AU"/>
              </w:rPr>
              <w:t>Outcomes</w:t>
            </w:r>
          </w:p>
        </w:tc>
        <w:tc>
          <w:tcPr>
            <w:tcW w:w="836" w:type="pct"/>
            <w:shd w:val="clear" w:color="auto" w:fill="22789A"/>
            <w:noWrap/>
            <w:vAlign w:val="center"/>
            <w:hideMark/>
          </w:tcPr>
          <w:p w14:paraId="7418B052" w14:textId="77777777" w:rsidR="00D471AD" w:rsidRPr="000D502B" w:rsidRDefault="00D471AD" w:rsidP="004A31A9">
            <w:pPr>
              <w:keepNext/>
              <w:spacing w:before="120" w:after="120"/>
              <w:jc w:val="right"/>
              <w:rPr>
                <w:rFonts w:cs="Arial"/>
                <w:i/>
                <w:color w:val="FFFFFF"/>
                <w:sz w:val="18"/>
                <w:szCs w:val="18"/>
                <w:lang w:eastAsia="en-AU"/>
              </w:rPr>
            </w:pPr>
            <w:r w:rsidRPr="000D502B">
              <w:rPr>
                <w:rFonts w:cs="Arial"/>
                <w:i/>
                <w:color w:val="FFFFFF"/>
                <w:sz w:val="18"/>
                <w:szCs w:val="18"/>
                <w:lang w:eastAsia="en-AU"/>
              </w:rPr>
              <w:t>Persistent innovators</w:t>
            </w:r>
          </w:p>
        </w:tc>
        <w:tc>
          <w:tcPr>
            <w:tcW w:w="689" w:type="pct"/>
            <w:shd w:val="clear" w:color="auto" w:fill="22789A"/>
            <w:vAlign w:val="center"/>
            <w:hideMark/>
          </w:tcPr>
          <w:p w14:paraId="7418B053" w14:textId="77777777" w:rsidR="00D471AD" w:rsidRPr="000D502B" w:rsidRDefault="00D471AD" w:rsidP="004A31A9">
            <w:pPr>
              <w:keepNext/>
              <w:spacing w:before="120" w:after="120"/>
              <w:jc w:val="right"/>
              <w:rPr>
                <w:rFonts w:cs="Arial"/>
                <w:i/>
                <w:color w:val="FFFFFF"/>
                <w:sz w:val="18"/>
                <w:szCs w:val="18"/>
                <w:lang w:eastAsia="en-AU"/>
              </w:rPr>
            </w:pPr>
            <w:r w:rsidRPr="000D502B">
              <w:rPr>
                <w:rFonts w:cs="Arial"/>
                <w:i/>
                <w:color w:val="FFFFFF"/>
                <w:sz w:val="18"/>
                <w:szCs w:val="18"/>
                <w:lang w:eastAsia="en-AU"/>
              </w:rPr>
              <w:t>Regular innovators</w:t>
            </w:r>
          </w:p>
        </w:tc>
        <w:tc>
          <w:tcPr>
            <w:tcW w:w="685" w:type="pct"/>
            <w:gridSpan w:val="2"/>
            <w:shd w:val="clear" w:color="auto" w:fill="22789A"/>
            <w:vAlign w:val="center"/>
            <w:hideMark/>
          </w:tcPr>
          <w:p w14:paraId="7418B054" w14:textId="77777777" w:rsidR="00D471AD" w:rsidRPr="000D502B" w:rsidRDefault="00D471AD" w:rsidP="004A31A9">
            <w:pPr>
              <w:keepNext/>
              <w:spacing w:before="120" w:after="120"/>
              <w:jc w:val="right"/>
              <w:rPr>
                <w:rFonts w:cs="Arial"/>
                <w:i/>
                <w:color w:val="FFFFFF"/>
                <w:sz w:val="18"/>
                <w:szCs w:val="18"/>
                <w:lang w:eastAsia="en-AU"/>
              </w:rPr>
            </w:pPr>
            <w:r w:rsidRPr="000D502B">
              <w:rPr>
                <w:rFonts w:cs="Arial"/>
                <w:i/>
                <w:color w:val="FFFFFF"/>
                <w:sz w:val="18"/>
                <w:szCs w:val="18"/>
                <w:lang w:eastAsia="en-AU"/>
              </w:rPr>
              <w:t>Intermittent innovators</w:t>
            </w:r>
          </w:p>
        </w:tc>
      </w:tr>
      <w:tr w:rsidR="00D471AD" w:rsidRPr="000D502B" w14:paraId="7418B05A" w14:textId="77777777" w:rsidTr="004A31A9">
        <w:trPr>
          <w:trHeight w:val="405"/>
        </w:trPr>
        <w:tc>
          <w:tcPr>
            <w:tcW w:w="2779" w:type="pct"/>
            <w:shd w:val="clear" w:color="auto" w:fill="CAE7F3"/>
            <w:noWrap/>
            <w:vAlign w:val="center"/>
            <w:hideMark/>
          </w:tcPr>
          <w:p w14:paraId="7418B056" w14:textId="77777777" w:rsidR="00D471AD" w:rsidRPr="000D502B" w:rsidRDefault="00D471AD" w:rsidP="004A31A9">
            <w:pPr>
              <w:keepNext/>
              <w:keepLines/>
              <w:spacing w:before="60" w:after="60"/>
              <w:rPr>
                <w:rFonts w:cs="Arial"/>
                <w:sz w:val="18"/>
                <w:szCs w:val="18"/>
                <w:lang w:eastAsia="en-AU"/>
              </w:rPr>
            </w:pPr>
            <w:r w:rsidRPr="000D502B">
              <w:rPr>
                <w:rFonts w:cs="Arial"/>
                <w:sz w:val="18"/>
                <w:szCs w:val="18"/>
                <w:lang w:eastAsia="en-AU"/>
              </w:rPr>
              <w:t>Value Added output ($)</w:t>
            </w:r>
          </w:p>
        </w:tc>
        <w:tc>
          <w:tcPr>
            <w:tcW w:w="836" w:type="pct"/>
            <w:shd w:val="clear" w:color="auto" w:fill="CAE7F3"/>
            <w:noWrap/>
            <w:vAlign w:val="center"/>
            <w:hideMark/>
          </w:tcPr>
          <w:p w14:paraId="7418B057" w14:textId="77777777" w:rsidR="00D471AD" w:rsidRPr="000D502B" w:rsidRDefault="00D471AD" w:rsidP="004A31A9">
            <w:pPr>
              <w:keepNext/>
              <w:keepLines/>
              <w:spacing w:before="60" w:after="60"/>
              <w:jc w:val="right"/>
              <w:rPr>
                <w:rFonts w:cs="Arial"/>
                <w:sz w:val="18"/>
                <w:szCs w:val="18"/>
                <w:lang w:eastAsia="en-AU"/>
              </w:rPr>
            </w:pPr>
            <w:r>
              <w:rPr>
                <w:rFonts w:cs="Arial"/>
                <w:sz w:val="18"/>
                <w:szCs w:val="18"/>
                <w:lang w:eastAsia="en-AU"/>
              </w:rPr>
              <w:t>**</w:t>
            </w:r>
            <w:r w:rsidRPr="000D502B">
              <w:rPr>
                <w:rFonts w:cs="Arial"/>
                <w:sz w:val="18"/>
                <w:szCs w:val="18"/>
                <w:lang w:eastAsia="en-AU"/>
              </w:rPr>
              <w:t>1</w:t>
            </w:r>
            <w:r>
              <w:rPr>
                <w:rFonts w:cs="Arial"/>
                <w:sz w:val="18"/>
                <w:szCs w:val="18"/>
                <w:lang w:eastAsia="en-AU"/>
              </w:rPr>
              <w:t> </w:t>
            </w:r>
            <w:r w:rsidRPr="000D502B">
              <w:rPr>
                <w:rFonts w:cs="Arial"/>
                <w:sz w:val="18"/>
                <w:szCs w:val="18"/>
                <w:lang w:eastAsia="en-AU"/>
              </w:rPr>
              <w:t>440</w:t>
            </w:r>
            <w:r>
              <w:rPr>
                <w:rFonts w:cs="Arial"/>
                <w:sz w:val="18"/>
                <w:szCs w:val="18"/>
                <w:lang w:eastAsia="en-AU"/>
              </w:rPr>
              <w:t> </w:t>
            </w:r>
            <w:r w:rsidRPr="000D502B">
              <w:rPr>
                <w:rFonts w:cs="Arial"/>
                <w:sz w:val="18"/>
                <w:szCs w:val="18"/>
                <w:lang w:eastAsia="en-AU"/>
              </w:rPr>
              <w:t>056</w:t>
            </w:r>
          </w:p>
        </w:tc>
        <w:tc>
          <w:tcPr>
            <w:tcW w:w="695" w:type="pct"/>
            <w:gridSpan w:val="2"/>
            <w:shd w:val="clear" w:color="auto" w:fill="CAE7F3"/>
            <w:noWrap/>
            <w:vAlign w:val="center"/>
            <w:hideMark/>
          </w:tcPr>
          <w:p w14:paraId="7418B058"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628</w:t>
            </w:r>
            <w:r>
              <w:rPr>
                <w:rFonts w:cs="Arial"/>
                <w:sz w:val="18"/>
                <w:szCs w:val="18"/>
                <w:lang w:eastAsia="en-AU"/>
              </w:rPr>
              <w:t> </w:t>
            </w:r>
            <w:r w:rsidRPr="000D502B">
              <w:rPr>
                <w:rFonts w:cs="Arial"/>
                <w:sz w:val="18"/>
                <w:szCs w:val="18"/>
                <w:lang w:eastAsia="en-AU"/>
              </w:rPr>
              <w:t>687</w:t>
            </w:r>
          </w:p>
        </w:tc>
        <w:tc>
          <w:tcPr>
            <w:tcW w:w="690" w:type="pct"/>
            <w:gridSpan w:val="2"/>
            <w:shd w:val="clear" w:color="auto" w:fill="CAE7F3"/>
            <w:noWrap/>
            <w:vAlign w:val="center"/>
            <w:hideMark/>
          </w:tcPr>
          <w:p w14:paraId="7418B059"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738</w:t>
            </w:r>
            <w:r>
              <w:rPr>
                <w:rFonts w:cs="Arial"/>
                <w:sz w:val="18"/>
                <w:szCs w:val="18"/>
                <w:lang w:eastAsia="en-AU"/>
              </w:rPr>
              <w:t> </w:t>
            </w:r>
            <w:r w:rsidRPr="000D502B">
              <w:rPr>
                <w:rFonts w:cs="Arial"/>
                <w:sz w:val="18"/>
                <w:szCs w:val="18"/>
                <w:lang w:eastAsia="en-AU"/>
              </w:rPr>
              <w:t>327</w:t>
            </w:r>
          </w:p>
        </w:tc>
      </w:tr>
      <w:tr w:rsidR="00D471AD" w:rsidRPr="000D502B" w14:paraId="7418B05F" w14:textId="77777777" w:rsidTr="004A31A9">
        <w:trPr>
          <w:trHeight w:val="405"/>
        </w:trPr>
        <w:tc>
          <w:tcPr>
            <w:tcW w:w="2779" w:type="pct"/>
            <w:shd w:val="clear" w:color="auto" w:fill="CAE7F3"/>
            <w:noWrap/>
            <w:vAlign w:val="center"/>
            <w:hideMark/>
          </w:tcPr>
          <w:p w14:paraId="7418B05B" w14:textId="77777777" w:rsidR="00D471AD" w:rsidRPr="000D502B" w:rsidRDefault="00D471AD" w:rsidP="004A31A9">
            <w:pPr>
              <w:keepNext/>
              <w:keepLines/>
              <w:spacing w:before="60" w:after="60"/>
              <w:rPr>
                <w:rFonts w:cs="Arial"/>
                <w:sz w:val="18"/>
                <w:szCs w:val="18"/>
                <w:lang w:eastAsia="en-AU"/>
              </w:rPr>
            </w:pPr>
            <w:r w:rsidRPr="000D502B">
              <w:rPr>
                <w:rFonts w:cs="Arial"/>
                <w:sz w:val="18"/>
                <w:szCs w:val="18"/>
                <w:lang w:eastAsia="en-AU"/>
              </w:rPr>
              <w:t>Gross Output (B</w:t>
            </w:r>
            <w:r>
              <w:rPr>
                <w:rFonts w:cs="Arial"/>
                <w:sz w:val="18"/>
                <w:szCs w:val="18"/>
                <w:lang w:eastAsia="en-AU"/>
              </w:rPr>
              <w:t>usiness income tax</w:t>
            </w:r>
            <w:r w:rsidRPr="000D502B">
              <w:rPr>
                <w:rFonts w:cs="Arial"/>
                <w:sz w:val="18"/>
                <w:szCs w:val="18"/>
                <w:lang w:eastAsia="en-AU"/>
              </w:rPr>
              <w:t>) ($)</w:t>
            </w:r>
          </w:p>
        </w:tc>
        <w:tc>
          <w:tcPr>
            <w:tcW w:w="836" w:type="pct"/>
            <w:shd w:val="clear" w:color="auto" w:fill="CAE7F3"/>
            <w:noWrap/>
            <w:vAlign w:val="center"/>
            <w:hideMark/>
          </w:tcPr>
          <w:p w14:paraId="7418B05C" w14:textId="77777777" w:rsidR="00D471AD" w:rsidRPr="000D502B" w:rsidRDefault="00D471AD" w:rsidP="004A31A9">
            <w:pPr>
              <w:keepNext/>
              <w:keepLines/>
              <w:spacing w:before="60" w:after="60"/>
              <w:jc w:val="right"/>
              <w:rPr>
                <w:rFonts w:cs="Arial"/>
                <w:sz w:val="18"/>
                <w:szCs w:val="18"/>
                <w:lang w:eastAsia="en-AU"/>
              </w:rPr>
            </w:pPr>
            <w:r>
              <w:rPr>
                <w:rFonts w:cs="Arial"/>
                <w:sz w:val="18"/>
                <w:szCs w:val="18"/>
                <w:lang w:eastAsia="en-AU"/>
              </w:rPr>
              <w:t>***</w:t>
            </w:r>
            <w:r w:rsidRPr="000D502B">
              <w:rPr>
                <w:rFonts w:cs="Arial"/>
                <w:sz w:val="18"/>
                <w:szCs w:val="18"/>
                <w:lang w:eastAsia="en-AU"/>
              </w:rPr>
              <w:t>2</w:t>
            </w:r>
            <w:r>
              <w:rPr>
                <w:rFonts w:cs="Arial"/>
                <w:sz w:val="18"/>
                <w:szCs w:val="18"/>
                <w:lang w:eastAsia="en-AU"/>
              </w:rPr>
              <w:t> </w:t>
            </w:r>
            <w:r w:rsidRPr="000D502B">
              <w:rPr>
                <w:rFonts w:cs="Arial"/>
                <w:sz w:val="18"/>
                <w:szCs w:val="18"/>
                <w:lang w:eastAsia="en-AU"/>
              </w:rPr>
              <w:t>689</w:t>
            </w:r>
            <w:r>
              <w:rPr>
                <w:rFonts w:cs="Arial"/>
                <w:sz w:val="18"/>
                <w:szCs w:val="18"/>
                <w:lang w:eastAsia="en-AU"/>
              </w:rPr>
              <w:t> </w:t>
            </w:r>
            <w:r w:rsidRPr="000D502B">
              <w:rPr>
                <w:rFonts w:cs="Arial"/>
                <w:sz w:val="18"/>
                <w:szCs w:val="18"/>
                <w:lang w:eastAsia="en-AU"/>
              </w:rPr>
              <w:t>158</w:t>
            </w:r>
          </w:p>
        </w:tc>
        <w:tc>
          <w:tcPr>
            <w:tcW w:w="695" w:type="pct"/>
            <w:gridSpan w:val="2"/>
            <w:shd w:val="clear" w:color="auto" w:fill="CAE7F3"/>
            <w:noWrap/>
            <w:vAlign w:val="center"/>
            <w:hideMark/>
          </w:tcPr>
          <w:p w14:paraId="7418B05D" w14:textId="77777777" w:rsidR="00D471AD" w:rsidRPr="000D502B" w:rsidRDefault="00D471AD" w:rsidP="004A31A9">
            <w:pPr>
              <w:keepNext/>
              <w:keepLines/>
              <w:spacing w:before="60" w:after="60"/>
              <w:jc w:val="right"/>
              <w:rPr>
                <w:rFonts w:cs="Arial"/>
                <w:sz w:val="18"/>
                <w:szCs w:val="18"/>
                <w:lang w:eastAsia="en-AU"/>
              </w:rPr>
            </w:pPr>
            <w:r>
              <w:rPr>
                <w:rFonts w:cs="Arial"/>
                <w:sz w:val="18"/>
                <w:szCs w:val="18"/>
                <w:lang w:eastAsia="en-AU"/>
              </w:rPr>
              <w:t>***</w:t>
            </w:r>
            <w:r w:rsidRPr="000D502B">
              <w:rPr>
                <w:rFonts w:cs="Arial"/>
                <w:sz w:val="18"/>
                <w:szCs w:val="18"/>
                <w:lang w:eastAsia="en-AU"/>
              </w:rPr>
              <w:t>3</w:t>
            </w:r>
            <w:r>
              <w:rPr>
                <w:rFonts w:cs="Arial"/>
                <w:sz w:val="18"/>
                <w:szCs w:val="18"/>
                <w:lang w:eastAsia="en-AU"/>
              </w:rPr>
              <w:t> </w:t>
            </w:r>
            <w:r w:rsidRPr="000D502B">
              <w:rPr>
                <w:rFonts w:cs="Arial"/>
                <w:sz w:val="18"/>
                <w:szCs w:val="18"/>
                <w:lang w:eastAsia="en-AU"/>
              </w:rPr>
              <w:t>278</w:t>
            </w:r>
            <w:r>
              <w:rPr>
                <w:rFonts w:cs="Arial"/>
                <w:sz w:val="18"/>
                <w:szCs w:val="18"/>
                <w:lang w:eastAsia="en-AU"/>
              </w:rPr>
              <w:t> </w:t>
            </w:r>
            <w:r w:rsidRPr="000D502B">
              <w:rPr>
                <w:rFonts w:cs="Arial"/>
                <w:sz w:val="18"/>
                <w:szCs w:val="18"/>
                <w:lang w:eastAsia="en-AU"/>
              </w:rPr>
              <w:t>584</w:t>
            </w:r>
          </w:p>
        </w:tc>
        <w:tc>
          <w:tcPr>
            <w:tcW w:w="690" w:type="pct"/>
            <w:gridSpan w:val="2"/>
            <w:shd w:val="clear" w:color="auto" w:fill="CAE7F3"/>
            <w:noWrap/>
            <w:vAlign w:val="center"/>
            <w:hideMark/>
          </w:tcPr>
          <w:p w14:paraId="7418B05E" w14:textId="77777777" w:rsidR="00D471AD" w:rsidRPr="000D502B" w:rsidRDefault="00D471AD" w:rsidP="004A31A9">
            <w:pPr>
              <w:keepNext/>
              <w:keepLines/>
              <w:spacing w:before="60" w:after="60"/>
              <w:jc w:val="right"/>
              <w:rPr>
                <w:rFonts w:cs="Arial"/>
                <w:sz w:val="18"/>
                <w:szCs w:val="18"/>
                <w:lang w:eastAsia="en-AU"/>
              </w:rPr>
            </w:pPr>
            <w:r>
              <w:rPr>
                <w:rFonts w:cs="Arial"/>
                <w:sz w:val="18"/>
                <w:szCs w:val="18"/>
                <w:lang w:eastAsia="en-AU"/>
              </w:rPr>
              <w:t>**</w:t>
            </w:r>
            <w:r w:rsidRPr="000D502B">
              <w:rPr>
                <w:rFonts w:cs="Arial"/>
                <w:sz w:val="18"/>
                <w:szCs w:val="18"/>
                <w:lang w:eastAsia="en-AU"/>
              </w:rPr>
              <w:t>1</w:t>
            </w:r>
            <w:r>
              <w:rPr>
                <w:rFonts w:cs="Arial"/>
                <w:sz w:val="18"/>
                <w:szCs w:val="18"/>
                <w:lang w:eastAsia="en-AU"/>
              </w:rPr>
              <w:t> </w:t>
            </w:r>
            <w:r w:rsidRPr="000D502B">
              <w:rPr>
                <w:rFonts w:cs="Arial"/>
                <w:sz w:val="18"/>
                <w:szCs w:val="18"/>
                <w:lang w:eastAsia="en-AU"/>
              </w:rPr>
              <w:t>988</w:t>
            </w:r>
            <w:r>
              <w:rPr>
                <w:rFonts w:cs="Arial"/>
                <w:sz w:val="18"/>
                <w:szCs w:val="18"/>
                <w:lang w:eastAsia="en-AU"/>
              </w:rPr>
              <w:t> </w:t>
            </w:r>
            <w:r w:rsidRPr="000D502B">
              <w:rPr>
                <w:rFonts w:cs="Arial"/>
                <w:sz w:val="18"/>
                <w:szCs w:val="18"/>
                <w:lang w:eastAsia="en-AU"/>
              </w:rPr>
              <w:t>192</w:t>
            </w:r>
          </w:p>
        </w:tc>
      </w:tr>
      <w:tr w:rsidR="00D471AD" w:rsidRPr="000D502B" w14:paraId="7418B064" w14:textId="77777777" w:rsidTr="004A31A9">
        <w:trPr>
          <w:trHeight w:val="405"/>
        </w:trPr>
        <w:tc>
          <w:tcPr>
            <w:tcW w:w="2779" w:type="pct"/>
            <w:shd w:val="clear" w:color="auto" w:fill="CAE7F3"/>
            <w:noWrap/>
            <w:vAlign w:val="center"/>
            <w:hideMark/>
          </w:tcPr>
          <w:p w14:paraId="7418B060" w14:textId="77777777" w:rsidR="00D471AD" w:rsidRPr="000D502B" w:rsidRDefault="00D471AD" w:rsidP="004A31A9">
            <w:pPr>
              <w:keepNext/>
              <w:keepLines/>
              <w:spacing w:before="60" w:after="60"/>
              <w:rPr>
                <w:rFonts w:cs="Arial"/>
                <w:sz w:val="18"/>
                <w:szCs w:val="18"/>
                <w:lang w:eastAsia="en-AU"/>
              </w:rPr>
            </w:pPr>
            <w:r w:rsidRPr="000D502B">
              <w:rPr>
                <w:rFonts w:cs="Arial"/>
                <w:sz w:val="18"/>
                <w:szCs w:val="18"/>
                <w:lang w:eastAsia="en-AU"/>
              </w:rPr>
              <w:t>Turnover ($)</w:t>
            </w:r>
          </w:p>
        </w:tc>
        <w:tc>
          <w:tcPr>
            <w:tcW w:w="836" w:type="pct"/>
            <w:shd w:val="clear" w:color="auto" w:fill="CAE7F3"/>
            <w:noWrap/>
            <w:vAlign w:val="center"/>
            <w:hideMark/>
          </w:tcPr>
          <w:p w14:paraId="7418B061" w14:textId="77777777" w:rsidR="00D471AD" w:rsidRPr="000D502B" w:rsidRDefault="00D471AD" w:rsidP="004A31A9">
            <w:pPr>
              <w:keepNext/>
              <w:keepLines/>
              <w:spacing w:before="60" w:after="60"/>
              <w:jc w:val="right"/>
              <w:rPr>
                <w:rFonts w:cs="Arial"/>
                <w:sz w:val="18"/>
                <w:szCs w:val="18"/>
                <w:lang w:eastAsia="en-AU"/>
              </w:rPr>
            </w:pPr>
            <w:r>
              <w:rPr>
                <w:rFonts w:cs="Arial"/>
                <w:sz w:val="18"/>
                <w:szCs w:val="18"/>
                <w:lang w:eastAsia="en-AU"/>
              </w:rPr>
              <w:t>***</w:t>
            </w:r>
            <w:r w:rsidRPr="000D502B">
              <w:rPr>
                <w:rFonts w:cs="Arial"/>
                <w:sz w:val="18"/>
                <w:szCs w:val="18"/>
                <w:lang w:eastAsia="en-AU"/>
              </w:rPr>
              <w:t>3</w:t>
            </w:r>
            <w:r>
              <w:rPr>
                <w:rFonts w:cs="Arial"/>
                <w:sz w:val="18"/>
                <w:szCs w:val="18"/>
                <w:lang w:eastAsia="en-AU"/>
              </w:rPr>
              <w:t> </w:t>
            </w:r>
            <w:r w:rsidRPr="000D502B">
              <w:rPr>
                <w:rFonts w:cs="Arial"/>
                <w:sz w:val="18"/>
                <w:szCs w:val="18"/>
                <w:lang w:eastAsia="en-AU"/>
              </w:rPr>
              <w:t>951</w:t>
            </w:r>
            <w:r>
              <w:rPr>
                <w:rFonts w:cs="Arial"/>
                <w:sz w:val="18"/>
                <w:szCs w:val="18"/>
                <w:lang w:eastAsia="en-AU"/>
              </w:rPr>
              <w:t> </w:t>
            </w:r>
            <w:r w:rsidRPr="000D502B">
              <w:rPr>
                <w:rFonts w:cs="Arial"/>
                <w:sz w:val="18"/>
                <w:szCs w:val="18"/>
                <w:lang w:eastAsia="en-AU"/>
              </w:rPr>
              <w:t>768</w:t>
            </w:r>
          </w:p>
        </w:tc>
        <w:tc>
          <w:tcPr>
            <w:tcW w:w="695" w:type="pct"/>
            <w:gridSpan w:val="2"/>
            <w:shd w:val="clear" w:color="auto" w:fill="CAE7F3"/>
            <w:noWrap/>
            <w:vAlign w:val="center"/>
            <w:hideMark/>
          </w:tcPr>
          <w:p w14:paraId="7418B062" w14:textId="77777777" w:rsidR="00D471AD" w:rsidRPr="000D502B" w:rsidRDefault="00D471AD" w:rsidP="004A31A9">
            <w:pPr>
              <w:keepNext/>
              <w:keepLines/>
              <w:spacing w:before="60" w:after="60"/>
              <w:jc w:val="right"/>
              <w:rPr>
                <w:rFonts w:cs="Arial"/>
                <w:sz w:val="18"/>
                <w:szCs w:val="18"/>
                <w:lang w:eastAsia="en-AU"/>
              </w:rPr>
            </w:pPr>
            <w:r>
              <w:rPr>
                <w:rFonts w:cs="Arial"/>
                <w:sz w:val="18"/>
                <w:szCs w:val="18"/>
                <w:lang w:eastAsia="en-AU"/>
              </w:rPr>
              <w:t>**</w:t>
            </w:r>
            <w:r w:rsidRPr="000D502B">
              <w:rPr>
                <w:rFonts w:cs="Arial"/>
                <w:sz w:val="18"/>
                <w:szCs w:val="18"/>
                <w:lang w:eastAsia="en-AU"/>
              </w:rPr>
              <w:t>2</w:t>
            </w:r>
            <w:r>
              <w:rPr>
                <w:rFonts w:cs="Arial"/>
                <w:sz w:val="18"/>
                <w:szCs w:val="18"/>
                <w:lang w:eastAsia="en-AU"/>
              </w:rPr>
              <w:t> </w:t>
            </w:r>
            <w:r w:rsidRPr="000D502B">
              <w:rPr>
                <w:rFonts w:cs="Arial"/>
                <w:sz w:val="18"/>
                <w:szCs w:val="18"/>
                <w:lang w:eastAsia="en-AU"/>
              </w:rPr>
              <w:t>804</w:t>
            </w:r>
            <w:r>
              <w:rPr>
                <w:rFonts w:cs="Arial"/>
                <w:sz w:val="18"/>
                <w:szCs w:val="18"/>
                <w:lang w:eastAsia="en-AU"/>
              </w:rPr>
              <w:t> </w:t>
            </w:r>
            <w:r w:rsidRPr="000D502B">
              <w:rPr>
                <w:rFonts w:cs="Arial"/>
                <w:sz w:val="18"/>
                <w:szCs w:val="18"/>
                <w:lang w:eastAsia="en-AU"/>
              </w:rPr>
              <w:t>453</w:t>
            </w:r>
          </w:p>
        </w:tc>
        <w:tc>
          <w:tcPr>
            <w:tcW w:w="690" w:type="pct"/>
            <w:gridSpan w:val="2"/>
            <w:shd w:val="clear" w:color="auto" w:fill="CAE7F3"/>
            <w:noWrap/>
            <w:vAlign w:val="center"/>
            <w:hideMark/>
          </w:tcPr>
          <w:p w14:paraId="7418B063" w14:textId="77777777" w:rsidR="00D471AD" w:rsidRPr="000D502B" w:rsidRDefault="00D471AD" w:rsidP="004A31A9">
            <w:pPr>
              <w:keepNext/>
              <w:keepLines/>
              <w:spacing w:before="60" w:after="60"/>
              <w:jc w:val="right"/>
              <w:rPr>
                <w:rFonts w:cs="Arial"/>
                <w:sz w:val="18"/>
                <w:szCs w:val="18"/>
                <w:lang w:eastAsia="en-AU"/>
              </w:rPr>
            </w:pPr>
            <w:r>
              <w:rPr>
                <w:rFonts w:cs="Arial"/>
                <w:sz w:val="18"/>
                <w:szCs w:val="18"/>
                <w:lang w:eastAsia="en-AU"/>
              </w:rPr>
              <w:t>**</w:t>
            </w:r>
            <w:r w:rsidRPr="000D502B">
              <w:rPr>
                <w:rFonts w:cs="Arial"/>
                <w:sz w:val="18"/>
                <w:szCs w:val="18"/>
                <w:lang w:eastAsia="en-AU"/>
              </w:rPr>
              <w:t>2</w:t>
            </w:r>
            <w:r>
              <w:rPr>
                <w:rFonts w:cs="Arial"/>
                <w:sz w:val="18"/>
                <w:szCs w:val="18"/>
                <w:lang w:eastAsia="en-AU"/>
              </w:rPr>
              <w:t> </w:t>
            </w:r>
            <w:r w:rsidRPr="000D502B">
              <w:rPr>
                <w:rFonts w:cs="Arial"/>
                <w:sz w:val="18"/>
                <w:szCs w:val="18"/>
                <w:lang w:eastAsia="en-AU"/>
              </w:rPr>
              <w:t>521</w:t>
            </w:r>
            <w:r>
              <w:rPr>
                <w:rFonts w:cs="Arial"/>
                <w:sz w:val="18"/>
                <w:szCs w:val="18"/>
                <w:lang w:eastAsia="en-AU"/>
              </w:rPr>
              <w:t> </w:t>
            </w:r>
            <w:r w:rsidRPr="000D502B">
              <w:rPr>
                <w:rFonts w:cs="Arial"/>
                <w:sz w:val="18"/>
                <w:szCs w:val="18"/>
                <w:lang w:eastAsia="en-AU"/>
              </w:rPr>
              <w:t>148</w:t>
            </w:r>
          </w:p>
        </w:tc>
      </w:tr>
      <w:tr w:rsidR="00D471AD" w:rsidRPr="000D502B" w14:paraId="7418B069" w14:textId="77777777" w:rsidTr="004A31A9">
        <w:trPr>
          <w:trHeight w:val="405"/>
        </w:trPr>
        <w:tc>
          <w:tcPr>
            <w:tcW w:w="2779" w:type="pct"/>
            <w:shd w:val="clear" w:color="auto" w:fill="CAE7F3"/>
            <w:noWrap/>
            <w:vAlign w:val="center"/>
            <w:hideMark/>
          </w:tcPr>
          <w:p w14:paraId="7418B065" w14:textId="77777777" w:rsidR="00D471AD" w:rsidRPr="000D502B" w:rsidRDefault="00D471AD" w:rsidP="004A31A9">
            <w:pPr>
              <w:keepNext/>
              <w:keepLines/>
              <w:spacing w:before="60" w:after="60"/>
              <w:rPr>
                <w:rFonts w:cs="Arial"/>
                <w:sz w:val="18"/>
                <w:szCs w:val="18"/>
                <w:lang w:eastAsia="en-AU"/>
              </w:rPr>
            </w:pPr>
            <w:r w:rsidRPr="000D502B">
              <w:rPr>
                <w:rFonts w:cs="Arial"/>
                <w:sz w:val="18"/>
                <w:szCs w:val="18"/>
                <w:lang w:eastAsia="en-AU"/>
              </w:rPr>
              <w:t>Gro</w:t>
            </w:r>
            <w:r>
              <w:rPr>
                <w:rFonts w:cs="Arial"/>
                <w:sz w:val="18"/>
                <w:szCs w:val="18"/>
                <w:lang w:eastAsia="en-AU"/>
              </w:rPr>
              <w:t>ss</w:t>
            </w:r>
            <w:r w:rsidRPr="000D502B">
              <w:rPr>
                <w:rFonts w:cs="Arial"/>
                <w:sz w:val="18"/>
                <w:szCs w:val="18"/>
                <w:lang w:eastAsia="en-AU"/>
              </w:rPr>
              <w:t xml:space="preserve"> output growth (2011</w:t>
            </w:r>
            <w:r>
              <w:rPr>
                <w:rFonts w:cs="Arial"/>
                <w:sz w:val="18"/>
                <w:szCs w:val="18"/>
                <w:lang w:eastAsia="en-AU"/>
              </w:rPr>
              <w:t>–</w:t>
            </w:r>
            <w:r w:rsidRPr="000D502B">
              <w:rPr>
                <w:rFonts w:cs="Arial"/>
                <w:sz w:val="18"/>
                <w:szCs w:val="18"/>
                <w:lang w:eastAsia="en-AU"/>
              </w:rPr>
              <w:t>2013)</w:t>
            </w:r>
            <w:r>
              <w:rPr>
                <w:rFonts w:cs="Arial"/>
                <w:sz w:val="18"/>
                <w:szCs w:val="18"/>
                <w:lang w:eastAsia="en-AU"/>
              </w:rPr>
              <w:t xml:space="preserve"> </w:t>
            </w:r>
            <w:r w:rsidRPr="000D502B">
              <w:rPr>
                <w:rFonts w:cs="Arial"/>
                <w:sz w:val="18"/>
                <w:szCs w:val="18"/>
                <w:lang w:eastAsia="en-AU"/>
              </w:rPr>
              <w:t>($)</w:t>
            </w:r>
          </w:p>
        </w:tc>
        <w:tc>
          <w:tcPr>
            <w:tcW w:w="836" w:type="pct"/>
            <w:shd w:val="clear" w:color="auto" w:fill="CAE7F3"/>
            <w:noWrap/>
            <w:vAlign w:val="center"/>
            <w:hideMark/>
          </w:tcPr>
          <w:p w14:paraId="7418B066" w14:textId="77777777" w:rsidR="00D471AD" w:rsidRPr="000D502B" w:rsidRDefault="00D471AD" w:rsidP="004A31A9">
            <w:pPr>
              <w:keepNext/>
              <w:keepLines/>
              <w:spacing w:before="60" w:after="60"/>
              <w:jc w:val="right"/>
              <w:rPr>
                <w:rFonts w:cs="Arial"/>
                <w:sz w:val="18"/>
                <w:szCs w:val="18"/>
                <w:lang w:eastAsia="en-AU"/>
              </w:rPr>
            </w:pPr>
            <w:r>
              <w:rPr>
                <w:rFonts w:cs="Arial"/>
                <w:sz w:val="18"/>
                <w:szCs w:val="18"/>
                <w:lang w:eastAsia="en-AU"/>
              </w:rPr>
              <w:t>***</w:t>
            </w:r>
            <w:r w:rsidRPr="000D502B">
              <w:rPr>
                <w:rFonts w:cs="Arial"/>
                <w:sz w:val="18"/>
                <w:szCs w:val="18"/>
                <w:lang w:eastAsia="en-AU"/>
              </w:rPr>
              <w:t>1</w:t>
            </w:r>
            <w:r>
              <w:rPr>
                <w:rFonts w:cs="Arial"/>
                <w:sz w:val="18"/>
                <w:szCs w:val="18"/>
                <w:lang w:eastAsia="en-AU"/>
              </w:rPr>
              <w:t> </w:t>
            </w:r>
            <w:r w:rsidRPr="000D502B">
              <w:rPr>
                <w:rFonts w:cs="Arial"/>
                <w:sz w:val="18"/>
                <w:szCs w:val="18"/>
                <w:lang w:eastAsia="en-AU"/>
              </w:rPr>
              <w:t>807</w:t>
            </w:r>
            <w:r>
              <w:rPr>
                <w:rFonts w:cs="Arial"/>
                <w:sz w:val="18"/>
                <w:szCs w:val="18"/>
                <w:lang w:eastAsia="en-AU"/>
              </w:rPr>
              <w:t> </w:t>
            </w:r>
            <w:r w:rsidRPr="000D502B">
              <w:rPr>
                <w:rFonts w:cs="Arial"/>
                <w:sz w:val="18"/>
                <w:szCs w:val="18"/>
                <w:lang w:eastAsia="en-AU"/>
              </w:rPr>
              <w:t>495</w:t>
            </w:r>
          </w:p>
        </w:tc>
        <w:tc>
          <w:tcPr>
            <w:tcW w:w="695" w:type="pct"/>
            <w:gridSpan w:val="2"/>
            <w:shd w:val="clear" w:color="auto" w:fill="CAE7F3"/>
            <w:noWrap/>
            <w:vAlign w:val="center"/>
            <w:hideMark/>
          </w:tcPr>
          <w:p w14:paraId="7418B067"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382</w:t>
            </w:r>
            <w:r>
              <w:rPr>
                <w:rFonts w:cs="Arial"/>
                <w:sz w:val="18"/>
                <w:szCs w:val="18"/>
                <w:lang w:eastAsia="en-AU"/>
              </w:rPr>
              <w:t> </w:t>
            </w:r>
            <w:r w:rsidRPr="000D502B">
              <w:rPr>
                <w:rFonts w:cs="Arial"/>
                <w:sz w:val="18"/>
                <w:szCs w:val="18"/>
                <w:lang w:eastAsia="en-AU"/>
              </w:rPr>
              <w:t>008</w:t>
            </w:r>
          </w:p>
        </w:tc>
        <w:tc>
          <w:tcPr>
            <w:tcW w:w="690" w:type="pct"/>
            <w:gridSpan w:val="2"/>
            <w:shd w:val="clear" w:color="auto" w:fill="CAE7F3"/>
            <w:noWrap/>
            <w:vAlign w:val="center"/>
            <w:hideMark/>
          </w:tcPr>
          <w:p w14:paraId="7418B068"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107</w:t>
            </w:r>
            <w:r>
              <w:rPr>
                <w:rFonts w:cs="Arial"/>
                <w:sz w:val="18"/>
                <w:szCs w:val="18"/>
                <w:lang w:eastAsia="en-AU"/>
              </w:rPr>
              <w:t> </w:t>
            </w:r>
            <w:r w:rsidRPr="000D502B">
              <w:rPr>
                <w:rFonts w:cs="Arial"/>
                <w:sz w:val="18"/>
                <w:szCs w:val="18"/>
                <w:lang w:eastAsia="en-AU"/>
              </w:rPr>
              <w:t>598</w:t>
            </w:r>
          </w:p>
        </w:tc>
      </w:tr>
      <w:tr w:rsidR="00D471AD" w:rsidRPr="000D502B" w14:paraId="7418B06E" w14:textId="77777777" w:rsidTr="004A31A9">
        <w:trPr>
          <w:trHeight w:val="405"/>
        </w:trPr>
        <w:tc>
          <w:tcPr>
            <w:tcW w:w="2779" w:type="pct"/>
            <w:shd w:val="clear" w:color="auto" w:fill="CAE7F3"/>
            <w:noWrap/>
            <w:vAlign w:val="center"/>
            <w:hideMark/>
          </w:tcPr>
          <w:p w14:paraId="7418B06A" w14:textId="77777777" w:rsidR="00D471AD" w:rsidRPr="000D502B" w:rsidRDefault="00D471AD" w:rsidP="004A31A9">
            <w:pPr>
              <w:keepNext/>
              <w:keepLines/>
              <w:spacing w:before="60" w:after="60"/>
              <w:rPr>
                <w:rFonts w:cs="Arial"/>
                <w:sz w:val="18"/>
                <w:szCs w:val="18"/>
                <w:lang w:eastAsia="en-AU"/>
              </w:rPr>
            </w:pPr>
            <w:r w:rsidRPr="000D502B">
              <w:rPr>
                <w:rFonts w:cs="Arial"/>
                <w:sz w:val="18"/>
                <w:szCs w:val="18"/>
                <w:lang w:eastAsia="en-AU"/>
              </w:rPr>
              <w:t>FTE (numbers)</w:t>
            </w:r>
          </w:p>
        </w:tc>
        <w:tc>
          <w:tcPr>
            <w:tcW w:w="836" w:type="pct"/>
            <w:shd w:val="clear" w:color="auto" w:fill="CAE7F3"/>
            <w:noWrap/>
            <w:vAlign w:val="center"/>
            <w:hideMark/>
          </w:tcPr>
          <w:p w14:paraId="7418B06B" w14:textId="77777777" w:rsidR="00D471AD" w:rsidRPr="000D502B" w:rsidRDefault="00D471AD" w:rsidP="004A31A9">
            <w:pPr>
              <w:keepNext/>
              <w:keepLines/>
              <w:spacing w:before="60" w:after="60"/>
              <w:jc w:val="right"/>
              <w:rPr>
                <w:rFonts w:cs="Arial"/>
                <w:sz w:val="18"/>
                <w:szCs w:val="18"/>
                <w:lang w:eastAsia="en-AU"/>
              </w:rPr>
            </w:pPr>
            <w:r>
              <w:rPr>
                <w:rFonts w:cs="Arial"/>
                <w:sz w:val="18"/>
                <w:szCs w:val="18"/>
                <w:lang w:eastAsia="en-AU"/>
              </w:rPr>
              <w:t>***</w:t>
            </w:r>
            <w:r w:rsidRPr="000D502B">
              <w:rPr>
                <w:rFonts w:cs="Arial"/>
                <w:sz w:val="18"/>
                <w:szCs w:val="18"/>
                <w:lang w:eastAsia="en-AU"/>
              </w:rPr>
              <w:t>14</w:t>
            </w:r>
          </w:p>
        </w:tc>
        <w:tc>
          <w:tcPr>
            <w:tcW w:w="695" w:type="pct"/>
            <w:gridSpan w:val="2"/>
            <w:shd w:val="clear" w:color="auto" w:fill="CAE7F3"/>
            <w:noWrap/>
            <w:vAlign w:val="center"/>
            <w:hideMark/>
          </w:tcPr>
          <w:p w14:paraId="7418B06C"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5</w:t>
            </w:r>
          </w:p>
        </w:tc>
        <w:tc>
          <w:tcPr>
            <w:tcW w:w="690" w:type="pct"/>
            <w:gridSpan w:val="2"/>
            <w:shd w:val="clear" w:color="auto" w:fill="CAE7F3"/>
            <w:noWrap/>
            <w:vAlign w:val="center"/>
            <w:hideMark/>
          </w:tcPr>
          <w:p w14:paraId="7418B06D" w14:textId="77777777" w:rsidR="00D471AD" w:rsidRPr="000D502B" w:rsidRDefault="00D471AD" w:rsidP="004A31A9">
            <w:pPr>
              <w:keepNext/>
              <w:keepLines/>
              <w:spacing w:before="60" w:after="60"/>
              <w:jc w:val="right"/>
              <w:rPr>
                <w:rFonts w:cs="Arial"/>
                <w:sz w:val="18"/>
                <w:szCs w:val="18"/>
                <w:lang w:eastAsia="en-AU"/>
              </w:rPr>
            </w:pPr>
            <w:r>
              <w:rPr>
                <w:rFonts w:cs="Arial"/>
                <w:sz w:val="18"/>
                <w:szCs w:val="18"/>
                <w:lang w:eastAsia="en-AU"/>
              </w:rPr>
              <w:t>**</w:t>
            </w:r>
            <w:r w:rsidRPr="000D502B">
              <w:rPr>
                <w:rFonts w:cs="Arial"/>
                <w:sz w:val="18"/>
                <w:szCs w:val="18"/>
                <w:lang w:eastAsia="en-AU"/>
              </w:rPr>
              <w:t>11</w:t>
            </w:r>
          </w:p>
        </w:tc>
      </w:tr>
      <w:tr w:rsidR="00D471AD" w:rsidRPr="000D502B" w14:paraId="7418B073" w14:textId="77777777" w:rsidTr="004A31A9">
        <w:trPr>
          <w:trHeight w:val="405"/>
        </w:trPr>
        <w:tc>
          <w:tcPr>
            <w:tcW w:w="2779" w:type="pct"/>
            <w:shd w:val="clear" w:color="auto" w:fill="CAE7F3"/>
            <w:noWrap/>
            <w:vAlign w:val="center"/>
            <w:hideMark/>
          </w:tcPr>
          <w:p w14:paraId="7418B06F" w14:textId="77777777" w:rsidR="00D471AD" w:rsidRPr="000D502B" w:rsidRDefault="00D471AD" w:rsidP="004A31A9">
            <w:pPr>
              <w:keepNext/>
              <w:keepLines/>
              <w:spacing w:before="60" w:after="60"/>
              <w:rPr>
                <w:rFonts w:cs="Arial"/>
                <w:sz w:val="18"/>
                <w:szCs w:val="18"/>
                <w:lang w:eastAsia="en-AU"/>
              </w:rPr>
            </w:pPr>
            <w:r w:rsidRPr="000D502B">
              <w:rPr>
                <w:rFonts w:cs="Arial"/>
                <w:sz w:val="18"/>
                <w:szCs w:val="18"/>
                <w:lang w:eastAsia="en-AU"/>
              </w:rPr>
              <w:t>Total salaries &amp; wages ($)</w:t>
            </w:r>
          </w:p>
        </w:tc>
        <w:tc>
          <w:tcPr>
            <w:tcW w:w="836" w:type="pct"/>
            <w:shd w:val="clear" w:color="auto" w:fill="CAE7F3"/>
            <w:noWrap/>
            <w:vAlign w:val="center"/>
            <w:hideMark/>
          </w:tcPr>
          <w:p w14:paraId="7418B070" w14:textId="77777777" w:rsidR="00D471AD" w:rsidRPr="000D502B" w:rsidRDefault="00D471AD" w:rsidP="004A31A9">
            <w:pPr>
              <w:keepNext/>
              <w:keepLines/>
              <w:spacing w:before="60" w:after="60"/>
              <w:jc w:val="right"/>
              <w:rPr>
                <w:rFonts w:cs="Arial"/>
                <w:sz w:val="18"/>
                <w:szCs w:val="18"/>
                <w:lang w:eastAsia="en-AU"/>
              </w:rPr>
            </w:pPr>
            <w:r>
              <w:rPr>
                <w:rFonts w:cs="Arial"/>
                <w:sz w:val="18"/>
                <w:szCs w:val="18"/>
                <w:lang w:eastAsia="en-AU"/>
              </w:rPr>
              <w:t>**</w:t>
            </w:r>
            <w:r w:rsidRPr="000D502B">
              <w:rPr>
                <w:rFonts w:cs="Arial"/>
                <w:sz w:val="18"/>
                <w:szCs w:val="18"/>
                <w:lang w:eastAsia="en-AU"/>
              </w:rPr>
              <w:t>376</w:t>
            </w:r>
            <w:r>
              <w:rPr>
                <w:rFonts w:cs="Arial"/>
                <w:sz w:val="18"/>
                <w:szCs w:val="18"/>
                <w:lang w:eastAsia="en-AU"/>
              </w:rPr>
              <w:t> </w:t>
            </w:r>
            <w:r w:rsidRPr="000D502B">
              <w:rPr>
                <w:rFonts w:cs="Arial"/>
                <w:sz w:val="18"/>
                <w:szCs w:val="18"/>
                <w:lang w:eastAsia="en-AU"/>
              </w:rPr>
              <w:t>375</w:t>
            </w:r>
          </w:p>
        </w:tc>
        <w:tc>
          <w:tcPr>
            <w:tcW w:w="695" w:type="pct"/>
            <w:gridSpan w:val="2"/>
            <w:shd w:val="clear" w:color="auto" w:fill="CAE7F3"/>
            <w:noWrap/>
            <w:vAlign w:val="center"/>
            <w:hideMark/>
          </w:tcPr>
          <w:p w14:paraId="7418B071" w14:textId="77777777" w:rsidR="00D471AD" w:rsidRPr="000D502B" w:rsidRDefault="00D471AD" w:rsidP="004A31A9">
            <w:pPr>
              <w:keepNext/>
              <w:keepLines/>
              <w:spacing w:before="60" w:after="60"/>
              <w:jc w:val="right"/>
              <w:rPr>
                <w:rFonts w:cs="Arial"/>
                <w:sz w:val="18"/>
                <w:szCs w:val="18"/>
                <w:lang w:eastAsia="en-AU"/>
              </w:rPr>
            </w:pPr>
            <w:r>
              <w:rPr>
                <w:rFonts w:cs="Arial"/>
                <w:sz w:val="18"/>
                <w:szCs w:val="18"/>
                <w:lang w:eastAsia="en-AU"/>
              </w:rPr>
              <w:t>**</w:t>
            </w:r>
            <w:r w:rsidRPr="000D502B">
              <w:rPr>
                <w:rFonts w:cs="Arial"/>
                <w:sz w:val="18"/>
                <w:szCs w:val="18"/>
                <w:lang w:eastAsia="en-AU"/>
              </w:rPr>
              <w:t>312</w:t>
            </w:r>
            <w:r>
              <w:rPr>
                <w:rFonts w:cs="Arial"/>
                <w:sz w:val="18"/>
                <w:szCs w:val="18"/>
                <w:lang w:eastAsia="en-AU"/>
              </w:rPr>
              <w:t> </w:t>
            </w:r>
            <w:r w:rsidRPr="000D502B">
              <w:rPr>
                <w:rFonts w:cs="Arial"/>
                <w:sz w:val="18"/>
                <w:szCs w:val="18"/>
                <w:lang w:eastAsia="en-AU"/>
              </w:rPr>
              <w:t>009</w:t>
            </w:r>
          </w:p>
        </w:tc>
        <w:tc>
          <w:tcPr>
            <w:tcW w:w="690" w:type="pct"/>
            <w:gridSpan w:val="2"/>
            <w:shd w:val="clear" w:color="auto" w:fill="CAE7F3"/>
            <w:noWrap/>
            <w:vAlign w:val="center"/>
            <w:hideMark/>
          </w:tcPr>
          <w:p w14:paraId="7418B072" w14:textId="77777777" w:rsidR="00D471AD" w:rsidRPr="000D502B" w:rsidRDefault="00D471AD" w:rsidP="004A31A9">
            <w:pPr>
              <w:keepNext/>
              <w:keepLines/>
              <w:spacing w:before="60" w:after="60"/>
              <w:jc w:val="right"/>
              <w:rPr>
                <w:rFonts w:cs="Arial"/>
                <w:sz w:val="18"/>
                <w:szCs w:val="18"/>
                <w:lang w:eastAsia="en-AU"/>
              </w:rPr>
            </w:pPr>
            <w:r>
              <w:rPr>
                <w:rFonts w:cs="Arial"/>
                <w:sz w:val="18"/>
                <w:szCs w:val="18"/>
                <w:lang w:eastAsia="en-AU"/>
              </w:rPr>
              <w:t>*</w:t>
            </w:r>
            <w:r w:rsidRPr="000D502B">
              <w:rPr>
                <w:rFonts w:cs="Arial"/>
                <w:sz w:val="18"/>
                <w:szCs w:val="18"/>
                <w:lang w:eastAsia="en-AU"/>
              </w:rPr>
              <w:t>489</w:t>
            </w:r>
            <w:r>
              <w:rPr>
                <w:rFonts w:cs="Arial"/>
                <w:sz w:val="18"/>
                <w:szCs w:val="18"/>
                <w:lang w:eastAsia="en-AU"/>
              </w:rPr>
              <w:t> </w:t>
            </w:r>
            <w:r w:rsidRPr="000D502B">
              <w:rPr>
                <w:rFonts w:cs="Arial"/>
                <w:sz w:val="18"/>
                <w:szCs w:val="18"/>
                <w:lang w:eastAsia="en-AU"/>
              </w:rPr>
              <w:t>113</w:t>
            </w:r>
          </w:p>
        </w:tc>
      </w:tr>
      <w:tr w:rsidR="00D471AD" w:rsidRPr="000D502B" w14:paraId="7418B078" w14:textId="77777777" w:rsidTr="004A31A9">
        <w:trPr>
          <w:trHeight w:val="405"/>
        </w:trPr>
        <w:tc>
          <w:tcPr>
            <w:tcW w:w="2779" w:type="pct"/>
            <w:shd w:val="clear" w:color="auto" w:fill="CAE7F3"/>
            <w:noWrap/>
            <w:vAlign w:val="center"/>
            <w:hideMark/>
          </w:tcPr>
          <w:p w14:paraId="7418B074" w14:textId="77777777" w:rsidR="00D471AD" w:rsidRPr="000D502B" w:rsidRDefault="00D471AD" w:rsidP="004A31A9">
            <w:pPr>
              <w:keepNext/>
              <w:keepLines/>
              <w:spacing w:before="60" w:after="60"/>
              <w:rPr>
                <w:rFonts w:cs="Arial"/>
                <w:sz w:val="18"/>
                <w:szCs w:val="18"/>
                <w:lang w:eastAsia="en-AU"/>
              </w:rPr>
            </w:pPr>
            <w:r w:rsidRPr="000D502B">
              <w:rPr>
                <w:rFonts w:cs="Arial"/>
                <w:sz w:val="18"/>
                <w:szCs w:val="18"/>
                <w:lang w:eastAsia="en-AU"/>
              </w:rPr>
              <w:t>Export sales ($)</w:t>
            </w:r>
          </w:p>
        </w:tc>
        <w:tc>
          <w:tcPr>
            <w:tcW w:w="836" w:type="pct"/>
            <w:shd w:val="clear" w:color="auto" w:fill="CAE7F3"/>
            <w:noWrap/>
            <w:vAlign w:val="center"/>
            <w:hideMark/>
          </w:tcPr>
          <w:p w14:paraId="7418B075" w14:textId="77777777" w:rsidR="00D471AD" w:rsidRPr="000D502B" w:rsidRDefault="00D471AD" w:rsidP="004A31A9">
            <w:pPr>
              <w:keepNext/>
              <w:keepLines/>
              <w:spacing w:before="60" w:after="60"/>
              <w:jc w:val="right"/>
              <w:rPr>
                <w:rFonts w:cs="Arial"/>
                <w:sz w:val="18"/>
                <w:szCs w:val="18"/>
                <w:lang w:eastAsia="en-AU"/>
              </w:rPr>
            </w:pPr>
            <w:r>
              <w:rPr>
                <w:rFonts w:cs="Arial"/>
                <w:sz w:val="18"/>
                <w:szCs w:val="18"/>
                <w:lang w:eastAsia="en-AU"/>
              </w:rPr>
              <w:t>*</w:t>
            </w:r>
            <w:r w:rsidRPr="000D502B">
              <w:rPr>
                <w:rFonts w:cs="Arial"/>
                <w:sz w:val="18"/>
                <w:szCs w:val="18"/>
                <w:lang w:eastAsia="en-AU"/>
              </w:rPr>
              <w:t>323</w:t>
            </w:r>
            <w:r>
              <w:rPr>
                <w:rFonts w:cs="Arial"/>
                <w:sz w:val="18"/>
                <w:szCs w:val="18"/>
                <w:lang w:eastAsia="en-AU"/>
              </w:rPr>
              <w:t> </w:t>
            </w:r>
            <w:r w:rsidRPr="000D502B">
              <w:rPr>
                <w:rFonts w:cs="Arial"/>
                <w:sz w:val="18"/>
                <w:szCs w:val="18"/>
                <w:lang w:eastAsia="en-AU"/>
              </w:rPr>
              <w:t>118</w:t>
            </w:r>
          </w:p>
        </w:tc>
        <w:tc>
          <w:tcPr>
            <w:tcW w:w="695" w:type="pct"/>
            <w:gridSpan w:val="2"/>
            <w:shd w:val="clear" w:color="auto" w:fill="CAE7F3"/>
            <w:noWrap/>
            <w:vAlign w:val="center"/>
            <w:hideMark/>
          </w:tcPr>
          <w:p w14:paraId="7418B076"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87</w:t>
            </w:r>
            <w:r>
              <w:rPr>
                <w:rFonts w:cs="Arial"/>
                <w:sz w:val="18"/>
                <w:szCs w:val="18"/>
                <w:lang w:eastAsia="en-AU"/>
              </w:rPr>
              <w:t> </w:t>
            </w:r>
            <w:r w:rsidRPr="000D502B">
              <w:rPr>
                <w:rFonts w:cs="Arial"/>
                <w:sz w:val="18"/>
                <w:szCs w:val="18"/>
                <w:lang w:eastAsia="en-AU"/>
              </w:rPr>
              <w:t>164</w:t>
            </w:r>
          </w:p>
        </w:tc>
        <w:tc>
          <w:tcPr>
            <w:tcW w:w="690" w:type="pct"/>
            <w:gridSpan w:val="2"/>
            <w:shd w:val="clear" w:color="auto" w:fill="CAE7F3"/>
            <w:noWrap/>
            <w:vAlign w:val="center"/>
            <w:hideMark/>
          </w:tcPr>
          <w:p w14:paraId="7418B077"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161</w:t>
            </w:r>
            <w:r>
              <w:rPr>
                <w:rFonts w:cs="Arial"/>
                <w:sz w:val="18"/>
                <w:szCs w:val="18"/>
                <w:lang w:eastAsia="en-AU"/>
              </w:rPr>
              <w:t> </w:t>
            </w:r>
            <w:r w:rsidRPr="000D502B">
              <w:rPr>
                <w:rFonts w:cs="Arial"/>
                <w:sz w:val="18"/>
                <w:szCs w:val="18"/>
                <w:lang w:eastAsia="en-AU"/>
              </w:rPr>
              <w:t>867</w:t>
            </w:r>
          </w:p>
        </w:tc>
      </w:tr>
      <w:tr w:rsidR="00D471AD" w:rsidRPr="000D502B" w14:paraId="7418B07D" w14:textId="77777777" w:rsidTr="004A31A9">
        <w:trPr>
          <w:trHeight w:val="405"/>
        </w:trPr>
        <w:tc>
          <w:tcPr>
            <w:tcW w:w="2779" w:type="pct"/>
            <w:shd w:val="clear" w:color="auto" w:fill="CAE7F3"/>
            <w:noWrap/>
            <w:vAlign w:val="center"/>
            <w:hideMark/>
          </w:tcPr>
          <w:p w14:paraId="7418B079" w14:textId="77777777" w:rsidR="00D471AD" w:rsidRPr="000D502B" w:rsidRDefault="00D471AD" w:rsidP="004A31A9">
            <w:pPr>
              <w:keepNext/>
              <w:keepLines/>
              <w:spacing w:before="60" w:after="60"/>
              <w:rPr>
                <w:rFonts w:cs="Arial"/>
                <w:sz w:val="18"/>
                <w:szCs w:val="18"/>
                <w:lang w:eastAsia="en-AU"/>
              </w:rPr>
            </w:pPr>
            <w:r w:rsidRPr="000D502B">
              <w:rPr>
                <w:rFonts w:cs="Arial"/>
                <w:sz w:val="18"/>
                <w:szCs w:val="18"/>
                <w:lang w:eastAsia="en-AU"/>
              </w:rPr>
              <w:t>Value added growth (2011</w:t>
            </w:r>
            <w:r>
              <w:rPr>
                <w:rFonts w:cs="Arial"/>
                <w:sz w:val="18"/>
                <w:szCs w:val="18"/>
                <w:lang w:eastAsia="en-AU"/>
              </w:rPr>
              <w:t>–</w:t>
            </w:r>
            <w:r w:rsidRPr="000D502B">
              <w:rPr>
                <w:rFonts w:cs="Arial"/>
                <w:sz w:val="18"/>
                <w:szCs w:val="18"/>
                <w:lang w:eastAsia="en-AU"/>
              </w:rPr>
              <w:t>2013) ($)</w:t>
            </w:r>
          </w:p>
        </w:tc>
        <w:tc>
          <w:tcPr>
            <w:tcW w:w="836" w:type="pct"/>
            <w:shd w:val="clear" w:color="auto" w:fill="CAE7F3"/>
            <w:noWrap/>
            <w:vAlign w:val="center"/>
            <w:hideMark/>
          </w:tcPr>
          <w:p w14:paraId="7418B07A" w14:textId="77777777" w:rsidR="00D471AD" w:rsidRPr="000D502B" w:rsidRDefault="00D471AD" w:rsidP="004A31A9">
            <w:pPr>
              <w:keepNext/>
              <w:keepLines/>
              <w:spacing w:before="60" w:after="60"/>
              <w:jc w:val="right"/>
              <w:rPr>
                <w:rFonts w:cs="Arial"/>
                <w:sz w:val="18"/>
                <w:szCs w:val="18"/>
                <w:lang w:eastAsia="en-AU"/>
              </w:rPr>
            </w:pPr>
            <w:r>
              <w:rPr>
                <w:rFonts w:cs="Arial"/>
                <w:sz w:val="18"/>
                <w:szCs w:val="18"/>
                <w:lang w:eastAsia="en-AU"/>
              </w:rPr>
              <w:t>*</w:t>
            </w:r>
            <w:r w:rsidRPr="000D502B">
              <w:rPr>
                <w:rFonts w:cs="Arial"/>
                <w:sz w:val="18"/>
                <w:szCs w:val="18"/>
                <w:lang w:eastAsia="en-AU"/>
              </w:rPr>
              <w:t>860</w:t>
            </w:r>
            <w:r>
              <w:rPr>
                <w:rFonts w:cs="Arial"/>
                <w:sz w:val="18"/>
                <w:szCs w:val="18"/>
                <w:lang w:eastAsia="en-AU"/>
              </w:rPr>
              <w:t> </w:t>
            </w:r>
            <w:r w:rsidRPr="000D502B">
              <w:rPr>
                <w:rFonts w:cs="Arial"/>
                <w:sz w:val="18"/>
                <w:szCs w:val="18"/>
                <w:lang w:eastAsia="en-AU"/>
              </w:rPr>
              <w:t>695</w:t>
            </w:r>
          </w:p>
        </w:tc>
        <w:tc>
          <w:tcPr>
            <w:tcW w:w="695" w:type="pct"/>
            <w:gridSpan w:val="2"/>
            <w:shd w:val="clear" w:color="auto" w:fill="CAE7F3"/>
            <w:noWrap/>
            <w:vAlign w:val="center"/>
            <w:hideMark/>
          </w:tcPr>
          <w:p w14:paraId="7418B07B"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-458</w:t>
            </w:r>
            <w:r>
              <w:rPr>
                <w:rFonts w:cs="Arial"/>
                <w:sz w:val="18"/>
                <w:szCs w:val="18"/>
                <w:lang w:eastAsia="en-AU"/>
              </w:rPr>
              <w:t> </w:t>
            </w:r>
            <w:r w:rsidRPr="000D502B">
              <w:rPr>
                <w:rFonts w:cs="Arial"/>
                <w:sz w:val="18"/>
                <w:szCs w:val="18"/>
                <w:lang w:eastAsia="en-AU"/>
              </w:rPr>
              <w:t>367</w:t>
            </w:r>
          </w:p>
        </w:tc>
        <w:tc>
          <w:tcPr>
            <w:tcW w:w="690" w:type="pct"/>
            <w:gridSpan w:val="2"/>
            <w:shd w:val="clear" w:color="auto" w:fill="CAE7F3"/>
            <w:noWrap/>
            <w:vAlign w:val="center"/>
            <w:hideMark/>
          </w:tcPr>
          <w:p w14:paraId="7418B07C"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-215</w:t>
            </w:r>
            <w:r>
              <w:rPr>
                <w:rFonts w:cs="Arial"/>
                <w:sz w:val="18"/>
                <w:szCs w:val="18"/>
                <w:lang w:eastAsia="en-AU"/>
              </w:rPr>
              <w:t> </w:t>
            </w:r>
            <w:r w:rsidRPr="000D502B">
              <w:rPr>
                <w:rFonts w:cs="Arial"/>
                <w:sz w:val="18"/>
                <w:szCs w:val="18"/>
                <w:lang w:eastAsia="en-AU"/>
              </w:rPr>
              <w:t>256</w:t>
            </w:r>
          </w:p>
        </w:tc>
      </w:tr>
      <w:tr w:rsidR="00D471AD" w:rsidRPr="000D502B" w14:paraId="7418B082" w14:textId="77777777" w:rsidTr="004A31A9">
        <w:trPr>
          <w:trHeight w:val="405"/>
        </w:trPr>
        <w:tc>
          <w:tcPr>
            <w:tcW w:w="2779" w:type="pct"/>
            <w:shd w:val="clear" w:color="auto" w:fill="CAE7F3"/>
            <w:noWrap/>
            <w:vAlign w:val="center"/>
            <w:hideMark/>
          </w:tcPr>
          <w:p w14:paraId="7418B07E" w14:textId="77777777" w:rsidR="00D471AD" w:rsidRPr="000D502B" w:rsidRDefault="00D471AD" w:rsidP="004A31A9">
            <w:pPr>
              <w:keepNext/>
              <w:keepLines/>
              <w:spacing w:before="60" w:after="60"/>
              <w:rPr>
                <w:rFonts w:cs="Arial"/>
                <w:sz w:val="18"/>
                <w:szCs w:val="18"/>
                <w:lang w:eastAsia="en-AU"/>
              </w:rPr>
            </w:pPr>
          </w:p>
        </w:tc>
        <w:tc>
          <w:tcPr>
            <w:tcW w:w="836" w:type="pct"/>
            <w:shd w:val="clear" w:color="auto" w:fill="CAE7F3"/>
            <w:noWrap/>
            <w:vAlign w:val="center"/>
            <w:hideMark/>
          </w:tcPr>
          <w:p w14:paraId="7418B07F" w14:textId="77777777" w:rsidR="00D471AD" w:rsidRPr="000D502B" w:rsidRDefault="00D471AD" w:rsidP="004A31A9">
            <w:pPr>
              <w:keepNext/>
              <w:keepLines/>
              <w:spacing w:before="60" w:after="60"/>
              <w:jc w:val="right"/>
              <w:rPr>
                <w:rFonts w:cs="Arial"/>
                <w:sz w:val="18"/>
                <w:szCs w:val="18"/>
                <w:lang w:eastAsia="en-AU"/>
              </w:rPr>
            </w:pPr>
          </w:p>
        </w:tc>
        <w:tc>
          <w:tcPr>
            <w:tcW w:w="695" w:type="pct"/>
            <w:gridSpan w:val="2"/>
            <w:shd w:val="clear" w:color="auto" w:fill="CAE7F3"/>
            <w:noWrap/>
            <w:vAlign w:val="center"/>
            <w:hideMark/>
          </w:tcPr>
          <w:p w14:paraId="7418B080" w14:textId="77777777" w:rsidR="00D471AD" w:rsidRPr="000D502B" w:rsidRDefault="00D471AD" w:rsidP="004A31A9">
            <w:pPr>
              <w:keepNext/>
              <w:keepLines/>
              <w:spacing w:before="60" w:after="60"/>
              <w:jc w:val="right"/>
              <w:rPr>
                <w:rFonts w:cs="Arial"/>
                <w:sz w:val="18"/>
                <w:szCs w:val="18"/>
                <w:lang w:eastAsia="en-AU"/>
              </w:rPr>
            </w:pPr>
          </w:p>
        </w:tc>
        <w:tc>
          <w:tcPr>
            <w:tcW w:w="690" w:type="pct"/>
            <w:gridSpan w:val="2"/>
            <w:shd w:val="clear" w:color="auto" w:fill="CAE7F3"/>
            <w:noWrap/>
            <w:vAlign w:val="center"/>
            <w:hideMark/>
          </w:tcPr>
          <w:p w14:paraId="7418B081" w14:textId="77777777" w:rsidR="00D471AD" w:rsidRPr="000D502B" w:rsidRDefault="00D471AD" w:rsidP="004A31A9">
            <w:pPr>
              <w:keepNext/>
              <w:keepLines/>
              <w:spacing w:before="60" w:after="60"/>
              <w:jc w:val="right"/>
              <w:rPr>
                <w:rFonts w:cs="Arial"/>
                <w:sz w:val="18"/>
                <w:szCs w:val="18"/>
                <w:lang w:eastAsia="en-AU"/>
              </w:rPr>
            </w:pPr>
          </w:p>
        </w:tc>
      </w:tr>
      <w:tr w:rsidR="00D471AD" w:rsidRPr="000D502B" w14:paraId="7418B087" w14:textId="77777777" w:rsidTr="004A31A9">
        <w:trPr>
          <w:trHeight w:val="405"/>
        </w:trPr>
        <w:tc>
          <w:tcPr>
            <w:tcW w:w="2779" w:type="pct"/>
            <w:shd w:val="clear" w:color="auto" w:fill="CAE7F3"/>
            <w:noWrap/>
            <w:vAlign w:val="center"/>
            <w:hideMark/>
          </w:tcPr>
          <w:p w14:paraId="7418B083" w14:textId="77777777" w:rsidR="00D471AD" w:rsidRPr="000D502B" w:rsidRDefault="00D471AD" w:rsidP="004A31A9">
            <w:pPr>
              <w:keepNext/>
              <w:keepLines/>
              <w:spacing w:before="60" w:after="60"/>
              <w:rPr>
                <w:rFonts w:cs="Arial"/>
                <w:sz w:val="18"/>
                <w:szCs w:val="18"/>
                <w:lang w:eastAsia="en-AU"/>
              </w:rPr>
            </w:pPr>
            <w:r w:rsidRPr="000D502B">
              <w:rPr>
                <w:rFonts w:cs="Arial"/>
                <w:sz w:val="18"/>
                <w:szCs w:val="18"/>
                <w:lang w:eastAsia="en-AU"/>
              </w:rPr>
              <w:t>Treated obs</w:t>
            </w:r>
            <w:r>
              <w:rPr>
                <w:rFonts w:cs="Arial"/>
                <w:sz w:val="18"/>
                <w:szCs w:val="18"/>
                <w:lang w:eastAsia="en-AU"/>
              </w:rPr>
              <w:t>ervations</w:t>
            </w:r>
            <w:r w:rsidRPr="000D502B">
              <w:rPr>
                <w:rFonts w:cs="Arial"/>
                <w:sz w:val="18"/>
                <w:szCs w:val="18"/>
                <w:vertAlign w:val="superscript"/>
                <w:lang w:eastAsia="en-AU"/>
              </w:rPr>
              <w:t>(a)</w:t>
            </w:r>
          </w:p>
        </w:tc>
        <w:tc>
          <w:tcPr>
            <w:tcW w:w="836" w:type="pct"/>
            <w:shd w:val="clear" w:color="auto" w:fill="CAE7F3"/>
            <w:noWrap/>
            <w:vAlign w:val="center"/>
            <w:hideMark/>
          </w:tcPr>
          <w:p w14:paraId="7418B084"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849</w:t>
            </w:r>
          </w:p>
        </w:tc>
        <w:tc>
          <w:tcPr>
            <w:tcW w:w="695" w:type="pct"/>
            <w:gridSpan w:val="2"/>
            <w:shd w:val="clear" w:color="auto" w:fill="CAE7F3"/>
            <w:noWrap/>
            <w:vAlign w:val="center"/>
            <w:hideMark/>
          </w:tcPr>
          <w:p w14:paraId="7418B085"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806</w:t>
            </w:r>
          </w:p>
        </w:tc>
        <w:tc>
          <w:tcPr>
            <w:tcW w:w="690" w:type="pct"/>
            <w:gridSpan w:val="2"/>
            <w:shd w:val="clear" w:color="auto" w:fill="CAE7F3"/>
            <w:noWrap/>
            <w:vAlign w:val="center"/>
            <w:hideMark/>
          </w:tcPr>
          <w:p w14:paraId="7418B086"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835</w:t>
            </w:r>
          </w:p>
        </w:tc>
      </w:tr>
      <w:tr w:rsidR="00D471AD" w:rsidRPr="000D502B" w14:paraId="7418B08C" w14:textId="77777777" w:rsidTr="004A31A9">
        <w:trPr>
          <w:trHeight w:val="405"/>
        </w:trPr>
        <w:tc>
          <w:tcPr>
            <w:tcW w:w="2779" w:type="pct"/>
            <w:shd w:val="clear" w:color="auto" w:fill="CAE7F3"/>
            <w:noWrap/>
            <w:vAlign w:val="center"/>
            <w:hideMark/>
          </w:tcPr>
          <w:p w14:paraId="7418B088" w14:textId="77777777" w:rsidR="00D471AD" w:rsidRPr="000D502B" w:rsidRDefault="00D471AD" w:rsidP="004A31A9">
            <w:pPr>
              <w:keepNext/>
              <w:keepLines/>
              <w:spacing w:before="60" w:after="60"/>
              <w:rPr>
                <w:rFonts w:cs="Arial"/>
                <w:sz w:val="18"/>
                <w:szCs w:val="18"/>
                <w:lang w:eastAsia="en-AU"/>
              </w:rPr>
            </w:pPr>
            <w:r w:rsidRPr="000D502B">
              <w:rPr>
                <w:rFonts w:cs="Arial"/>
                <w:sz w:val="18"/>
                <w:szCs w:val="18"/>
                <w:lang w:eastAsia="en-AU"/>
              </w:rPr>
              <w:t>Total obs</w:t>
            </w:r>
            <w:r>
              <w:rPr>
                <w:rFonts w:cs="Arial"/>
                <w:sz w:val="18"/>
                <w:szCs w:val="18"/>
                <w:lang w:eastAsia="en-AU"/>
              </w:rPr>
              <w:t>ervations</w:t>
            </w:r>
            <w:r w:rsidRPr="000D502B">
              <w:rPr>
                <w:rFonts w:cs="Arial"/>
                <w:sz w:val="18"/>
                <w:szCs w:val="18"/>
                <w:vertAlign w:val="superscript"/>
                <w:lang w:eastAsia="en-AU"/>
              </w:rPr>
              <w:t>(a)</w:t>
            </w:r>
          </w:p>
        </w:tc>
        <w:tc>
          <w:tcPr>
            <w:tcW w:w="836" w:type="pct"/>
            <w:shd w:val="clear" w:color="auto" w:fill="CAE7F3"/>
            <w:noWrap/>
            <w:vAlign w:val="center"/>
            <w:hideMark/>
          </w:tcPr>
          <w:p w14:paraId="7418B089"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1994</w:t>
            </w:r>
          </w:p>
        </w:tc>
        <w:tc>
          <w:tcPr>
            <w:tcW w:w="695" w:type="pct"/>
            <w:gridSpan w:val="2"/>
            <w:shd w:val="clear" w:color="auto" w:fill="CAE7F3"/>
            <w:noWrap/>
            <w:vAlign w:val="center"/>
            <w:hideMark/>
          </w:tcPr>
          <w:p w14:paraId="7418B08A"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1951</w:t>
            </w:r>
          </w:p>
        </w:tc>
        <w:tc>
          <w:tcPr>
            <w:tcW w:w="690" w:type="pct"/>
            <w:gridSpan w:val="2"/>
            <w:shd w:val="clear" w:color="auto" w:fill="CAE7F3"/>
            <w:noWrap/>
            <w:vAlign w:val="center"/>
            <w:hideMark/>
          </w:tcPr>
          <w:p w14:paraId="7418B08B"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1980</w:t>
            </w:r>
          </w:p>
        </w:tc>
      </w:tr>
    </w:tbl>
    <w:p w14:paraId="7418B08D" w14:textId="77777777" w:rsidR="00D471AD" w:rsidRPr="001729A3" w:rsidRDefault="00D471AD" w:rsidP="00D471AD">
      <w:pPr>
        <w:pStyle w:val="Note"/>
        <w:rPr>
          <w:lang w:val="en-AU"/>
        </w:rPr>
      </w:pPr>
      <w:r w:rsidRPr="001729A3">
        <w:rPr>
          <w:lang w:val="en-AU"/>
        </w:rPr>
        <w:t xml:space="preserve">Notes: Values are the difference from the non-innovator control </w:t>
      </w:r>
      <w:r>
        <w:rPr>
          <w:lang w:val="en-AU"/>
        </w:rPr>
        <w:t>group</w:t>
      </w:r>
      <w:r w:rsidRPr="001729A3">
        <w:rPr>
          <w:lang w:val="en-AU"/>
        </w:rPr>
        <w:t>. Analysis of simple structured businesses using a derived balanced panel. * p&lt;0.1; ** p&lt;0.05; *** p&lt;0.01; (a) Sample size for most outcome variables except productivity and growth where there are missing values.</w:t>
      </w:r>
    </w:p>
    <w:p w14:paraId="7418B08E" w14:textId="77777777" w:rsidR="00D471AD" w:rsidRPr="001729A3" w:rsidRDefault="00D471AD" w:rsidP="00D471AD">
      <w:pPr>
        <w:pStyle w:val="Source"/>
        <w:rPr>
          <w:lang w:val="en-AU"/>
        </w:rPr>
      </w:pPr>
      <w:r w:rsidRPr="001729A3">
        <w:rPr>
          <w:lang w:val="en-AU"/>
        </w:rPr>
        <w:t xml:space="preserve">Source: </w:t>
      </w:r>
      <w:r w:rsidRPr="000D502B">
        <w:rPr>
          <w:lang w:val="en-GB"/>
        </w:rPr>
        <w:t xml:space="preserve">ABS (2016) </w:t>
      </w:r>
      <w:r>
        <w:rPr>
          <w:lang w:val="en-GB"/>
        </w:rPr>
        <w:t>Business Longitudinal Analysis Data Environment</w:t>
      </w:r>
      <w:r w:rsidRPr="000D502B">
        <w:rPr>
          <w:lang w:val="en-GB"/>
        </w:rPr>
        <w:t>. Customised data report commissioned by the Department of Industry, Innovation and Science</w:t>
      </w:r>
    </w:p>
    <w:p w14:paraId="7418B08F" w14:textId="77777777" w:rsidR="00D471AD" w:rsidRPr="001729A3" w:rsidRDefault="00D471AD" w:rsidP="00D471AD">
      <w:pPr>
        <w:pStyle w:val="BodyText"/>
        <w:sectPr w:rsidR="00D471AD" w:rsidRPr="001729A3" w:rsidSect="004A31A9">
          <w:headerReference w:type="even" r:id="rId70"/>
          <w:headerReference w:type="default" r:id="rId71"/>
          <w:footerReference w:type="default" r:id="rId72"/>
          <w:headerReference w:type="first" r:id="rId73"/>
          <w:footerReference w:type="first" r:id="rId74"/>
          <w:footnotePr>
            <w:numFmt w:val="upperRoman"/>
          </w:footnotePr>
          <w:endnotePr>
            <w:numFmt w:val="decimal"/>
          </w:endnotePr>
          <w:type w:val="continuous"/>
          <w:pgSz w:w="11906" w:h="16838" w:code="9"/>
          <w:pgMar w:top="1440" w:right="991" w:bottom="1440" w:left="1134" w:header="709" w:footer="709" w:gutter="0"/>
          <w:cols w:space="708"/>
          <w:docGrid w:linePitch="360"/>
        </w:sectPr>
      </w:pPr>
    </w:p>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p w14:paraId="7418B090" w14:textId="77777777" w:rsidR="00D471AD" w:rsidRPr="000D502B" w:rsidRDefault="00D471AD" w:rsidP="00D471AD">
      <w:pPr>
        <w:pStyle w:val="Heading2"/>
      </w:pPr>
      <w:r w:rsidRPr="000D502B">
        <w:tab/>
      </w:r>
      <w:bookmarkStart w:id="1007" w:name="_Toc461174547"/>
      <w:bookmarkStart w:id="1008" w:name="_Toc461180101"/>
      <w:bookmarkStart w:id="1009" w:name="_Toc461180197"/>
      <w:bookmarkStart w:id="1010" w:name="_Toc461180489"/>
      <w:bookmarkStart w:id="1011" w:name="_Toc461180569"/>
      <w:bookmarkStart w:id="1012" w:name="_Toc461180618"/>
      <w:bookmarkStart w:id="1013" w:name="_Toc461183226"/>
      <w:bookmarkStart w:id="1014" w:name="_Toc461183278"/>
      <w:bookmarkStart w:id="1015" w:name="_Toc461183356"/>
      <w:bookmarkStart w:id="1016" w:name="_Toc461183821"/>
      <w:bookmarkStart w:id="1017" w:name="_Toc461184427"/>
      <w:bookmarkStart w:id="1018" w:name="_Toc461184532"/>
      <w:bookmarkStart w:id="1019" w:name="_Toc461186570"/>
      <w:bookmarkStart w:id="1020" w:name="_Toc461186887"/>
      <w:bookmarkStart w:id="1021" w:name="_Toc461186992"/>
      <w:bookmarkStart w:id="1022" w:name="_Toc461187251"/>
      <w:bookmarkStart w:id="1023" w:name="_Toc461198278"/>
      <w:bookmarkStart w:id="1024" w:name="_Toc461198820"/>
      <w:bookmarkStart w:id="1025" w:name="_Toc461204108"/>
      <w:bookmarkStart w:id="1026" w:name="_Toc461527559"/>
      <w:bookmarkStart w:id="1027" w:name="_Toc461624464"/>
      <w:bookmarkStart w:id="1028" w:name="_Toc461629689"/>
      <w:bookmarkStart w:id="1029" w:name="_Toc461633019"/>
      <w:bookmarkStart w:id="1030" w:name="_Toc461634289"/>
      <w:bookmarkStart w:id="1031" w:name="_Toc462230073"/>
      <w:bookmarkStart w:id="1032" w:name="_Toc462231434"/>
      <w:bookmarkStart w:id="1033" w:name="_Toc463013935"/>
      <w:bookmarkStart w:id="1034" w:name="_Toc463014044"/>
      <w:bookmarkStart w:id="1035" w:name="_Toc463014478"/>
      <w:bookmarkStart w:id="1036" w:name="_Toc463877011"/>
      <w:bookmarkStart w:id="1037" w:name="_Toc465862805"/>
      <w:r w:rsidRPr="000D502B">
        <w:t>A new indicator for the impact of innovation</w:t>
      </w:r>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7418B091" w14:textId="77777777" w:rsidR="00D471AD" w:rsidRPr="001729A3" w:rsidRDefault="00D471AD" w:rsidP="00D471AD">
      <w:pPr>
        <w:pStyle w:val="BodyText"/>
      </w:pPr>
      <w:r w:rsidRPr="001729A3">
        <w:t xml:space="preserve">One of the criticisms of </w:t>
      </w:r>
      <w:r w:rsidRPr="001729A3">
        <w:fldChar w:fldCharType="begin"/>
      </w:r>
      <w:r w:rsidRPr="001729A3">
        <w:instrText xml:space="preserve"> REF _Ref461114418 \h </w:instrText>
      </w:r>
      <w:r w:rsidRPr="001729A3">
        <w:fldChar w:fldCharType="separate"/>
      </w:r>
      <w:r w:rsidRPr="000D502B">
        <w:t xml:space="preserve">Figure </w:t>
      </w:r>
      <w:r>
        <w:rPr>
          <w:noProof/>
        </w:rPr>
        <w:t>2</w:t>
      </w:r>
      <w:r w:rsidRPr="000D502B">
        <w:t>.</w:t>
      </w:r>
      <w:r>
        <w:rPr>
          <w:noProof/>
        </w:rPr>
        <w:t>5</w:t>
      </w:r>
      <w:r w:rsidRPr="001729A3">
        <w:fldChar w:fldCharType="end"/>
      </w:r>
      <w:r w:rsidRPr="001729A3">
        <w:t xml:space="preserve"> is that it is based on a survey </w:t>
      </w:r>
      <w:r>
        <w:t xml:space="preserve">of </w:t>
      </w:r>
      <w:r w:rsidRPr="001729A3">
        <w:t xml:space="preserve">respondent’s opinions of their own business’s performance. </w:t>
      </w:r>
      <w:r>
        <w:t>To address this</w:t>
      </w:r>
      <w:r w:rsidRPr="001729A3">
        <w:t>, we collaborated with the ABS and the University of Tasmania to introduce an Australian-first method for measuring the impact of innovation on the economy (Methodology 2.3; Feature article in Chapter 1).</w:t>
      </w:r>
    </w:p>
    <w:p w14:paraId="7418B092" w14:textId="77777777" w:rsidR="00D471AD" w:rsidRPr="001729A3" w:rsidRDefault="00D471AD" w:rsidP="00D471AD">
      <w:pPr>
        <w:pStyle w:val="BodyText"/>
      </w:pPr>
      <w:r w:rsidRPr="001729A3">
        <w:t>The total proportion of innovation-active businesses in Australia earning a quarter or more of their income from innovative</w:t>
      </w:r>
      <w:r w:rsidRPr="001729A3">
        <w:rPr>
          <w:rStyle w:val="FootnoteReference"/>
        </w:rPr>
        <w:footnoteReference w:id="5"/>
      </w:r>
      <w:r w:rsidRPr="001729A3">
        <w:t xml:space="preserve"> goods and services was 16 per cent in 2014–15. As businesses increase in size</w:t>
      </w:r>
      <w:r>
        <w:t>,</w:t>
      </w:r>
      <w:r w:rsidRPr="001729A3">
        <w:t xml:space="preserve"> the proportion of income earned from innovative goods and services declines significantly (</w:t>
      </w:r>
      <w:r w:rsidRPr="001729A3">
        <w:fldChar w:fldCharType="begin"/>
      </w:r>
      <w:r w:rsidRPr="001729A3">
        <w:instrText xml:space="preserve"> REF _Ref461114527 \h </w:instrText>
      </w:r>
      <w:r w:rsidRPr="001729A3">
        <w:fldChar w:fldCharType="separate"/>
      </w:r>
      <w:r w:rsidRPr="000D502B">
        <w:t xml:space="preserve">Figure </w:t>
      </w:r>
      <w:r>
        <w:rPr>
          <w:noProof/>
        </w:rPr>
        <w:t>2</w:t>
      </w:r>
      <w:r w:rsidRPr="000D502B">
        <w:t>.</w:t>
      </w:r>
      <w:r>
        <w:rPr>
          <w:noProof/>
        </w:rPr>
        <w:t>7</w:t>
      </w:r>
      <w:r w:rsidRPr="001729A3">
        <w:fldChar w:fldCharType="end"/>
      </w:r>
      <w:r w:rsidRPr="001729A3">
        <w:t xml:space="preserve">). </w:t>
      </w:r>
    </w:p>
    <w:p w14:paraId="7418B093" w14:textId="77777777" w:rsidR="00D471AD" w:rsidRPr="001729A3" w:rsidRDefault="00D471AD" w:rsidP="00D471AD">
      <w:pPr>
        <w:pStyle w:val="BodyText"/>
      </w:pPr>
      <w:r w:rsidRPr="001729A3">
        <w:t xml:space="preserve">In 2014–15 the total proportion of businesses in Australia earning a quarter or more </w:t>
      </w:r>
      <w:r>
        <w:t>of their income</w:t>
      </w:r>
      <w:r w:rsidRPr="001729A3">
        <w:t xml:space="preserve"> from innovative goods and services were:</w:t>
      </w:r>
    </w:p>
    <w:p w14:paraId="7418B094" w14:textId="77777777" w:rsidR="00D471AD" w:rsidRPr="001729A3" w:rsidRDefault="00D471AD" w:rsidP="00D471AD">
      <w:pPr>
        <w:pStyle w:val="ListBullet"/>
      </w:pPr>
      <w:r w:rsidRPr="001729A3">
        <w:t>21 per cent for micro-sized businesses</w:t>
      </w:r>
    </w:p>
    <w:p w14:paraId="7418B095" w14:textId="77777777" w:rsidR="00D471AD" w:rsidRPr="001729A3" w:rsidRDefault="00D471AD" w:rsidP="00D471AD">
      <w:pPr>
        <w:pStyle w:val="ListBullet"/>
      </w:pPr>
      <w:r w:rsidRPr="001729A3">
        <w:t>11 per cent for small-sized businesses</w:t>
      </w:r>
    </w:p>
    <w:p w14:paraId="7418B096" w14:textId="77777777" w:rsidR="00D471AD" w:rsidRPr="001729A3" w:rsidRDefault="00D471AD" w:rsidP="00D471AD">
      <w:pPr>
        <w:pStyle w:val="ListBullet"/>
      </w:pPr>
      <w:r w:rsidRPr="001729A3">
        <w:t>11 per cent for medium-sized businesses</w:t>
      </w:r>
    </w:p>
    <w:p w14:paraId="7418B097" w14:textId="77777777" w:rsidR="00D471AD" w:rsidRPr="001729A3" w:rsidRDefault="00D471AD" w:rsidP="00D471AD">
      <w:pPr>
        <w:pStyle w:val="ListBullet"/>
      </w:pPr>
      <w:r w:rsidRPr="001729A3">
        <w:t>3 per cent for large-sized businesses.</w:t>
      </w:r>
    </w:p>
    <w:p w14:paraId="7418B098" w14:textId="77777777" w:rsidR="00D471AD" w:rsidRPr="001729A3" w:rsidRDefault="00D471AD" w:rsidP="00D471AD">
      <w:pPr>
        <w:pStyle w:val="BodyText"/>
      </w:pPr>
    </w:p>
    <w:p w14:paraId="7418B099" w14:textId="77777777" w:rsidR="00D471AD" w:rsidRPr="001729A3" w:rsidRDefault="00D471AD" w:rsidP="00D471AD">
      <w:pPr>
        <w:pStyle w:val="BodyText"/>
        <w:sectPr w:rsidR="00D471AD" w:rsidRPr="001729A3" w:rsidSect="00D471AD">
          <w:headerReference w:type="even" r:id="rId75"/>
          <w:headerReference w:type="default" r:id="rId76"/>
          <w:footerReference w:type="default" r:id="rId77"/>
          <w:headerReference w:type="first" r:id="rId78"/>
          <w:footerReference w:type="first" r:id="rId79"/>
          <w:footnotePr>
            <w:numFmt w:val="upperRoman"/>
          </w:footnotePr>
          <w:endnotePr>
            <w:numFmt w:val="decimal"/>
          </w:endnotePr>
          <w:pgSz w:w="11906" w:h="16838" w:code="9"/>
          <w:pgMar w:top="1440" w:right="1020" w:bottom="1440" w:left="992" w:header="709" w:footer="709" w:gutter="0"/>
          <w:cols w:num="2" w:space="708"/>
          <w:docGrid w:linePitch="360"/>
        </w:sectPr>
      </w:pPr>
    </w:p>
    <w:p w14:paraId="7418B09A" w14:textId="77777777" w:rsidR="00D471AD" w:rsidRPr="000D502B" w:rsidRDefault="00D471AD" w:rsidP="00D471AD">
      <w:pPr>
        <w:pStyle w:val="Caption"/>
        <w:spacing w:before="114"/>
      </w:pPr>
      <w:bookmarkStart w:id="1038" w:name="_Ref461114527"/>
      <w:bookmarkStart w:id="1039" w:name="_Toc461198223"/>
      <w:bookmarkStart w:id="1040" w:name="_Toc461198765"/>
      <w:bookmarkStart w:id="1041" w:name="_Toc461204053"/>
      <w:bookmarkStart w:id="1042" w:name="_Toc461527495"/>
      <w:bookmarkStart w:id="1043" w:name="_Toc461539530"/>
      <w:bookmarkStart w:id="1044" w:name="_Toc461541647"/>
      <w:bookmarkStart w:id="1045" w:name="_Toc461545402"/>
      <w:bookmarkStart w:id="1046" w:name="_Toc461624398"/>
      <w:bookmarkStart w:id="1047" w:name="_Toc461629623"/>
      <w:bookmarkStart w:id="1048" w:name="_Toc461632953"/>
      <w:bookmarkStart w:id="1049" w:name="_Toc461634223"/>
      <w:bookmarkStart w:id="1050" w:name="_Toc463013879"/>
      <w:bookmarkStart w:id="1051" w:name="_Toc463013988"/>
      <w:bookmarkStart w:id="1052" w:name="_Toc463014422"/>
      <w:bookmarkStart w:id="1053" w:name="_Toc463877062"/>
      <w:bookmarkStart w:id="1054" w:name="_Toc465864574"/>
      <w:r w:rsidRPr="000D502B">
        <w:t xml:space="preserve">Figure </w:t>
      </w:r>
      <w:fldSimple w:instr=" STYLEREF 1 \s ">
        <w:r>
          <w:rPr>
            <w:noProof/>
          </w:rPr>
          <w:t>2</w:t>
        </w:r>
      </w:fldSimple>
      <w:r w:rsidRPr="000D502B">
        <w:t>.</w:t>
      </w:r>
      <w:fldSimple w:instr=" SEQ Figure \* ARABIC \s 1 ">
        <w:r>
          <w:rPr>
            <w:noProof/>
          </w:rPr>
          <w:t>7</w:t>
        </w:r>
      </w:fldSimple>
      <w:bookmarkEnd w:id="1038"/>
      <w:r w:rsidRPr="000D502B">
        <w:t xml:space="preserve">: Total </w:t>
      </w:r>
      <w:r>
        <w:t xml:space="preserve">business </w:t>
      </w:r>
      <w:r w:rsidRPr="000D502B">
        <w:t>income derived from sales of new goods and/or services, by size, 2014–15</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tbl>
      <w:tblPr>
        <w:tblStyle w:val="OCETable"/>
        <w:tblW w:w="9979" w:type="dxa"/>
        <w:tblInd w:w="108" w:type="dxa"/>
        <w:tblLayout w:type="fixed"/>
        <w:tblLook w:val="04A0" w:firstRow="1" w:lastRow="0" w:firstColumn="1" w:lastColumn="0" w:noHBand="0" w:noVBand="1"/>
        <w:tblCaption w:val="Placeholder table"/>
      </w:tblPr>
      <w:tblGrid>
        <w:gridCol w:w="9979"/>
      </w:tblGrid>
      <w:tr w:rsidR="00D471AD" w:rsidRPr="000D502B" w14:paraId="7418B09C" w14:textId="77777777" w:rsidTr="004A31A9">
        <w:trPr>
          <w:cnfStyle w:val="100000000000" w:firstRow="1" w:lastRow="0" w:firstColumn="0" w:lastColumn="0" w:oddVBand="0" w:evenVBand="0" w:oddHBand="0" w:evenHBand="0" w:firstRowFirstColumn="0" w:firstRowLastColumn="0" w:lastRowFirstColumn="0" w:lastRowLastColumn="0"/>
          <w:trHeight w:hRule="exact" w:val="4536"/>
          <w:tblHeader/>
        </w:trPr>
        <w:tc>
          <w:tcPr>
            <w:tcW w:w="9979" w:type="dxa"/>
            <w:shd w:val="clear" w:color="auto" w:fill="auto"/>
          </w:tcPr>
          <w:p w14:paraId="7418B09B" w14:textId="77777777" w:rsidR="00D471AD" w:rsidRPr="000D502B" w:rsidRDefault="00D471AD" w:rsidP="004A31A9">
            <w:pPr>
              <w:pStyle w:val="Placeholder"/>
            </w:pPr>
            <w:r>
              <w:rPr>
                <w:noProof/>
                <w:lang w:eastAsia="en-AU"/>
              </w:rPr>
              <w:drawing>
                <wp:inline distT="0" distB="0" distL="0" distR="0" wp14:anchorId="7418C629" wp14:editId="7418C62A">
                  <wp:extent cx="6240795" cy="2838203"/>
                  <wp:effectExtent l="0" t="0" r="7620" b="635"/>
                  <wp:docPr id="31" name="Picture 31" descr="Figure 2.7 is a horizontal stacked bar chart showing the percentage of total business sales income generated from the sale of new goods and/or services by employment size in 2014–15.&#10;It shows that for large businesses (200 or more persons), 12.8 per cent generated no income, 51.4 per cent generated between 0 to less than 5 per cent income, 27.3 per cent generated between 5 to less than 10 per cent income, 5.8 per cent generated between 10 and less than 25 per cent income and 2.7 per cent generated 25 per cent or more income from the sale of new goods and/or services.&#10;It shows that for medium-sized businesses (20 to fewer than 200 persons), 13.3 per cent generated no income, 34.3 per cent generated between 0 to less than 5 per cent income, 25.3 per cent generated between 5 to less than 10 per cent income, 16.6 per cent generated between 10 and less than 25 per cent income and 10.5 per cent generated 25 per cent or more income from the sale of new goods and/or services.&#10;It shows that for small businesses (between 5 and 19 persons), 9.0 per cent generated no income, 35.8 per cent generated between 0 to less than 5 per cent income, 30.5 per cent generated between 5 to less than 10 per cent income, 13.9 per cent generated between 10 and less than 25 per cent income and 10.7 per cent generated 25 per cent or more income from the sale of new goods and/or services.&#10;It shows that for micro businesses (fewer than 5 persons), 16.8 per cent generated no income, 28.3 per cent generated between 0 to less than 5 per cent income, 17.4 per cent generated between 5 to less than 10 per cent income, 16.8 per cent generated between 10 and less than 25 per cent income and 20.8 per cent generated 25 per cent or more income from the sale of new goods and/or services." title="Figure 2.7: Total business income derived from sales of new goods and/or services, by size,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60207" cy="2847031"/>
                          </a:xfrm>
                          <a:prstGeom prst="rect">
                            <a:avLst/>
                          </a:prstGeom>
                          <a:noFill/>
                        </pic:spPr>
                      </pic:pic>
                    </a:graphicData>
                  </a:graphic>
                </wp:inline>
              </w:drawing>
            </w:r>
          </w:p>
        </w:tc>
      </w:tr>
    </w:tbl>
    <w:p w14:paraId="7418B09D" w14:textId="77777777" w:rsidR="00D471AD" w:rsidRPr="001729A3" w:rsidRDefault="00D471AD" w:rsidP="00D471AD">
      <w:pPr>
        <w:pStyle w:val="Source"/>
        <w:rPr>
          <w:lang w:val="en-AU"/>
        </w:rPr>
      </w:pPr>
      <w:r w:rsidRPr="001729A3">
        <w:rPr>
          <w:lang w:val="en-AU"/>
        </w:rPr>
        <w:t xml:space="preserve">Source: ABS (2016) </w:t>
      </w:r>
      <w:r w:rsidRPr="00C24E99">
        <w:rPr>
          <w:i/>
          <w:lang w:val="en-AU"/>
        </w:rPr>
        <w:t>Innovation in Australian Business 2014–15</w:t>
      </w:r>
      <w:r w:rsidRPr="001729A3">
        <w:rPr>
          <w:lang w:val="en-AU"/>
        </w:rPr>
        <w:t>, cat. no. 8158.0</w:t>
      </w:r>
    </w:p>
    <w:p w14:paraId="7418B09E" w14:textId="77777777" w:rsidR="00D471AD" w:rsidRPr="001729A3" w:rsidRDefault="00D471AD" w:rsidP="00D471AD">
      <w:pPr>
        <w:pStyle w:val="BodyText"/>
      </w:pPr>
    </w:p>
    <w:p w14:paraId="7418B09F" w14:textId="77777777" w:rsidR="00D471AD" w:rsidRPr="001729A3" w:rsidRDefault="00D471AD" w:rsidP="00D471AD">
      <w:pPr>
        <w:pStyle w:val="BodyText"/>
        <w:sectPr w:rsidR="00D471AD" w:rsidRPr="001729A3" w:rsidSect="00D471AD">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0A0" w14:textId="77777777" w:rsidR="00D471AD" w:rsidRPr="001729A3" w:rsidRDefault="00D471AD" w:rsidP="00D471AD">
      <w:pPr>
        <w:pStyle w:val="BodyText"/>
      </w:pPr>
      <w:r w:rsidRPr="001729A3">
        <w:t>Based on this data</w:t>
      </w:r>
      <w:r>
        <w:t>,</w:t>
      </w:r>
      <w:r w:rsidRPr="001729A3">
        <w:t xml:space="preserve"> and using Methodology 2.3, we estimate that Australian businesses earned $60 billion from the sale of innovative goods and services </w:t>
      </w:r>
      <w:r w:rsidRPr="00317818">
        <w:t>introduced</w:t>
      </w:r>
      <w:r w:rsidRPr="001729A3">
        <w:t xml:space="preserve"> in 2014–15. This was approximately two per cent of total sales in that same year. Half of this income was generated by SMEs ($28 billion).</w:t>
      </w:r>
    </w:p>
    <w:p w14:paraId="7418B0A1" w14:textId="77777777" w:rsidR="00D471AD" w:rsidRPr="001729A3" w:rsidRDefault="00D471AD" w:rsidP="00D471AD">
      <w:pPr>
        <w:pStyle w:val="BodyText"/>
      </w:pPr>
      <w:r w:rsidRPr="001729A3">
        <w:t>There is significant variation by sector in the income earned from innovative goods and services (</w:t>
      </w:r>
      <w:r w:rsidRPr="001729A3">
        <w:fldChar w:fldCharType="begin"/>
      </w:r>
      <w:r w:rsidRPr="001729A3">
        <w:instrText xml:space="preserve"> REF _Ref461114583 \h </w:instrText>
      </w:r>
      <w:r w:rsidRPr="001729A3">
        <w:fldChar w:fldCharType="separate"/>
      </w:r>
      <w:r w:rsidRPr="000D502B">
        <w:t xml:space="preserve">Figure </w:t>
      </w:r>
      <w:r>
        <w:rPr>
          <w:noProof/>
        </w:rPr>
        <w:t>2</w:t>
      </w:r>
      <w:r w:rsidRPr="000D502B">
        <w:t>.</w:t>
      </w:r>
      <w:r>
        <w:rPr>
          <w:noProof/>
        </w:rPr>
        <w:t>8</w:t>
      </w:r>
      <w:r w:rsidRPr="001729A3">
        <w:fldChar w:fldCharType="end"/>
      </w:r>
      <w:r w:rsidRPr="001729A3">
        <w:t xml:space="preserve">). </w:t>
      </w:r>
      <w:r w:rsidRPr="001729A3">
        <w:rPr>
          <w:i/>
        </w:rPr>
        <w:t>Wholesale Trade</w:t>
      </w:r>
      <w:r w:rsidRPr="001729A3">
        <w:t xml:space="preserve"> ($11 billion), </w:t>
      </w:r>
      <w:r w:rsidRPr="001729A3">
        <w:rPr>
          <w:i/>
        </w:rPr>
        <w:t>Manufacturing</w:t>
      </w:r>
      <w:r w:rsidRPr="001729A3">
        <w:t xml:space="preserve"> ($10 billion), </w:t>
      </w:r>
      <w:r w:rsidRPr="001729A3">
        <w:rPr>
          <w:i/>
        </w:rPr>
        <w:t>Finance and Insurance Services</w:t>
      </w:r>
      <w:r w:rsidRPr="001729A3">
        <w:t xml:space="preserve"> ($10 billion) and </w:t>
      </w:r>
      <w:r w:rsidRPr="001729A3">
        <w:rPr>
          <w:i/>
        </w:rPr>
        <w:t>Professional, Scientific and Technical Services</w:t>
      </w:r>
      <w:r w:rsidRPr="001729A3">
        <w:t xml:space="preserve"> ($6 billion) were the four largest earners from 2014–15 goods and services innovations. </w:t>
      </w:r>
      <w:r w:rsidRPr="001729A3">
        <w:br w:type="column"/>
        <w:t xml:space="preserve">These sectors also tended to earn a higher proportion of their total income from the sale of innovative goods compared to the national average of two per cent. </w:t>
      </w:r>
      <w:r w:rsidRPr="001729A3">
        <w:rPr>
          <w:i/>
        </w:rPr>
        <w:t>Information, Media and Telecommunication Services</w:t>
      </w:r>
      <w:r w:rsidRPr="001729A3">
        <w:t xml:space="preserve"> earned $3 billion from innovative goods and services introduced in 2014–15, which was close to 4 per cent of its total income for that year. Sectors with a smaller share of GDP</w:t>
      </w:r>
      <w:r>
        <w:t xml:space="preserve"> (</w:t>
      </w:r>
      <w:r w:rsidRPr="001729A3">
        <w:t xml:space="preserve">for example </w:t>
      </w:r>
      <w:r w:rsidRPr="001729A3">
        <w:rPr>
          <w:i/>
        </w:rPr>
        <w:t>Agriculture, Forestry and Fishing</w:t>
      </w:r>
      <w:r>
        <w:t>),</w:t>
      </w:r>
      <w:r w:rsidRPr="001729A3">
        <w:t xml:space="preserve"> or that were more likely to undertake process and/or organisational innovations than goods and services innovation</w:t>
      </w:r>
      <w:r>
        <w:t xml:space="preserve"> (</w:t>
      </w:r>
      <w:r w:rsidRPr="001729A3">
        <w:t xml:space="preserve">for example </w:t>
      </w:r>
      <w:r w:rsidRPr="001729A3">
        <w:rPr>
          <w:i/>
        </w:rPr>
        <w:t>Mining</w:t>
      </w:r>
      <w:r>
        <w:t>),</w:t>
      </w:r>
      <w:r w:rsidRPr="001729A3">
        <w:t xml:space="preserve"> did not earn significant income from their new goods and service innovations in 2014–15.</w:t>
      </w:r>
    </w:p>
    <w:p w14:paraId="7418B0A2" w14:textId="77777777" w:rsidR="00D471AD" w:rsidRDefault="00D471AD" w:rsidP="00D471AD">
      <w:pPr>
        <w:pStyle w:val="Caption"/>
      </w:pPr>
      <w:bookmarkStart w:id="1055" w:name="_Ref461114583"/>
      <w:bookmarkStart w:id="1056" w:name="_Toc461198224"/>
      <w:bookmarkStart w:id="1057" w:name="_Toc461198766"/>
      <w:bookmarkStart w:id="1058" w:name="_Toc461204054"/>
      <w:bookmarkStart w:id="1059" w:name="_Toc461527496"/>
      <w:bookmarkStart w:id="1060" w:name="_Toc461539531"/>
      <w:bookmarkStart w:id="1061" w:name="_Toc461541648"/>
      <w:bookmarkStart w:id="1062" w:name="_Toc461545403"/>
      <w:bookmarkStart w:id="1063" w:name="_Toc461624399"/>
      <w:bookmarkStart w:id="1064" w:name="_Toc461629624"/>
      <w:bookmarkStart w:id="1065" w:name="_Toc461632954"/>
      <w:bookmarkStart w:id="1066" w:name="_Toc461634224"/>
      <w:bookmarkStart w:id="1067" w:name="_Toc463013880"/>
      <w:bookmarkStart w:id="1068" w:name="_Toc463013989"/>
      <w:bookmarkStart w:id="1069" w:name="_Toc463014423"/>
      <w:bookmarkStart w:id="1070" w:name="_Toc463877063"/>
      <w:bookmarkStart w:id="1071" w:name="_Toc465864575"/>
      <w:r w:rsidRPr="000D502B">
        <w:t xml:space="preserve">Figure </w:t>
      </w:r>
      <w:fldSimple w:instr=" STYLEREF 1 \s ">
        <w:r>
          <w:rPr>
            <w:noProof/>
          </w:rPr>
          <w:t>2</w:t>
        </w:r>
      </w:fldSimple>
      <w:r w:rsidRPr="000D502B">
        <w:t>.</w:t>
      </w:r>
      <w:fldSimple w:instr=" SEQ Figure \* ARABIC \s 1 ">
        <w:r>
          <w:rPr>
            <w:noProof/>
          </w:rPr>
          <w:t>8</w:t>
        </w:r>
      </w:fldSimple>
      <w:bookmarkEnd w:id="1055"/>
      <w:r w:rsidRPr="000D502B">
        <w:t xml:space="preserve">: Total estimated </w:t>
      </w:r>
      <w:r>
        <w:t xml:space="preserve">business </w:t>
      </w:r>
      <w:r w:rsidRPr="000D502B">
        <w:t>sales from innovation goods and services, by sector, 2014–15</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7418B0A3" w14:textId="77777777" w:rsidR="00D471AD" w:rsidRPr="000A4AD0" w:rsidRDefault="00D471AD" w:rsidP="00D471AD">
      <w:r>
        <w:rPr>
          <w:noProof/>
          <w:lang w:eastAsia="en-AU"/>
        </w:rPr>
        <w:drawing>
          <wp:inline distT="0" distB="0" distL="0" distR="0" wp14:anchorId="7418C62B" wp14:editId="7418C62C">
            <wp:extent cx="2763715" cy="7323201"/>
            <wp:effectExtent l="0" t="0" r="0" b="0"/>
            <wp:docPr id="12" name="Picture 12" descr="Figure 2.8 shows the total estimated business sales from innovative goods and service, by sector for 2014–15. Wholesale Trade, Manufacturing, and Financial and Insurance Services received the largest amounts, earning 11.6, 10.0 and 9.5 billion dollars respectively. Electricity, Gas, Water and Waste Services, and Agriculture, Forestry and Fishing received the lowest sums, only 0.4 billion dollars each." title="Figure 2.8: Total estimated business sales from innovation goods and services, by sector,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67529" cy="7333308"/>
                    </a:xfrm>
                    <a:prstGeom prst="rect">
                      <a:avLst/>
                    </a:prstGeom>
                    <a:noFill/>
                  </pic:spPr>
                </pic:pic>
              </a:graphicData>
            </a:graphic>
          </wp:inline>
        </w:drawing>
      </w:r>
    </w:p>
    <w:p w14:paraId="7418B0A4" w14:textId="77777777" w:rsidR="00D471AD" w:rsidRPr="001729A3" w:rsidRDefault="00D471AD" w:rsidP="00D471AD">
      <w:pPr>
        <w:pStyle w:val="Note"/>
        <w:rPr>
          <w:lang w:val="en-AU"/>
        </w:rPr>
      </w:pPr>
      <w:r w:rsidRPr="001729A3">
        <w:rPr>
          <w:lang w:val="en-AU"/>
        </w:rPr>
        <w:t xml:space="preserve">Notes: Bars are standard errors. Data is unavailable for Rental, Hiring and Real Estate Services; Arts and Recreation Services; and Other </w:t>
      </w:r>
      <w:r>
        <w:rPr>
          <w:lang w:val="en-AU"/>
        </w:rPr>
        <w:t>S</w:t>
      </w:r>
      <w:r w:rsidRPr="001729A3">
        <w:rPr>
          <w:lang w:val="en-AU"/>
        </w:rPr>
        <w:t>ervices.</w:t>
      </w:r>
    </w:p>
    <w:p w14:paraId="7418B0A5" w14:textId="77777777" w:rsidR="00D471AD" w:rsidRPr="001729A3" w:rsidRDefault="00D471AD" w:rsidP="00D471AD">
      <w:pPr>
        <w:pStyle w:val="Source"/>
        <w:rPr>
          <w:lang w:val="en-AU"/>
        </w:rPr>
      </w:pPr>
      <w:r w:rsidRPr="001729A3">
        <w:rPr>
          <w:lang w:val="en-AU"/>
        </w:rPr>
        <w:t>Source: Customised ABS data commissioned by the Department of Industry, Innovation and Science.</w:t>
      </w:r>
    </w:p>
    <w:p w14:paraId="7418B0A6" w14:textId="77777777" w:rsidR="00D471AD" w:rsidRPr="000D502B" w:rsidRDefault="00D471AD" w:rsidP="00D471AD">
      <w:pPr>
        <w:pStyle w:val="Caption"/>
      </w:pPr>
      <w:bookmarkStart w:id="1072" w:name="_Toc461174548"/>
      <w:bookmarkStart w:id="1073" w:name="_Toc461180102"/>
      <w:bookmarkStart w:id="1074" w:name="_Toc461180198"/>
      <w:bookmarkStart w:id="1075" w:name="_Toc461180490"/>
      <w:bookmarkStart w:id="1076" w:name="_Toc461180570"/>
      <w:bookmarkStart w:id="1077" w:name="_Toc461180619"/>
      <w:bookmarkStart w:id="1078" w:name="_Toc461183227"/>
      <w:bookmarkStart w:id="1079" w:name="_Toc461183279"/>
      <w:bookmarkStart w:id="1080" w:name="_Toc461183357"/>
      <w:bookmarkStart w:id="1081" w:name="_Toc461183822"/>
      <w:bookmarkStart w:id="1082" w:name="_Toc461184428"/>
      <w:bookmarkStart w:id="1083" w:name="_Toc461184533"/>
      <w:bookmarkStart w:id="1084" w:name="_Toc461186571"/>
      <w:bookmarkStart w:id="1085" w:name="_Toc461186888"/>
      <w:bookmarkStart w:id="1086" w:name="_Toc461186993"/>
      <w:bookmarkStart w:id="1087" w:name="_Toc461187252"/>
      <w:bookmarkStart w:id="1088" w:name="_Toc461198279"/>
      <w:bookmarkStart w:id="1089" w:name="_Toc461198821"/>
      <w:bookmarkStart w:id="1090" w:name="_Toc461204109"/>
      <w:bookmarkStart w:id="1091" w:name="_Toc461527560"/>
      <w:bookmarkStart w:id="1092" w:name="_Toc461624465"/>
      <w:bookmarkStart w:id="1093" w:name="_Toc461629690"/>
      <w:bookmarkStart w:id="1094" w:name="_Toc461633020"/>
      <w:bookmarkStart w:id="1095" w:name="_Toc461634290"/>
      <w:r w:rsidRPr="000D502B">
        <w:t xml:space="preserve">Methodology </w:t>
      </w:r>
      <w:fldSimple w:instr=" STYLEREF 1 \s ">
        <w:r>
          <w:rPr>
            <w:noProof/>
          </w:rPr>
          <w:t>2</w:t>
        </w:r>
      </w:fldSimple>
      <w:r w:rsidRPr="000D502B">
        <w:t>.</w:t>
      </w:r>
      <w:fldSimple w:instr=" SEQ Methodology \* ARABIC \s 1 ">
        <w:r>
          <w:rPr>
            <w:noProof/>
          </w:rPr>
          <w:t>3</w:t>
        </w:r>
      </w:fldSimple>
      <w:r w:rsidRPr="000D502B">
        <w:t>: Measuring the impact of innovation</w:t>
      </w:r>
    </w:p>
    <w:tbl>
      <w:tblPr>
        <w:tblStyle w:val="OCETable"/>
        <w:tblW w:w="4706" w:type="dxa"/>
        <w:tblInd w:w="57" w:type="dxa"/>
        <w:shd w:val="clear" w:color="auto" w:fill="292B67"/>
        <w:tblLayout w:type="fixed"/>
        <w:tblLook w:val="04A0" w:firstRow="1" w:lastRow="0" w:firstColumn="1" w:lastColumn="0" w:noHBand="0" w:noVBand="1"/>
        <w:tblCaption w:val="Measuring the impace of innovation"/>
        <w:tblDescription w:val="For the first time in Australia, businesses were asked the following question in the 2014–15 Business Characteristics Survey:&#10;‘What percentage of the income reported in [Q3a: Total Income from Sales from Goods or  Services] resulted from new or significantly improved goods or services introduced during the year ended 30 June 2015?’&#10;Businesses were then asked to tick a percentage range.&#10;This question related specifically to the returns from goods or services innovation in the year of introduction. This question is also asked across European Union businesses, allowing us to make international comparisons.&#10;This question does not ask what proportion of total income from goods and services comes from innovations introduced earlier than the reference year.&#10;This question will also not capture some of the financial benefits from other types of innovation.&#10;Since the survey is designed to provide a representative sample of the Australian business population, the ABS is able to estimate the national expenditure using mid-points from ranges for each business that answered the question. This is likely to be an underestimate, given that businesses that ticked the range ‘Greater than or equal to 25 per cent’ was assigned a 25 per cent value in this estimation.&#10;"/>
      </w:tblPr>
      <w:tblGrid>
        <w:gridCol w:w="4706"/>
      </w:tblGrid>
      <w:tr w:rsidR="00D471AD" w:rsidRPr="000D502B" w14:paraId="7418B0AE"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92B67"/>
          </w:tcPr>
          <w:p w14:paraId="7418B0A7" w14:textId="77777777" w:rsidR="00D471AD" w:rsidRPr="00A53774" w:rsidRDefault="00D471AD" w:rsidP="004A31A9">
            <w:pPr>
              <w:pStyle w:val="Methodologytext"/>
              <w:spacing w:before="160"/>
              <w:rPr>
                <w:i w:val="0"/>
              </w:rPr>
            </w:pPr>
            <w:r w:rsidRPr="00A53774">
              <w:rPr>
                <w:i w:val="0"/>
              </w:rPr>
              <w:t>For the first time in Australia</w:t>
            </w:r>
            <w:r>
              <w:rPr>
                <w:i w:val="0"/>
              </w:rPr>
              <w:t>,</w:t>
            </w:r>
            <w:r w:rsidRPr="00A53774">
              <w:rPr>
                <w:i w:val="0"/>
              </w:rPr>
              <w:t xml:space="preserve"> </w:t>
            </w:r>
            <w:r>
              <w:rPr>
                <w:i w:val="0"/>
              </w:rPr>
              <w:t xml:space="preserve">businesses </w:t>
            </w:r>
            <w:r w:rsidRPr="00A53774">
              <w:rPr>
                <w:i w:val="0"/>
              </w:rPr>
              <w:t>were asked the following question in the 2014–15 Business Characteristics Survey:</w:t>
            </w:r>
          </w:p>
          <w:p w14:paraId="7418B0A8" w14:textId="77777777" w:rsidR="00D471AD" w:rsidRPr="007B1483" w:rsidRDefault="00D471AD" w:rsidP="004A31A9">
            <w:pPr>
              <w:pStyle w:val="Methodologytext"/>
            </w:pPr>
            <w:r w:rsidRPr="00521D5B">
              <w:t>‘What percentage of the income reported in [Q3a: Total Income from Sales from Goods or  Services] resulted from new or significantly improved goods or services introduced during the year ended 30 June 2015?’</w:t>
            </w:r>
          </w:p>
          <w:p w14:paraId="7418B0A9" w14:textId="77777777" w:rsidR="00D471AD" w:rsidRPr="00A53774" w:rsidRDefault="00D471AD" w:rsidP="004A31A9">
            <w:pPr>
              <w:pStyle w:val="Methodologytext"/>
              <w:rPr>
                <w:i w:val="0"/>
              </w:rPr>
            </w:pPr>
            <w:r>
              <w:rPr>
                <w:i w:val="0"/>
              </w:rPr>
              <w:t xml:space="preserve">Businesses </w:t>
            </w:r>
            <w:r w:rsidRPr="00A53774">
              <w:rPr>
                <w:i w:val="0"/>
              </w:rPr>
              <w:t>were then asked to tick a percentage range.</w:t>
            </w:r>
          </w:p>
          <w:p w14:paraId="7418B0AA" w14:textId="77777777" w:rsidR="00D471AD" w:rsidRPr="00A53774" w:rsidRDefault="00D471AD" w:rsidP="004A31A9">
            <w:pPr>
              <w:pStyle w:val="Methodologytext"/>
              <w:rPr>
                <w:i w:val="0"/>
              </w:rPr>
            </w:pPr>
            <w:r w:rsidRPr="00A53774">
              <w:rPr>
                <w:i w:val="0"/>
              </w:rPr>
              <w:t xml:space="preserve">This question related specifically to the returns from goods </w:t>
            </w:r>
            <w:r>
              <w:rPr>
                <w:i w:val="0"/>
              </w:rPr>
              <w:t>or</w:t>
            </w:r>
            <w:r w:rsidRPr="00A53774">
              <w:rPr>
                <w:i w:val="0"/>
              </w:rPr>
              <w:t xml:space="preserve"> services innovation in the year of introduction. This question is also asked across European Union </w:t>
            </w:r>
            <w:r>
              <w:rPr>
                <w:i w:val="0"/>
              </w:rPr>
              <w:t xml:space="preserve">businesses, </w:t>
            </w:r>
            <w:r w:rsidRPr="00A53774">
              <w:rPr>
                <w:i w:val="0"/>
              </w:rPr>
              <w:t>allowing us to make international comparisons.</w:t>
            </w:r>
          </w:p>
          <w:p w14:paraId="7418B0AB" w14:textId="77777777" w:rsidR="00D471AD" w:rsidRPr="00A53774" w:rsidRDefault="00D471AD" w:rsidP="004A31A9">
            <w:pPr>
              <w:pStyle w:val="Methodologytext"/>
              <w:rPr>
                <w:i w:val="0"/>
              </w:rPr>
            </w:pPr>
            <w:r w:rsidRPr="00A53774">
              <w:rPr>
                <w:i w:val="0"/>
              </w:rPr>
              <w:t>This question does not ask what proportion of total income from goods and services comes from innovations introduced earlier than the reference year.</w:t>
            </w:r>
          </w:p>
          <w:p w14:paraId="7418B0AC" w14:textId="77777777" w:rsidR="00D471AD" w:rsidRPr="00A53774" w:rsidRDefault="00D471AD" w:rsidP="004A31A9">
            <w:pPr>
              <w:pStyle w:val="Methodologytext"/>
              <w:rPr>
                <w:i w:val="0"/>
              </w:rPr>
            </w:pPr>
            <w:r w:rsidRPr="00A53774">
              <w:rPr>
                <w:i w:val="0"/>
              </w:rPr>
              <w:t>This question will also not capture some of the financial benefits from other types of innovation.</w:t>
            </w:r>
          </w:p>
          <w:p w14:paraId="7418B0AD" w14:textId="77777777" w:rsidR="00D471AD" w:rsidRPr="000D502B" w:rsidRDefault="00D471AD" w:rsidP="004A31A9">
            <w:pPr>
              <w:pStyle w:val="Methodologytext"/>
            </w:pPr>
            <w:r w:rsidRPr="00A53774">
              <w:rPr>
                <w:i w:val="0"/>
              </w:rPr>
              <w:t xml:space="preserve">Since the survey is designed to provide a representative sample of the Australian </w:t>
            </w:r>
            <w:r>
              <w:rPr>
                <w:i w:val="0"/>
              </w:rPr>
              <w:t xml:space="preserve">business </w:t>
            </w:r>
            <w:r w:rsidRPr="00A53774">
              <w:rPr>
                <w:i w:val="0"/>
              </w:rPr>
              <w:t xml:space="preserve">population, the ABS is able to estimate the national expenditure using mid-points from ranges for each </w:t>
            </w:r>
            <w:r>
              <w:rPr>
                <w:i w:val="0"/>
              </w:rPr>
              <w:t xml:space="preserve">business </w:t>
            </w:r>
            <w:r w:rsidRPr="00A53774">
              <w:rPr>
                <w:i w:val="0"/>
              </w:rPr>
              <w:t>that answered the question. This is likely to be an underestimate</w:t>
            </w:r>
            <w:r>
              <w:rPr>
                <w:i w:val="0"/>
              </w:rPr>
              <w:t>,</w:t>
            </w:r>
            <w:r w:rsidRPr="00A53774">
              <w:rPr>
                <w:i w:val="0"/>
              </w:rPr>
              <w:t xml:space="preserve"> given that </w:t>
            </w:r>
            <w:r>
              <w:rPr>
                <w:i w:val="0"/>
              </w:rPr>
              <w:t xml:space="preserve">businesses </w:t>
            </w:r>
            <w:r w:rsidRPr="00A53774">
              <w:rPr>
                <w:i w:val="0"/>
              </w:rPr>
              <w:t>that ticked the range ‘Greater than or equal to 25 per cent’ was assigned a 25 per cent value in this estimation.</w:t>
            </w:r>
          </w:p>
        </w:tc>
      </w:tr>
    </w:tbl>
    <w:p w14:paraId="7418B0AF" w14:textId="77777777" w:rsidR="00D471AD" w:rsidRPr="00924CA6" w:rsidRDefault="00D471AD" w:rsidP="00D471AD">
      <w:pPr>
        <w:pStyle w:val="heading3new"/>
      </w:pPr>
      <w:r w:rsidRPr="00C97EA7">
        <w:rPr>
          <w:rStyle w:val="BodyTextChar"/>
        </w:rPr>
        <w:br w:type="column"/>
      </w:r>
      <w:bookmarkStart w:id="1096" w:name="_Toc462230074"/>
      <w:bookmarkStart w:id="1097" w:name="_Toc462231435"/>
      <w:bookmarkStart w:id="1098" w:name="_Toc463013936"/>
      <w:bookmarkStart w:id="1099" w:name="_Toc463014045"/>
      <w:bookmarkStart w:id="1100" w:name="_Toc463014479"/>
      <w:bookmarkStart w:id="1101" w:name="_Toc463877012"/>
      <w:bookmarkStart w:id="1102" w:name="_Toc465862806"/>
      <w:r>
        <w:t>I</w:t>
      </w:r>
      <w:r w:rsidRPr="00924CA6">
        <w:t>ncome from goods and services innovation</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7418B0B0" w14:textId="77777777" w:rsidR="00D471AD" w:rsidRPr="001729A3" w:rsidRDefault="00D471AD" w:rsidP="00D471AD">
      <w:pPr>
        <w:pStyle w:val="BodyText"/>
      </w:pPr>
      <w:r w:rsidRPr="001729A3">
        <w:t>Australia appears to earn a relatively low proportion of its total income from innovative goods and services compared with other countries (</w:t>
      </w:r>
      <w:r w:rsidRPr="001729A3">
        <w:fldChar w:fldCharType="begin"/>
      </w:r>
      <w:r w:rsidRPr="001729A3">
        <w:instrText xml:space="preserve"> REF _Ref461114624 \h </w:instrText>
      </w:r>
      <w:r w:rsidRPr="001729A3">
        <w:fldChar w:fldCharType="separate"/>
      </w:r>
      <w:r w:rsidRPr="000D502B">
        <w:t xml:space="preserve">Figure </w:t>
      </w:r>
      <w:r>
        <w:rPr>
          <w:noProof/>
        </w:rPr>
        <w:t>2</w:t>
      </w:r>
      <w:r w:rsidRPr="000D502B">
        <w:t>.</w:t>
      </w:r>
      <w:r>
        <w:rPr>
          <w:noProof/>
        </w:rPr>
        <w:t>9</w:t>
      </w:r>
      <w:r w:rsidRPr="001729A3">
        <w:fldChar w:fldCharType="end"/>
      </w:r>
      <w:r w:rsidRPr="001729A3">
        <w:t xml:space="preserve">). When we match Australian data to the </w:t>
      </w:r>
      <w:r>
        <w:t xml:space="preserve">EU </w:t>
      </w:r>
      <w:r w:rsidRPr="001729A3">
        <w:t xml:space="preserve">Community Innovation Survey industry scope and business size classes, Australia’s estimate of the income from new or significantly improved good and services is 7.2 per cent of total sales in 2014-15. With this value Australia ranks 20th out of 23 countries in the OECD, with the OECD top five average being 19 per cent. </w:t>
      </w:r>
    </w:p>
    <w:p w14:paraId="7418B0B1" w14:textId="77777777" w:rsidR="00D471AD" w:rsidRPr="000D502B" w:rsidRDefault="00D471AD" w:rsidP="00D471AD">
      <w:pPr>
        <w:pStyle w:val="Caption"/>
        <w:spacing w:before="120"/>
      </w:pPr>
      <w:bookmarkStart w:id="1103" w:name="_Ref461114624"/>
      <w:bookmarkStart w:id="1104" w:name="_Toc461198225"/>
      <w:bookmarkStart w:id="1105" w:name="_Toc461198767"/>
      <w:bookmarkStart w:id="1106" w:name="_Toc461204055"/>
      <w:bookmarkStart w:id="1107" w:name="_Toc461527497"/>
      <w:bookmarkStart w:id="1108" w:name="_Toc461539532"/>
      <w:bookmarkStart w:id="1109" w:name="_Toc461541649"/>
      <w:bookmarkStart w:id="1110" w:name="_Toc461545404"/>
      <w:bookmarkStart w:id="1111" w:name="_Toc461624400"/>
      <w:bookmarkStart w:id="1112" w:name="_Toc461629625"/>
      <w:bookmarkStart w:id="1113" w:name="_Toc461632955"/>
      <w:bookmarkStart w:id="1114" w:name="_Toc461634225"/>
      <w:bookmarkStart w:id="1115" w:name="_Toc463013881"/>
      <w:bookmarkStart w:id="1116" w:name="_Toc463013990"/>
      <w:bookmarkStart w:id="1117" w:name="_Toc463014424"/>
      <w:bookmarkStart w:id="1118" w:name="_Toc463877064"/>
      <w:bookmarkStart w:id="1119" w:name="_Toc465864576"/>
      <w:r w:rsidRPr="000D502B">
        <w:t xml:space="preserve">Figure </w:t>
      </w:r>
      <w:fldSimple w:instr=" STYLEREF 1 \s ">
        <w:r>
          <w:rPr>
            <w:noProof/>
          </w:rPr>
          <w:t>2</w:t>
        </w:r>
      </w:fldSimple>
      <w:r w:rsidRPr="000D502B">
        <w:t>.</w:t>
      </w:r>
      <w:fldSimple w:instr=" SEQ Figure \* ARABIC \s 1 ">
        <w:r>
          <w:rPr>
            <w:noProof/>
          </w:rPr>
          <w:t>9</w:t>
        </w:r>
      </w:fldSimple>
      <w:bookmarkEnd w:id="1103"/>
      <w:r w:rsidRPr="000D502B">
        <w:t>: Share of income from new or significantly improved goods and services, by country, 201</w:t>
      </w:r>
      <w:bookmarkEnd w:id="1104"/>
      <w:bookmarkEnd w:id="1105"/>
      <w:bookmarkEnd w:id="1106"/>
      <w:bookmarkEnd w:id="1107"/>
      <w:bookmarkEnd w:id="1108"/>
      <w:bookmarkEnd w:id="1109"/>
      <w:bookmarkEnd w:id="1110"/>
      <w:r>
        <w:t>2</w:t>
      </w:r>
      <w:bookmarkEnd w:id="1111"/>
      <w:bookmarkEnd w:id="1112"/>
      <w:bookmarkEnd w:id="1113"/>
      <w:bookmarkEnd w:id="1114"/>
      <w:bookmarkEnd w:id="1115"/>
      <w:bookmarkEnd w:id="1116"/>
      <w:bookmarkEnd w:id="1117"/>
      <w:bookmarkEnd w:id="1118"/>
      <w:bookmarkEnd w:id="1119"/>
    </w:p>
    <w:p w14:paraId="7418B0B2" w14:textId="77777777" w:rsidR="00D471AD" w:rsidRPr="000D502B" w:rsidRDefault="00D471AD" w:rsidP="00D471AD">
      <w:pPr>
        <w:pStyle w:val="Placeholder"/>
        <w:jc w:val="left"/>
      </w:pPr>
      <w:r>
        <w:rPr>
          <w:noProof/>
          <w:lang w:eastAsia="en-AU"/>
        </w:rPr>
        <w:drawing>
          <wp:inline distT="0" distB="0" distL="0" distR="0" wp14:anchorId="7418C62D" wp14:editId="7418C62E">
            <wp:extent cx="3005455" cy="2353310"/>
            <wp:effectExtent l="0" t="0" r="4445" b="8890"/>
            <wp:docPr id="5" name="Picture 5" descr="Figure 2.9 shows international comparisons of the share of income from new or significantly improved goods and services in 2012. Australia’s proportion is 7.2 per cent, compared to an OECD average of 12.0 per cent, and an OECD top five average of 19.1 per cent." title="Figure 2.9: Share of income from new or significantly improved goods and services, by countr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05455" cy="2353310"/>
                    </a:xfrm>
                    <a:prstGeom prst="rect">
                      <a:avLst/>
                    </a:prstGeom>
                    <a:noFill/>
                  </pic:spPr>
                </pic:pic>
              </a:graphicData>
            </a:graphic>
          </wp:inline>
        </w:drawing>
      </w:r>
    </w:p>
    <w:p w14:paraId="7418B0B3" w14:textId="77777777" w:rsidR="00D471AD" w:rsidRPr="001729A3" w:rsidRDefault="00D471AD" w:rsidP="00D471AD">
      <w:pPr>
        <w:pStyle w:val="Note"/>
        <w:rPr>
          <w:lang w:val="en-AU"/>
        </w:rPr>
      </w:pPr>
      <w:r w:rsidRPr="001729A3">
        <w:rPr>
          <w:lang w:val="en-AU"/>
        </w:rPr>
        <w:t>Notes: Australian business data is matched to the EU Community Innovation Survey industry and size scope. Community Innovation Survey</w:t>
      </w:r>
      <w:r w:rsidRPr="001729A3" w:rsidDel="0020098F">
        <w:rPr>
          <w:lang w:val="en-AU"/>
        </w:rPr>
        <w:t xml:space="preserve"> </w:t>
      </w:r>
      <w:r w:rsidRPr="001729A3">
        <w:rPr>
          <w:lang w:val="en-AU"/>
        </w:rPr>
        <w:t>data relates to total sales in 2012. More recent EU data is not yet available. Australian data is for 2014-15. The OECD top five</w:t>
      </w:r>
      <w:r>
        <w:rPr>
          <w:lang w:val="en-AU"/>
        </w:rPr>
        <w:t xml:space="preserve"> countries</w:t>
      </w:r>
      <w:r w:rsidRPr="001729A3">
        <w:rPr>
          <w:lang w:val="en-AU"/>
        </w:rPr>
        <w:t xml:space="preserve"> are Turkey, Slovakia, Spain, U</w:t>
      </w:r>
      <w:r>
        <w:rPr>
          <w:lang w:val="en-AU"/>
        </w:rPr>
        <w:t xml:space="preserve">nited </w:t>
      </w:r>
      <w:r w:rsidRPr="001729A3">
        <w:rPr>
          <w:lang w:val="en-AU"/>
        </w:rPr>
        <w:t>K</w:t>
      </w:r>
      <w:r>
        <w:rPr>
          <w:lang w:val="en-AU"/>
        </w:rPr>
        <w:t>ingdom</w:t>
      </w:r>
      <w:r w:rsidRPr="001729A3">
        <w:rPr>
          <w:lang w:val="en-AU"/>
        </w:rPr>
        <w:t xml:space="preserve"> and Denmark.  </w:t>
      </w:r>
    </w:p>
    <w:p w14:paraId="7418B0B4" w14:textId="77777777" w:rsidR="00D471AD" w:rsidRPr="001729A3" w:rsidRDefault="00D471AD" w:rsidP="00D471AD">
      <w:pPr>
        <w:pStyle w:val="Source"/>
        <w:rPr>
          <w:lang w:val="en-AU"/>
        </w:rPr>
      </w:pPr>
      <w:r w:rsidRPr="001729A3">
        <w:rPr>
          <w:lang w:val="en-AU"/>
        </w:rPr>
        <w:t>Source: Customised ABS data commissioned by the Department of Industry, Innovation and Science</w:t>
      </w:r>
      <w:r>
        <w:rPr>
          <w:lang w:val="en-AU"/>
        </w:rPr>
        <w:t>;</w:t>
      </w:r>
      <w:r w:rsidRPr="001729A3">
        <w:rPr>
          <w:lang w:val="en-AU"/>
        </w:rPr>
        <w:t xml:space="preserve"> Eurostat</w:t>
      </w:r>
    </w:p>
    <w:p w14:paraId="7418B0B5" w14:textId="77777777" w:rsidR="00D471AD" w:rsidRPr="00924CA6" w:rsidRDefault="00D471AD" w:rsidP="00D471AD">
      <w:pPr>
        <w:pStyle w:val="heading3new"/>
      </w:pPr>
      <w:bookmarkStart w:id="1120" w:name="_Toc461174549"/>
      <w:bookmarkStart w:id="1121" w:name="_Toc461180103"/>
      <w:bookmarkStart w:id="1122" w:name="_Toc461180199"/>
      <w:bookmarkStart w:id="1123" w:name="_Toc461180491"/>
      <w:bookmarkStart w:id="1124" w:name="_Toc461180571"/>
      <w:bookmarkStart w:id="1125" w:name="_Toc461180620"/>
      <w:bookmarkStart w:id="1126" w:name="_Toc461183228"/>
      <w:bookmarkStart w:id="1127" w:name="_Toc461183280"/>
      <w:bookmarkStart w:id="1128" w:name="_Toc461183358"/>
      <w:bookmarkStart w:id="1129" w:name="_Toc461183823"/>
      <w:bookmarkStart w:id="1130" w:name="_Toc461184429"/>
      <w:bookmarkStart w:id="1131" w:name="_Toc461184534"/>
      <w:bookmarkStart w:id="1132" w:name="_Toc461186572"/>
      <w:bookmarkStart w:id="1133" w:name="_Toc461186889"/>
      <w:bookmarkStart w:id="1134" w:name="_Toc461186994"/>
      <w:bookmarkStart w:id="1135" w:name="_Toc461187253"/>
      <w:bookmarkStart w:id="1136" w:name="_Toc461198280"/>
      <w:bookmarkStart w:id="1137" w:name="_Toc461198822"/>
      <w:bookmarkStart w:id="1138" w:name="_Toc461204110"/>
      <w:bookmarkStart w:id="1139" w:name="_Toc461527561"/>
      <w:bookmarkStart w:id="1140" w:name="_Toc461624466"/>
      <w:bookmarkStart w:id="1141" w:name="_Toc461629691"/>
      <w:bookmarkStart w:id="1142" w:name="_Toc461633021"/>
      <w:bookmarkStart w:id="1143" w:name="_Toc461634291"/>
      <w:r w:rsidRPr="003067DF">
        <w:br w:type="column"/>
      </w:r>
      <w:bookmarkStart w:id="1144" w:name="_Toc462230075"/>
      <w:bookmarkStart w:id="1145" w:name="_Toc462231436"/>
      <w:bookmarkStart w:id="1146" w:name="_Toc463013937"/>
      <w:bookmarkStart w:id="1147" w:name="_Toc463014046"/>
      <w:bookmarkStart w:id="1148" w:name="_Toc463014480"/>
      <w:bookmarkStart w:id="1149" w:name="_Toc463877013"/>
      <w:bookmarkStart w:id="1150" w:name="_Toc465862807"/>
      <w:r w:rsidRPr="00924CA6">
        <w:t>A new measure of innovation system efficiency</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7418B0B6" w14:textId="77777777" w:rsidR="00D471AD" w:rsidRPr="001729A3" w:rsidRDefault="00D471AD" w:rsidP="00D471AD">
      <w:pPr>
        <w:pStyle w:val="BodyText"/>
      </w:pPr>
      <w:r w:rsidRPr="001729A3">
        <w:t>The ABS estimates total expenditure on innovation by Australian businesses in 2014–15 was between $26 billion and $30 billion. To calculate these figures, i</w:t>
      </w:r>
      <w:r w:rsidRPr="00EB4DDE">
        <w:t xml:space="preserve">nnovation-active businesses were asked to estimate their expenditure </w:t>
      </w:r>
      <w:r w:rsidRPr="00955BD2">
        <w:t>(using ranges)</w:t>
      </w:r>
      <w:r w:rsidRPr="00EB4DDE">
        <w:t xml:space="preserve"> on the development or introduction of all new goods, services, processes or methods during the reference period</w:t>
      </w:r>
      <w:r>
        <w:t xml:space="preserve">. To estimate the innovation expenditure by all Australian businesses, the ABS assigned a </w:t>
      </w:r>
      <w:r w:rsidRPr="00EB4DDE">
        <w:t>random value to each innovation-active business that reported expenditure within the bounded ranges</w:t>
      </w:r>
      <w:r>
        <w:t xml:space="preserve">, combined them with any actual dollar values reported, and </w:t>
      </w:r>
      <w:r w:rsidRPr="00EB4DDE">
        <w:t xml:space="preserve">weighted </w:t>
      </w:r>
      <w:r>
        <w:t xml:space="preserve">the results </w:t>
      </w:r>
      <w:r w:rsidRPr="00EB4DDE">
        <w:t>to derive an innovation expenditure total.</w:t>
      </w:r>
      <w:r>
        <w:t xml:space="preserve"> This operation was performed multiple times, and the average provides an approximate value of innovation expenditure.</w:t>
      </w:r>
    </w:p>
    <w:p w14:paraId="7418B0B7" w14:textId="77777777" w:rsidR="00D471AD" w:rsidRPr="001729A3" w:rsidRDefault="00D471AD" w:rsidP="00D471AD">
      <w:pPr>
        <w:pStyle w:val="BodyText"/>
      </w:pPr>
      <w:r w:rsidRPr="001729A3">
        <w:t>As noted earlier in this section</w:t>
      </w:r>
      <w:r>
        <w:t>,</w:t>
      </w:r>
      <w:r w:rsidRPr="001729A3">
        <w:t xml:space="preserve"> Australian businesses were estimated to have earned $60 billion in 2014–15 from innovative goods and services. This level of income, combined with the expenditure estimated above, </w:t>
      </w:r>
      <w:r w:rsidRPr="00660104">
        <w:t>suggest</w:t>
      </w:r>
      <w:r>
        <w:t>s</w:t>
      </w:r>
      <w:r w:rsidRPr="001729A3">
        <w:t xml:space="preserve"> that for every dollar put into innovation by the market two dollars are returned (without making any assumptions about lag effects, additional public sector investment</w:t>
      </w:r>
      <w:r>
        <w:t>,</w:t>
      </w:r>
      <w:r w:rsidRPr="001729A3">
        <w:t xml:space="preserve"> or trying to model what types of innovations were actually invested in)</w:t>
      </w:r>
      <w:r w:rsidRPr="001729A3" w:rsidDel="003E0B76">
        <w:t>.</w:t>
      </w:r>
    </w:p>
    <w:p w14:paraId="7418B0B8" w14:textId="77777777" w:rsidR="00D471AD" w:rsidRPr="001729A3" w:rsidRDefault="00D471AD" w:rsidP="00D471AD">
      <w:pPr>
        <w:pStyle w:val="BodyText"/>
      </w:pPr>
      <w:r w:rsidRPr="001729A3">
        <w:t>This indicates that</w:t>
      </w:r>
      <w:r>
        <w:t xml:space="preserve"> </w:t>
      </w:r>
      <w:r w:rsidRPr="00802163">
        <w:t xml:space="preserve">innovation investment contributes significantly to sales in </w:t>
      </w:r>
      <w:r w:rsidRPr="001729A3">
        <w:t>the private sector</w:t>
      </w:r>
      <w:r>
        <w:t xml:space="preserve">. The contribution of innovation is </w:t>
      </w:r>
      <w:r w:rsidRPr="001729A3">
        <w:t>likely to be higher than our estimate</w:t>
      </w:r>
      <w:r>
        <w:t>,</w:t>
      </w:r>
      <w:r w:rsidRPr="001729A3">
        <w:t xml:space="preserve"> given that:</w:t>
      </w:r>
    </w:p>
    <w:p w14:paraId="7418B0B9" w14:textId="77777777" w:rsidR="00D471AD" w:rsidRPr="001729A3" w:rsidRDefault="00D471AD" w:rsidP="00D471AD">
      <w:pPr>
        <w:pStyle w:val="ListBullet3"/>
        <w:numPr>
          <w:ilvl w:val="0"/>
          <w:numId w:val="12"/>
        </w:numPr>
      </w:pPr>
      <w:r w:rsidRPr="001729A3">
        <w:t>the financial benefits of other types of innovation, such as process innovation, are not captured in this indicator and are known to be higher than goods and services innovation</w:t>
      </w:r>
    </w:p>
    <w:p w14:paraId="7418B0BA" w14:textId="77777777" w:rsidR="00D471AD" w:rsidRPr="001729A3" w:rsidRDefault="00D471AD" w:rsidP="00D471AD">
      <w:pPr>
        <w:pStyle w:val="ListBullet3"/>
        <w:numPr>
          <w:ilvl w:val="0"/>
          <w:numId w:val="12"/>
        </w:numPr>
      </w:pPr>
      <w:r w:rsidRPr="001729A3">
        <w:t>sales from innovative goods and services introduced in previous years are not measured.</w:t>
      </w:r>
    </w:p>
    <w:p w14:paraId="7418B0BB" w14:textId="77777777" w:rsidR="00D471AD" w:rsidRPr="000D502B" w:rsidRDefault="00D471AD" w:rsidP="00D471AD">
      <w:pPr>
        <w:pStyle w:val="Heading2"/>
      </w:pPr>
      <w:r w:rsidRPr="00EB4DDE">
        <w:rPr>
          <w:rStyle w:val="BodyTextChar"/>
        </w:rPr>
        <w:br w:type="column"/>
      </w:r>
      <w:bookmarkStart w:id="1151" w:name="_Toc462230076"/>
      <w:bookmarkStart w:id="1152" w:name="_Toc462231437"/>
      <w:bookmarkStart w:id="1153" w:name="_Toc463013938"/>
      <w:bookmarkStart w:id="1154" w:name="_Toc463014047"/>
      <w:bookmarkStart w:id="1155" w:name="_Toc463014481"/>
      <w:bookmarkStart w:id="1156" w:name="_Toc463877014"/>
      <w:bookmarkStart w:id="1157" w:name="_Toc465862808"/>
      <w:r w:rsidRPr="000D502B">
        <w:t xml:space="preserve">Feature </w:t>
      </w:r>
      <w:r>
        <w:t>a</w:t>
      </w:r>
      <w:r w:rsidRPr="000D502B">
        <w:t>rticle</w:t>
      </w:r>
      <w:r>
        <w:t>: CSIRO Futures</w:t>
      </w:r>
      <w:bookmarkEnd w:id="1151"/>
      <w:bookmarkEnd w:id="1152"/>
      <w:bookmarkEnd w:id="1153"/>
      <w:bookmarkEnd w:id="1154"/>
      <w:bookmarkEnd w:id="1155"/>
      <w:bookmarkEnd w:id="1156"/>
      <w:bookmarkEnd w:id="1157"/>
    </w:p>
    <w:tbl>
      <w:tblPr>
        <w:tblW w:w="0" w:type="auto"/>
        <w:tblLook w:val="04A0" w:firstRow="1" w:lastRow="0" w:firstColumn="1" w:lastColumn="0" w:noHBand="0" w:noVBand="1"/>
      </w:tblPr>
      <w:tblGrid>
        <w:gridCol w:w="4607"/>
      </w:tblGrid>
      <w:tr w:rsidR="00D471AD" w:rsidRPr="000D502B" w14:paraId="7418B0C4" w14:textId="77777777" w:rsidTr="004A31A9">
        <w:tc>
          <w:tcPr>
            <w:tcW w:w="4159" w:type="dxa"/>
          </w:tcPr>
          <w:p w14:paraId="7418B0BC" w14:textId="77777777" w:rsidR="00D471AD" w:rsidRPr="001729A3" w:rsidRDefault="00D471AD" w:rsidP="004A31A9">
            <w:pPr>
              <w:pStyle w:val="Author"/>
            </w:pPr>
            <w:r w:rsidRPr="001729A3">
              <w:t>Author  James Deverell</w:t>
            </w:r>
          </w:p>
          <w:p w14:paraId="7418B0BD" w14:textId="77777777" w:rsidR="00D471AD" w:rsidRPr="001729A3" w:rsidRDefault="00D471AD" w:rsidP="004A31A9">
            <w:pPr>
              <w:pStyle w:val="Author"/>
            </w:pPr>
            <w:r w:rsidRPr="001729A3">
              <w:t>Director, CSIRO Futures</w:t>
            </w:r>
          </w:p>
          <w:p w14:paraId="7418B0BE" w14:textId="77777777" w:rsidR="00D471AD" w:rsidRDefault="00D471AD" w:rsidP="004A31A9">
            <w:pPr>
              <w:pStyle w:val="CellSpaceBefore"/>
            </w:pPr>
          </w:p>
          <w:tbl>
            <w:tblPr>
              <w:tblStyle w:val="OCETable"/>
              <w:tblW w:w="4706" w:type="dxa"/>
              <w:tblCellMar>
                <w:left w:w="0" w:type="dxa"/>
                <w:right w:w="0" w:type="dxa"/>
              </w:tblCellMar>
              <w:tblLook w:val="04A0" w:firstRow="1" w:lastRow="0" w:firstColumn="1" w:lastColumn="0" w:noHBand="0" w:noVBand="1"/>
              <w:tblCaption w:val="Placeholder table"/>
            </w:tblPr>
            <w:tblGrid>
              <w:gridCol w:w="4706"/>
            </w:tblGrid>
            <w:tr w:rsidR="00D471AD" w14:paraId="7418B0C0" w14:textId="77777777" w:rsidTr="004A31A9">
              <w:trPr>
                <w:cnfStyle w:val="100000000000" w:firstRow="1" w:lastRow="0" w:firstColumn="0" w:lastColumn="0" w:oddVBand="0" w:evenVBand="0" w:oddHBand="0" w:evenHBand="0" w:firstRowFirstColumn="0" w:firstRowLastColumn="0" w:lastRowFirstColumn="0" w:lastRowLastColumn="0"/>
                <w:cantSplit/>
                <w:trHeight w:hRule="exact" w:val="3402"/>
                <w:tblHeader/>
              </w:trPr>
              <w:tc>
                <w:tcPr>
                  <w:tcW w:w="4706" w:type="dxa"/>
                  <w:shd w:val="clear" w:color="auto" w:fill="auto"/>
                </w:tcPr>
                <w:p w14:paraId="7418B0BF" w14:textId="77777777" w:rsidR="00D471AD" w:rsidRDefault="00D471AD" w:rsidP="004A31A9">
                  <w:pPr>
                    <w:pStyle w:val="Placeholder"/>
                    <w:jc w:val="both"/>
                  </w:pPr>
                  <w:r>
                    <w:rPr>
                      <w:noProof/>
                      <w:lang w:eastAsia="en-AU"/>
                    </w:rPr>
                    <w:drawing>
                      <wp:inline distT="0" distB="0" distL="0" distR="0" wp14:anchorId="7418C62F" wp14:editId="7418C630">
                        <wp:extent cx="1682151" cy="2101981"/>
                        <wp:effectExtent l="0" t="0" r="0" b="0"/>
                        <wp:docPr id="35" name="Picture 35" descr="Director, CSIRO Futures" title="James Dever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verell-headshot.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98220" cy="2122060"/>
                                </a:xfrm>
                                <a:prstGeom prst="rect">
                                  <a:avLst/>
                                </a:prstGeom>
                              </pic:spPr>
                            </pic:pic>
                          </a:graphicData>
                        </a:graphic>
                      </wp:inline>
                    </w:drawing>
                  </w:r>
                </w:p>
              </w:tc>
            </w:tr>
            <w:tr w:rsidR="00D471AD" w14:paraId="7418B0C2" w14:textId="77777777" w:rsidTr="004A31A9">
              <w:trPr>
                <w:cantSplit/>
                <w:trHeight w:hRule="exact" w:val="3402"/>
              </w:trPr>
              <w:tc>
                <w:tcPr>
                  <w:tcW w:w="4706" w:type="dxa"/>
                  <w:shd w:val="clear" w:color="auto" w:fill="auto"/>
                </w:tcPr>
                <w:p w14:paraId="7418B0C1" w14:textId="77777777" w:rsidR="00D471AD" w:rsidRDefault="00D471AD" w:rsidP="004A31A9">
                  <w:pPr>
                    <w:pStyle w:val="Placeholder"/>
                    <w:jc w:val="both"/>
                  </w:pPr>
                  <w:r>
                    <w:rPr>
                      <w:noProof/>
                      <w:lang w:eastAsia="en-AU"/>
                    </w:rPr>
                    <w:drawing>
                      <wp:inline distT="0" distB="0" distL="0" distR="0" wp14:anchorId="7418C631" wp14:editId="7418C632">
                        <wp:extent cx="1630392" cy="1630392"/>
                        <wp:effectExtent l="0" t="0" r="8255" b="8255"/>
                        <wp:docPr id="58" name="Picture 58" title="CSI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SIRO_Logo.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33891" cy="1633891"/>
                                </a:xfrm>
                                <a:prstGeom prst="rect">
                                  <a:avLst/>
                                </a:prstGeom>
                              </pic:spPr>
                            </pic:pic>
                          </a:graphicData>
                        </a:graphic>
                      </wp:inline>
                    </w:drawing>
                  </w:r>
                </w:p>
              </w:tc>
            </w:tr>
          </w:tbl>
          <w:p w14:paraId="7418B0C3" w14:textId="77777777" w:rsidR="00D471AD" w:rsidRPr="001729A3" w:rsidRDefault="00D471AD" w:rsidP="004A31A9">
            <w:pPr>
              <w:pStyle w:val="Author"/>
            </w:pPr>
          </w:p>
        </w:tc>
      </w:tr>
    </w:tbl>
    <w:p w14:paraId="7418B0C5" w14:textId="77777777" w:rsidR="00D471AD" w:rsidRPr="001729A3" w:rsidRDefault="00D471AD" w:rsidP="00D471AD">
      <w:pPr>
        <w:pStyle w:val="CellSpaceAfter"/>
        <w:rPr>
          <w:i/>
          <w:color w:val="22789A"/>
          <w:sz w:val="20"/>
        </w:rPr>
      </w:pPr>
      <w:r w:rsidRPr="001729A3">
        <w:rPr>
          <w:i/>
          <w:color w:val="22789A"/>
          <w:sz w:val="20"/>
        </w:rPr>
        <w:t>After decades of economic growth enabled by market-oriented reforms and driven by strong demand for mineral resources, Australia is now facing an uncertain economic future. The investment phase of the mining boom is over. The world is changing rapidly as unprecedented wealth creation shifts the balance of economic power towards Asia. Global demand for exports is expected to treble by 2050.</w:t>
      </w:r>
      <w:r w:rsidRPr="001729A3">
        <w:rPr>
          <w:i/>
          <w:color w:val="22789A"/>
          <w:vertAlign w:val="superscript"/>
        </w:rPr>
        <w:endnoteReference w:id="32"/>
      </w:r>
      <w:r w:rsidRPr="001729A3">
        <w:rPr>
          <w:i/>
          <w:color w:val="22789A"/>
          <w:sz w:val="20"/>
        </w:rPr>
        <w:t xml:space="preserve"> This will create enormous opportunities for Australia. However, at the same time new business models and disruptive technologies are threatening established industries faster than ever before.</w:t>
      </w:r>
    </w:p>
    <w:p w14:paraId="7418B0C6" w14:textId="77777777" w:rsidR="00D471AD" w:rsidRPr="001729A3" w:rsidRDefault="00D471AD" w:rsidP="00D471AD">
      <w:pPr>
        <w:pStyle w:val="CellSpaceAfter"/>
        <w:rPr>
          <w:i/>
          <w:color w:val="22789A"/>
          <w:sz w:val="20"/>
        </w:rPr>
      </w:pPr>
      <w:r w:rsidRPr="001729A3">
        <w:rPr>
          <w:i/>
          <w:color w:val="22789A"/>
          <w:sz w:val="20"/>
        </w:rPr>
        <w:t>Faced with these changes, how will Australia maintain its competitiveness in existing industries and build comparative advantage in new and emerging industries? While this is a complex and multi-faceted question, one of the most important factors will be innovation, particularly in science and technology. The OECD estimates that technological innovation, driven by R&amp;D investment, contributes around 50 percent of GDP growth in developed countries.</w:t>
      </w:r>
      <w:r w:rsidRPr="001729A3">
        <w:rPr>
          <w:i/>
          <w:color w:val="22789A"/>
          <w:vertAlign w:val="superscript"/>
        </w:rPr>
        <w:endnoteReference w:id="33"/>
      </w:r>
    </w:p>
    <w:p w14:paraId="7418B0C7" w14:textId="77777777" w:rsidR="00D471AD" w:rsidRPr="001729A3" w:rsidRDefault="00D471AD" w:rsidP="00D471AD">
      <w:pPr>
        <w:pStyle w:val="CellSpaceAfter"/>
        <w:rPr>
          <w:i/>
          <w:color w:val="22789A"/>
          <w:sz w:val="20"/>
        </w:rPr>
      </w:pPr>
      <w:r w:rsidRPr="001729A3">
        <w:rPr>
          <w:i/>
          <w:color w:val="22789A"/>
          <w:sz w:val="20"/>
        </w:rPr>
        <w:t xml:space="preserve">Innovation will be important on two fronts. First, it will be key to increasing productivity in existing industries through the application of new technologies, such as automation, data analytics and genetics. This matters because Australia’s multi-factor productivity has been in decline for the </w:t>
      </w:r>
      <w:r>
        <w:rPr>
          <w:i/>
          <w:color w:val="22789A"/>
          <w:sz w:val="20"/>
        </w:rPr>
        <w:t>p</w:t>
      </w:r>
      <w:r w:rsidRPr="001729A3">
        <w:rPr>
          <w:i/>
          <w:color w:val="22789A"/>
          <w:sz w:val="20"/>
        </w:rPr>
        <w:t>ast decade</w:t>
      </w:r>
      <w:r>
        <w:rPr>
          <w:i/>
          <w:color w:val="22789A"/>
          <w:sz w:val="20"/>
        </w:rPr>
        <w:t>,</w:t>
      </w:r>
      <w:r w:rsidRPr="001729A3">
        <w:rPr>
          <w:i/>
          <w:color w:val="22789A"/>
          <w:sz w:val="20"/>
        </w:rPr>
        <w:t xml:space="preserve"> and productivity is one of the key drivers of economic growth.</w:t>
      </w:r>
      <w:r w:rsidRPr="001729A3">
        <w:rPr>
          <w:i/>
          <w:color w:val="22789A"/>
          <w:vertAlign w:val="superscript"/>
        </w:rPr>
        <w:endnoteReference w:id="34"/>
      </w:r>
    </w:p>
    <w:p w14:paraId="7418B0C8" w14:textId="77777777" w:rsidR="00D471AD" w:rsidRPr="001729A3" w:rsidRDefault="00D471AD" w:rsidP="00D471AD">
      <w:pPr>
        <w:pStyle w:val="CellSpaceAfter"/>
        <w:rPr>
          <w:i/>
          <w:color w:val="22789A"/>
          <w:sz w:val="20"/>
        </w:rPr>
      </w:pPr>
      <w:r w:rsidRPr="001729A3">
        <w:rPr>
          <w:i/>
          <w:color w:val="22789A"/>
          <w:sz w:val="20"/>
        </w:rPr>
        <w:t>Second, innovation will be a necessary ingredient for developing new industries and new companies through the commercialisation of emerging science and technology. With many of these innovations disrupting existing industries, it will be important to use these breakthroughs to generate new sources of comparative advantage internationally.</w:t>
      </w:r>
    </w:p>
    <w:p w14:paraId="7418B0C9" w14:textId="77777777" w:rsidR="00D471AD" w:rsidRPr="001729A3" w:rsidRDefault="00D471AD" w:rsidP="00D471AD">
      <w:pPr>
        <w:pStyle w:val="CellSpaceAfter"/>
        <w:rPr>
          <w:i/>
          <w:color w:val="22789A"/>
          <w:sz w:val="20"/>
        </w:rPr>
      </w:pPr>
      <w:r w:rsidRPr="001729A3">
        <w:rPr>
          <w:i/>
          <w:color w:val="22789A"/>
          <w:sz w:val="20"/>
        </w:rPr>
        <w:t>However, Australia has a limited window to seize these new opportunities. If we don’t, others will. This is the ‘innovation imperative’; in a rapidly changing world, Australia risks being left behind if it fails to innovate.</w:t>
      </w:r>
    </w:p>
    <w:p w14:paraId="7418B0CA" w14:textId="77777777" w:rsidR="00D471AD" w:rsidRPr="001729A3" w:rsidRDefault="00D471AD" w:rsidP="00D471AD">
      <w:pPr>
        <w:pStyle w:val="CellSpaceAfter"/>
        <w:rPr>
          <w:i/>
          <w:color w:val="22789A"/>
          <w:sz w:val="20"/>
        </w:rPr>
      </w:pPr>
      <w:r w:rsidRPr="001729A3">
        <w:rPr>
          <w:i/>
          <w:color w:val="22789A"/>
          <w:sz w:val="20"/>
        </w:rPr>
        <w:t>But how do we plan today’s innovation investments to meet these future opportunities and challenges? High-growth businesses and governments alike will need to make intelligent, informed decisions about where to invest to get the best outcomes, whether that is return on capital (at a corporate level) or new sources of economic growth and sustainability (at a national level).</w:t>
      </w:r>
    </w:p>
    <w:p w14:paraId="7418B0CB" w14:textId="77777777" w:rsidR="00D471AD" w:rsidRPr="001729A3" w:rsidRDefault="00D471AD" w:rsidP="00D471AD">
      <w:pPr>
        <w:pStyle w:val="CellSpaceAfter"/>
        <w:rPr>
          <w:i/>
          <w:color w:val="22789A"/>
          <w:sz w:val="20"/>
        </w:rPr>
      </w:pPr>
      <w:r w:rsidRPr="001729A3">
        <w:rPr>
          <w:i/>
          <w:color w:val="22789A"/>
          <w:sz w:val="20"/>
        </w:rPr>
        <w:t xml:space="preserve">In a recent report, </w:t>
      </w:r>
      <w:r w:rsidRPr="001729A3">
        <w:rPr>
          <w:color w:val="22789A"/>
          <w:sz w:val="20"/>
        </w:rPr>
        <w:t>Australia 2030: Navigating our Uncertain Future</w:t>
      </w:r>
      <w:r w:rsidRPr="001729A3">
        <w:rPr>
          <w:i/>
          <w:color w:val="22789A"/>
          <w:sz w:val="20"/>
        </w:rPr>
        <w:t xml:space="preserve">, CSIRO developed a framework to guide strategic planning and innovation investment decisions under uncertain conditions such as those currently facing Australia. The framework is based on CSIRO’s ‘global megatrends’, the long-term social, economic, environmental and technological patterns of change that CSIRO has been tracking since 2009. </w:t>
      </w:r>
      <w:r w:rsidRPr="001729A3">
        <w:rPr>
          <w:color w:val="22789A"/>
          <w:sz w:val="20"/>
        </w:rPr>
        <w:t>Australia 2030</w:t>
      </w:r>
      <w:r w:rsidRPr="001729A3">
        <w:rPr>
          <w:i/>
          <w:color w:val="22789A"/>
          <w:sz w:val="20"/>
        </w:rPr>
        <w:t xml:space="preserve"> presents the most recent iteration of these megatrends, crowdsourced across CSIRO’s 5000 research professionals, and uses them to develop four divergent scenarios for the future of Australia.</w:t>
      </w:r>
    </w:p>
    <w:p w14:paraId="7418B0CC" w14:textId="77777777" w:rsidR="00D471AD" w:rsidRPr="001729A3" w:rsidRDefault="00D471AD" w:rsidP="00D471AD">
      <w:pPr>
        <w:pStyle w:val="CellSpaceAfter"/>
        <w:rPr>
          <w:i/>
          <w:color w:val="22789A"/>
          <w:sz w:val="20"/>
        </w:rPr>
      </w:pPr>
      <w:r w:rsidRPr="001729A3">
        <w:rPr>
          <w:i/>
          <w:color w:val="22789A"/>
          <w:sz w:val="20"/>
        </w:rPr>
        <w:t>The report also outlines key growth opportunities for five core growth sectors across each of the scenarios. By using a scenarios-based approach, these opportunities span a range of future outlooks. CSIRO is now expanding on these opportunities to develop industry and technology roadmaps that identify how science, technology and innovation can enable these opportunities</w:t>
      </w:r>
      <w:r>
        <w:rPr>
          <w:i/>
          <w:color w:val="22789A"/>
          <w:sz w:val="20"/>
        </w:rPr>
        <w:t>,</w:t>
      </w:r>
      <w:r w:rsidRPr="001729A3">
        <w:rPr>
          <w:i/>
          <w:color w:val="22789A"/>
          <w:sz w:val="20"/>
        </w:rPr>
        <w:t xml:space="preserve"> and where investments are most likely to accelerate technology adoption.</w:t>
      </w:r>
    </w:p>
    <w:p w14:paraId="7418B0CD" w14:textId="77777777" w:rsidR="00D471AD" w:rsidRPr="001729A3" w:rsidRDefault="00D471AD" w:rsidP="00D471AD">
      <w:pPr>
        <w:pStyle w:val="CellSpaceAfter"/>
        <w:rPr>
          <w:i/>
          <w:color w:val="22789A"/>
          <w:sz w:val="20"/>
        </w:rPr>
      </w:pPr>
      <w:r w:rsidRPr="001729A3">
        <w:rPr>
          <w:i/>
          <w:color w:val="22789A"/>
          <w:sz w:val="20"/>
        </w:rPr>
        <w:t>The framework presented in Australia 2030 can also be applied within high-growth companies to align corporate strategy and innovation investments. The four steps of this framework are summarised below.</w:t>
      </w:r>
    </w:p>
    <w:p w14:paraId="7418B0CE" w14:textId="77777777" w:rsidR="00D471AD" w:rsidRPr="001729A3" w:rsidRDefault="00D471AD" w:rsidP="00D471AD">
      <w:pPr>
        <w:pStyle w:val="CellSpaceAfter"/>
        <w:rPr>
          <w:i/>
          <w:color w:val="22789A"/>
          <w:sz w:val="20"/>
        </w:rPr>
      </w:pPr>
      <w:r w:rsidRPr="001729A3">
        <w:rPr>
          <w:i/>
          <w:color w:val="22789A"/>
          <w:sz w:val="20"/>
        </w:rPr>
        <w:t>The first step of the framework (‘Explore’) identifies relevant trends and emerging technologies</w:t>
      </w:r>
      <w:r>
        <w:rPr>
          <w:i/>
          <w:color w:val="22789A"/>
          <w:sz w:val="20"/>
        </w:rPr>
        <w:t>,</w:t>
      </w:r>
      <w:r w:rsidRPr="001729A3">
        <w:rPr>
          <w:i/>
          <w:color w:val="22789A"/>
          <w:sz w:val="20"/>
        </w:rPr>
        <w:t xml:space="preserve"> and uses these to develop a view of the future landscape through a set of custom scenarios. For each of these scenarios, significant opportunities and risks are identified. There is a deliberate focus on identifying long</w:t>
      </w:r>
      <w:r>
        <w:rPr>
          <w:i/>
          <w:color w:val="22789A"/>
          <w:sz w:val="20"/>
        </w:rPr>
        <w:t>-</w:t>
      </w:r>
      <w:r w:rsidRPr="001729A3">
        <w:rPr>
          <w:i/>
          <w:color w:val="22789A"/>
          <w:sz w:val="20"/>
        </w:rPr>
        <w:t>term opportunities that challenge the status quo and provide sustainable value, rather than ‘quick wins’.</w:t>
      </w:r>
    </w:p>
    <w:p w14:paraId="7418B0CF" w14:textId="77777777" w:rsidR="00D471AD" w:rsidRPr="001729A3" w:rsidRDefault="00D471AD" w:rsidP="00D471AD">
      <w:pPr>
        <w:pStyle w:val="CellSpaceAfter"/>
        <w:rPr>
          <w:i/>
          <w:color w:val="22789A"/>
          <w:sz w:val="20"/>
        </w:rPr>
      </w:pPr>
      <w:r w:rsidRPr="001729A3">
        <w:rPr>
          <w:i/>
          <w:color w:val="22789A"/>
          <w:sz w:val="20"/>
        </w:rPr>
        <w:t>The second step (‘Choose’) assesses and prioritises these opportunities</w:t>
      </w:r>
      <w:r>
        <w:rPr>
          <w:i/>
          <w:color w:val="22789A"/>
          <w:sz w:val="20"/>
        </w:rPr>
        <w:t>,</w:t>
      </w:r>
      <w:r w:rsidRPr="001729A3">
        <w:rPr>
          <w:i/>
          <w:color w:val="22789A"/>
          <w:sz w:val="20"/>
        </w:rPr>
        <w:t xml:space="preserve"> and uses them to develop an innovation strategy that aligns with corporate strategy. One of the key purposes of an innovation strategy is to guide innovation investment decisions at all levels of the organisation. At a corporate level, it should inform decisions about where the company will be an innovation leader, where it will be a ‘fast-follower’ and, importantly, where it will deprioritise investment. Within individual business units and projects, the strategy should guide decisions about where to maintain capability in-house and where to partner or outsource.</w:t>
      </w:r>
    </w:p>
    <w:p w14:paraId="7418B0D0" w14:textId="77777777" w:rsidR="00D471AD" w:rsidRPr="001729A3" w:rsidRDefault="00D471AD" w:rsidP="00D471AD">
      <w:pPr>
        <w:pStyle w:val="CellSpaceAfter"/>
        <w:rPr>
          <w:i/>
          <w:color w:val="22789A"/>
          <w:sz w:val="20"/>
        </w:rPr>
      </w:pPr>
      <w:r w:rsidRPr="001729A3">
        <w:rPr>
          <w:i/>
          <w:color w:val="22789A"/>
          <w:sz w:val="20"/>
        </w:rPr>
        <w:t>The third step (‘Plan’) translates this strategy into a portfolio of technology projects</w:t>
      </w:r>
      <w:r>
        <w:rPr>
          <w:i/>
          <w:color w:val="22789A"/>
          <w:sz w:val="20"/>
        </w:rPr>
        <w:t>,</w:t>
      </w:r>
      <w:r w:rsidRPr="001729A3">
        <w:rPr>
          <w:i/>
          <w:color w:val="22789A"/>
          <w:sz w:val="20"/>
        </w:rPr>
        <w:t xml:space="preserve"> and identifies the skills, capabilities and resources that will be necessary to deliver against this portfolio. Taking a portfolio approach to innovation allows a company to diversify its investments across a spectrum of innovation activities, ranging from short-term incremental improvements to longer-term breakthrough and disruptive innovations.</w:t>
      </w:r>
    </w:p>
    <w:p w14:paraId="7418B0D1" w14:textId="77777777" w:rsidR="00D471AD" w:rsidRPr="001729A3" w:rsidRDefault="00D471AD" w:rsidP="00D471AD">
      <w:pPr>
        <w:pStyle w:val="CellSpaceAfter"/>
        <w:rPr>
          <w:i/>
          <w:color w:val="22789A"/>
          <w:sz w:val="20"/>
        </w:rPr>
      </w:pPr>
      <w:r w:rsidRPr="001729A3">
        <w:rPr>
          <w:i/>
          <w:color w:val="22789A"/>
          <w:sz w:val="20"/>
        </w:rPr>
        <w:t>The final step (‘Create’) is about executing against this portfolio of projects by developing the necessary skills, culture and partnerships to create sustainable value from technology. A key component in this step is identifying the right collaboration model and partners that align with the time horizon and intellectual property (IP) outlook of individual projects. An example of this is using exploratory development, such as corporate venturing or start-up accelerator programs, to collaborate on ideas and concepts. This can provide a low-risk and low-cost option to continually test ideas in unproven areas, and to trial relationships with new innovation partners.</w:t>
      </w:r>
    </w:p>
    <w:p w14:paraId="7418B0D2" w14:textId="77777777" w:rsidR="00D471AD" w:rsidRPr="001729A3" w:rsidRDefault="00D471AD" w:rsidP="00D471AD">
      <w:pPr>
        <w:pStyle w:val="CellSpaceAfter"/>
        <w:rPr>
          <w:i/>
          <w:color w:val="22789A"/>
          <w:sz w:val="20"/>
        </w:rPr>
      </w:pPr>
      <w:r w:rsidRPr="001729A3">
        <w:rPr>
          <w:i/>
          <w:color w:val="22789A"/>
          <w:sz w:val="20"/>
        </w:rPr>
        <w:t>These four steps provide a framework for developing an innovation strategy and technology portfolio based on a top-down view of long-term trends and emerging technologies</w:t>
      </w:r>
      <w:r>
        <w:rPr>
          <w:i/>
          <w:color w:val="22789A"/>
          <w:sz w:val="20"/>
        </w:rPr>
        <w:t>,</w:t>
      </w:r>
      <w:r w:rsidRPr="001729A3">
        <w:rPr>
          <w:i/>
          <w:color w:val="22789A"/>
          <w:sz w:val="20"/>
        </w:rPr>
        <w:t xml:space="preserve"> and a bottom-up view of existing comparative advantage. This approach can be applied at both a national level and within individual companies to identify new opportunities, align innovation investments with long-term strategy</w:t>
      </w:r>
      <w:r>
        <w:rPr>
          <w:i/>
          <w:color w:val="22789A"/>
          <w:sz w:val="20"/>
        </w:rPr>
        <w:t>,</w:t>
      </w:r>
      <w:r w:rsidRPr="001729A3">
        <w:rPr>
          <w:i/>
          <w:color w:val="22789A"/>
          <w:sz w:val="20"/>
        </w:rPr>
        <w:t xml:space="preserve"> and harness technology to create sustainable growth for the years ahead.</w:t>
      </w:r>
    </w:p>
    <w:p w14:paraId="7418B0D3" w14:textId="77777777" w:rsidR="00D471AD" w:rsidRPr="001729A3" w:rsidRDefault="00D471AD" w:rsidP="00D471AD">
      <w:pPr>
        <w:pStyle w:val="CellSpaceAfter"/>
      </w:pPr>
      <w:r w:rsidRPr="001729A3">
        <w:rPr>
          <w:i/>
          <w:color w:val="22789A"/>
          <w:sz w:val="20"/>
        </w:rPr>
        <w:t xml:space="preserve">Find out more about </w:t>
      </w:r>
      <w:hyperlink r:id="rId85" w:history="1">
        <w:r w:rsidRPr="001729A3">
          <w:rPr>
            <w:rStyle w:val="Hyperlink"/>
            <w:i/>
            <w:sz w:val="20"/>
          </w:rPr>
          <w:t>CSIRO Futures here</w:t>
        </w:r>
      </w:hyperlink>
      <w:r w:rsidRPr="001729A3">
        <w:rPr>
          <w:i/>
          <w:color w:val="22789A"/>
          <w:sz w:val="20"/>
        </w:rPr>
        <w:t>.</w:t>
      </w:r>
      <w:r w:rsidRPr="001729A3">
        <w:rPr>
          <w:rStyle w:val="EndnoteReference"/>
          <w:i/>
          <w:color w:val="22789A"/>
          <w:sz w:val="20"/>
        </w:rPr>
        <w:endnoteReference w:id="35"/>
      </w:r>
      <w:r w:rsidRPr="001729A3">
        <w:rPr>
          <w:i/>
          <w:color w:val="22789A"/>
          <w:sz w:val="20"/>
        </w:rPr>
        <w:cr/>
      </w:r>
    </w:p>
    <w:p w14:paraId="7418B0D4" w14:textId="77777777" w:rsidR="00D471AD" w:rsidRPr="001729A3" w:rsidRDefault="00D471AD" w:rsidP="00D471AD">
      <w:pPr>
        <w:pStyle w:val="CellSpaceAfter"/>
        <w:sectPr w:rsidR="00D471AD" w:rsidRPr="001729A3" w:rsidSect="00D471AD">
          <w:headerReference w:type="even" r:id="rId86"/>
          <w:headerReference w:type="default" r:id="rId87"/>
          <w:footerReference w:type="default" r:id="rId88"/>
          <w:headerReference w:type="first" r:id="rId89"/>
          <w:footerReference w:type="first" r:id="rId90"/>
          <w:footnotePr>
            <w:numFmt w:val="upperRoman"/>
          </w:footnotePr>
          <w:endnotePr>
            <w:numFmt w:val="decimal"/>
          </w:endnotePr>
          <w:type w:val="continuous"/>
          <w:pgSz w:w="11906" w:h="16838" w:code="9"/>
          <w:pgMar w:top="1440" w:right="991" w:bottom="1440" w:left="993" w:header="709" w:footer="709" w:gutter="0"/>
          <w:cols w:num="2" w:space="708"/>
          <w:docGrid w:linePitch="360"/>
        </w:sectPr>
      </w:pPr>
    </w:p>
    <w:p w14:paraId="7418B0D5" w14:textId="77777777" w:rsidR="00D471AD" w:rsidRPr="000D502B" w:rsidRDefault="00D471AD" w:rsidP="00D471AD">
      <w:pPr>
        <w:pStyle w:val="Heading1"/>
      </w:pPr>
      <w:r w:rsidRPr="000D502B">
        <w:tab/>
      </w:r>
      <w:bookmarkStart w:id="1158" w:name="_Toc461174563"/>
      <w:bookmarkStart w:id="1159" w:name="_Toc461180117"/>
      <w:bookmarkStart w:id="1160" w:name="_Toc461180213"/>
      <w:bookmarkStart w:id="1161" w:name="_Toc461180505"/>
      <w:bookmarkStart w:id="1162" w:name="_Toc461180577"/>
      <w:bookmarkStart w:id="1163" w:name="_Toc461180626"/>
      <w:bookmarkStart w:id="1164" w:name="_Toc461183234"/>
      <w:bookmarkStart w:id="1165" w:name="_Toc461183286"/>
      <w:bookmarkStart w:id="1166" w:name="_Toc461183372"/>
      <w:bookmarkStart w:id="1167" w:name="_Toc461183829"/>
      <w:bookmarkStart w:id="1168" w:name="_Toc461184443"/>
      <w:bookmarkStart w:id="1169" w:name="_Toc461184548"/>
      <w:bookmarkStart w:id="1170" w:name="_Toc461186586"/>
      <w:bookmarkStart w:id="1171" w:name="_Toc461186903"/>
      <w:bookmarkStart w:id="1172" w:name="_Toc461187008"/>
      <w:bookmarkStart w:id="1173" w:name="_Toc461187259"/>
      <w:bookmarkStart w:id="1174" w:name="_Toc461198286"/>
      <w:bookmarkStart w:id="1175" w:name="_Toc461198828"/>
      <w:bookmarkStart w:id="1176" w:name="_Toc461204116"/>
      <w:bookmarkStart w:id="1177" w:name="_Toc461527567"/>
      <w:bookmarkStart w:id="1178" w:name="_Toc461624473"/>
      <w:bookmarkStart w:id="1179" w:name="_Toc461629698"/>
      <w:bookmarkStart w:id="1180" w:name="_Toc461633028"/>
      <w:bookmarkStart w:id="1181" w:name="_Toc461634298"/>
      <w:bookmarkStart w:id="1182" w:name="_Toc462230077"/>
      <w:bookmarkStart w:id="1183" w:name="_Toc462231438"/>
      <w:bookmarkStart w:id="1184" w:name="_Toc463013939"/>
      <w:bookmarkStart w:id="1185" w:name="_Toc463014048"/>
      <w:bookmarkStart w:id="1186" w:name="_Toc463014482"/>
      <w:bookmarkStart w:id="1187" w:name="_Toc463877015"/>
      <w:bookmarkStart w:id="1188" w:name="_Toc465862809"/>
      <w:r w:rsidRPr="000D502B">
        <w:t>Activities in the innovation system</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7418B0D6" w14:textId="77777777" w:rsidR="00D471AD" w:rsidRPr="001729A3" w:rsidRDefault="00D471AD" w:rsidP="00D471AD">
      <w:pPr>
        <w:pStyle w:val="BodyText"/>
      </w:pPr>
      <w:r w:rsidRPr="001729A3">
        <w:t>This chapter examines some of the key activities in the innovation system: innovation, entrepreneurship</w:t>
      </w:r>
      <w:r>
        <w:t>,</w:t>
      </w:r>
      <w:r w:rsidRPr="001729A3">
        <w:t xml:space="preserve"> and R&amp;D. </w:t>
      </w:r>
    </w:p>
    <w:p w14:paraId="7418B0D7" w14:textId="77777777" w:rsidR="00D471AD" w:rsidRPr="001729A3" w:rsidRDefault="00D471AD" w:rsidP="00D471AD">
      <w:pPr>
        <w:pStyle w:val="BodyText"/>
      </w:pPr>
      <w:r w:rsidRPr="001729A3">
        <w:t>Australia ranks relatively highly on general entrepreneurship and innovation measures</w:t>
      </w:r>
      <w:r>
        <w:t>,</w:t>
      </w:r>
      <w:r w:rsidRPr="001729A3">
        <w:t xml:space="preserve"> but poorly on new</w:t>
      </w:r>
      <w:r>
        <w:t>-</w:t>
      </w:r>
      <w:r w:rsidRPr="001729A3">
        <w:t>to</w:t>
      </w:r>
      <w:r>
        <w:t>-</w:t>
      </w:r>
      <w:r w:rsidRPr="001729A3">
        <w:t xml:space="preserve">market innovation. </w:t>
      </w:r>
    </w:p>
    <w:p w14:paraId="7418B0D8" w14:textId="77777777" w:rsidR="00D471AD" w:rsidRPr="001729A3" w:rsidRDefault="00D471AD" w:rsidP="00D471AD">
      <w:pPr>
        <w:pStyle w:val="BodyText"/>
      </w:pPr>
      <w:r w:rsidRPr="001729A3">
        <w:t>Businesses that undertake R&amp;D are almost always innovation-active businesses</w:t>
      </w:r>
      <w:r>
        <w:t>,</w:t>
      </w:r>
      <w:r w:rsidRPr="001729A3">
        <w:t xml:space="preserve"> and are significantly more likely to be new-to-market innovators. </w:t>
      </w:r>
      <w:r w:rsidRPr="00977A76">
        <w:t xml:space="preserve">Australia’s </w:t>
      </w:r>
      <w:r>
        <w:t>g</w:t>
      </w:r>
      <w:r w:rsidRPr="00864F7A">
        <w:t>ross domestic expenditure on R&amp;D</w:t>
      </w:r>
      <w:r>
        <w:t xml:space="preserve"> (</w:t>
      </w:r>
      <w:r w:rsidRPr="00977A76">
        <w:t>GERD</w:t>
      </w:r>
      <w:r>
        <w:t>)</w:t>
      </w:r>
      <w:r w:rsidRPr="00977A76">
        <w:t xml:space="preserve"> to GDP ratio was 2.</w:t>
      </w:r>
      <w:r>
        <w:t>1 per cent in 2013–14</w:t>
      </w:r>
      <w:r w:rsidRPr="00977A76">
        <w:t xml:space="preserve">, which is slightly </w:t>
      </w:r>
      <w:r>
        <w:t>above</w:t>
      </w:r>
      <w:r w:rsidRPr="00977A76">
        <w:t xml:space="preserve"> the OECD average of 2.</w:t>
      </w:r>
      <w:r>
        <w:t>0</w:t>
      </w:r>
      <w:r w:rsidRPr="00977A76">
        <w:t xml:space="preserve"> per cent</w:t>
      </w:r>
      <w:r>
        <w:t>, but significantly lower the top five OECD performers on this indicator.</w:t>
      </w:r>
    </w:p>
    <w:p w14:paraId="7418B0D9" w14:textId="77777777" w:rsidR="00D471AD" w:rsidRPr="001729A3" w:rsidRDefault="00D471AD" w:rsidP="00D471AD">
      <w:pPr>
        <w:pStyle w:val="BodyText"/>
      </w:pPr>
      <w:r>
        <w:t xml:space="preserve">Australia fares better on experimental development. </w:t>
      </w:r>
      <w:r w:rsidRPr="001729A3">
        <w:t xml:space="preserve">In 2013, Australia was ranked 10th out of 29 OECD countries on business expenditure on experimental development as a </w:t>
      </w:r>
      <w:r>
        <w:t>percentage</w:t>
      </w:r>
      <w:r w:rsidRPr="001729A3">
        <w:t xml:space="preserve"> of GDP. The majority of R&amp;D expenditure is undertaken by large businesses</w:t>
      </w:r>
      <w:r>
        <w:t>.</w:t>
      </w:r>
    </w:p>
    <w:p w14:paraId="7418B0DA" w14:textId="77777777" w:rsidR="00D471AD" w:rsidRPr="001729A3" w:rsidRDefault="00D471AD" w:rsidP="00D471AD">
      <w:pPr>
        <w:pStyle w:val="BodyText"/>
      </w:pPr>
      <w:r w:rsidRPr="001729A3">
        <w:t>The Australian Government supports R&amp;D in a number of ways, both directly and indirectly. The government is expected to spend $10.1 billion on R&amp;D in 2015–16, including $3.2 billion through the R&amp;D Tax Incentive.</w:t>
      </w:r>
      <w:r w:rsidRPr="001729A3">
        <w:rPr>
          <w:rStyle w:val="EndnoteReference"/>
        </w:rPr>
        <w:endnoteReference w:id="36"/>
      </w:r>
    </w:p>
    <w:p w14:paraId="7418B0DB" w14:textId="77777777" w:rsidR="00D471AD" w:rsidRPr="000D502B" w:rsidRDefault="00D471AD" w:rsidP="00D471AD">
      <w:pPr>
        <w:pStyle w:val="Heading2"/>
      </w:pPr>
      <w:bookmarkStart w:id="1189" w:name="_Toc461527568"/>
      <w:bookmarkStart w:id="1190" w:name="_Toc461624474"/>
      <w:bookmarkStart w:id="1191" w:name="_Toc461629699"/>
      <w:bookmarkStart w:id="1192" w:name="_Toc461633029"/>
      <w:bookmarkStart w:id="1193" w:name="_Toc461634299"/>
      <w:bookmarkStart w:id="1194" w:name="_Toc462230078"/>
      <w:bookmarkStart w:id="1195" w:name="_Toc462231439"/>
      <w:bookmarkStart w:id="1196" w:name="_Toc463013940"/>
      <w:bookmarkStart w:id="1197" w:name="_Toc463014049"/>
      <w:bookmarkStart w:id="1198" w:name="_Toc463014483"/>
      <w:bookmarkStart w:id="1199" w:name="_Toc463877016"/>
      <w:bookmarkStart w:id="1200" w:name="_Toc465862810"/>
      <w:bookmarkStart w:id="1201" w:name="_Toc461174564"/>
      <w:bookmarkStart w:id="1202" w:name="_Toc461180118"/>
      <w:bookmarkStart w:id="1203" w:name="_Toc461180214"/>
      <w:bookmarkStart w:id="1204" w:name="_Toc461180506"/>
      <w:bookmarkStart w:id="1205" w:name="_Toc461180578"/>
      <w:bookmarkStart w:id="1206" w:name="_Toc461180627"/>
      <w:bookmarkStart w:id="1207" w:name="_Toc461183235"/>
      <w:bookmarkStart w:id="1208" w:name="_Toc461183287"/>
      <w:bookmarkStart w:id="1209" w:name="_Toc461183373"/>
      <w:bookmarkStart w:id="1210" w:name="_Toc461183830"/>
      <w:bookmarkStart w:id="1211" w:name="_Toc461184444"/>
      <w:bookmarkStart w:id="1212" w:name="_Toc461184549"/>
      <w:bookmarkStart w:id="1213" w:name="_Toc461186587"/>
      <w:bookmarkStart w:id="1214" w:name="_Toc461186904"/>
      <w:bookmarkStart w:id="1215" w:name="_Toc461187009"/>
      <w:bookmarkStart w:id="1216" w:name="_Toc461187260"/>
      <w:bookmarkStart w:id="1217" w:name="_Toc461198287"/>
      <w:bookmarkStart w:id="1218" w:name="_Toc461198829"/>
      <w:bookmarkStart w:id="1219" w:name="_Toc461204117"/>
      <w:r w:rsidRPr="000D502B">
        <w:t>Trends in entrepreneurship and innovation</w:t>
      </w:r>
      <w:bookmarkEnd w:id="1189"/>
      <w:bookmarkEnd w:id="1190"/>
      <w:bookmarkEnd w:id="1191"/>
      <w:bookmarkEnd w:id="1192"/>
      <w:bookmarkEnd w:id="1193"/>
      <w:bookmarkEnd w:id="1194"/>
      <w:bookmarkEnd w:id="1195"/>
      <w:bookmarkEnd w:id="1196"/>
      <w:bookmarkEnd w:id="1197"/>
      <w:bookmarkEnd w:id="1198"/>
      <w:bookmarkEnd w:id="1199"/>
      <w:bookmarkEnd w:id="1200"/>
      <w:r w:rsidRPr="000D502B" w:rsidDel="0018443A">
        <w:t xml:space="preserve"> </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7418B0DC" w14:textId="77777777" w:rsidR="00D471AD" w:rsidRPr="001729A3" w:rsidRDefault="00D471AD" w:rsidP="00D471AD">
      <w:pPr>
        <w:pStyle w:val="BodyText"/>
      </w:pPr>
      <w:r>
        <w:t xml:space="preserve">Australia’s rates of entrepreneurship and attitudes towards entrepreneurship are high relative to other countries, </w:t>
      </w:r>
      <w:r w:rsidRPr="001729A3">
        <w:t xml:space="preserve">even though the rate of business creation appears to be slowing in Australia and across the OECD. Australia has a range of indicators that measure business R&amp;D, innovation, invention and entrepreneurship performance (Table A2). </w:t>
      </w:r>
    </w:p>
    <w:p w14:paraId="7418B0DD" w14:textId="77777777" w:rsidR="00D471AD" w:rsidRPr="00924CA6" w:rsidRDefault="00D471AD" w:rsidP="00D471AD">
      <w:pPr>
        <w:pStyle w:val="heading3new"/>
      </w:pPr>
      <w:bookmarkStart w:id="1220" w:name="_Toc462230079"/>
      <w:bookmarkStart w:id="1221" w:name="_Toc462231440"/>
      <w:bookmarkStart w:id="1222" w:name="_Toc463013941"/>
      <w:bookmarkStart w:id="1223" w:name="_Toc463014050"/>
      <w:bookmarkStart w:id="1224" w:name="_Toc463014484"/>
      <w:bookmarkStart w:id="1225" w:name="_Toc463877017"/>
      <w:bookmarkStart w:id="1226" w:name="_Toc465862811"/>
      <w:r w:rsidRPr="00924CA6">
        <w:t>Innovation rates are improving slowly</w:t>
      </w:r>
      <w:bookmarkEnd w:id="1220"/>
      <w:bookmarkEnd w:id="1221"/>
      <w:bookmarkEnd w:id="1222"/>
      <w:bookmarkEnd w:id="1223"/>
      <w:bookmarkEnd w:id="1224"/>
      <w:bookmarkEnd w:id="1225"/>
      <w:bookmarkEnd w:id="1226"/>
    </w:p>
    <w:p w14:paraId="7418B0DE" w14:textId="77777777" w:rsidR="00D471AD" w:rsidRPr="001729A3" w:rsidRDefault="00D471AD" w:rsidP="00D471AD">
      <w:pPr>
        <w:pStyle w:val="BodyText"/>
      </w:pPr>
      <w:r w:rsidRPr="001729A3">
        <w:t xml:space="preserve">The key measure of ‘innovativeness’ of the private sector in Australia is the percentage of innovation-active businesses. The latest results show that 45 per cent of all Australian businesses were innovation-active in 2014-15, down from 48 per cent in 2013–14. The proportion of innovation-active businesses has shown a slightly upward trend with yearly fluctuations over the </w:t>
      </w:r>
      <w:r>
        <w:t>p</w:t>
      </w:r>
      <w:r w:rsidRPr="001729A3">
        <w:t>ast decade (</w:t>
      </w:r>
      <w:r w:rsidRPr="001729A3">
        <w:fldChar w:fldCharType="begin"/>
      </w:r>
      <w:r w:rsidRPr="001729A3">
        <w:instrText xml:space="preserve"> REF _Ref461116809 \h </w:instrText>
      </w:r>
      <w:r w:rsidRPr="001729A3">
        <w:fldChar w:fldCharType="separate"/>
      </w:r>
      <w:r w:rsidRPr="000D502B">
        <w:t xml:space="preserve">Figure </w:t>
      </w:r>
      <w:r>
        <w:rPr>
          <w:noProof/>
        </w:rPr>
        <w:t>3</w:t>
      </w:r>
      <w:r w:rsidRPr="000D502B">
        <w:t>.</w:t>
      </w:r>
      <w:r>
        <w:rPr>
          <w:noProof/>
        </w:rPr>
        <w:t>1</w:t>
      </w:r>
      <w:r w:rsidRPr="001729A3">
        <w:fldChar w:fldCharType="end"/>
      </w:r>
      <w:r w:rsidRPr="001729A3">
        <w:t>).</w:t>
      </w:r>
      <w:r w:rsidRPr="001729A3">
        <w:rPr>
          <w:rStyle w:val="FootnoteReference"/>
        </w:rPr>
        <w:footnoteReference w:id="6"/>
      </w:r>
    </w:p>
    <w:p w14:paraId="7418B0DF" w14:textId="77777777" w:rsidR="00D471AD" w:rsidRPr="000D502B" w:rsidRDefault="00D471AD" w:rsidP="00D471AD">
      <w:pPr>
        <w:pStyle w:val="Caption"/>
        <w:spacing w:before="114"/>
      </w:pPr>
      <w:bookmarkStart w:id="1227" w:name="_Ref461116809"/>
      <w:bookmarkStart w:id="1228" w:name="_Ref461114509"/>
      <w:bookmarkStart w:id="1229" w:name="_Toc461198231"/>
      <w:bookmarkStart w:id="1230" w:name="_Toc461198773"/>
      <w:bookmarkStart w:id="1231" w:name="_Toc461204061"/>
      <w:bookmarkStart w:id="1232" w:name="_Toc461527503"/>
      <w:bookmarkStart w:id="1233" w:name="_Toc461539538"/>
      <w:bookmarkStart w:id="1234" w:name="_Toc461541655"/>
      <w:bookmarkStart w:id="1235" w:name="_Toc461545410"/>
      <w:bookmarkStart w:id="1236" w:name="_Toc461624406"/>
      <w:bookmarkStart w:id="1237" w:name="_Toc461629631"/>
      <w:bookmarkStart w:id="1238" w:name="_Toc461632961"/>
      <w:bookmarkStart w:id="1239" w:name="_Toc461634231"/>
      <w:bookmarkStart w:id="1240" w:name="_Toc463013882"/>
      <w:bookmarkStart w:id="1241" w:name="_Toc463013991"/>
      <w:bookmarkStart w:id="1242" w:name="_Toc463014425"/>
      <w:bookmarkStart w:id="1243" w:name="_Toc463877065"/>
      <w:bookmarkStart w:id="1244" w:name="_Toc465864577"/>
      <w:r w:rsidRPr="000D502B">
        <w:t xml:space="preserve">Figure </w:t>
      </w:r>
      <w:fldSimple w:instr=" STYLEREF 1 \s ">
        <w:r>
          <w:rPr>
            <w:noProof/>
          </w:rPr>
          <w:t>3</w:t>
        </w:r>
      </w:fldSimple>
      <w:r w:rsidRPr="000D502B">
        <w:t>.</w:t>
      </w:r>
      <w:fldSimple w:instr=" SEQ Figure \* ARABIC \s 1 ">
        <w:r>
          <w:rPr>
            <w:noProof/>
          </w:rPr>
          <w:t>1</w:t>
        </w:r>
      </w:fldSimple>
      <w:bookmarkEnd w:id="1227"/>
      <w:bookmarkEnd w:id="1228"/>
      <w:r w:rsidRPr="000D502B">
        <w:t>: Innovation activity in Australia, 2006–15</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14:paraId="7418B0E0" w14:textId="77777777" w:rsidR="00D471AD" w:rsidRPr="001729A3" w:rsidRDefault="00D471AD" w:rsidP="00D471AD">
      <w:pPr>
        <w:pStyle w:val="Note"/>
        <w:rPr>
          <w:lang w:val="en-AU"/>
        </w:rPr>
      </w:pPr>
      <w:r>
        <w:rPr>
          <w:noProof/>
          <w:lang w:val="en-AU" w:eastAsia="en-AU"/>
        </w:rPr>
        <w:drawing>
          <wp:inline distT="0" distB="0" distL="0" distR="0" wp14:anchorId="7418C633" wp14:editId="7418C634">
            <wp:extent cx="2853198" cy="1940402"/>
            <wp:effectExtent l="0" t="0" r="4445" b="3175"/>
            <wp:docPr id="8" name="Picture 8" descr="Figure 3.1 shows the level of innovation activity in Australia, measured by the proportion of innovation-active businesses, for the period 2006–07 to 2014–15. The plots produces a sawtooth pattern, whereby data points in odd years (e.g. 2006–07, 2008–09) are consistently lower that data points in even years (e.g. 2007–08, 2009–10), by about six percentage points. However, the general trend is increasing from 37 per cent in 2006–07 to 45 per cent in 2014–15." title="Figure 3.1: Innovation activity in Australia, 20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97157" cy="1970297"/>
                    </a:xfrm>
                    <a:prstGeom prst="rect">
                      <a:avLst/>
                    </a:prstGeom>
                    <a:noFill/>
                  </pic:spPr>
                </pic:pic>
              </a:graphicData>
            </a:graphic>
          </wp:inline>
        </w:drawing>
      </w:r>
    </w:p>
    <w:p w14:paraId="7418B0E1" w14:textId="77777777" w:rsidR="00D471AD" w:rsidRPr="001729A3" w:rsidRDefault="00D471AD" w:rsidP="00D471AD">
      <w:pPr>
        <w:pStyle w:val="Source"/>
        <w:rPr>
          <w:lang w:val="en-AU"/>
        </w:rPr>
      </w:pPr>
      <w:r w:rsidRPr="001729A3">
        <w:rPr>
          <w:lang w:val="en-AU"/>
        </w:rPr>
        <w:t>Source: ABS (</w:t>
      </w:r>
      <w:r>
        <w:rPr>
          <w:lang w:val="en-AU"/>
        </w:rPr>
        <w:t>v</w:t>
      </w:r>
      <w:r w:rsidRPr="001729A3">
        <w:rPr>
          <w:lang w:val="en-AU"/>
        </w:rPr>
        <w:t>ari</w:t>
      </w:r>
      <w:r>
        <w:rPr>
          <w:lang w:val="en-AU"/>
        </w:rPr>
        <w:t>ou</w:t>
      </w:r>
      <w:r w:rsidRPr="001729A3">
        <w:rPr>
          <w:lang w:val="en-AU"/>
        </w:rPr>
        <w:t xml:space="preserve">s) </w:t>
      </w:r>
      <w:r w:rsidRPr="001729A3">
        <w:rPr>
          <w:i/>
          <w:lang w:val="en-AU"/>
        </w:rPr>
        <w:t>Innovation in Australian Business</w:t>
      </w:r>
      <w:r w:rsidRPr="001729A3">
        <w:rPr>
          <w:lang w:val="en-AU"/>
        </w:rPr>
        <w:t>, cat. no. 8158.0; ABS (</w:t>
      </w:r>
      <w:r>
        <w:rPr>
          <w:lang w:val="en-AU"/>
        </w:rPr>
        <w:t>v</w:t>
      </w:r>
      <w:r w:rsidRPr="001729A3">
        <w:rPr>
          <w:lang w:val="en-AU"/>
        </w:rPr>
        <w:t>ari</w:t>
      </w:r>
      <w:r>
        <w:rPr>
          <w:lang w:val="en-AU"/>
        </w:rPr>
        <w:t>ou</w:t>
      </w:r>
      <w:r w:rsidRPr="001729A3">
        <w:rPr>
          <w:lang w:val="en-AU"/>
        </w:rPr>
        <w:t xml:space="preserve">s) </w:t>
      </w:r>
      <w:r w:rsidRPr="001729A3">
        <w:rPr>
          <w:i/>
          <w:lang w:val="en-AU"/>
        </w:rPr>
        <w:t>Summary of IT Use and Innovation in Australian Business</w:t>
      </w:r>
      <w:r w:rsidRPr="001729A3">
        <w:rPr>
          <w:lang w:val="en-AU"/>
        </w:rPr>
        <w:t>, cat. no. 8166.0</w:t>
      </w:r>
    </w:p>
    <w:p w14:paraId="7418B0E2" w14:textId="77777777" w:rsidR="00D471AD" w:rsidRPr="001729A3" w:rsidRDefault="00D471AD" w:rsidP="00D471AD">
      <w:pPr>
        <w:pStyle w:val="BodyText"/>
      </w:pPr>
      <w:r w:rsidRPr="001729A3">
        <w:t>The most recent international comparisons for the year 2012–13 show that Australia ranks in the top five of 30 OECD countries in terms of the proportion of innovation-active businesses to total businesses (</w:t>
      </w:r>
      <w:r w:rsidRPr="001729A3">
        <w:fldChar w:fldCharType="begin"/>
      </w:r>
      <w:r w:rsidRPr="001729A3">
        <w:instrText xml:space="preserve"> REF _Ref461117076 \h </w:instrText>
      </w:r>
      <w:r w:rsidRPr="001729A3">
        <w:fldChar w:fldCharType="separate"/>
      </w:r>
      <w:r w:rsidRPr="000D502B">
        <w:t xml:space="preserve">Figure </w:t>
      </w:r>
      <w:r>
        <w:rPr>
          <w:noProof/>
        </w:rPr>
        <w:t>3</w:t>
      </w:r>
      <w:r w:rsidRPr="000D502B">
        <w:t>.</w:t>
      </w:r>
      <w:r>
        <w:rPr>
          <w:noProof/>
        </w:rPr>
        <w:t>2</w:t>
      </w:r>
      <w:r w:rsidRPr="001729A3">
        <w:fldChar w:fldCharType="end"/>
      </w:r>
      <w:r w:rsidRPr="001729A3">
        <w:t xml:space="preserve">). Australia’s score appears higher in this chart than in </w:t>
      </w:r>
      <w:hyperlink r:id="rId92" w:history="1">
        <w:r w:rsidRPr="001729A3">
          <w:rPr>
            <w:rStyle w:val="Hyperlink"/>
          </w:rPr>
          <w:t>Table A2</w:t>
        </w:r>
      </w:hyperlink>
      <w:r w:rsidRPr="001729A3">
        <w:t xml:space="preserve"> because the data are matched to other OECD countries (see note in </w:t>
      </w:r>
      <w:r w:rsidRPr="001729A3">
        <w:fldChar w:fldCharType="begin"/>
      </w:r>
      <w:r w:rsidRPr="001729A3">
        <w:instrText xml:space="preserve"> REF _Ref461117076 \h </w:instrText>
      </w:r>
      <w:r w:rsidRPr="001729A3">
        <w:fldChar w:fldCharType="separate"/>
      </w:r>
      <w:r w:rsidRPr="000D502B">
        <w:t xml:space="preserve">Figure </w:t>
      </w:r>
      <w:r>
        <w:rPr>
          <w:noProof/>
        </w:rPr>
        <w:t>3</w:t>
      </w:r>
      <w:r w:rsidRPr="000D502B">
        <w:t>.</w:t>
      </w:r>
      <w:r>
        <w:rPr>
          <w:noProof/>
        </w:rPr>
        <w:t>2</w:t>
      </w:r>
      <w:r w:rsidRPr="001729A3">
        <w:fldChar w:fldCharType="end"/>
      </w:r>
      <w:r w:rsidRPr="001729A3">
        <w:t>). This high ranking may reflect relatively high innovation activity by SMEs. Large businesses have a low rank, 18th place. Australia’s manufacturing and service sectors are relatively highly ranked.</w:t>
      </w:r>
    </w:p>
    <w:p w14:paraId="7418B0E3" w14:textId="77777777" w:rsidR="00D471AD" w:rsidRPr="000D502B" w:rsidRDefault="00D471AD" w:rsidP="00D471AD">
      <w:pPr>
        <w:pStyle w:val="Caption"/>
      </w:pPr>
      <w:bookmarkStart w:id="1245" w:name="_Ref461117076"/>
      <w:bookmarkStart w:id="1246" w:name="_Ref461114568"/>
      <w:bookmarkStart w:id="1247" w:name="_Toc461198232"/>
      <w:bookmarkStart w:id="1248" w:name="_Toc461198774"/>
      <w:bookmarkStart w:id="1249" w:name="_Toc461204062"/>
      <w:bookmarkStart w:id="1250" w:name="_Toc461527504"/>
      <w:bookmarkStart w:id="1251" w:name="_Toc461539539"/>
      <w:bookmarkStart w:id="1252" w:name="_Toc461541656"/>
      <w:bookmarkStart w:id="1253" w:name="_Toc461545411"/>
      <w:bookmarkStart w:id="1254" w:name="_Toc461624407"/>
      <w:bookmarkStart w:id="1255" w:name="_Toc461629632"/>
      <w:bookmarkStart w:id="1256" w:name="_Toc461632962"/>
      <w:bookmarkStart w:id="1257" w:name="_Toc461634232"/>
      <w:bookmarkStart w:id="1258" w:name="_Toc463013883"/>
      <w:bookmarkStart w:id="1259" w:name="_Toc463013992"/>
      <w:bookmarkStart w:id="1260" w:name="_Toc463014426"/>
      <w:bookmarkStart w:id="1261" w:name="_Toc463877066"/>
      <w:bookmarkStart w:id="1262" w:name="_Toc465864578"/>
      <w:r w:rsidRPr="000D502B">
        <w:t xml:space="preserve">Figure </w:t>
      </w:r>
      <w:fldSimple w:instr=" STYLEREF 1 \s ">
        <w:r>
          <w:rPr>
            <w:noProof/>
          </w:rPr>
          <w:t>3</w:t>
        </w:r>
      </w:fldSimple>
      <w:r w:rsidRPr="000D502B">
        <w:t>.</w:t>
      </w:r>
      <w:fldSimple w:instr=" SEQ Figure \* ARABIC \s 1 ">
        <w:r>
          <w:rPr>
            <w:noProof/>
          </w:rPr>
          <w:t>2</w:t>
        </w:r>
      </w:fldSimple>
      <w:bookmarkEnd w:id="1245"/>
      <w:bookmarkEnd w:id="1246"/>
      <w:r w:rsidRPr="000D502B">
        <w:t>: International ranking on innovation-activity, 2010-2012</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7418B0E4" w14:textId="77777777" w:rsidR="00D471AD" w:rsidRPr="001729A3" w:rsidRDefault="00D471AD" w:rsidP="00D471AD">
      <w:pPr>
        <w:pStyle w:val="Note"/>
        <w:rPr>
          <w:lang w:val="en-AU"/>
        </w:rPr>
      </w:pPr>
      <w:r>
        <w:rPr>
          <w:noProof/>
          <w:lang w:val="en-AU" w:eastAsia="en-AU"/>
        </w:rPr>
        <w:drawing>
          <wp:inline distT="0" distB="0" distL="0" distR="0" wp14:anchorId="7418C635" wp14:editId="7418C636">
            <wp:extent cx="2747238" cy="2174386"/>
            <wp:effectExtent l="0" t="0" r="0" b="0"/>
            <wp:docPr id="67" name="Picture 67" descr="Figure 3.2 shows international comparisons of the overall proportion of innovation-active businesses for the period 2010 to 2012. Australia’s proportion is 64 per cent, compared to an OECD average of 48 per cent, and an OECD top five average of 67 per cent." title="Figure 3.2: International ranking on innovation-activity, 201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49657" cy="2176301"/>
                    </a:xfrm>
                    <a:prstGeom prst="rect">
                      <a:avLst/>
                    </a:prstGeom>
                    <a:noFill/>
                  </pic:spPr>
                </pic:pic>
              </a:graphicData>
            </a:graphic>
          </wp:inline>
        </w:drawing>
      </w:r>
    </w:p>
    <w:p w14:paraId="7418B0E5" w14:textId="77777777" w:rsidR="00D471AD" w:rsidRPr="001729A3" w:rsidRDefault="00D471AD" w:rsidP="00D471AD">
      <w:pPr>
        <w:pStyle w:val="Note"/>
        <w:rPr>
          <w:lang w:val="en-AU"/>
        </w:rPr>
      </w:pPr>
      <w:r w:rsidRPr="001729A3">
        <w:rPr>
          <w:lang w:val="en-AU"/>
        </w:rPr>
        <w:t xml:space="preserve">Notes: OECD comparisons exclude businesses with less than ten employees. Industry core coverage includes ISIC Rev. 4 Sections and Divisions B, C, D, E, G46, H, J, K, M71-72 and 73. Australian data is for 2012-13. The OECD top five are Switzerland, Germany, Luxembourg, Australia </w:t>
      </w:r>
      <w:r>
        <w:rPr>
          <w:lang w:val="en-AU"/>
        </w:rPr>
        <w:t>and</w:t>
      </w:r>
      <w:r w:rsidRPr="001729A3">
        <w:rPr>
          <w:lang w:val="en-AU"/>
        </w:rPr>
        <w:t xml:space="preserve"> Ireland.</w:t>
      </w:r>
    </w:p>
    <w:p w14:paraId="7418B0E6" w14:textId="77777777" w:rsidR="00D471AD" w:rsidRPr="001729A3" w:rsidRDefault="00D471AD" w:rsidP="00D471AD">
      <w:pPr>
        <w:pStyle w:val="Source"/>
        <w:rPr>
          <w:lang w:val="en-AU"/>
        </w:rPr>
      </w:pPr>
      <w:r w:rsidRPr="001729A3">
        <w:rPr>
          <w:lang w:val="en-AU"/>
        </w:rPr>
        <w:t xml:space="preserve">Source: OECD (2015) </w:t>
      </w:r>
      <w:r w:rsidRPr="00C24E99">
        <w:rPr>
          <w:i/>
          <w:lang w:val="en-AU"/>
        </w:rPr>
        <w:t>Innovation Indicators Database</w:t>
      </w:r>
      <w:r>
        <w:rPr>
          <w:i/>
          <w:lang w:val="en-AU"/>
        </w:rPr>
        <w:t xml:space="preserve">, </w:t>
      </w:r>
      <w:hyperlink r:id="rId94" w:tooltip="www.oecd.org/innovation/inno/inno-stats.htm" w:history="1">
        <w:r w:rsidRPr="001729A3">
          <w:rPr>
            <w:rStyle w:val="Hyperlink"/>
            <w:lang w:val="en-AU"/>
          </w:rPr>
          <w:t>www.oecd.org/innovation/inno/inno-stats.htm</w:t>
        </w:r>
      </w:hyperlink>
    </w:p>
    <w:p w14:paraId="7418B0E7" w14:textId="77777777" w:rsidR="00D471AD" w:rsidRPr="000D502B" w:rsidRDefault="00D471AD" w:rsidP="00D471AD">
      <w:pPr>
        <w:pStyle w:val="Caption"/>
      </w:pPr>
      <w:r w:rsidRPr="000D502B">
        <w:t xml:space="preserve">Methodology </w:t>
      </w:r>
      <w:fldSimple w:instr=" STYLEREF 1 \s ">
        <w:r>
          <w:rPr>
            <w:noProof/>
          </w:rPr>
          <w:t>3</w:t>
        </w:r>
      </w:fldSimple>
      <w:r w:rsidRPr="000D502B">
        <w:t>.</w:t>
      </w:r>
      <w:fldSimple w:instr=" SEQ Methodology \* ARABIC \s 1 ">
        <w:r>
          <w:rPr>
            <w:noProof/>
          </w:rPr>
          <w:t>1</w:t>
        </w:r>
      </w:fldSimple>
      <w:r w:rsidRPr="000D502B">
        <w:t>: Making international comparisons with innovation data</w:t>
      </w:r>
    </w:p>
    <w:tbl>
      <w:tblPr>
        <w:tblStyle w:val="OCETable"/>
        <w:tblW w:w="4706" w:type="dxa"/>
        <w:tblInd w:w="28" w:type="dxa"/>
        <w:shd w:val="clear" w:color="auto" w:fill="292B67"/>
        <w:tblLayout w:type="fixed"/>
        <w:tblLook w:val="04A0" w:firstRow="1" w:lastRow="0" w:firstColumn="1" w:lastColumn="0" w:noHBand="0" w:noVBand="1"/>
        <w:tblCaption w:val="Making international comparisons with innovation data"/>
        <w:tblDescription w:val="Given we use an internationally agreed definition of innovation, we are able to make comparisons with other countries (mostly in the OECD) that use the same definition. Country scores are typically presented as a percentage of all businesses, or as a percentage of all innovation-active businesses.&#10;The ABS transforms the Business Characteristics Survey unit record data to produce national business innovation and collaboration indicators that match businesses in other OECD countries. OECD specifications include:&#10;1. Using the same OECD employment size ranges. &#10;SMEs are 10–249 employees, and large businesses are 250+ employees. Excluding the very small businesses typically makes Australia’s OECD matched innovation rate higher than it appears in ABS publications because micro-sized businesses are significantly less likely to innovate in any given year.&#10;2. Using the same International Standard Industrial Classification (ISIC) of All Economic Activities developed by the United Nations. &#10;OECD Industry core coverage usually includes ISIC Rev. 4 Sections and Divisions B, C, D, E, G46, H, J, K, M71-72 and 73. This typically makes Australia’s OECD matched innovation rate higher than it appears in ABS publications because sectors like Agriculture are less likely to innovate in any given year.&#10;Due to the considerable time and resources it takes to collect, coordinate and match the data from over 35 countries, the OECD’s international comparisons are typically three to five years old when they are released. &#10;"/>
      </w:tblPr>
      <w:tblGrid>
        <w:gridCol w:w="4706"/>
      </w:tblGrid>
      <w:tr w:rsidR="00D471AD" w:rsidRPr="000D502B" w14:paraId="7418B0EF"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0" w:type="pct"/>
            <w:shd w:val="clear" w:color="auto" w:fill="292B67"/>
          </w:tcPr>
          <w:p w14:paraId="7418B0E8" w14:textId="77777777" w:rsidR="00D471AD" w:rsidRPr="00A53774" w:rsidRDefault="00D471AD" w:rsidP="004A31A9">
            <w:pPr>
              <w:pStyle w:val="Methodologytext"/>
              <w:spacing w:before="160"/>
              <w:rPr>
                <w:i w:val="0"/>
              </w:rPr>
            </w:pPr>
            <w:r w:rsidRPr="00A53774">
              <w:rPr>
                <w:i w:val="0"/>
              </w:rPr>
              <w:t>Given we use an internationally agreed definition of innovation, we are able to make comparisons with other countries</w:t>
            </w:r>
            <w:r>
              <w:rPr>
                <w:i w:val="0"/>
              </w:rPr>
              <w:t xml:space="preserve"> (</w:t>
            </w:r>
            <w:r w:rsidRPr="00A53774">
              <w:rPr>
                <w:i w:val="0"/>
              </w:rPr>
              <w:t>mostly in the OECD</w:t>
            </w:r>
            <w:r>
              <w:rPr>
                <w:i w:val="0"/>
              </w:rPr>
              <w:t>)</w:t>
            </w:r>
            <w:r w:rsidRPr="00A53774">
              <w:rPr>
                <w:i w:val="0"/>
              </w:rPr>
              <w:t xml:space="preserve"> that use the same definition. Country scores are typically presented as a percentage of all </w:t>
            </w:r>
            <w:r>
              <w:rPr>
                <w:i w:val="0"/>
              </w:rPr>
              <w:t xml:space="preserve">businesses, </w:t>
            </w:r>
            <w:r w:rsidRPr="00A53774">
              <w:rPr>
                <w:i w:val="0"/>
              </w:rPr>
              <w:t xml:space="preserve">or as a percentage of all innovation-active </w:t>
            </w:r>
            <w:r>
              <w:rPr>
                <w:i w:val="0"/>
              </w:rPr>
              <w:t>businesses</w:t>
            </w:r>
            <w:r w:rsidRPr="00A53774">
              <w:rPr>
                <w:i w:val="0"/>
              </w:rPr>
              <w:t>.</w:t>
            </w:r>
          </w:p>
          <w:p w14:paraId="7418B0E9" w14:textId="77777777" w:rsidR="00D471AD" w:rsidRPr="00A53774" w:rsidRDefault="00D471AD" w:rsidP="004A31A9">
            <w:pPr>
              <w:pStyle w:val="Methodologytext"/>
              <w:rPr>
                <w:i w:val="0"/>
              </w:rPr>
            </w:pPr>
            <w:r w:rsidRPr="00A53774">
              <w:rPr>
                <w:i w:val="0"/>
              </w:rPr>
              <w:t xml:space="preserve">The ABS transforms the Business Characteristics Survey unit record data to produce national </w:t>
            </w:r>
            <w:r>
              <w:rPr>
                <w:i w:val="0"/>
              </w:rPr>
              <w:t xml:space="preserve">business </w:t>
            </w:r>
            <w:r w:rsidRPr="00A53774">
              <w:rPr>
                <w:i w:val="0"/>
              </w:rPr>
              <w:t xml:space="preserve">innovation and collaboration indicators that match </w:t>
            </w:r>
            <w:r>
              <w:rPr>
                <w:i w:val="0"/>
              </w:rPr>
              <w:t xml:space="preserve">businesses </w:t>
            </w:r>
            <w:r w:rsidRPr="00A53774">
              <w:rPr>
                <w:i w:val="0"/>
              </w:rPr>
              <w:t>in other OECD countries. OECD specifications include:</w:t>
            </w:r>
          </w:p>
          <w:p w14:paraId="7418B0EA" w14:textId="77777777" w:rsidR="00D471AD" w:rsidRPr="001729A3" w:rsidRDefault="00D471AD" w:rsidP="00D471AD">
            <w:pPr>
              <w:pStyle w:val="ListBullet"/>
              <w:numPr>
                <w:ilvl w:val="0"/>
                <w:numId w:val="24"/>
              </w:numPr>
              <w:rPr>
                <w:i w:val="0"/>
                <w:color w:val="FFFFFF" w:themeColor="background1"/>
                <w:sz w:val="19"/>
              </w:rPr>
            </w:pPr>
            <w:r w:rsidRPr="001729A3">
              <w:rPr>
                <w:color w:val="FFFFFF" w:themeColor="background1"/>
                <w:sz w:val="19"/>
              </w:rPr>
              <w:t xml:space="preserve">Using the same OECD employment size ranges. </w:t>
            </w:r>
          </w:p>
          <w:p w14:paraId="7418B0EB" w14:textId="77777777" w:rsidR="00D471AD" w:rsidRPr="00A53774" w:rsidRDefault="00D471AD" w:rsidP="004A31A9">
            <w:pPr>
              <w:pStyle w:val="Methodologytext"/>
              <w:ind w:left="340"/>
              <w:rPr>
                <w:i w:val="0"/>
              </w:rPr>
            </w:pPr>
            <w:r w:rsidRPr="00A53774">
              <w:rPr>
                <w:i w:val="0"/>
              </w:rPr>
              <w:t>SMEs are 10–249 employees</w:t>
            </w:r>
            <w:r>
              <w:rPr>
                <w:i w:val="0"/>
              </w:rPr>
              <w:t>,</w:t>
            </w:r>
            <w:r w:rsidRPr="00A53774">
              <w:rPr>
                <w:i w:val="0"/>
              </w:rPr>
              <w:t xml:space="preserve"> and large </w:t>
            </w:r>
            <w:r>
              <w:rPr>
                <w:i w:val="0"/>
              </w:rPr>
              <w:t xml:space="preserve">businesses </w:t>
            </w:r>
            <w:r w:rsidRPr="00A53774">
              <w:rPr>
                <w:i w:val="0"/>
              </w:rPr>
              <w:t xml:space="preserve">are 250+ employees. Excluding the very small </w:t>
            </w:r>
            <w:r>
              <w:rPr>
                <w:i w:val="0"/>
              </w:rPr>
              <w:t xml:space="preserve">businesses </w:t>
            </w:r>
            <w:r w:rsidRPr="00A53774">
              <w:rPr>
                <w:i w:val="0"/>
              </w:rPr>
              <w:t xml:space="preserve">typically makes Australia’s OECD matched innovation rate higher than it appears in ABS publications because micro-sized </w:t>
            </w:r>
            <w:r>
              <w:rPr>
                <w:i w:val="0"/>
              </w:rPr>
              <w:t xml:space="preserve">businesses </w:t>
            </w:r>
            <w:r w:rsidRPr="00A53774">
              <w:rPr>
                <w:i w:val="0"/>
              </w:rPr>
              <w:t>are significantly less likely to innovate in any given year.</w:t>
            </w:r>
          </w:p>
          <w:p w14:paraId="7418B0EC" w14:textId="77777777" w:rsidR="00D471AD" w:rsidRPr="001729A3" w:rsidRDefault="00D471AD" w:rsidP="00D471AD">
            <w:pPr>
              <w:pStyle w:val="ListBullet"/>
              <w:numPr>
                <w:ilvl w:val="0"/>
                <w:numId w:val="24"/>
              </w:numPr>
              <w:rPr>
                <w:i w:val="0"/>
                <w:color w:val="FFFFFF" w:themeColor="background1"/>
                <w:sz w:val="19"/>
              </w:rPr>
            </w:pPr>
            <w:r w:rsidRPr="001729A3">
              <w:rPr>
                <w:color w:val="FFFFFF" w:themeColor="background1"/>
                <w:sz w:val="19"/>
              </w:rPr>
              <w:t xml:space="preserve">Using the same International Standard Industrial Classification (ISIC) of All Economic Activities developed by the United Nations. </w:t>
            </w:r>
          </w:p>
          <w:p w14:paraId="7418B0ED" w14:textId="77777777" w:rsidR="00D471AD" w:rsidRPr="00A53774" w:rsidRDefault="00D471AD" w:rsidP="004A31A9">
            <w:pPr>
              <w:pStyle w:val="Methodologyboxtext"/>
              <w:ind w:left="340"/>
              <w:rPr>
                <w:i w:val="0"/>
              </w:rPr>
            </w:pPr>
            <w:r w:rsidRPr="00A53774">
              <w:rPr>
                <w:i w:val="0"/>
              </w:rPr>
              <w:t>OECD Industry core coverage usually includes ISIC Rev. 4 Sections and Divisions B, C, D, E, G46, H, J, K, M71-72 and 73. This typically makes Australia’s OECD matched innovation rate higher than it appears in ABS publications because sectors like Agriculture are less likely to innovate in any given year.</w:t>
            </w:r>
          </w:p>
          <w:p w14:paraId="7418B0EE" w14:textId="77777777" w:rsidR="00D471AD" w:rsidRPr="006B20CF" w:rsidRDefault="00D471AD" w:rsidP="004A31A9">
            <w:pPr>
              <w:pStyle w:val="Methodologyboxtext"/>
              <w:ind w:left="340"/>
              <w:rPr>
                <w:i w:val="0"/>
              </w:rPr>
            </w:pPr>
            <w:r>
              <w:rPr>
                <w:i w:val="0"/>
              </w:rPr>
              <w:t xml:space="preserve">Due to the considerable time and resources it takes to collect, coordinate and match the data from over 35 countries, the OECD’s international comparisons are typically three to five years old when they are released. </w:t>
            </w:r>
          </w:p>
        </w:tc>
      </w:tr>
    </w:tbl>
    <w:p w14:paraId="7418B0F0" w14:textId="77777777" w:rsidR="00D471AD" w:rsidRPr="003067DF" w:rsidRDefault="00D471AD" w:rsidP="00D471AD">
      <w:pPr>
        <w:pStyle w:val="heading3new"/>
        <w:sectPr w:rsidR="00D471AD" w:rsidRPr="003067DF" w:rsidSect="00D471AD">
          <w:footnotePr>
            <w:numFmt w:val="upperRoman"/>
          </w:footnotePr>
          <w:endnotePr>
            <w:numFmt w:val="decimal"/>
          </w:endnotePr>
          <w:pgSz w:w="11906" w:h="16838" w:code="9"/>
          <w:pgMar w:top="1440" w:right="992" w:bottom="1440" w:left="992" w:header="709" w:footer="709" w:gutter="0"/>
          <w:cols w:num="2" w:space="708"/>
          <w:docGrid w:linePitch="360"/>
        </w:sectPr>
      </w:pPr>
      <w:bookmarkStart w:id="1263" w:name="_Toc461174565"/>
      <w:bookmarkStart w:id="1264" w:name="_Toc461180119"/>
      <w:bookmarkStart w:id="1265" w:name="_Toc461180215"/>
      <w:bookmarkStart w:id="1266" w:name="_Toc461180507"/>
      <w:bookmarkStart w:id="1267" w:name="_Toc461180579"/>
      <w:bookmarkStart w:id="1268" w:name="_Toc461180628"/>
      <w:bookmarkStart w:id="1269" w:name="_Toc461183236"/>
      <w:bookmarkStart w:id="1270" w:name="_Toc461183288"/>
      <w:bookmarkStart w:id="1271" w:name="_Toc461183374"/>
      <w:bookmarkStart w:id="1272" w:name="_Toc461183831"/>
      <w:bookmarkStart w:id="1273" w:name="_Toc461184445"/>
      <w:bookmarkStart w:id="1274" w:name="_Toc461184550"/>
      <w:bookmarkStart w:id="1275" w:name="_Toc461186588"/>
      <w:bookmarkStart w:id="1276" w:name="_Toc461186905"/>
      <w:bookmarkStart w:id="1277" w:name="_Toc461187010"/>
      <w:bookmarkStart w:id="1278" w:name="_Toc461187261"/>
      <w:bookmarkStart w:id="1279" w:name="_Toc461198288"/>
      <w:bookmarkStart w:id="1280" w:name="_Toc461198830"/>
      <w:bookmarkStart w:id="1281" w:name="_Toc461204118"/>
      <w:bookmarkStart w:id="1282" w:name="_Toc461527569"/>
      <w:bookmarkStart w:id="1283" w:name="_Toc461624475"/>
      <w:bookmarkStart w:id="1284" w:name="_Toc461629700"/>
      <w:bookmarkStart w:id="1285" w:name="_Toc461633030"/>
      <w:bookmarkStart w:id="1286" w:name="_Toc461634300"/>
    </w:p>
    <w:p w14:paraId="7418B0F1" w14:textId="77777777" w:rsidR="00D471AD" w:rsidRPr="00924CA6" w:rsidRDefault="00D471AD" w:rsidP="00D471AD">
      <w:pPr>
        <w:pStyle w:val="heading3new"/>
      </w:pPr>
      <w:bookmarkStart w:id="1287" w:name="_Toc462230080"/>
      <w:bookmarkStart w:id="1288" w:name="_Toc462231441"/>
      <w:bookmarkStart w:id="1289" w:name="_Toc463013942"/>
      <w:bookmarkStart w:id="1290" w:name="_Toc463014051"/>
      <w:bookmarkStart w:id="1291" w:name="_Toc463014485"/>
      <w:bookmarkStart w:id="1292" w:name="_Toc463877018"/>
      <w:bookmarkStart w:id="1293" w:name="_Toc465862812"/>
      <w:r>
        <w:t>T</w:t>
      </w:r>
      <w:r w:rsidRPr="00924CA6">
        <w:t>echnological vs non-technological innovation</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r w:rsidRPr="00924CA6">
        <w:t xml:space="preserve"> </w:t>
      </w:r>
    </w:p>
    <w:p w14:paraId="7418B0F2" w14:textId="77777777" w:rsidR="00D471AD" w:rsidRPr="001729A3" w:rsidRDefault="00D471AD" w:rsidP="00D471AD">
      <w:pPr>
        <w:pStyle w:val="BodyText"/>
      </w:pPr>
      <w:r w:rsidRPr="001729A3">
        <w:t>The OECD describes goods, services, and process innovation as predominantly technological innovation</w:t>
      </w:r>
      <w:r>
        <w:t>,</w:t>
      </w:r>
      <w:r w:rsidRPr="001729A3">
        <w:t xml:space="preserve"> and marketing/organisational innovation as mostly non-technological innovation (Definition 1.3). </w:t>
      </w:r>
    </w:p>
    <w:p w14:paraId="7418B0F3" w14:textId="77777777" w:rsidR="00D471AD" w:rsidRPr="001729A3" w:rsidRDefault="00D471AD" w:rsidP="00D471AD">
      <w:pPr>
        <w:pStyle w:val="BodyText"/>
      </w:pPr>
      <w:r w:rsidRPr="001729A3">
        <w:t>Data for Australia and other OECD countries shows that most businesses adopt a mixed</w:t>
      </w:r>
      <w:r>
        <w:t>-</w:t>
      </w:r>
      <w:r w:rsidRPr="001729A3">
        <w:t xml:space="preserve">mode approach to innovation, where different types of innovation are used in complementary ways. For example, goods and services innovation is often accompanied by a new marketing method, or the introduction of a new operational process might demand a new way of managing a business’ supply chain (organisational innovation). </w:t>
      </w:r>
    </w:p>
    <w:p w14:paraId="7418B0F4" w14:textId="77777777" w:rsidR="00D471AD" w:rsidRPr="001729A3" w:rsidRDefault="00D471AD" w:rsidP="00D471AD">
      <w:pPr>
        <w:pStyle w:val="BodyText"/>
      </w:pPr>
      <w:r w:rsidRPr="001729A3">
        <w:fldChar w:fldCharType="begin"/>
      </w:r>
      <w:r w:rsidRPr="001729A3">
        <w:instrText xml:space="preserve"> REF _Ref461115309 \h </w:instrText>
      </w:r>
      <w:r w:rsidRPr="001729A3">
        <w:fldChar w:fldCharType="separate"/>
      </w:r>
      <w:r w:rsidRPr="000D502B">
        <w:t xml:space="preserve">Table </w:t>
      </w:r>
      <w:r>
        <w:rPr>
          <w:noProof/>
        </w:rPr>
        <w:t>3</w:t>
      </w:r>
      <w:r w:rsidRPr="000D502B">
        <w:t>.</w:t>
      </w:r>
      <w:r>
        <w:rPr>
          <w:noProof/>
        </w:rPr>
        <w:t>1</w:t>
      </w:r>
      <w:r w:rsidRPr="001729A3">
        <w:fldChar w:fldCharType="end"/>
      </w:r>
      <w:r w:rsidRPr="001729A3">
        <w:t xml:space="preserve"> provides international comparisons of the different modes of innovation. Australia ranks highly for product or process innovation only, with large businesses ranked 3rd in the OECD and SMEs ranked 8th. </w:t>
      </w:r>
    </w:p>
    <w:p w14:paraId="7418B0F5" w14:textId="77777777" w:rsidR="00D471AD" w:rsidRPr="001729A3" w:rsidRDefault="00D471AD" w:rsidP="00D471AD">
      <w:pPr>
        <w:pStyle w:val="BodyText"/>
      </w:pPr>
      <w:r w:rsidRPr="001729A3">
        <w:t>By contrast, for innovation in marketing or organisational methods only, Australia ranks poorly at 30th for large businesses and 31st for SMEs out of 33 OECD countries. In this mode of innovation</w:t>
      </w:r>
      <w:r>
        <w:t>,</w:t>
      </w:r>
      <w:r w:rsidRPr="001729A3">
        <w:t xml:space="preserve"> there was little variability in Australia’s OECD rank between manufacturing (28th) and services (29th). </w:t>
      </w:r>
    </w:p>
    <w:p w14:paraId="7418B0F6" w14:textId="77777777" w:rsidR="00D471AD" w:rsidRPr="001729A3" w:rsidRDefault="00D471AD" w:rsidP="00D471AD">
      <w:pPr>
        <w:pStyle w:val="BodyText"/>
      </w:pPr>
      <w:r w:rsidRPr="001729A3">
        <w:t>Australian SMEs ranked first in the OECD</w:t>
      </w:r>
      <w:r>
        <w:t xml:space="preserve"> (</w:t>
      </w:r>
      <w:r w:rsidRPr="001729A3">
        <w:t>at 4</w:t>
      </w:r>
      <w:r>
        <w:t>3</w:t>
      </w:r>
      <w:r w:rsidRPr="001729A3">
        <w:t xml:space="preserve"> per cent</w:t>
      </w:r>
      <w:r>
        <w:t>)</w:t>
      </w:r>
      <w:r w:rsidRPr="001729A3">
        <w:t xml:space="preserve"> for product or process and marketing or organisational innovation. Even though a higher proportion (50 per cent) of large businesses in Australia innovated in this way, they ranked 1</w:t>
      </w:r>
      <w:r>
        <w:t>3</w:t>
      </w:r>
      <w:r w:rsidRPr="001729A3">
        <w:t>th in the OECD.</w:t>
      </w:r>
    </w:p>
    <w:p w14:paraId="7418B0F7" w14:textId="77777777" w:rsidR="00D471AD" w:rsidRPr="001729A3" w:rsidRDefault="00D471AD" w:rsidP="00D471AD">
      <w:pPr>
        <w:pStyle w:val="BodyText"/>
        <w:sectPr w:rsidR="00D471AD" w:rsidRPr="001729A3" w:rsidSect="00D471AD">
          <w:footnotePr>
            <w:numFmt w:val="upperRoman"/>
          </w:footnotePr>
          <w:endnotePr>
            <w:numFmt w:val="decimal"/>
          </w:endnotePr>
          <w:type w:val="continuous"/>
          <w:pgSz w:w="11906" w:h="16838" w:code="9"/>
          <w:pgMar w:top="1440" w:right="992" w:bottom="1440" w:left="992" w:header="709" w:footer="709" w:gutter="0"/>
          <w:cols w:num="2" w:space="708"/>
          <w:docGrid w:linePitch="360"/>
        </w:sectPr>
      </w:pPr>
    </w:p>
    <w:p w14:paraId="7418B0F8" w14:textId="77777777" w:rsidR="00D471AD" w:rsidRPr="001729A3" w:rsidRDefault="00D471AD" w:rsidP="00D471AD">
      <w:pPr>
        <w:pStyle w:val="BodyText"/>
        <w:sectPr w:rsidR="00D471AD" w:rsidRPr="001729A3" w:rsidSect="00D471AD">
          <w:headerReference w:type="even" r:id="rId95"/>
          <w:headerReference w:type="default" r:id="rId96"/>
          <w:footerReference w:type="default" r:id="rId97"/>
          <w:headerReference w:type="first" r:id="rId98"/>
          <w:footerReference w:type="first" r:id="rId99"/>
          <w:footnotePr>
            <w:numFmt w:val="upperRoman"/>
          </w:footnotePr>
          <w:endnotePr>
            <w:numFmt w:val="decimal"/>
          </w:endnotePr>
          <w:type w:val="continuous"/>
          <w:pgSz w:w="11906" w:h="16838" w:code="9"/>
          <w:pgMar w:top="1440" w:right="3629" w:bottom="1440" w:left="3572" w:header="709" w:footer="709" w:gutter="0"/>
          <w:cols w:space="708"/>
          <w:docGrid w:linePitch="360"/>
        </w:sectPr>
      </w:pPr>
    </w:p>
    <w:p w14:paraId="7418B0F9" w14:textId="77777777" w:rsidR="00D471AD" w:rsidRPr="000D502B" w:rsidRDefault="00D471AD" w:rsidP="00D471AD">
      <w:pPr>
        <w:pStyle w:val="Caption"/>
      </w:pPr>
      <w:bookmarkStart w:id="1294" w:name="_Ref461115309"/>
      <w:r w:rsidRPr="000D502B">
        <w:t xml:space="preserve">Table </w:t>
      </w:r>
      <w:fldSimple w:instr=" STYLEREF 1 \s ">
        <w:r>
          <w:rPr>
            <w:noProof/>
          </w:rPr>
          <w:t>3</w:t>
        </w:r>
      </w:fldSimple>
      <w:r w:rsidRPr="000D502B">
        <w:t>.</w:t>
      </w:r>
      <w:fldSimple w:instr=" SEQ Table \* ARABIC \s 1 ">
        <w:r>
          <w:rPr>
            <w:noProof/>
          </w:rPr>
          <w:t>1</w:t>
        </w:r>
      </w:fldSimple>
      <w:bookmarkEnd w:id="1294"/>
      <w:r w:rsidRPr="000D502B">
        <w:t>: Mixed modes of innovation, Australia versus the OECD and OECD top five averages, 2010-2013</w:t>
      </w:r>
    </w:p>
    <w:tbl>
      <w:tblPr>
        <w:tblW w:w="5000" w:type="pct"/>
        <w:tblInd w:w="57" w:type="dxa"/>
        <w:shd w:val="clear" w:color="auto" w:fill="CAE7F3"/>
        <w:tblLayout w:type="fixed"/>
        <w:tblLook w:val="04A0" w:firstRow="1" w:lastRow="0" w:firstColumn="1" w:lastColumn="0" w:noHBand="0" w:noVBand="1"/>
      </w:tblPr>
      <w:tblGrid>
        <w:gridCol w:w="1841"/>
        <w:gridCol w:w="1686"/>
        <w:gridCol w:w="1622"/>
        <w:gridCol w:w="1624"/>
        <w:gridCol w:w="1622"/>
        <w:gridCol w:w="1486"/>
      </w:tblGrid>
      <w:tr w:rsidR="00D471AD" w:rsidRPr="000D502B" w14:paraId="7418B0FE" w14:textId="77777777" w:rsidTr="004A31A9">
        <w:trPr>
          <w:trHeight w:val="288"/>
        </w:trPr>
        <w:tc>
          <w:tcPr>
            <w:tcW w:w="931" w:type="pct"/>
            <w:shd w:val="clear" w:color="auto" w:fill="22789A"/>
            <w:noWrap/>
            <w:vAlign w:val="bottom"/>
            <w:hideMark/>
          </w:tcPr>
          <w:p w14:paraId="7418B0FA" w14:textId="77777777" w:rsidR="00D471AD" w:rsidRPr="000D502B" w:rsidRDefault="00D471AD" w:rsidP="004A31A9">
            <w:pPr>
              <w:keepNext/>
              <w:spacing w:before="120" w:after="120"/>
              <w:rPr>
                <w:rFonts w:cs="Arial"/>
                <w:i/>
                <w:color w:val="FFFFFF"/>
                <w:sz w:val="16"/>
                <w:szCs w:val="16"/>
                <w:lang w:eastAsia="en-AU"/>
              </w:rPr>
            </w:pPr>
            <w:r w:rsidRPr="000D502B">
              <w:rPr>
                <w:rFonts w:cs="Arial"/>
                <w:i/>
                <w:color w:val="FFFFFF"/>
                <w:sz w:val="16"/>
                <w:szCs w:val="16"/>
                <w:lang w:eastAsia="en-AU"/>
              </w:rPr>
              <w:t> </w:t>
            </w:r>
          </w:p>
        </w:tc>
        <w:tc>
          <w:tcPr>
            <w:tcW w:w="853" w:type="pct"/>
            <w:shd w:val="clear" w:color="auto" w:fill="22789A"/>
            <w:noWrap/>
            <w:vAlign w:val="bottom"/>
            <w:hideMark/>
          </w:tcPr>
          <w:p w14:paraId="7418B0FB" w14:textId="77777777" w:rsidR="00D471AD" w:rsidRPr="000D502B" w:rsidRDefault="00D471AD" w:rsidP="004A31A9">
            <w:pPr>
              <w:keepNext/>
              <w:spacing w:before="120" w:after="120"/>
              <w:rPr>
                <w:rFonts w:cs="Arial"/>
                <w:i/>
                <w:color w:val="FFFFFF"/>
                <w:sz w:val="16"/>
                <w:szCs w:val="16"/>
                <w:lang w:eastAsia="en-AU"/>
              </w:rPr>
            </w:pPr>
            <w:r w:rsidRPr="000D502B">
              <w:rPr>
                <w:rFonts w:cs="Arial"/>
                <w:i/>
                <w:color w:val="FFFFFF"/>
                <w:sz w:val="16"/>
                <w:szCs w:val="16"/>
                <w:lang w:eastAsia="en-AU"/>
              </w:rPr>
              <w:t> </w:t>
            </w:r>
          </w:p>
        </w:tc>
        <w:tc>
          <w:tcPr>
            <w:tcW w:w="1643" w:type="pct"/>
            <w:gridSpan w:val="2"/>
            <w:shd w:val="clear" w:color="auto" w:fill="22789A"/>
            <w:noWrap/>
            <w:vAlign w:val="bottom"/>
            <w:hideMark/>
          </w:tcPr>
          <w:p w14:paraId="7418B0FC" w14:textId="77777777" w:rsidR="00D471AD" w:rsidRPr="000D502B" w:rsidRDefault="00D471AD" w:rsidP="004A31A9">
            <w:pPr>
              <w:keepNext/>
              <w:spacing w:before="120" w:after="120"/>
              <w:jc w:val="center"/>
              <w:rPr>
                <w:rFonts w:cs="Arial"/>
                <w:b/>
                <w:i/>
                <w:color w:val="FFFFFF"/>
                <w:sz w:val="16"/>
                <w:szCs w:val="16"/>
                <w:lang w:eastAsia="en-AU"/>
              </w:rPr>
            </w:pPr>
            <w:r>
              <w:rPr>
                <w:rFonts w:cs="Arial"/>
                <w:b/>
                <w:i/>
                <w:color w:val="FFFFFF"/>
                <w:sz w:val="16"/>
                <w:szCs w:val="16"/>
                <w:lang w:eastAsia="en-AU"/>
              </w:rPr>
              <w:t xml:space="preserve">Business </w:t>
            </w:r>
            <w:r w:rsidRPr="000D502B">
              <w:rPr>
                <w:rFonts w:cs="Arial"/>
                <w:b/>
                <w:i/>
                <w:color w:val="FFFFFF"/>
                <w:sz w:val="16"/>
                <w:szCs w:val="16"/>
                <w:lang w:eastAsia="en-AU"/>
              </w:rPr>
              <w:t>size</w:t>
            </w:r>
          </w:p>
        </w:tc>
        <w:tc>
          <w:tcPr>
            <w:tcW w:w="1573" w:type="pct"/>
            <w:gridSpan w:val="2"/>
            <w:shd w:val="clear" w:color="auto" w:fill="22789A"/>
            <w:noWrap/>
            <w:vAlign w:val="bottom"/>
            <w:hideMark/>
          </w:tcPr>
          <w:p w14:paraId="7418B0FD" w14:textId="77777777" w:rsidR="00D471AD" w:rsidRPr="000D502B" w:rsidRDefault="00D471AD" w:rsidP="004A31A9">
            <w:pPr>
              <w:keepNext/>
              <w:spacing w:before="120" w:after="120"/>
              <w:jc w:val="center"/>
              <w:rPr>
                <w:rFonts w:cs="Arial"/>
                <w:b/>
                <w:i/>
                <w:color w:val="FFFFFF"/>
                <w:sz w:val="16"/>
                <w:szCs w:val="16"/>
                <w:lang w:eastAsia="en-AU"/>
              </w:rPr>
            </w:pPr>
            <w:r w:rsidRPr="000D502B">
              <w:rPr>
                <w:rFonts w:cs="Arial"/>
                <w:b/>
                <w:i/>
                <w:color w:val="FFFFFF"/>
                <w:sz w:val="16"/>
                <w:szCs w:val="16"/>
                <w:lang w:eastAsia="en-AU"/>
              </w:rPr>
              <w:t>Economic sector</w:t>
            </w:r>
          </w:p>
        </w:tc>
      </w:tr>
      <w:tr w:rsidR="00D471AD" w:rsidRPr="000D502B" w14:paraId="7418B105" w14:textId="77777777" w:rsidTr="004A31A9">
        <w:trPr>
          <w:trHeight w:val="288"/>
        </w:trPr>
        <w:tc>
          <w:tcPr>
            <w:tcW w:w="931" w:type="pct"/>
            <w:tcBorders>
              <w:left w:val="nil"/>
              <w:bottom w:val="nil"/>
              <w:right w:val="nil"/>
            </w:tcBorders>
            <w:shd w:val="clear" w:color="auto" w:fill="22789A"/>
            <w:noWrap/>
            <w:vAlign w:val="bottom"/>
            <w:hideMark/>
          </w:tcPr>
          <w:p w14:paraId="7418B0FF" w14:textId="77777777" w:rsidR="00D471AD" w:rsidRPr="000D502B" w:rsidRDefault="00D471AD" w:rsidP="004A31A9">
            <w:pPr>
              <w:keepNext/>
              <w:spacing w:before="120" w:after="120"/>
              <w:rPr>
                <w:rFonts w:cs="Arial"/>
                <w:i/>
                <w:color w:val="FFFFFF"/>
                <w:sz w:val="16"/>
                <w:szCs w:val="16"/>
                <w:lang w:eastAsia="en-AU"/>
              </w:rPr>
            </w:pPr>
            <w:r w:rsidRPr="000D502B">
              <w:rPr>
                <w:rFonts w:cs="Arial"/>
                <w:i/>
                <w:color w:val="FFFFFF"/>
                <w:sz w:val="16"/>
                <w:szCs w:val="16"/>
                <w:lang w:eastAsia="en-AU"/>
              </w:rPr>
              <w:t> </w:t>
            </w:r>
          </w:p>
        </w:tc>
        <w:tc>
          <w:tcPr>
            <w:tcW w:w="853" w:type="pct"/>
            <w:tcBorders>
              <w:left w:val="nil"/>
              <w:bottom w:val="nil"/>
              <w:right w:val="nil"/>
            </w:tcBorders>
            <w:shd w:val="clear" w:color="auto" w:fill="22789A"/>
            <w:noWrap/>
            <w:vAlign w:val="bottom"/>
            <w:hideMark/>
          </w:tcPr>
          <w:p w14:paraId="7418B100" w14:textId="77777777" w:rsidR="00D471AD" w:rsidRPr="000D502B" w:rsidRDefault="00D471AD" w:rsidP="004A31A9">
            <w:pPr>
              <w:keepNext/>
              <w:spacing w:before="120" w:after="120"/>
              <w:jc w:val="right"/>
              <w:rPr>
                <w:rFonts w:cs="Arial"/>
                <w:b/>
                <w:i/>
                <w:color w:val="FFFFFF"/>
                <w:sz w:val="16"/>
                <w:szCs w:val="16"/>
                <w:lang w:eastAsia="en-AU"/>
              </w:rPr>
            </w:pPr>
            <w:r w:rsidRPr="000D502B">
              <w:rPr>
                <w:rFonts w:cs="Arial"/>
                <w:b/>
                <w:i/>
                <w:color w:val="FFFFFF"/>
                <w:sz w:val="16"/>
                <w:szCs w:val="16"/>
                <w:lang w:eastAsia="en-AU"/>
              </w:rPr>
              <w:t xml:space="preserve">All </w:t>
            </w:r>
            <w:r>
              <w:rPr>
                <w:rFonts w:cs="Arial"/>
                <w:b/>
                <w:i/>
                <w:color w:val="FFFFFF"/>
                <w:sz w:val="16"/>
                <w:szCs w:val="16"/>
                <w:lang w:eastAsia="en-AU"/>
              </w:rPr>
              <w:t>businesses</w:t>
            </w:r>
          </w:p>
        </w:tc>
        <w:tc>
          <w:tcPr>
            <w:tcW w:w="821" w:type="pct"/>
            <w:tcBorders>
              <w:left w:val="nil"/>
              <w:bottom w:val="nil"/>
              <w:right w:val="nil"/>
            </w:tcBorders>
            <w:shd w:val="clear" w:color="auto" w:fill="22789A"/>
            <w:noWrap/>
            <w:vAlign w:val="bottom"/>
            <w:hideMark/>
          </w:tcPr>
          <w:p w14:paraId="7418B101" w14:textId="77777777" w:rsidR="00D471AD" w:rsidRPr="000D502B" w:rsidRDefault="00D471AD" w:rsidP="004A31A9">
            <w:pPr>
              <w:keepNext/>
              <w:spacing w:before="120" w:after="120"/>
              <w:jc w:val="right"/>
              <w:rPr>
                <w:rFonts w:cs="Arial"/>
                <w:b/>
                <w:i/>
                <w:color w:val="FFFFFF"/>
                <w:sz w:val="16"/>
                <w:szCs w:val="16"/>
                <w:lang w:eastAsia="en-AU"/>
              </w:rPr>
            </w:pPr>
            <w:r w:rsidRPr="000D502B">
              <w:rPr>
                <w:rFonts w:cs="Arial"/>
                <w:b/>
                <w:i/>
                <w:color w:val="FFFFFF"/>
                <w:sz w:val="16"/>
                <w:szCs w:val="16"/>
                <w:lang w:eastAsia="en-AU"/>
              </w:rPr>
              <w:t>SMEs</w:t>
            </w:r>
          </w:p>
        </w:tc>
        <w:tc>
          <w:tcPr>
            <w:tcW w:w="822" w:type="pct"/>
            <w:tcBorders>
              <w:left w:val="nil"/>
              <w:bottom w:val="nil"/>
              <w:right w:val="nil"/>
            </w:tcBorders>
            <w:shd w:val="clear" w:color="auto" w:fill="22789A"/>
            <w:noWrap/>
            <w:vAlign w:val="bottom"/>
            <w:hideMark/>
          </w:tcPr>
          <w:p w14:paraId="7418B102" w14:textId="77777777" w:rsidR="00D471AD" w:rsidRPr="000D502B" w:rsidRDefault="00D471AD" w:rsidP="004A31A9">
            <w:pPr>
              <w:keepNext/>
              <w:spacing w:before="120" w:after="120"/>
              <w:jc w:val="right"/>
              <w:rPr>
                <w:rFonts w:cs="Arial"/>
                <w:b/>
                <w:i/>
                <w:color w:val="FFFFFF"/>
                <w:sz w:val="16"/>
                <w:szCs w:val="16"/>
                <w:lang w:eastAsia="en-AU"/>
              </w:rPr>
            </w:pPr>
            <w:r w:rsidRPr="000D502B">
              <w:rPr>
                <w:rFonts w:cs="Arial"/>
                <w:b/>
                <w:i/>
                <w:color w:val="FFFFFF"/>
                <w:sz w:val="16"/>
                <w:szCs w:val="16"/>
                <w:lang w:eastAsia="en-AU"/>
              </w:rPr>
              <w:t xml:space="preserve">Large </w:t>
            </w:r>
            <w:r>
              <w:rPr>
                <w:rFonts w:cs="Arial"/>
                <w:b/>
                <w:i/>
                <w:color w:val="FFFFFF"/>
                <w:sz w:val="16"/>
                <w:szCs w:val="16"/>
                <w:lang w:eastAsia="en-AU"/>
              </w:rPr>
              <w:t>businesses</w:t>
            </w:r>
          </w:p>
        </w:tc>
        <w:tc>
          <w:tcPr>
            <w:tcW w:w="821" w:type="pct"/>
            <w:tcBorders>
              <w:left w:val="nil"/>
              <w:bottom w:val="nil"/>
              <w:right w:val="nil"/>
            </w:tcBorders>
            <w:shd w:val="clear" w:color="auto" w:fill="22789A"/>
            <w:noWrap/>
            <w:vAlign w:val="bottom"/>
            <w:hideMark/>
          </w:tcPr>
          <w:p w14:paraId="7418B103" w14:textId="77777777" w:rsidR="00D471AD" w:rsidRPr="000D502B" w:rsidRDefault="00D471AD" w:rsidP="004A31A9">
            <w:pPr>
              <w:keepNext/>
              <w:spacing w:before="120" w:after="120"/>
              <w:jc w:val="right"/>
              <w:rPr>
                <w:rFonts w:ascii="Arial Narrow" w:hAnsi="Arial Narrow" w:cs="Arial"/>
                <w:b/>
                <w:i/>
                <w:color w:val="FFFFFF"/>
                <w:sz w:val="16"/>
                <w:szCs w:val="16"/>
                <w:lang w:eastAsia="en-AU"/>
              </w:rPr>
            </w:pPr>
            <w:r w:rsidRPr="000D502B">
              <w:rPr>
                <w:rFonts w:ascii="Arial Narrow" w:hAnsi="Arial Narrow" w:cs="Arial"/>
                <w:b/>
                <w:i/>
                <w:color w:val="FFFFFF"/>
                <w:sz w:val="16"/>
                <w:szCs w:val="16"/>
                <w:lang w:eastAsia="en-AU"/>
              </w:rPr>
              <w:t>Manufacturing</w:t>
            </w:r>
          </w:p>
        </w:tc>
        <w:tc>
          <w:tcPr>
            <w:tcW w:w="752" w:type="pct"/>
            <w:tcBorders>
              <w:left w:val="nil"/>
              <w:bottom w:val="nil"/>
              <w:right w:val="nil"/>
            </w:tcBorders>
            <w:shd w:val="clear" w:color="auto" w:fill="22789A"/>
            <w:noWrap/>
            <w:vAlign w:val="bottom"/>
            <w:hideMark/>
          </w:tcPr>
          <w:p w14:paraId="7418B104" w14:textId="77777777" w:rsidR="00D471AD" w:rsidRPr="000D502B" w:rsidRDefault="00D471AD" w:rsidP="004A31A9">
            <w:pPr>
              <w:keepNext/>
              <w:spacing w:before="120" w:after="120"/>
              <w:jc w:val="right"/>
              <w:rPr>
                <w:rFonts w:cs="Arial"/>
                <w:b/>
                <w:i/>
                <w:color w:val="FFFFFF"/>
                <w:sz w:val="16"/>
                <w:szCs w:val="16"/>
                <w:lang w:eastAsia="en-AU"/>
              </w:rPr>
            </w:pPr>
            <w:r w:rsidRPr="000D502B">
              <w:rPr>
                <w:rFonts w:cs="Arial"/>
                <w:b/>
                <w:i/>
                <w:color w:val="FFFFFF"/>
                <w:sz w:val="16"/>
                <w:szCs w:val="16"/>
                <w:lang w:eastAsia="en-AU"/>
              </w:rPr>
              <w:t>Services</w:t>
            </w:r>
          </w:p>
        </w:tc>
      </w:tr>
      <w:tr w:rsidR="00D471AD" w:rsidRPr="000D502B" w14:paraId="7418B10C" w14:textId="77777777" w:rsidTr="004A31A9">
        <w:trPr>
          <w:trHeight w:val="495"/>
        </w:trPr>
        <w:tc>
          <w:tcPr>
            <w:tcW w:w="931" w:type="pct"/>
            <w:tcBorders>
              <w:left w:val="nil"/>
            </w:tcBorders>
            <w:shd w:val="clear" w:color="auto" w:fill="22789A"/>
            <w:noWrap/>
            <w:vAlign w:val="bottom"/>
            <w:hideMark/>
          </w:tcPr>
          <w:p w14:paraId="7418B106" w14:textId="77777777" w:rsidR="00D471AD" w:rsidRPr="000D502B" w:rsidRDefault="00D471AD" w:rsidP="004A31A9">
            <w:pPr>
              <w:keepNext/>
              <w:spacing w:before="120" w:after="120"/>
              <w:rPr>
                <w:rFonts w:cs="Arial"/>
                <w:i/>
                <w:color w:val="FFFFFF"/>
                <w:sz w:val="16"/>
                <w:szCs w:val="16"/>
                <w:lang w:eastAsia="en-AU"/>
              </w:rPr>
            </w:pPr>
            <w:r w:rsidRPr="000D502B">
              <w:rPr>
                <w:rFonts w:cs="Arial"/>
                <w:i/>
                <w:color w:val="FFFFFF"/>
                <w:sz w:val="16"/>
                <w:szCs w:val="16"/>
                <w:lang w:eastAsia="en-AU"/>
              </w:rPr>
              <w:t> </w:t>
            </w:r>
          </w:p>
        </w:tc>
        <w:tc>
          <w:tcPr>
            <w:tcW w:w="853" w:type="pct"/>
            <w:shd w:val="clear" w:color="auto" w:fill="22789A"/>
            <w:vAlign w:val="bottom"/>
            <w:hideMark/>
          </w:tcPr>
          <w:p w14:paraId="7418B107" w14:textId="77777777" w:rsidR="00D471AD" w:rsidRPr="000D502B" w:rsidRDefault="00D471AD" w:rsidP="004A31A9">
            <w:pPr>
              <w:keepNext/>
              <w:spacing w:before="120" w:after="120"/>
              <w:jc w:val="right"/>
              <w:rPr>
                <w:rFonts w:cs="Arial"/>
                <w:i/>
                <w:color w:val="FFFFFF"/>
                <w:sz w:val="16"/>
                <w:szCs w:val="16"/>
                <w:lang w:eastAsia="en-AU"/>
              </w:rPr>
            </w:pPr>
            <w:r w:rsidRPr="000D502B">
              <w:rPr>
                <w:rFonts w:cs="Arial"/>
                <w:i/>
                <w:color w:val="FFFFFF"/>
                <w:sz w:val="16"/>
                <w:szCs w:val="16"/>
                <w:lang w:eastAsia="en-AU"/>
              </w:rPr>
              <w:t xml:space="preserve">as a percentage of all </w:t>
            </w:r>
            <w:r>
              <w:rPr>
                <w:rFonts w:cs="Arial"/>
                <w:i/>
                <w:color w:val="FFFFFF"/>
                <w:sz w:val="16"/>
                <w:szCs w:val="16"/>
                <w:lang w:eastAsia="en-AU"/>
              </w:rPr>
              <w:t>businesses</w:t>
            </w:r>
          </w:p>
        </w:tc>
        <w:tc>
          <w:tcPr>
            <w:tcW w:w="821" w:type="pct"/>
            <w:shd w:val="clear" w:color="auto" w:fill="22789A"/>
            <w:vAlign w:val="bottom"/>
            <w:hideMark/>
          </w:tcPr>
          <w:p w14:paraId="7418B108" w14:textId="77777777" w:rsidR="00D471AD" w:rsidRPr="000D502B" w:rsidRDefault="00D471AD" w:rsidP="004A31A9">
            <w:pPr>
              <w:keepNext/>
              <w:spacing w:before="120" w:after="120"/>
              <w:jc w:val="right"/>
              <w:rPr>
                <w:rFonts w:cs="Arial"/>
                <w:i/>
                <w:color w:val="FFFFFF"/>
                <w:sz w:val="16"/>
                <w:szCs w:val="16"/>
                <w:lang w:eastAsia="en-AU"/>
              </w:rPr>
            </w:pPr>
            <w:r w:rsidRPr="000D502B">
              <w:rPr>
                <w:rFonts w:cs="Arial"/>
                <w:i/>
                <w:color w:val="FFFFFF"/>
                <w:sz w:val="16"/>
                <w:szCs w:val="16"/>
                <w:lang w:eastAsia="en-AU"/>
              </w:rPr>
              <w:t>as a percentage of all SMEs</w:t>
            </w:r>
          </w:p>
        </w:tc>
        <w:tc>
          <w:tcPr>
            <w:tcW w:w="822" w:type="pct"/>
            <w:shd w:val="clear" w:color="auto" w:fill="22789A"/>
            <w:vAlign w:val="bottom"/>
            <w:hideMark/>
          </w:tcPr>
          <w:p w14:paraId="7418B109" w14:textId="77777777" w:rsidR="00D471AD" w:rsidRPr="000D502B" w:rsidRDefault="00D471AD" w:rsidP="004A31A9">
            <w:pPr>
              <w:keepNext/>
              <w:spacing w:before="120" w:after="120"/>
              <w:jc w:val="right"/>
              <w:rPr>
                <w:rFonts w:cs="Arial"/>
                <w:i/>
                <w:color w:val="FFFFFF"/>
                <w:sz w:val="16"/>
                <w:szCs w:val="16"/>
                <w:lang w:eastAsia="en-AU"/>
              </w:rPr>
            </w:pPr>
            <w:r w:rsidRPr="000D502B">
              <w:rPr>
                <w:rFonts w:cs="Arial"/>
                <w:i/>
                <w:color w:val="FFFFFF"/>
                <w:sz w:val="16"/>
                <w:szCs w:val="16"/>
                <w:lang w:eastAsia="en-AU"/>
              </w:rPr>
              <w:t xml:space="preserve">as a percentage of all large </w:t>
            </w:r>
            <w:r>
              <w:rPr>
                <w:rFonts w:cs="Arial"/>
                <w:i/>
                <w:color w:val="FFFFFF"/>
                <w:sz w:val="16"/>
                <w:szCs w:val="16"/>
                <w:lang w:eastAsia="en-AU"/>
              </w:rPr>
              <w:t>businesses</w:t>
            </w:r>
          </w:p>
        </w:tc>
        <w:tc>
          <w:tcPr>
            <w:tcW w:w="821" w:type="pct"/>
            <w:shd w:val="clear" w:color="auto" w:fill="22789A"/>
            <w:vAlign w:val="bottom"/>
            <w:hideMark/>
          </w:tcPr>
          <w:p w14:paraId="7418B10A" w14:textId="77777777" w:rsidR="00D471AD" w:rsidRPr="000D502B" w:rsidRDefault="00D471AD" w:rsidP="004A31A9">
            <w:pPr>
              <w:keepNext/>
              <w:spacing w:before="120" w:after="120"/>
              <w:jc w:val="right"/>
              <w:rPr>
                <w:rFonts w:cs="Arial"/>
                <w:i/>
                <w:color w:val="FFFFFF"/>
                <w:sz w:val="16"/>
                <w:szCs w:val="16"/>
                <w:lang w:eastAsia="en-AU"/>
              </w:rPr>
            </w:pPr>
            <w:r>
              <w:rPr>
                <w:rFonts w:cs="Arial"/>
                <w:i/>
                <w:color w:val="FFFFFF"/>
                <w:sz w:val="16"/>
                <w:szCs w:val="16"/>
                <w:lang w:eastAsia="en-AU"/>
              </w:rPr>
              <w:t>as a percentage of all manufacturing</w:t>
            </w:r>
            <w:r w:rsidRPr="000D502B">
              <w:rPr>
                <w:rFonts w:cs="Arial"/>
                <w:i/>
                <w:color w:val="FFFFFF"/>
                <w:sz w:val="16"/>
                <w:szCs w:val="16"/>
                <w:lang w:eastAsia="en-AU"/>
              </w:rPr>
              <w:t xml:space="preserve"> </w:t>
            </w:r>
            <w:r>
              <w:rPr>
                <w:rFonts w:cs="Arial"/>
                <w:i/>
                <w:color w:val="FFFFFF"/>
                <w:sz w:val="16"/>
                <w:szCs w:val="16"/>
                <w:lang w:eastAsia="en-AU"/>
              </w:rPr>
              <w:t>businesses</w:t>
            </w:r>
          </w:p>
        </w:tc>
        <w:tc>
          <w:tcPr>
            <w:tcW w:w="752" w:type="pct"/>
            <w:shd w:val="clear" w:color="auto" w:fill="22789A"/>
            <w:vAlign w:val="bottom"/>
            <w:hideMark/>
          </w:tcPr>
          <w:p w14:paraId="7418B10B" w14:textId="77777777" w:rsidR="00D471AD" w:rsidRPr="000D502B" w:rsidRDefault="00D471AD" w:rsidP="004A31A9">
            <w:pPr>
              <w:keepNext/>
              <w:spacing w:before="120" w:after="120"/>
              <w:jc w:val="right"/>
              <w:rPr>
                <w:rFonts w:cs="Arial"/>
                <w:i/>
                <w:color w:val="FFFFFF"/>
                <w:sz w:val="16"/>
                <w:szCs w:val="16"/>
                <w:lang w:eastAsia="en-AU"/>
              </w:rPr>
            </w:pPr>
            <w:r>
              <w:rPr>
                <w:rFonts w:cs="Arial"/>
                <w:i/>
                <w:color w:val="FFFFFF"/>
                <w:sz w:val="16"/>
                <w:szCs w:val="16"/>
                <w:lang w:eastAsia="en-AU"/>
              </w:rPr>
              <w:t>as a percentage of all service</w:t>
            </w:r>
            <w:r w:rsidRPr="000D502B">
              <w:rPr>
                <w:rFonts w:cs="Arial"/>
                <w:i/>
                <w:color w:val="FFFFFF"/>
                <w:sz w:val="16"/>
                <w:szCs w:val="16"/>
                <w:lang w:eastAsia="en-AU"/>
              </w:rPr>
              <w:t xml:space="preserve"> </w:t>
            </w:r>
            <w:r>
              <w:rPr>
                <w:rFonts w:cs="Arial"/>
                <w:i/>
                <w:color w:val="FFFFFF"/>
                <w:sz w:val="16"/>
                <w:szCs w:val="16"/>
                <w:lang w:eastAsia="en-AU"/>
              </w:rPr>
              <w:t>businesses</w:t>
            </w:r>
          </w:p>
        </w:tc>
      </w:tr>
      <w:tr w:rsidR="00D471AD" w:rsidRPr="000D502B" w14:paraId="7418B10E" w14:textId="77777777" w:rsidTr="004A31A9">
        <w:trPr>
          <w:trHeight w:val="288"/>
        </w:trPr>
        <w:tc>
          <w:tcPr>
            <w:tcW w:w="5000" w:type="pct"/>
            <w:gridSpan w:val="6"/>
            <w:shd w:val="clear" w:color="auto" w:fill="CAE7F3"/>
            <w:noWrap/>
            <w:vAlign w:val="bottom"/>
          </w:tcPr>
          <w:p w14:paraId="7418B10D" w14:textId="77777777" w:rsidR="00D471AD" w:rsidRPr="000D502B" w:rsidRDefault="00D471AD" w:rsidP="004A31A9">
            <w:pPr>
              <w:keepNext/>
              <w:keepLines/>
              <w:spacing w:before="60" w:after="60"/>
              <w:rPr>
                <w:rFonts w:cs="Arial"/>
                <w:sz w:val="16"/>
                <w:szCs w:val="16"/>
                <w:lang w:eastAsia="en-AU"/>
              </w:rPr>
            </w:pPr>
            <w:r w:rsidRPr="000D502B">
              <w:rPr>
                <w:rFonts w:cs="Arial"/>
                <w:b/>
                <w:sz w:val="16"/>
                <w:szCs w:val="16"/>
                <w:lang w:eastAsia="en-AU"/>
              </w:rPr>
              <w:t xml:space="preserve">Product and/or process innovative </w:t>
            </w:r>
            <w:r>
              <w:rPr>
                <w:rFonts w:cs="Arial"/>
                <w:b/>
                <w:sz w:val="16"/>
                <w:szCs w:val="16"/>
                <w:lang w:eastAsia="en-AU"/>
              </w:rPr>
              <w:t>businesses</w:t>
            </w:r>
            <w:r w:rsidRPr="000D502B">
              <w:rPr>
                <w:rFonts w:cs="Arial"/>
                <w:b/>
                <w:sz w:val="16"/>
                <w:szCs w:val="16"/>
                <w:lang w:eastAsia="en-AU"/>
              </w:rPr>
              <w:t>, including abandoned or ongoing innovation activities (regardless of organisational or marketing innovation)</w:t>
            </w:r>
          </w:p>
        </w:tc>
      </w:tr>
      <w:tr w:rsidR="00D471AD" w:rsidRPr="000D502B" w14:paraId="7418B115" w14:textId="77777777" w:rsidTr="004A31A9">
        <w:trPr>
          <w:trHeight w:val="288"/>
        </w:trPr>
        <w:tc>
          <w:tcPr>
            <w:tcW w:w="931" w:type="pct"/>
            <w:shd w:val="clear" w:color="auto" w:fill="CAE7F3"/>
            <w:noWrap/>
            <w:vAlign w:val="bottom"/>
            <w:hideMark/>
          </w:tcPr>
          <w:p w14:paraId="7418B10F" w14:textId="77777777" w:rsidR="00D471AD" w:rsidRPr="000D502B" w:rsidRDefault="00D471AD" w:rsidP="004A31A9">
            <w:pPr>
              <w:keepNext/>
              <w:keepLines/>
              <w:spacing w:before="60" w:after="60"/>
              <w:rPr>
                <w:rFonts w:cs="Arial"/>
                <w:sz w:val="16"/>
                <w:szCs w:val="16"/>
                <w:lang w:eastAsia="en-AU"/>
              </w:rPr>
            </w:pPr>
            <w:r w:rsidRPr="000D502B">
              <w:rPr>
                <w:rFonts w:cs="Arial"/>
                <w:sz w:val="16"/>
                <w:szCs w:val="16"/>
                <w:lang w:eastAsia="en-AU"/>
              </w:rPr>
              <w:t>OECD average</w:t>
            </w:r>
          </w:p>
        </w:tc>
        <w:tc>
          <w:tcPr>
            <w:tcW w:w="853" w:type="pct"/>
            <w:shd w:val="clear" w:color="auto" w:fill="CAE7F3"/>
            <w:noWrap/>
            <w:vAlign w:val="bottom"/>
            <w:hideMark/>
          </w:tcPr>
          <w:p w14:paraId="7418B110"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35.7</w:t>
            </w:r>
          </w:p>
        </w:tc>
        <w:tc>
          <w:tcPr>
            <w:tcW w:w="821" w:type="pct"/>
            <w:shd w:val="clear" w:color="auto" w:fill="CAE7F3"/>
            <w:noWrap/>
            <w:vAlign w:val="bottom"/>
            <w:hideMark/>
          </w:tcPr>
          <w:p w14:paraId="7418B111"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34.6</w:t>
            </w:r>
          </w:p>
        </w:tc>
        <w:tc>
          <w:tcPr>
            <w:tcW w:w="822" w:type="pct"/>
            <w:shd w:val="clear" w:color="auto" w:fill="CAE7F3"/>
            <w:noWrap/>
            <w:vAlign w:val="bottom"/>
            <w:hideMark/>
          </w:tcPr>
          <w:p w14:paraId="7418B112"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64.3</w:t>
            </w:r>
          </w:p>
        </w:tc>
        <w:tc>
          <w:tcPr>
            <w:tcW w:w="821" w:type="pct"/>
            <w:shd w:val="clear" w:color="auto" w:fill="CAE7F3"/>
            <w:noWrap/>
            <w:vAlign w:val="bottom"/>
            <w:hideMark/>
          </w:tcPr>
          <w:p w14:paraId="7418B113"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41.0</w:t>
            </w:r>
          </w:p>
        </w:tc>
        <w:tc>
          <w:tcPr>
            <w:tcW w:w="752" w:type="pct"/>
            <w:shd w:val="clear" w:color="auto" w:fill="CAE7F3"/>
            <w:noWrap/>
            <w:vAlign w:val="bottom"/>
            <w:hideMark/>
          </w:tcPr>
          <w:p w14:paraId="7418B114"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33.5</w:t>
            </w:r>
          </w:p>
        </w:tc>
      </w:tr>
      <w:tr w:rsidR="00D471AD" w:rsidRPr="000D502B" w14:paraId="7418B11C" w14:textId="77777777" w:rsidTr="004A31A9">
        <w:trPr>
          <w:trHeight w:val="288"/>
        </w:trPr>
        <w:tc>
          <w:tcPr>
            <w:tcW w:w="931" w:type="pct"/>
            <w:shd w:val="clear" w:color="auto" w:fill="CAE7F3"/>
            <w:noWrap/>
            <w:vAlign w:val="bottom"/>
            <w:hideMark/>
          </w:tcPr>
          <w:p w14:paraId="7418B116" w14:textId="77777777" w:rsidR="00D471AD" w:rsidRPr="000D502B" w:rsidRDefault="00D471AD" w:rsidP="004A31A9">
            <w:pPr>
              <w:keepNext/>
              <w:keepLines/>
              <w:spacing w:before="60" w:after="60"/>
              <w:rPr>
                <w:rFonts w:cs="Arial"/>
                <w:sz w:val="16"/>
                <w:szCs w:val="16"/>
                <w:lang w:eastAsia="en-AU"/>
              </w:rPr>
            </w:pPr>
            <w:r w:rsidRPr="000D502B">
              <w:rPr>
                <w:rFonts w:cs="Arial"/>
                <w:sz w:val="16"/>
                <w:szCs w:val="16"/>
                <w:lang w:eastAsia="en-AU"/>
              </w:rPr>
              <w:t>OECD top 5 average</w:t>
            </w:r>
          </w:p>
        </w:tc>
        <w:tc>
          <w:tcPr>
            <w:tcW w:w="853" w:type="pct"/>
            <w:shd w:val="clear" w:color="auto" w:fill="CAE7F3"/>
            <w:noWrap/>
            <w:vAlign w:val="bottom"/>
            <w:hideMark/>
          </w:tcPr>
          <w:p w14:paraId="7418B117"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54.0</w:t>
            </w:r>
          </w:p>
        </w:tc>
        <w:tc>
          <w:tcPr>
            <w:tcW w:w="821" w:type="pct"/>
            <w:shd w:val="clear" w:color="auto" w:fill="CAE7F3"/>
            <w:noWrap/>
            <w:vAlign w:val="bottom"/>
            <w:hideMark/>
          </w:tcPr>
          <w:p w14:paraId="7418B118"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53.0</w:t>
            </w:r>
          </w:p>
        </w:tc>
        <w:tc>
          <w:tcPr>
            <w:tcW w:w="822" w:type="pct"/>
            <w:shd w:val="clear" w:color="auto" w:fill="CAE7F3"/>
            <w:noWrap/>
            <w:vAlign w:val="bottom"/>
            <w:hideMark/>
          </w:tcPr>
          <w:p w14:paraId="7418B119"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79.2</w:t>
            </w:r>
          </w:p>
        </w:tc>
        <w:tc>
          <w:tcPr>
            <w:tcW w:w="821" w:type="pct"/>
            <w:shd w:val="clear" w:color="auto" w:fill="CAE7F3"/>
            <w:noWrap/>
            <w:vAlign w:val="bottom"/>
            <w:hideMark/>
          </w:tcPr>
          <w:p w14:paraId="7418B11A"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59.5</w:t>
            </w:r>
          </w:p>
        </w:tc>
        <w:tc>
          <w:tcPr>
            <w:tcW w:w="752" w:type="pct"/>
            <w:shd w:val="clear" w:color="auto" w:fill="CAE7F3"/>
            <w:noWrap/>
            <w:vAlign w:val="bottom"/>
            <w:hideMark/>
          </w:tcPr>
          <w:p w14:paraId="7418B11B"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50.8</w:t>
            </w:r>
          </w:p>
        </w:tc>
      </w:tr>
      <w:tr w:rsidR="00D471AD" w:rsidRPr="000D502B" w14:paraId="7418B123" w14:textId="77777777" w:rsidTr="004A31A9">
        <w:trPr>
          <w:trHeight w:val="288"/>
        </w:trPr>
        <w:tc>
          <w:tcPr>
            <w:tcW w:w="931" w:type="pct"/>
            <w:shd w:val="clear" w:color="auto" w:fill="CAE7F3"/>
            <w:noWrap/>
            <w:vAlign w:val="bottom"/>
            <w:hideMark/>
          </w:tcPr>
          <w:p w14:paraId="7418B11D" w14:textId="77777777" w:rsidR="00D471AD" w:rsidRPr="000D502B" w:rsidRDefault="00D471AD" w:rsidP="004A31A9">
            <w:pPr>
              <w:keepNext/>
              <w:keepLines/>
              <w:spacing w:before="60" w:after="60"/>
              <w:rPr>
                <w:rFonts w:cs="Arial"/>
                <w:sz w:val="16"/>
                <w:szCs w:val="16"/>
                <w:lang w:eastAsia="en-AU"/>
              </w:rPr>
            </w:pPr>
            <w:r w:rsidRPr="000D502B">
              <w:rPr>
                <w:rFonts w:cs="Arial"/>
                <w:sz w:val="16"/>
                <w:szCs w:val="16"/>
                <w:lang w:eastAsia="en-AU"/>
              </w:rPr>
              <w:t>Australia</w:t>
            </w:r>
          </w:p>
        </w:tc>
        <w:tc>
          <w:tcPr>
            <w:tcW w:w="853" w:type="pct"/>
            <w:shd w:val="clear" w:color="auto" w:fill="CAE7F3"/>
            <w:noWrap/>
            <w:vAlign w:val="bottom"/>
            <w:hideMark/>
          </w:tcPr>
          <w:p w14:paraId="7418B11E"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55.8</w:t>
            </w:r>
          </w:p>
        </w:tc>
        <w:tc>
          <w:tcPr>
            <w:tcW w:w="821" w:type="pct"/>
            <w:shd w:val="clear" w:color="auto" w:fill="CAE7F3"/>
            <w:noWrap/>
            <w:vAlign w:val="bottom"/>
            <w:hideMark/>
          </w:tcPr>
          <w:p w14:paraId="7418B11F"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55.4</w:t>
            </w:r>
          </w:p>
        </w:tc>
        <w:tc>
          <w:tcPr>
            <w:tcW w:w="822" w:type="pct"/>
            <w:shd w:val="clear" w:color="auto" w:fill="CAE7F3"/>
            <w:noWrap/>
            <w:vAlign w:val="bottom"/>
            <w:hideMark/>
          </w:tcPr>
          <w:p w14:paraId="7418B120"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70.5</w:t>
            </w:r>
          </w:p>
        </w:tc>
        <w:tc>
          <w:tcPr>
            <w:tcW w:w="821" w:type="pct"/>
            <w:shd w:val="clear" w:color="auto" w:fill="CAE7F3"/>
            <w:noWrap/>
            <w:vAlign w:val="bottom"/>
            <w:hideMark/>
          </w:tcPr>
          <w:p w14:paraId="7418B121"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53.0</w:t>
            </w:r>
          </w:p>
        </w:tc>
        <w:tc>
          <w:tcPr>
            <w:tcW w:w="752" w:type="pct"/>
            <w:shd w:val="clear" w:color="auto" w:fill="CAE7F3"/>
            <w:noWrap/>
            <w:vAlign w:val="bottom"/>
            <w:hideMark/>
          </w:tcPr>
          <w:p w14:paraId="7418B122"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55.9</w:t>
            </w:r>
          </w:p>
        </w:tc>
      </w:tr>
      <w:tr w:rsidR="00D471AD" w:rsidRPr="000D502B" w14:paraId="7418B125" w14:textId="77777777" w:rsidTr="004A31A9">
        <w:trPr>
          <w:trHeight w:val="288"/>
        </w:trPr>
        <w:tc>
          <w:tcPr>
            <w:tcW w:w="5000" w:type="pct"/>
            <w:gridSpan w:val="6"/>
            <w:shd w:val="clear" w:color="auto" w:fill="CAE7F3"/>
            <w:noWrap/>
            <w:vAlign w:val="bottom"/>
          </w:tcPr>
          <w:p w14:paraId="7418B124" w14:textId="77777777" w:rsidR="00D471AD" w:rsidRPr="000D502B" w:rsidRDefault="00D471AD" w:rsidP="004A31A9">
            <w:pPr>
              <w:keepNext/>
              <w:keepLines/>
              <w:spacing w:before="60" w:after="60"/>
              <w:rPr>
                <w:rFonts w:cs="Arial"/>
                <w:sz w:val="16"/>
                <w:szCs w:val="16"/>
                <w:lang w:eastAsia="en-AU"/>
              </w:rPr>
            </w:pPr>
            <w:r w:rsidRPr="000D502B">
              <w:rPr>
                <w:rFonts w:cs="Arial"/>
                <w:b/>
                <w:sz w:val="16"/>
                <w:szCs w:val="16"/>
                <w:lang w:eastAsia="en-AU"/>
              </w:rPr>
              <w:t xml:space="preserve">Organisation </w:t>
            </w:r>
            <w:r>
              <w:rPr>
                <w:rFonts w:cs="Arial"/>
                <w:b/>
                <w:sz w:val="16"/>
                <w:szCs w:val="16"/>
                <w:lang w:eastAsia="en-AU"/>
              </w:rPr>
              <w:t>or</w:t>
            </w:r>
            <w:r w:rsidRPr="000D502B">
              <w:rPr>
                <w:rFonts w:cs="Arial"/>
                <w:b/>
                <w:sz w:val="16"/>
                <w:szCs w:val="16"/>
                <w:lang w:eastAsia="en-AU"/>
              </w:rPr>
              <w:t xml:space="preserve"> marketing innovative </w:t>
            </w:r>
            <w:r>
              <w:rPr>
                <w:rFonts w:cs="Arial"/>
                <w:b/>
                <w:sz w:val="16"/>
                <w:szCs w:val="16"/>
                <w:lang w:eastAsia="en-AU"/>
              </w:rPr>
              <w:t xml:space="preserve">businesses </w:t>
            </w:r>
            <w:r w:rsidRPr="000D502B">
              <w:rPr>
                <w:rFonts w:cs="Arial"/>
                <w:b/>
                <w:sz w:val="16"/>
                <w:szCs w:val="16"/>
                <w:lang w:eastAsia="en-AU"/>
              </w:rPr>
              <w:t>only</w:t>
            </w:r>
          </w:p>
        </w:tc>
      </w:tr>
      <w:tr w:rsidR="00D471AD" w:rsidRPr="000D502B" w14:paraId="7418B12C" w14:textId="77777777" w:rsidTr="004A31A9">
        <w:trPr>
          <w:trHeight w:val="288"/>
        </w:trPr>
        <w:tc>
          <w:tcPr>
            <w:tcW w:w="931" w:type="pct"/>
            <w:shd w:val="clear" w:color="auto" w:fill="CAE7F3"/>
            <w:noWrap/>
            <w:vAlign w:val="bottom"/>
            <w:hideMark/>
          </w:tcPr>
          <w:p w14:paraId="7418B126" w14:textId="77777777" w:rsidR="00D471AD" w:rsidRPr="000D502B" w:rsidRDefault="00D471AD" w:rsidP="004A31A9">
            <w:pPr>
              <w:keepNext/>
              <w:keepLines/>
              <w:spacing w:before="60" w:after="60"/>
              <w:rPr>
                <w:rFonts w:cs="Arial"/>
                <w:sz w:val="16"/>
                <w:szCs w:val="16"/>
                <w:lang w:eastAsia="en-AU"/>
              </w:rPr>
            </w:pPr>
            <w:r w:rsidRPr="000D502B">
              <w:rPr>
                <w:rFonts w:cs="Arial"/>
                <w:sz w:val="16"/>
                <w:szCs w:val="16"/>
                <w:lang w:eastAsia="en-AU"/>
              </w:rPr>
              <w:t>OECD average</w:t>
            </w:r>
          </w:p>
        </w:tc>
        <w:tc>
          <w:tcPr>
            <w:tcW w:w="853" w:type="pct"/>
            <w:shd w:val="clear" w:color="auto" w:fill="CAE7F3"/>
            <w:noWrap/>
            <w:vAlign w:val="bottom"/>
            <w:hideMark/>
          </w:tcPr>
          <w:p w14:paraId="7418B127"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13.7</w:t>
            </w:r>
          </w:p>
        </w:tc>
        <w:tc>
          <w:tcPr>
            <w:tcW w:w="821" w:type="pct"/>
            <w:shd w:val="clear" w:color="auto" w:fill="CAE7F3"/>
            <w:noWrap/>
            <w:vAlign w:val="bottom"/>
            <w:hideMark/>
          </w:tcPr>
          <w:p w14:paraId="7418B128"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13.7</w:t>
            </w:r>
          </w:p>
        </w:tc>
        <w:tc>
          <w:tcPr>
            <w:tcW w:w="822" w:type="pct"/>
            <w:shd w:val="clear" w:color="auto" w:fill="CAE7F3"/>
            <w:noWrap/>
            <w:vAlign w:val="bottom"/>
            <w:hideMark/>
          </w:tcPr>
          <w:p w14:paraId="7418B129"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11.5</w:t>
            </w:r>
          </w:p>
        </w:tc>
        <w:tc>
          <w:tcPr>
            <w:tcW w:w="821" w:type="pct"/>
            <w:shd w:val="clear" w:color="auto" w:fill="CAE7F3"/>
            <w:noWrap/>
            <w:vAlign w:val="bottom"/>
            <w:hideMark/>
          </w:tcPr>
          <w:p w14:paraId="7418B12A"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11.7</w:t>
            </w:r>
          </w:p>
        </w:tc>
        <w:tc>
          <w:tcPr>
            <w:tcW w:w="752" w:type="pct"/>
            <w:shd w:val="clear" w:color="auto" w:fill="CAE7F3"/>
            <w:noWrap/>
            <w:vAlign w:val="bottom"/>
            <w:hideMark/>
          </w:tcPr>
          <w:p w14:paraId="7418B12B"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15.3</w:t>
            </w:r>
          </w:p>
        </w:tc>
      </w:tr>
      <w:tr w:rsidR="00D471AD" w:rsidRPr="000D502B" w14:paraId="7418B133" w14:textId="77777777" w:rsidTr="004A31A9">
        <w:trPr>
          <w:trHeight w:val="288"/>
        </w:trPr>
        <w:tc>
          <w:tcPr>
            <w:tcW w:w="931" w:type="pct"/>
            <w:shd w:val="clear" w:color="auto" w:fill="CAE7F3"/>
            <w:noWrap/>
            <w:vAlign w:val="bottom"/>
            <w:hideMark/>
          </w:tcPr>
          <w:p w14:paraId="7418B12D" w14:textId="77777777" w:rsidR="00D471AD" w:rsidRPr="000D502B" w:rsidRDefault="00D471AD" w:rsidP="004A31A9">
            <w:pPr>
              <w:keepNext/>
              <w:keepLines/>
              <w:spacing w:before="60" w:after="60"/>
              <w:rPr>
                <w:rFonts w:cs="Arial"/>
                <w:sz w:val="16"/>
                <w:szCs w:val="16"/>
                <w:lang w:eastAsia="en-AU"/>
              </w:rPr>
            </w:pPr>
            <w:r w:rsidRPr="000D502B">
              <w:rPr>
                <w:rFonts w:cs="Arial"/>
                <w:sz w:val="16"/>
                <w:szCs w:val="16"/>
                <w:lang w:eastAsia="en-AU"/>
              </w:rPr>
              <w:t>OECD Top 5 average</w:t>
            </w:r>
          </w:p>
        </w:tc>
        <w:tc>
          <w:tcPr>
            <w:tcW w:w="853" w:type="pct"/>
            <w:shd w:val="clear" w:color="auto" w:fill="CAE7F3"/>
            <w:noWrap/>
            <w:vAlign w:val="bottom"/>
            <w:hideMark/>
          </w:tcPr>
          <w:p w14:paraId="7418B12E"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21.5</w:t>
            </w:r>
          </w:p>
        </w:tc>
        <w:tc>
          <w:tcPr>
            <w:tcW w:w="821" w:type="pct"/>
            <w:shd w:val="clear" w:color="auto" w:fill="CAE7F3"/>
            <w:noWrap/>
            <w:vAlign w:val="bottom"/>
            <w:hideMark/>
          </w:tcPr>
          <w:p w14:paraId="7418B12F"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21.7</w:t>
            </w:r>
          </w:p>
        </w:tc>
        <w:tc>
          <w:tcPr>
            <w:tcW w:w="822" w:type="pct"/>
            <w:shd w:val="clear" w:color="auto" w:fill="CAE7F3"/>
            <w:noWrap/>
            <w:vAlign w:val="bottom"/>
            <w:hideMark/>
          </w:tcPr>
          <w:p w14:paraId="7418B130"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19.0</w:t>
            </w:r>
          </w:p>
        </w:tc>
        <w:tc>
          <w:tcPr>
            <w:tcW w:w="821" w:type="pct"/>
            <w:shd w:val="clear" w:color="auto" w:fill="CAE7F3"/>
            <w:noWrap/>
            <w:vAlign w:val="bottom"/>
            <w:hideMark/>
          </w:tcPr>
          <w:p w14:paraId="7418B131"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20.0</w:t>
            </w:r>
          </w:p>
        </w:tc>
        <w:tc>
          <w:tcPr>
            <w:tcW w:w="752" w:type="pct"/>
            <w:shd w:val="clear" w:color="auto" w:fill="CAE7F3"/>
            <w:noWrap/>
            <w:vAlign w:val="bottom"/>
            <w:hideMark/>
          </w:tcPr>
          <w:p w14:paraId="7418B132"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22.8</w:t>
            </w:r>
          </w:p>
        </w:tc>
      </w:tr>
      <w:tr w:rsidR="00D471AD" w:rsidRPr="000D502B" w14:paraId="7418B13A" w14:textId="77777777" w:rsidTr="004A31A9">
        <w:trPr>
          <w:trHeight w:val="288"/>
        </w:trPr>
        <w:tc>
          <w:tcPr>
            <w:tcW w:w="931" w:type="pct"/>
            <w:shd w:val="clear" w:color="auto" w:fill="CAE7F3"/>
            <w:noWrap/>
            <w:vAlign w:val="bottom"/>
            <w:hideMark/>
          </w:tcPr>
          <w:p w14:paraId="7418B134" w14:textId="77777777" w:rsidR="00D471AD" w:rsidRPr="000D502B" w:rsidRDefault="00D471AD" w:rsidP="004A31A9">
            <w:pPr>
              <w:keepNext/>
              <w:keepLines/>
              <w:spacing w:before="60" w:after="60"/>
              <w:rPr>
                <w:rFonts w:cs="Arial"/>
                <w:sz w:val="16"/>
                <w:szCs w:val="16"/>
                <w:lang w:eastAsia="en-AU"/>
              </w:rPr>
            </w:pPr>
            <w:r w:rsidRPr="000D502B">
              <w:rPr>
                <w:rFonts w:cs="Arial"/>
                <w:sz w:val="16"/>
                <w:szCs w:val="16"/>
                <w:lang w:eastAsia="en-AU"/>
              </w:rPr>
              <w:t>Australia</w:t>
            </w:r>
          </w:p>
        </w:tc>
        <w:tc>
          <w:tcPr>
            <w:tcW w:w="853" w:type="pct"/>
            <w:shd w:val="clear" w:color="auto" w:fill="CAE7F3"/>
            <w:noWrap/>
            <w:vAlign w:val="bottom"/>
            <w:hideMark/>
          </w:tcPr>
          <w:p w14:paraId="7418B135"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6.8</w:t>
            </w:r>
          </w:p>
        </w:tc>
        <w:tc>
          <w:tcPr>
            <w:tcW w:w="821" w:type="pct"/>
            <w:shd w:val="clear" w:color="auto" w:fill="CAE7F3"/>
            <w:noWrap/>
            <w:vAlign w:val="bottom"/>
            <w:hideMark/>
          </w:tcPr>
          <w:p w14:paraId="7418B136"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6.8</w:t>
            </w:r>
          </w:p>
        </w:tc>
        <w:tc>
          <w:tcPr>
            <w:tcW w:w="822" w:type="pct"/>
            <w:shd w:val="clear" w:color="auto" w:fill="CAE7F3"/>
            <w:noWrap/>
            <w:vAlign w:val="bottom"/>
            <w:hideMark/>
          </w:tcPr>
          <w:p w14:paraId="7418B137"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7.5</w:t>
            </w:r>
          </w:p>
        </w:tc>
        <w:tc>
          <w:tcPr>
            <w:tcW w:w="821" w:type="pct"/>
            <w:shd w:val="clear" w:color="auto" w:fill="CAE7F3"/>
            <w:noWrap/>
            <w:vAlign w:val="bottom"/>
            <w:hideMark/>
          </w:tcPr>
          <w:p w14:paraId="7418B138"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5.3</w:t>
            </w:r>
          </w:p>
        </w:tc>
        <w:tc>
          <w:tcPr>
            <w:tcW w:w="752" w:type="pct"/>
            <w:shd w:val="clear" w:color="auto" w:fill="CAE7F3"/>
            <w:noWrap/>
            <w:vAlign w:val="bottom"/>
            <w:hideMark/>
          </w:tcPr>
          <w:p w14:paraId="7418B139"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8.4</w:t>
            </w:r>
          </w:p>
        </w:tc>
      </w:tr>
      <w:tr w:rsidR="00D471AD" w:rsidRPr="000D502B" w14:paraId="7418B13C" w14:textId="77777777" w:rsidTr="004A31A9">
        <w:trPr>
          <w:trHeight w:val="288"/>
        </w:trPr>
        <w:tc>
          <w:tcPr>
            <w:tcW w:w="5000" w:type="pct"/>
            <w:gridSpan w:val="6"/>
            <w:shd w:val="clear" w:color="auto" w:fill="CAE7F3"/>
            <w:noWrap/>
            <w:vAlign w:val="bottom"/>
          </w:tcPr>
          <w:p w14:paraId="7418B13B" w14:textId="77777777" w:rsidR="00D471AD" w:rsidRPr="000D502B" w:rsidRDefault="00D471AD" w:rsidP="004A31A9">
            <w:pPr>
              <w:keepNext/>
              <w:keepLines/>
              <w:spacing w:before="60" w:after="60"/>
              <w:rPr>
                <w:rFonts w:cs="Arial"/>
                <w:sz w:val="16"/>
                <w:szCs w:val="16"/>
                <w:lang w:eastAsia="en-AU"/>
              </w:rPr>
            </w:pPr>
            <w:r w:rsidRPr="000D502B">
              <w:rPr>
                <w:rFonts w:cs="Arial"/>
                <w:b/>
                <w:sz w:val="16"/>
                <w:szCs w:val="16"/>
                <w:lang w:eastAsia="en-AU"/>
              </w:rPr>
              <w:t xml:space="preserve">Product </w:t>
            </w:r>
            <w:r>
              <w:rPr>
                <w:rFonts w:cs="Arial"/>
                <w:b/>
                <w:sz w:val="16"/>
                <w:szCs w:val="16"/>
                <w:lang w:eastAsia="en-AU"/>
              </w:rPr>
              <w:t xml:space="preserve">or </w:t>
            </w:r>
            <w:r w:rsidRPr="000D502B">
              <w:rPr>
                <w:rFonts w:cs="Arial"/>
                <w:b/>
                <w:sz w:val="16"/>
                <w:szCs w:val="16"/>
                <w:lang w:eastAsia="en-AU"/>
              </w:rPr>
              <w:t xml:space="preserve">Process AND Marketing </w:t>
            </w:r>
            <w:r>
              <w:rPr>
                <w:rFonts w:cs="Arial"/>
                <w:b/>
                <w:sz w:val="16"/>
                <w:szCs w:val="16"/>
                <w:lang w:eastAsia="en-AU"/>
              </w:rPr>
              <w:t>or</w:t>
            </w:r>
            <w:r w:rsidRPr="000D502B">
              <w:rPr>
                <w:rFonts w:cs="Arial"/>
                <w:b/>
                <w:sz w:val="16"/>
                <w:szCs w:val="16"/>
                <w:lang w:eastAsia="en-AU"/>
              </w:rPr>
              <w:t xml:space="preserve"> Organisational innovations only</w:t>
            </w:r>
          </w:p>
        </w:tc>
      </w:tr>
      <w:tr w:rsidR="00D471AD" w:rsidRPr="000D502B" w14:paraId="7418B143" w14:textId="77777777" w:rsidTr="004A31A9">
        <w:trPr>
          <w:trHeight w:val="288"/>
        </w:trPr>
        <w:tc>
          <w:tcPr>
            <w:tcW w:w="931" w:type="pct"/>
            <w:shd w:val="clear" w:color="auto" w:fill="CAE7F3"/>
            <w:noWrap/>
            <w:vAlign w:val="bottom"/>
            <w:hideMark/>
          </w:tcPr>
          <w:p w14:paraId="7418B13D" w14:textId="77777777" w:rsidR="00D471AD" w:rsidRPr="000D502B" w:rsidRDefault="00D471AD" w:rsidP="004A31A9">
            <w:pPr>
              <w:keepNext/>
              <w:keepLines/>
              <w:spacing w:before="60" w:after="60"/>
              <w:rPr>
                <w:rFonts w:cs="Arial"/>
                <w:sz w:val="16"/>
                <w:szCs w:val="16"/>
                <w:lang w:eastAsia="en-AU"/>
              </w:rPr>
            </w:pPr>
            <w:r w:rsidRPr="000D502B">
              <w:rPr>
                <w:rFonts w:cs="Arial"/>
                <w:sz w:val="16"/>
                <w:szCs w:val="16"/>
                <w:lang w:eastAsia="en-AU"/>
              </w:rPr>
              <w:t>OECD average</w:t>
            </w:r>
          </w:p>
        </w:tc>
        <w:tc>
          <w:tcPr>
            <w:tcW w:w="853" w:type="pct"/>
            <w:shd w:val="clear" w:color="auto" w:fill="CAE7F3"/>
            <w:noWrap/>
            <w:vAlign w:val="bottom"/>
            <w:hideMark/>
          </w:tcPr>
          <w:p w14:paraId="7418B13E"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24.9</w:t>
            </w:r>
          </w:p>
        </w:tc>
        <w:tc>
          <w:tcPr>
            <w:tcW w:w="821" w:type="pct"/>
            <w:shd w:val="clear" w:color="auto" w:fill="CAE7F3"/>
            <w:noWrap/>
            <w:vAlign w:val="bottom"/>
            <w:hideMark/>
          </w:tcPr>
          <w:p w14:paraId="7418B13F"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23.9</w:t>
            </w:r>
          </w:p>
        </w:tc>
        <w:tc>
          <w:tcPr>
            <w:tcW w:w="822" w:type="pct"/>
            <w:shd w:val="clear" w:color="auto" w:fill="CAE7F3"/>
            <w:noWrap/>
            <w:vAlign w:val="bottom"/>
            <w:hideMark/>
          </w:tcPr>
          <w:p w14:paraId="7418B140"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50.4</w:t>
            </w:r>
          </w:p>
        </w:tc>
        <w:tc>
          <w:tcPr>
            <w:tcW w:w="821" w:type="pct"/>
            <w:shd w:val="clear" w:color="auto" w:fill="CAE7F3"/>
            <w:noWrap/>
            <w:vAlign w:val="bottom"/>
            <w:hideMark/>
          </w:tcPr>
          <w:p w14:paraId="7418B141"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27.4</w:t>
            </w:r>
          </w:p>
        </w:tc>
        <w:tc>
          <w:tcPr>
            <w:tcW w:w="752" w:type="pct"/>
            <w:shd w:val="clear" w:color="auto" w:fill="CAE7F3"/>
            <w:noWrap/>
            <w:vAlign w:val="bottom"/>
            <w:hideMark/>
          </w:tcPr>
          <w:p w14:paraId="7418B142"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23.4</w:t>
            </w:r>
          </w:p>
        </w:tc>
      </w:tr>
      <w:tr w:rsidR="00D471AD" w:rsidRPr="000D502B" w14:paraId="7418B14A" w14:textId="77777777" w:rsidTr="004A31A9">
        <w:trPr>
          <w:trHeight w:val="288"/>
        </w:trPr>
        <w:tc>
          <w:tcPr>
            <w:tcW w:w="931" w:type="pct"/>
            <w:shd w:val="clear" w:color="auto" w:fill="CAE7F3"/>
            <w:noWrap/>
            <w:vAlign w:val="bottom"/>
            <w:hideMark/>
          </w:tcPr>
          <w:p w14:paraId="7418B144" w14:textId="77777777" w:rsidR="00D471AD" w:rsidRPr="000D502B" w:rsidRDefault="00D471AD" w:rsidP="004A31A9">
            <w:pPr>
              <w:keepNext/>
              <w:keepLines/>
              <w:spacing w:before="60" w:after="60"/>
              <w:rPr>
                <w:rFonts w:cs="Arial"/>
                <w:sz w:val="16"/>
                <w:szCs w:val="16"/>
                <w:lang w:eastAsia="en-AU"/>
              </w:rPr>
            </w:pPr>
            <w:r w:rsidRPr="000D502B">
              <w:rPr>
                <w:rFonts w:cs="Arial"/>
                <w:sz w:val="16"/>
                <w:szCs w:val="16"/>
                <w:lang w:eastAsia="en-AU"/>
              </w:rPr>
              <w:t>OECD Top 5 average</w:t>
            </w:r>
          </w:p>
        </w:tc>
        <w:tc>
          <w:tcPr>
            <w:tcW w:w="853" w:type="pct"/>
            <w:shd w:val="clear" w:color="auto" w:fill="CAE7F3"/>
            <w:noWrap/>
            <w:vAlign w:val="bottom"/>
            <w:hideMark/>
          </w:tcPr>
          <w:p w14:paraId="7418B145"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39.4</w:t>
            </w:r>
          </w:p>
        </w:tc>
        <w:tc>
          <w:tcPr>
            <w:tcW w:w="821" w:type="pct"/>
            <w:shd w:val="clear" w:color="auto" w:fill="CAE7F3"/>
            <w:noWrap/>
            <w:vAlign w:val="bottom"/>
            <w:hideMark/>
          </w:tcPr>
          <w:p w14:paraId="7418B146"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38.4</w:t>
            </w:r>
          </w:p>
        </w:tc>
        <w:tc>
          <w:tcPr>
            <w:tcW w:w="822" w:type="pct"/>
            <w:shd w:val="clear" w:color="auto" w:fill="CAE7F3"/>
            <w:noWrap/>
            <w:vAlign w:val="bottom"/>
            <w:hideMark/>
          </w:tcPr>
          <w:p w14:paraId="7418B147"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66.6</w:t>
            </w:r>
          </w:p>
        </w:tc>
        <w:tc>
          <w:tcPr>
            <w:tcW w:w="821" w:type="pct"/>
            <w:shd w:val="clear" w:color="auto" w:fill="CAE7F3"/>
            <w:noWrap/>
            <w:vAlign w:val="bottom"/>
            <w:hideMark/>
          </w:tcPr>
          <w:p w14:paraId="7418B148"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42.4</w:t>
            </w:r>
          </w:p>
        </w:tc>
        <w:tc>
          <w:tcPr>
            <w:tcW w:w="752" w:type="pct"/>
            <w:shd w:val="clear" w:color="auto" w:fill="CAE7F3"/>
            <w:noWrap/>
            <w:vAlign w:val="bottom"/>
            <w:hideMark/>
          </w:tcPr>
          <w:p w14:paraId="7418B149"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38.1</w:t>
            </w:r>
          </w:p>
        </w:tc>
      </w:tr>
      <w:tr w:rsidR="00D471AD" w:rsidRPr="000D502B" w14:paraId="7418B151" w14:textId="77777777" w:rsidTr="004A31A9">
        <w:trPr>
          <w:trHeight w:val="288"/>
        </w:trPr>
        <w:tc>
          <w:tcPr>
            <w:tcW w:w="931" w:type="pct"/>
            <w:shd w:val="clear" w:color="auto" w:fill="CAE7F3"/>
            <w:noWrap/>
            <w:vAlign w:val="bottom"/>
            <w:hideMark/>
          </w:tcPr>
          <w:p w14:paraId="7418B14B" w14:textId="77777777" w:rsidR="00D471AD" w:rsidRPr="000D502B" w:rsidRDefault="00D471AD" w:rsidP="004A31A9">
            <w:pPr>
              <w:keepNext/>
              <w:keepLines/>
              <w:spacing w:before="60" w:after="60"/>
              <w:rPr>
                <w:rFonts w:cs="Arial"/>
                <w:sz w:val="16"/>
                <w:szCs w:val="16"/>
                <w:lang w:eastAsia="en-AU"/>
              </w:rPr>
            </w:pPr>
            <w:r w:rsidRPr="000D502B">
              <w:rPr>
                <w:rFonts w:cs="Arial"/>
                <w:sz w:val="16"/>
                <w:szCs w:val="16"/>
                <w:lang w:eastAsia="en-AU"/>
              </w:rPr>
              <w:t>Australia</w:t>
            </w:r>
          </w:p>
        </w:tc>
        <w:tc>
          <w:tcPr>
            <w:tcW w:w="853" w:type="pct"/>
            <w:shd w:val="clear" w:color="auto" w:fill="CAE7F3"/>
            <w:noWrap/>
            <w:vAlign w:val="bottom"/>
            <w:hideMark/>
          </w:tcPr>
          <w:p w14:paraId="7418B14C"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42.9</w:t>
            </w:r>
          </w:p>
        </w:tc>
        <w:tc>
          <w:tcPr>
            <w:tcW w:w="821" w:type="pct"/>
            <w:shd w:val="clear" w:color="auto" w:fill="CAE7F3"/>
            <w:noWrap/>
            <w:vAlign w:val="bottom"/>
            <w:hideMark/>
          </w:tcPr>
          <w:p w14:paraId="7418B14D"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42.7</w:t>
            </w:r>
          </w:p>
        </w:tc>
        <w:tc>
          <w:tcPr>
            <w:tcW w:w="822" w:type="pct"/>
            <w:shd w:val="clear" w:color="auto" w:fill="CAE7F3"/>
            <w:noWrap/>
            <w:vAlign w:val="bottom"/>
            <w:hideMark/>
          </w:tcPr>
          <w:p w14:paraId="7418B14E"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50.7</w:t>
            </w:r>
          </w:p>
        </w:tc>
        <w:tc>
          <w:tcPr>
            <w:tcW w:w="821" w:type="pct"/>
            <w:shd w:val="clear" w:color="auto" w:fill="CAE7F3"/>
            <w:noWrap/>
            <w:vAlign w:val="bottom"/>
            <w:hideMark/>
          </w:tcPr>
          <w:p w14:paraId="7418B14F"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39.5</w:t>
            </w:r>
          </w:p>
        </w:tc>
        <w:tc>
          <w:tcPr>
            <w:tcW w:w="752" w:type="pct"/>
            <w:shd w:val="clear" w:color="auto" w:fill="CAE7F3"/>
            <w:noWrap/>
            <w:vAlign w:val="bottom"/>
            <w:hideMark/>
          </w:tcPr>
          <w:p w14:paraId="7418B150"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42.5</w:t>
            </w:r>
          </w:p>
        </w:tc>
      </w:tr>
    </w:tbl>
    <w:p w14:paraId="7418B152" w14:textId="77777777" w:rsidR="00D471AD" w:rsidRPr="001729A3" w:rsidRDefault="00D471AD" w:rsidP="00D471AD">
      <w:pPr>
        <w:pStyle w:val="Source"/>
        <w:rPr>
          <w:lang w:val="en-AU"/>
        </w:rPr>
      </w:pPr>
      <w:r w:rsidRPr="001729A3">
        <w:rPr>
          <w:lang w:val="en-AU"/>
        </w:rPr>
        <w:t>Notes: SMEs are businesses with 10-249 employees. Large businesses have 250+ employees. Manufacturing and service sectors are defined according to ISIC Rev. 4. The All businesses comparison is for firms with ten or more employees and ISIC (Rev. 4) Sections and Divisions B, C, D, E, G46, H, J, K, M71-72 and 73. Australian data is for 2012-13. According to the OECD ‘Products’ includes both goods and services.</w:t>
      </w:r>
    </w:p>
    <w:p w14:paraId="7418B153" w14:textId="77777777" w:rsidR="00D471AD" w:rsidRPr="001729A3" w:rsidRDefault="00D471AD" w:rsidP="00D471AD">
      <w:pPr>
        <w:pStyle w:val="Source"/>
        <w:rPr>
          <w:lang w:val="en-AU"/>
        </w:rPr>
      </w:pPr>
      <w:r w:rsidRPr="001729A3">
        <w:rPr>
          <w:lang w:val="en-AU"/>
        </w:rPr>
        <w:t xml:space="preserve">Source: </w:t>
      </w:r>
      <w:r w:rsidRPr="00832963">
        <w:rPr>
          <w:lang w:val="en-AU"/>
        </w:rPr>
        <w:t xml:space="preserve">OECD (2015), "Mixed modes of innovation", in </w:t>
      </w:r>
      <w:r w:rsidRPr="00317818">
        <w:rPr>
          <w:i/>
          <w:lang w:val="en-AU"/>
        </w:rPr>
        <w:t>OECD</w:t>
      </w:r>
      <w:r w:rsidRPr="00832963">
        <w:rPr>
          <w:lang w:val="en-AU"/>
        </w:rPr>
        <w:t xml:space="preserve"> </w:t>
      </w:r>
      <w:r w:rsidRPr="00317818">
        <w:rPr>
          <w:i/>
          <w:lang w:val="en-AU"/>
        </w:rPr>
        <w:t>Science, Technology and Industry Scoreboard 2015: Innovation for growth and society</w:t>
      </w:r>
      <w:r w:rsidRPr="00832963">
        <w:rPr>
          <w:lang w:val="en-AU"/>
        </w:rPr>
        <w:t>.</w:t>
      </w:r>
    </w:p>
    <w:p w14:paraId="7418B154" w14:textId="77777777" w:rsidR="00D471AD" w:rsidRPr="001729A3" w:rsidRDefault="00D471AD" w:rsidP="00D471AD">
      <w:pPr>
        <w:pStyle w:val="BodyText"/>
      </w:pPr>
    </w:p>
    <w:p w14:paraId="7418B155" w14:textId="77777777" w:rsidR="00D471AD" w:rsidRPr="001729A3" w:rsidRDefault="00D471AD" w:rsidP="00D471AD">
      <w:pPr>
        <w:pStyle w:val="BodyText"/>
        <w:sectPr w:rsidR="00D471AD" w:rsidRPr="001729A3" w:rsidSect="00D471AD">
          <w:headerReference w:type="even" r:id="rId100"/>
          <w:headerReference w:type="default" r:id="rId101"/>
          <w:footerReference w:type="default" r:id="rId102"/>
          <w:headerReference w:type="first" r:id="rId103"/>
          <w:footerReference w:type="first" r:id="rId104"/>
          <w:footnotePr>
            <w:numFmt w:val="upperRoman"/>
          </w:footnotePr>
          <w:endnotePr>
            <w:numFmt w:val="decimal"/>
          </w:endnotePr>
          <w:type w:val="continuous"/>
          <w:pgSz w:w="11906" w:h="16838" w:code="9"/>
          <w:pgMar w:top="1440" w:right="1021" w:bottom="1440" w:left="1004" w:header="709" w:footer="709" w:gutter="0"/>
          <w:cols w:space="708"/>
          <w:docGrid w:linePitch="360"/>
        </w:sectPr>
      </w:pPr>
    </w:p>
    <w:p w14:paraId="7418B156" w14:textId="77777777" w:rsidR="00D471AD" w:rsidRPr="000D502B" w:rsidRDefault="00D471AD" w:rsidP="00D471AD">
      <w:pPr>
        <w:pStyle w:val="Heading2"/>
      </w:pPr>
      <w:bookmarkStart w:id="1295" w:name="_Toc461174566"/>
      <w:bookmarkStart w:id="1296" w:name="_Toc461180120"/>
      <w:bookmarkStart w:id="1297" w:name="_Toc461180216"/>
      <w:bookmarkStart w:id="1298" w:name="_Toc461180508"/>
      <w:bookmarkStart w:id="1299" w:name="_Toc461180580"/>
      <w:bookmarkStart w:id="1300" w:name="_Toc461180629"/>
      <w:bookmarkStart w:id="1301" w:name="_Toc461183237"/>
      <w:bookmarkStart w:id="1302" w:name="_Toc461183289"/>
      <w:bookmarkStart w:id="1303" w:name="_Toc461183375"/>
      <w:bookmarkStart w:id="1304" w:name="_Toc461183832"/>
      <w:bookmarkStart w:id="1305" w:name="_Toc461184446"/>
      <w:bookmarkStart w:id="1306" w:name="_Toc461184551"/>
      <w:bookmarkStart w:id="1307" w:name="_Toc461186589"/>
      <w:bookmarkStart w:id="1308" w:name="_Toc461186906"/>
      <w:bookmarkStart w:id="1309" w:name="_Toc461187011"/>
      <w:bookmarkStart w:id="1310" w:name="_Toc461187262"/>
      <w:bookmarkStart w:id="1311" w:name="_Toc461198289"/>
      <w:bookmarkStart w:id="1312" w:name="_Toc461198831"/>
      <w:bookmarkStart w:id="1313" w:name="_Toc461204119"/>
      <w:bookmarkStart w:id="1314" w:name="_Toc461527570"/>
      <w:bookmarkStart w:id="1315" w:name="_Toc461624476"/>
      <w:bookmarkStart w:id="1316" w:name="_Toc461629701"/>
      <w:bookmarkStart w:id="1317" w:name="_Toc461633031"/>
      <w:bookmarkStart w:id="1318" w:name="_Toc461634301"/>
      <w:bookmarkStart w:id="1319" w:name="_Toc462230081"/>
      <w:bookmarkStart w:id="1320" w:name="_Toc462231442"/>
      <w:bookmarkStart w:id="1321" w:name="_Toc463013943"/>
      <w:bookmarkStart w:id="1322" w:name="_Toc463014052"/>
      <w:bookmarkStart w:id="1323" w:name="_Toc463014486"/>
      <w:bookmarkStart w:id="1324" w:name="_Toc463877019"/>
      <w:bookmarkStart w:id="1325" w:name="_Toc465862813"/>
      <w:r w:rsidRPr="000D502B">
        <w:t>Innovation novelty</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7418B157" w14:textId="77777777" w:rsidR="00D471AD" w:rsidRPr="001729A3" w:rsidRDefault="00D471AD" w:rsidP="00D471AD">
      <w:pPr>
        <w:pStyle w:val="BodyText"/>
      </w:pPr>
      <w:r w:rsidRPr="001729A3">
        <w:t xml:space="preserve">At a minimum, an innovation must be new to the business. Higher degrees of novelty can be broadly categorised as </w:t>
      </w:r>
      <w:r w:rsidRPr="00317818">
        <w:rPr>
          <w:b/>
        </w:rPr>
        <w:t>‘new</w:t>
      </w:r>
      <w:r>
        <w:rPr>
          <w:b/>
        </w:rPr>
        <w:t>-</w:t>
      </w:r>
      <w:r w:rsidRPr="00317818">
        <w:rPr>
          <w:b/>
        </w:rPr>
        <w:t>to</w:t>
      </w:r>
      <w:r>
        <w:rPr>
          <w:b/>
        </w:rPr>
        <w:t>-</w:t>
      </w:r>
      <w:r w:rsidRPr="00317818">
        <w:rPr>
          <w:b/>
        </w:rPr>
        <w:t>market’</w:t>
      </w:r>
      <w:r w:rsidRPr="001729A3">
        <w:t xml:space="preserve"> (Definition 3.1), where the market is defined as the business and its competitors and can include a geographic region or product line. Within this category, an innovation can be ‘</w:t>
      </w:r>
      <w:r w:rsidRPr="00317818">
        <w:rPr>
          <w:b/>
        </w:rPr>
        <w:t>new</w:t>
      </w:r>
      <w:r>
        <w:rPr>
          <w:b/>
        </w:rPr>
        <w:t>-</w:t>
      </w:r>
      <w:r w:rsidRPr="00317818">
        <w:rPr>
          <w:b/>
        </w:rPr>
        <w:t>to</w:t>
      </w:r>
      <w:r>
        <w:rPr>
          <w:b/>
        </w:rPr>
        <w:t>-</w:t>
      </w:r>
      <w:r w:rsidRPr="00317818">
        <w:rPr>
          <w:b/>
        </w:rPr>
        <w:t>industry</w:t>
      </w:r>
      <w:r w:rsidRPr="001729A3">
        <w:t>’, ‘</w:t>
      </w:r>
      <w:r w:rsidRPr="00317818">
        <w:rPr>
          <w:b/>
        </w:rPr>
        <w:t>new</w:t>
      </w:r>
      <w:r>
        <w:rPr>
          <w:b/>
        </w:rPr>
        <w:t>-</w:t>
      </w:r>
      <w:r w:rsidRPr="00317818">
        <w:rPr>
          <w:b/>
        </w:rPr>
        <w:t>to</w:t>
      </w:r>
      <w:r>
        <w:rPr>
          <w:b/>
        </w:rPr>
        <w:t>-</w:t>
      </w:r>
      <w:r w:rsidRPr="00317818">
        <w:rPr>
          <w:b/>
        </w:rPr>
        <w:t>country</w:t>
      </w:r>
      <w:r w:rsidRPr="001729A3">
        <w:t>’ or ‘</w:t>
      </w:r>
      <w:r w:rsidRPr="00317818">
        <w:rPr>
          <w:b/>
        </w:rPr>
        <w:t>new</w:t>
      </w:r>
      <w:r>
        <w:rPr>
          <w:b/>
        </w:rPr>
        <w:t>-</w:t>
      </w:r>
      <w:r w:rsidRPr="00317818">
        <w:rPr>
          <w:b/>
        </w:rPr>
        <w:t>to</w:t>
      </w:r>
      <w:r>
        <w:rPr>
          <w:b/>
        </w:rPr>
        <w:t>-</w:t>
      </w:r>
      <w:r w:rsidRPr="00317818">
        <w:rPr>
          <w:b/>
        </w:rPr>
        <w:t>world</w:t>
      </w:r>
      <w:r w:rsidRPr="001729A3">
        <w:t>’ innovation. An innovation is new to world when the business is the first to introduce the innovation for all markets and industries— domestic and international.</w:t>
      </w:r>
    </w:p>
    <w:p w14:paraId="7418B158" w14:textId="77777777" w:rsidR="00D471AD" w:rsidRPr="001729A3" w:rsidRDefault="00D471AD" w:rsidP="00D471AD">
      <w:pPr>
        <w:pStyle w:val="BodyText"/>
      </w:pPr>
      <w:r w:rsidRPr="001729A3">
        <w:t xml:space="preserve">Businesses that are the first in their market to develop innovations can represent the technology or </w:t>
      </w:r>
      <w:r w:rsidRPr="001729A3">
        <w:br w:type="column"/>
        <w:t xml:space="preserve">innovation frontier. Previous AIS </w:t>
      </w:r>
      <w:r>
        <w:t>R</w:t>
      </w:r>
      <w:r w:rsidRPr="001729A3">
        <w:t>eports have shown that this degree of novelty can have a big impact on the competitiveness of industry</w:t>
      </w:r>
      <w:r>
        <w:t>,</w:t>
      </w:r>
      <w:r w:rsidRPr="001729A3">
        <w:t xml:space="preserve"> and may be more important for breaking into new export markets than for increasing export </w:t>
      </w:r>
      <w:r>
        <w:t>sales</w:t>
      </w:r>
      <w:r w:rsidRPr="001729A3">
        <w:t>.</w:t>
      </w:r>
      <w:r w:rsidRPr="001729A3">
        <w:rPr>
          <w:rStyle w:val="EndnoteReference"/>
        </w:rPr>
        <w:endnoteReference w:id="37"/>
      </w:r>
      <w:r w:rsidRPr="001729A3">
        <w:t xml:space="preserve"> </w:t>
      </w:r>
      <w:r>
        <w:t xml:space="preserve">New-to-market innovation is significantly and positively associated with </w:t>
      </w:r>
      <w:r w:rsidRPr="001729A3">
        <w:t>export activity, market share and average annual sales.</w:t>
      </w:r>
      <w:r w:rsidRPr="001729A3">
        <w:rPr>
          <w:rStyle w:val="EndnoteReference"/>
        </w:rPr>
        <w:endnoteReference w:id="38"/>
      </w:r>
      <w:r w:rsidRPr="001729A3">
        <w:t xml:space="preserve"> This association is strongest for large businesses, which account for the majority of exports.</w:t>
      </w:r>
    </w:p>
    <w:p w14:paraId="7418B159" w14:textId="77777777" w:rsidR="00D471AD" w:rsidRDefault="00D471AD" w:rsidP="00D471AD">
      <w:pPr>
        <w:pStyle w:val="BodyText"/>
      </w:pPr>
      <w:r>
        <w:t xml:space="preserve">The average gross operating profit for Australian business is generally higher for innovators, particularly new to market innovators, as shown by </w:t>
      </w:r>
      <w:r>
        <w:fldChar w:fldCharType="begin"/>
      </w:r>
      <w:r>
        <w:instrText xml:space="preserve"> REF _Ref461115372 \h </w:instrText>
      </w:r>
      <w:r>
        <w:fldChar w:fldCharType="separate"/>
      </w:r>
      <w:r w:rsidRPr="000D502B">
        <w:t xml:space="preserve">Table </w:t>
      </w:r>
      <w:r>
        <w:rPr>
          <w:noProof/>
        </w:rPr>
        <w:t>3</w:t>
      </w:r>
      <w:r w:rsidRPr="000D502B">
        <w:t>.</w:t>
      </w:r>
      <w:r>
        <w:rPr>
          <w:noProof/>
        </w:rPr>
        <w:t>2</w:t>
      </w:r>
      <w:r>
        <w:fldChar w:fldCharType="end"/>
      </w:r>
      <w:r>
        <w:t>.</w:t>
      </w:r>
    </w:p>
    <w:p w14:paraId="7418B15A" w14:textId="77777777" w:rsidR="00D471AD" w:rsidRPr="000D502B" w:rsidRDefault="00D471AD" w:rsidP="00D471AD">
      <w:pPr>
        <w:pStyle w:val="Caption"/>
      </w:pPr>
      <w:bookmarkStart w:id="1326" w:name="_Ref461115372"/>
      <w:r w:rsidRPr="000D502B">
        <w:t xml:space="preserve">Table </w:t>
      </w:r>
      <w:fldSimple w:instr=" STYLEREF 1 \s ">
        <w:r>
          <w:rPr>
            <w:noProof/>
          </w:rPr>
          <w:t>3</w:t>
        </w:r>
      </w:fldSimple>
      <w:r w:rsidRPr="000D502B">
        <w:t>.</w:t>
      </w:r>
      <w:fldSimple w:instr=" SEQ Table \* ARABIC \s 1 ">
        <w:r>
          <w:rPr>
            <w:noProof/>
          </w:rPr>
          <w:t>2</w:t>
        </w:r>
      </w:fldSimple>
      <w:bookmarkEnd w:id="1326"/>
      <w:r w:rsidRPr="000D502B">
        <w:t xml:space="preserve">: Average </w:t>
      </w:r>
      <w:r>
        <w:t>gross operating profit</w:t>
      </w:r>
      <w:r w:rsidRPr="000D502B">
        <w:t>, by innovation status and degree of novelty, 2014–15.</w:t>
      </w:r>
    </w:p>
    <w:tbl>
      <w:tblPr>
        <w:tblW w:w="4949" w:type="pct"/>
        <w:tblInd w:w="57" w:type="dxa"/>
        <w:shd w:val="clear" w:color="auto" w:fill="CAE7F3"/>
        <w:tblLayout w:type="fixed"/>
        <w:tblLook w:val="04A0" w:firstRow="1" w:lastRow="0" w:firstColumn="1" w:lastColumn="0" w:noHBand="0" w:noVBand="1"/>
      </w:tblPr>
      <w:tblGrid>
        <w:gridCol w:w="2255"/>
        <w:gridCol w:w="1233"/>
        <w:gridCol w:w="1058"/>
      </w:tblGrid>
      <w:tr w:rsidR="00D471AD" w:rsidRPr="000D502B" w14:paraId="7418B15E" w14:textId="77777777" w:rsidTr="004A31A9">
        <w:trPr>
          <w:trHeight w:val="855"/>
        </w:trPr>
        <w:tc>
          <w:tcPr>
            <w:tcW w:w="2480" w:type="pct"/>
            <w:shd w:val="clear" w:color="auto" w:fill="22789A"/>
            <w:noWrap/>
            <w:vAlign w:val="center"/>
            <w:hideMark/>
          </w:tcPr>
          <w:p w14:paraId="7418B15B" w14:textId="77777777" w:rsidR="00D471AD" w:rsidRPr="000D502B" w:rsidRDefault="00D471AD" w:rsidP="004A31A9">
            <w:pPr>
              <w:keepNext/>
              <w:spacing w:before="120" w:after="120"/>
              <w:rPr>
                <w:rFonts w:cs="Arial"/>
                <w:i/>
                <w:color w:val="FFFFFF"/>
                <w:sz w:val="18"/>
                <w:szCs w:val="18"/>
                <w:lang w:eastAsia="en-AU"/>
              </w:rPr>
            </w:pPr>
          </w:p>
        </w:tc>
        <w:tc>
          <w:tcPr>
            <w:tcW w:w="1356" w:type="pct"/>
            <w:shd w:val="clear" w:color="auto" w:fill="22789A"/>
            <w:noWrap/>
            <w:vAlign w:val="center"/>
            <w:hideMark/>
          </w:tcPr>
          <w:p w14:paraId="7418B15C" w14:textId="77777777" w:rsidR="00D471AD" w:rsidRPr="000D502B" w:rsidRDefault="00D471AD" w:rsidP="004A31A9">
            <w:pPr>
              <w:keepNext/>
              <w:spacing w:before="120" w:after="120"/>
              <w:jc w:val="right"/>
              <w:rPr>
                <w:rFonts w:cs="Arial"/>
                <w:i/>
                <w:color w:val="FFFFFF"/>
                <w:sz w:val="18"/>
                <w:szCs w:val="18"/>
                <w:lang w:eastAsia="en-AU"/>
              </w:rPr>
            </w:pPr>
            <w:r w:rsidRPr="000D502B">
              <w:rPr>
                <w:rFonts w:cs="Arial"/>
                <w:i/>
                <w:color w:val="FFFFFF"/>
                <w:sz w:val="18"/>
                <w:szCs w:val="18"/>
                <w:lang w:eastAsia="en-AU"/>
              </w:rPr>
              <w:t xml:space="preserve">Average </w:t>
            </w:r>
            <w:r>
              <w:rPr>
                <w:rFonts w:cs="Arial"/>
                <w:i/>
                <w:color w:val="FFFFFF"/>
                <w:sz w:val="18"/>
                <w:szCs w:val="18"/>
                <w:lang w:eastAsia="en-AU"/>
              </w:rPr>
              <w:t>gross operating profit</w:t>
            </w:r>
            <w:r w:rsidRPr="000D502B">
              <w:rPr>
                <w:rFonts w:cs="Arial"/>
                <w:i/>
                <w:color w:val="FFFFFF"/>
                <w:sz w:val="18"/>
                <w:szCs w:val="18"/>
                <w:lang w:eastAsia="en-AU"/>
              </w:rPr>
              <w:t xml:space="preserve"> per </w:t>
            </w:r>
            <w:r>
              <w:rPr>
                <w:rFonts w:cs="Arial"/>
                <w:i/>
                <w:color w:val="FFFFFF"/>
                <w:sz w:val="18"/>
                <w:szCs w:val="18"/>
                <w:lang w:eastAsia="en-AU"/>
              </w:rPr>
              <w:t>business</w:t>
            </w:r>
            <w:r w:rsidRPr="000D502B">
              <w:rPr>
                <w:rFonts w:cs="Arial"/>
                <w:i/>
                <w:color w:val="FFFFFF"/>
                <w:sz w:val="18"/>
                <w:szCs w:val="18"/>
                <w:lang w:eastAsia="en-AU"/>
              </w:rPr>
              <w:t>, $000</w:t>
            </w:r>
          </w:p>
        </w:tc>
        <w:tc>
          <w:tcPr>
            <w:tcW w:w="1164" w:type="pct"/>
            <w:shd w:val="clear" w:color="auto" w:fill="22789A"/>
            <w:vAlign w:val="center"/>
            <w:hideMark/>
          </w:tcPr>
          <w:p w14:paraId="7418B15D" w14:textId="77777777" w:rsidR="00D471AD" w:rsidRPr="000D502B" w:rsidRDefault="00D471AD" w:rsidP="004A31A9">
            <w:pPr>
              <w:keepNext/>
              <w:spacing w:before="120" w:after="120"/>
              <w:jc w:val="right"/>
              <w:rPr>
                <w:rFonts w:cs="Arial"/>
                <w:i/>
                <w:color w:val="FFFFFF"/>
                <w:sz w:val="18"/>
                <w:szCs w:val="18"/>
                <w:lang w:eastAsia="en-AU"/>
              </w:rPr>
            </w:pPr>
            <w:r w:rsidRPr="000D502B">
              <w:rPr>
                <w:rFonts w:cs="Arial"/>
                <w:i/>
                <w:color w:val="FFFFFF"/>
                <w:sz w:val="18"/>
                <w:szCs w:val="18"/>
                <w:lang w:eastAsia="en-AU"/>
              </w:rPr>
              <w:t xml:space="preserve">Average </w:t>
            </w:r>
            <w:r>
              <w:rPr>
                <w:rFonts w:cs="Arial"/>
                <w:i/>
                <w:color w:val="FFFFFF"/>
                <w:sz w:val="18"/>
                <w:szCs w:val="18"/>
                <w:lang w:eastAsia="en-AU"/>
              </w:rPr>
              <w:t>gross operating profit</w:t>
            </w:r>
            <w:r w:rsidRPr="000D502B">
              <w:rPr>
                <w:rFonts w:cs="Arial"/>
                <w:i/>
                <w:color w:val="FFFFFF"/>
                <w:sz w:val="18"/>
                <w:szCs w:val="18"/>
                <w:lang w:eastAsia="en-AU"/>
              </w:rPr>
              <w:t xml:space="preserve"> per employee, $000</w:t>
            </w:r>
          </w:p>
        </w:tc>
      </w:tr>
      <w:tr w:rsidR="00D471AD" w:rsidRPr="000D502B" w14:paraId="7418B162" w14:textId="77777777" w:rsidTr="004A31A9">
        <w:trPr>
          <w:trHeight w:val="405"/>
        </w:trPr>
        <w:tc>
          <w:tcPr>
            <w:tcW w:w="2480" w:type="pct"/>
            <w:shd w:val="clear" w:color="auto" w:fill="CAE7F3"/>
            <w:noWrap/>
            <w:vAlign w:val="center"/>
            <w:hideMark/>
          </w:tcPr>
          <w:p w14:paraId="7418B15F" w14:textId="77777777" w:rsidR="00D471AD" w:rsidRPr="000D502B" w:rsidRDefault="00D471AD" w:rsidP="004A31A9">
            <w:pPr>
              <w:keepNext/>
              <w:keepLines/>
              <w:spacing w:before="60" w:after="60"/>
              <w:rPr>
                <w:rFonts w:cs="Arial"/>
                <w:sz w:val="18"/>
                <w:szCs w:val="18"/>
                <w:lang w:eastAsia="en-AU"/>
              </w:rPr>
            </w:pPr>
            <w:r w:rsidRPr="000D502B">
              <w:rPr>
                <w:rFonts w:cs="Arial"/>
                <w:sz w:val="18"/>
                <w:szCs w:val="18"/>
                <w:lang w:eastAsia="en-AU"/>
              </w:rPr>
              <w:t>New</w:t>
            </w:r>
            <w:r>
              <w:rPr>
                <w:rFonts w:cs="Arial"/>
                <w:sz w:val="18"/>
                <w:szCs w:val="18"/>
                <w:lang w:eastAsia="en-AU"/>
              </w:rPr>
              <w:t>-</w:t>
            </w:r>
            <w:r w:rsidRPr="000D502B">
              <w:rPr>
                <w:rFonts w:cs="Arial"/>
                <w:sz w:val="18"/>
                <w:szCs w:val="18"/>
                <w:lang w:eastAsia="en-AU"/>
              </w:rPr>
              <w:t>to</w:t>
            </w:r>
            <w:r>
              <w:rPr>
                <w:rFonts w:cs="Arial"/>
                <w:sz w:val="18"/>
                <w:szCs w:val="18"/>
                <w:lang w:eastAsia="en-AU"/>
              </w:rPr>
              <w:t>-</w:t>
            </w:r>
            <w:r w:rsidRPr="000D502B">
              <w:rPr>
                <w:rFonts w:cs="Arial"/>
                <w:sz w:val="18"/>
                <w:szCs w:val="18"/>
                <w:lang w:eastAsia="en-AU"/>
              </w:rPr>
              <w:t>market innovators</w:t>
            </w:r>
          </w:p>
        </w:tc>
        <w:tc>
          <w:tcPr>
            <w:tcW w:w="1356" w:type="pct"/>
            <w:shd w:val="clear" w:color="auto" w:fill="CAE7F3"/>
            <w:noWrap/>
            <w:vAlign w:val="center"/>
            <w:hideMark/>
          </w:tcPr>
          <w:p w14:paraId="7418B160"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550</w:t>
            </w:r>
          </w:p>
        </w:tc>
        <w:tc>
          <w:tcPr>
            <w:tcW w:w="1164" w:type="pct"/>
            <w:shd w:val="clear" w:color="auto" w:fill="CAE7F3"/>
            <w:noWrap/>
            <w:vAlign w:val="center"/>
            <w:hideMark/>
          </w:tcPr>
          <w:p w14:paraId="7418B161"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28</w:t>
            </w:r>
          </w:p>
        </w:tc>
      </w:tr>
      <w:tr w:rsidR="00D471AD" w:rsidRPr="000D502B" w14:paraId="7418B166" w14:textId="77777777" w:rsidTr="004A31A9">
        <w:trPr>
          <w:trHeight w:val="405"/>
        </w:trPr>
        <w:tc>
          <w:tcPr>
            <w:tcW w:w="2480" w:type="pct"/>
            <w:shd w:val="clear" w:color="auto" w:fill="CAE7F3"/>
            <w:noWrap/>
            <w:vAlign w:val="center"/>
          </w:tcPr>
          <w:p w14:paraId="7418B163" w14:textId="77777777" w:rsidR="00D471AD" w:rsidRPr="000D502B" w:rsidRDefault="00D471AD" w:rsidP="004A31A9">
            <w:pPr>
              <w:keepNext/>
              <w:keepLines/>
              <w:spacing w:before="60" w:after="60"/>
              <w:rPr>
                <w:rFonts w:cs="Arial"/>
                <w:sz w:val="16"/>
                <w:szCs w:val="16"/>
                <w:lang w:eastAsia="en-AU"/>
              </w:rPr>
            </w:pPr>
          </w:p>
        </w:tc>
        <w:tc>
          <w:tcPr>
            <w:tcW w:w="1356" w:type="pct"/>
            <w:shd w:val="clear" w:color="auto" w:fill="CAE7F3"/>
            <w:noWrap/>
            <w:vAlign w:val="center"/>
          </w:tcPr>
          <w:p w14:paraId="7418B164"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(103)</w:t>
            </w:r>
          </w:p>
        </w:tc>
        <w:tc>
          <w:tcPr>
            <w:tcW w:w="1164" w:type="pct"/>
            <w:shd w:val="clear" w:color="auto" w:fill="CAE7F3"/>
            <w:noWrap/>
            <w:vAlign w:val="center"/>
          </w:tcPr>
          <w:p w14:paraId="7418B165"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(5)</w:t>
            </w:r>
          </w:p>
        </w:tc>
      </w:tr>
      <w:tr w:rsidR="00D471AD" w:rsidRPr="000D502B" w14:paraId="7418B16A" w14:textId="77777777" w:rsidTr="004A31A9">
        <w:trPr>
          <w:trHeight w:val="405"/>
        </w:trPr>
        <w:tc>
          <w:tcPr>
            <w:tcW w:w="2480" w:type="pct"/>
            <w:shd w:val="clear" w:color="auto" w:fill="CAE7F3"/>
            <w:noWrap/>
            <w:vAlign w:val="center"/>
            <w:hideMark/>
          </w:tcPr>
          <w:p w14:paraId="7418B167" w14:textId="77777777" w:rsidR="00D471AD" w:rsidRPr="000D502B" w:rsidRDefault="00D471AD" w:rsidP="004A31A9">
            <w:pPr>
              <w:keepNext/>
              <w:keepLines/>
              <w:spacing w:before="60" w:after="60"/>
              <w:rPr>
                <w:rFonts w:cs="Arial"/>
                <w:sz w:val="18"/>
                <w:szCs w:val="18"/>
                <w:lang w:eastAsia="en-AU"/>
              </w:rPr>
            </w:pPr>
            <w:r w:rsidRPr="000D502B">
              <w:rPr>
                <w:rFonts w:cs="Arial"/>
                <w:sz w:val="18"/>
                <w:szCs w:val="18"/>
                <w:lang w:eastAsia="en-AU"/>
              </w:rPr>
              <w:t>New</w:t>
            </w:r>
            <w:r>
              <w:rPr>
                <w:rFonts w:cs="Arial"/>
                <w:sz w:val="18"/>
                <w:szCs w:val="18"/>
                <w:lang w:eastAsia="en-AU"/>
              </w:rPr>
              <w:t>-</w:t>
            </w:r>
            <w:r w:rsidRPr="000D502B">
              <w:rPr>
                <w:rFonts w:cs="Arial"/>
                <w:sz w:val="18"/>
                <w:szCs w:val="18"/>
                <w:lang w:eastAsia="en-AU"/>
              </w:rPr>
              <w:t>to</w:t>
            </w:r>
            <w:r>
              <w:rPr>
                <w:rFonts w:cs="Arial"/>
                <w:sz w:val="18"/>
                <w:szCs w:val="18"/>
                <w:lang w:eastAsia="en-AU"/>
              </w:rPr>
              <w:t xml:space="preserve">-business </w:t>
            </w:r>
            <w:r w:rsidRPr="000D502B">
              <w:rPr>
                <w:rFonts w:cs="Arial"/>
                <w:sz w:val="18"/>
                <w:szCs w:val="18"/>
                <w:lang w:eastAsia="en-AU"/>
              </w:rPr>
              <w:t>innovators</w:t>
            </w:r>
          </w:p>
        </w:tc>
        <w:tc>
          <w:tcPr>
            <w:tcW w:w="1356" w:type="pct"/>
            <w:shd w:val="clear" w:color="auto" w:fill="CAE7F3"/>
            <w:noWrap/>
            <w:vAlign w:val="center"/>
            <w:hideMark/>
          </w:tcPr>
          <w:p w14:paraId="7418B168"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2</w:t>
            </w:r>
            <w:r>
              <w:rPr>
                <w:rFonts w:cs="Arial"/>
                <w:sz w:val="18"/>
                <w:szCs w:val="18"/>
                <w:lang w:eastAsia="en-AU"/>
              </w:rPr>
              <w:t>97</w:t>
            </w:r>
          </w:p>
        </w:tc>
        <w:tc>
          <w:tcPr>
            <w:tcW w:w="1164" w:type="pct"/>
            <w:shd w:val="clear" w:color="auto" w:fill="CAE7F3"/>
            <w:noWrap/>
            <w:vAlign w:val="center"/>
            <w:hideMark/>
          </w:tcPr>
          <w:p w14:paraId="7418B169"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1</w:t>
            </w:r>
            <w:r>
              <w:rPr>
                <w:rFonts w:cs="Arial"/>
                <w:sz w:val="18"/>
                <w:szCs w:val="18"/>
                <w:lang w:eastAsia="en-AU"/>
              </w:rPr>
              <w:t>7</w:t>
            </w:r>
          </w:p>
        </w:tc>
      </w:tr>
      <w:tr w:rsidR="00D471AD" w:rsidRPr="000D502B" w14:paraId="7418B16E" w14:textId="77777777" w:rsidTr="004A31A9">
        <w:trPr>
          <w:trHeight w:val="405"/>
        </w:trPr>
        <w:tc>
          <w:tcPr>
            <w:tcW w:w="2480" w:type="pct"/>
            <w:shd w:val="clear" w:color="auto" w:fill="CAE7F3"/>
            <w:noWrap/>
            <w:vAlign w:val="center"/>
          </w:tcPr>
          <w:p w14:paraId="7418B16B" w14:textId="77777777" w:rsidR="00D471AD" w:rsidRPr="000D502B" w:rsidRDefault="00D471AD" w:rsidP="004A31A9">
            <w:pPr>
              <w:keepNext/>
              <w:keepLines/>
              <w:spacing w:before="60" w:after="60"/>
              <w:rPr>
                <w:rFonts w:cs="Arial"/>
                <w:sz w:val="16"/>
                <w:szCs w:val="16"/>
                <w:lang w:eastAsia="en-AU"/>
              </w:rPr>
            </w:pPr>
          </w:p>
        </w:tc>
        <w:tc>
          <w:tcPr>
            <w:tcW w:w="1356" w:type="pct"/>
            <w:shd w:val="clear" w:color="auto" w:fill="CAE7F3"/>
            <w:noWrap/>
            <w:vAlign w:val="center"/>
          </w:tcPr>
          <w:p w14:paraId="7418B16C"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w:t>
            </w:r>
            <w:r>
              <w:rPr>
                <w:rFonts w:cs="Arial"/>
                <w:sz w:val="16"/>
                <w:szCs w:val="16"/>
                <w:lang w:eastAsia="en-AU"/>
              </w:rPr>
              <w:t>33</w:t>
            </w:r>
            <w:r w:rsidRPr="000D502B">
              <w:rPr>
                <w:rFonts w:cs="Arial"/>
                <w:sz w:val="16"/>
                <w:szCs w:val="16"/>
                <w:lang w:eastAsia="en-AU"/>
              </w:rPr>
              <w:t>)</w:t>
            </w:r>
          </w:p>
        </w:tc>
        <w:tc>
          <w:tcPr>
            <w:tcW w:w="1164" w:type="pct"/>
            <w:shd w:val="clear" w:color="auto" w:fill="CAE7F3"/>
            <w:noWrap/>
            <w:vAlign w:val="center"/>
          </w:tcPr>
          <w:p w14:paraId="7418B16D"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(2)</w:t>
            </w:r>
          </w:p>
        </w:tc>
      </w:tr>
      <w:tr w:rsidR="00D471AD" w:rsidRPr="000D502B" w14:paraId="7418B172" w14:textId="77777777" w:rsidTr="004A31A9">
        <w:trPr>
          <w:trHeight w:val="405"/>
        </w:trPr>
        <w:tc>
          <w:tcPr>
            <w:tcW w:w="2480" w:type="pct"/>
            <w:shd w:val="clear" w:color="auto" w:fill="CAE7F3"/>
            <w:noWrap/>
            <w:vAlign w:val="center"/>
            <w:hideMark/>
          </w:tcPr>
          <w:p w14:paraId="7418B16F" w14:textId="77777777" w:rsidR="00D471AD" w:rsidRPr="000D502B" w:rsidRDefault="00D471AD" w:rsidP="004A31A9">
            <w:pPr>
              <w:keepNext/>
              <w:keepLines/>
              <w:spacing w:before="60" w:after="60"/>
              <w:rPr>
                <w:rFonts w:cs="Arial"/>
                <w:sz w:val="18"/>
                <w:szCs w:val="18"/>
                <w:lang w:eastAsia="en-AU"/>
              </w:rPr>
            </w:pPr>
            <w:r w:rsidRPr="000D502B">
              <w:rPr>
                <w:rFonts w:cs="Arial"/>
                <w:sz w:val="18"/>
                <w:szCs w:val="18"/>
                <w:lang w:eastAsia="en-AU"/>
              </w:rPr>
              <w:t>Non-innovators</w:t>
            </w:r>
          </w:p>
        </w:tc>
        <w:tc>
          <w:tcPr>
            <w:tcW w:w="1356" w:type="pct"/>
            <w:shd w:val="clear" w:color="auto" w:fill="CAE7F3"/>
            <w:noWrap/>
            <w:vAlign w:val="center"/>
            <w:hideMark/>
          </w:tcPr>
          <w:p w14:paraId="7418B170"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110</w:t>
            </w:r>
          </w:p>
        </w:tc>
        <w:tc>
          <w:tcPr>
            <w:tcW w:w="1164" w:type="pct"/>
            <w:shd w:val="clear" w:color="auto" w:fill="CAE7F3"/>
            <w:noWrap/>
            <w:vAlign w:val="center"/>
            <w:hideMark/>
          </w:tcPr>
          <w:p w14:paraId="7418B171" w14:textId="77777777" w:rsidR="00D471AD" w:rsidRPr="000D502B" w:rsidRDefault="00D471AD" w:rsidP="004A31A9">
            <w:pPr>
              <w:keepNext/>
              <w:keepLines/>
              <w:spacing w:before="60" w:after="60"/>
              <w:jc w:val="right"/>
              <w:rPr>
                <w:rFonts w:cs="Arial"/>
                <w:sz w:val="18"/>
                <w:szCs w:val="18"/>
                <w:lang w:eastAsia="en-AU"/>
              </w:rPr>
            </w:pPr>
            <w:r w:rsidRPr="000D502B">
              <w:rPr>
                <w:rFonts w:cs="Arial"/>
                <w:sz w:val="18"/>
                <w:szCs w:val="18"/>
                <w:lang w:eastAsia="en-AU"/>
              </w:rPr>
              <w:t>14</w:t>
            </w:r>
          </w:p>
        </w:tc>
      </w:tr>
      <w:tr w:rsidR="00D471AD" w:rsidRPr="000D502B" w14:paraId="7418B176" w14:textId="77777777" w:rsidTr="004A31A9">
        <w:trPr>
          <w:trHeight w:val="405"/>
        </w:trPr>
        <w:tc>
          <w:tcPr>
            <w:tcW w:w="2480" w:type="pct"/>
            <w:shd w:val="clear" w:color="auto" w:fill="CAE7F3"/>
            <w:noWrap/>
            <w:vAlign w:val="center"/>
          </w:tcPr>
          <w:p w14:paraId="7418B173" w14:textId="77777777" w:rsidR="00D471AD" w:rsidRPr="000D502B" w:rsidRDefault="00D471AD" w:rsidP="004A31A9">
            <w:pPr>
              <w:keepNext/>
              <w:keepLines/>
              <w:spacing w:before="60" w:after="60"/>
              <w:rPr>
                <w:rFonts w:cs="Arial"/>
                <w:sz w:val="16"/>
                <w:szCs w:val="16"/>
                <w:lang w:eastAsia="en-AU"/>
              </w:rPr>
            </w:pPr>
          </w:p>
        </w:tc>
        <w:tc>
          <w:tcPr>
            <w:tcW w:w="1356" w:type="pct"/>
            <w:shd w:val="clear" w:color="auto" w:fill="CAE7F3"/>
            <w:noWrap/>
            <w:vAlign w:val="center"/>
          </w:tcPr>
          <w:p w14:paraId="7418B174"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(26)</w:t>
            </w:r>
          </w:p>
        </w:tc>
        <w:tc>
          <w:tcPr>
            <w:tcW w:w="1164" w:type="pct"/>
            <w:shd w:val="clear" w:color="auto" w:fill="CAE7F3"/>
            <w:noWrap/>
            <w:vAlign w:val="center"/>
          </w:tcPr>
          <w:p w14:paraId="7418B175" w14:textId="77777777" w:rsidR="00D471AD" w:rsidRPr="000D502B" w:rsidRDefault="00D471AD" w:rsidP="004A31A9">
            <w:pPr>
              <w:keepNext/>
              <w:keepLines/>
              <w:spacing w:before="60" w:after="60"/>
              <w:jc w:val="right"/>
              <w:rPr>
                <w:rFonts w:cs="Arial"/>
                <w:sz w:val="16"/>
                <w:szCs w:val="16"/>
                <w:lang w:eastAsia="en-AU"/>
              </w:rPr>
            </w:pPr>
            <w:r w:rsidRPr="000D502B">
              <w:rPr>
                <w:rFonts w:cs="Arial"/>
                <w:sz w:val="16"/>
                <w:szCs w:val="16"/>
                <w:lang w:eastAsia="en-AU"/>
              </w:rPr>
              <w:t>(3)</w:t>
            </w:r>
          </w:p>
        </w:tc>
      </w:tr>
    </w:tbl>
    <w:p w14:paraId="7418B177" w14:textId="77777777" w:rsidR="00D471AD" w:rsidRPr="001729A3" w:rsidRDefault="00D471AD" w:rsidP="00D471AD">
      <w:pPr>
        <w:pStyle w:val="Note"/>
        <w:rPr>
          <w:lang w:val="en-AU"/>
        </w:rPr>
      </w:pPr>
      <w:r w:rsidRPr="001729A3">
        <w:rPr>
          <w:lang w:val="en-AU"/>
        </w:rPr>
        <w:t>Notes: Gross operating profit is defined as Total income – (Total operating expenditure + Capital expenditure) according to the ABS. Figures in parentheses are standard errors.</w:t>
      </w:r>
    </w:p>
    <w:p w14:paraId="7418B178" w14:textId="77777777" w:rsidR="00D471AD" w:rsidRPr="001729A3" w:rsidRDefault="00D471AD" w:rsidP="00D471AD">
      <w:pPr>
        <w:pStyle w:val="Note"/>
        <w:spacing w:after="120"/>
        <w:rPr>
          <w:lang w:val="en-AU"/>
        </w:rPr>
      </w:pPr>
      <w:r w:rsidRPr="001729A3">
        <w:rPr>
          <w:lang w:val="en-AU"/>
        </w:rPr>
        <w:t>Source: Customised ABS data commissioned by the Department of Industry, Innovation and Science</w:t>
      </w:r>
      <w:r w:rsidRPr="001729A3" w:rsidDel="00AD5860">
        <w:rPr>
          <w:lang w:val="en-AU"/>
        </w:rPr>
        <w:t xml:space="preserve"> </w:t>
      </w:r>
    </w:p>
    <w:p w14:paraId="7418B179" w14:textId="77777777" w:rsidR="00D471AD" w:rsidRPr="000D502B" w:rsidRDefault="00D471AD" w:rsidP="00D471AD">
      <w:pPr>
        <w:pStyle w:val="Caption"/>
        <w:spacing w:before="120"/>
      </w:pPr>
      <w:r w:rsidRPr="000D502B">
        <w:t xml:space="preserve">Definition </w:t>
      </w:r>
      <w:fldSimple w:instr=" STYLEREF 1 \s ">
        <w:r>
          <w:rPr>
            <w:noProof/>
          </w:rPr>
          <w:t>3</w:t>
        </w:r>
      </w:fldSimple>
      <w:r w:rsidRPr="000D502B">
        <w:t>.</w:t>
      </w:r>
      <w:fldSimple w:instr=" SEQ Definition \* ARABIC \s 1 ">
        <w:r>
          <w:rPr>
            <w:noProof/>
          </w:rPr>
          <w:t>1</w:t>
        </w:r>
      </w:fldSimple>
      <w:r w:rsidRPr="000D502B">
        <w:t>: Defining innovation novelty</w:t>
      </w:r>
    </w:p>
    <w:tbl>
      <w:tblPr>
        <w:tblStyle w:val="OCETable"/>
        <w:tblW w:w="5000" w:type="pct"/>
        <w:tblInd w:w="57" w:type="dxa"/>
        <w:tblLayout w:type="fixed"/>
        <w:tblLook w:val="04A0" w:firstRow="1" w:lastRow="0" w:firstColumn="1" w:lastColumn="0" w:noHBand="0" w:noVBand="1"/>
        <w:tblCaption w:val="Defining innovation novelty"/>
        <w:tblDescription w:val="In order to assess innovation novelty, businesses that introduced an innovation (i.e. innovating businesses) were asked in the Business Characteristics Survey to report whether they thought their new or significantly improved goods, services, processes or methods introduced were new to the world, new to Australia, new to the industry, or new to the business only (these categories are mutually exclusive). &#10;Newto-market innovation is where the innovation is either new to the world, new to Australia or new to the industry.&#10;"/>
      </w:tblPr>
      <w:tblGrid>
        <w:gridCol w:w="4593"/>
      </w:tblGrid>
      <w:tr w:rsidR="00D471AD" w:rsidRPr="000D502B" w14:paraId="7418B17D"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Mar>
              <w:left w:w="0" w:type="dxa"/>
              <w:right w:w="0" w:type="dxa"/>
            </w:tcMar>
          </w:tcPr>
          <w:p w14:paraId="7418B17A" w14:textId="77777777" w:rsidR="00D471AD" w:rsidRPr="00882E31" w:rsidRDefault="00D471AD" w:rsidP="004A31A9">
            <w:pPr>
              <w:pStyle w:val="Definitiontext"/>
              <w:rPr>
                <w:i/>
                <w:lang w:val="en-AU"/>
              </w:rPr>
            </w:pPr>
            <w:r w:rsidRPr="00882E31">
              <w:rPr>
                <w:lang w:val="en-AU"/>
              </w:rPr>
              <w:t xml:space="preserve">In order to assess innovation novelty, businesses that introduced an innovation (i.e. innovating businesses) were asked in the Business Characteristics Survey to report whether they thought their new or significantly improved goods, services, processes or methods introduced were new to the world, new to Australia, new to the industry, or new to the business only (these categories are mutually exclusive). </w:t>
            </w:r>
          </w:p>
          <w:p w14:paraId="7418B17B" w14:textId="77777777" w:rsidR="00D471AD" w:rsidRPr="00882E31" w:rsidRDefault="00D471AD" w:rsidP="004A31A9">
            <w:pPr>
              <w:pStyle w:val="Definitiontext"/>
              <w:rPr>
                <w:i/>
                <w:lang w:val="en-AU"/>
              </w:rPr>
            </w:pPr>
            <w:r w:rsidRPr="00882E31">
              <w:rPr>
                <w:lang w:val="en-AU"/>
              </w:rPr>
              <w:t>Newto</w:t>
            </w:r>
            <w:r w:rsidRPr="00882E31">
              <w:rPr>
                <w:i/>
                <w:lang w:val="en-AU"/>
              </w:rPr>
              <w:t>-</w:t>
            </w:r>
            <w:r w:rsidRPr="00882E31">
              <w:rPr>
                <w:lang w:val="en-AU"/>
              </w:rPr>
              <w:t>market innovation is where the innovation is either new to the world, new to Australia</w:t>
            </w:r>
            <w:r w:rsidRPr="00882E31">
              <w:rPr>
                <w:i/>
                <w:lang w:val="en-AU"/>
              </w:rPr>
              <w:t xml:space="preserve"> or</w:t>
            </w:r>
            <w:r w:rsidRPr="00882E31">
              <w:rPr>
                <w:lang w:val="en-AU"/>
              </w:rPr>
              <w:t xml:space="preserve"> new to the industry.</w:t>
            </w:r>
          </w:p>
          <w:p w14:paraId="7418B17C" w14:textId="77777777" w:rsidR="00D471AD" w:rsidRPr="001729A3" w:rsidRDefault="00D471AD" w:rsidP="004A31A9">
            <w:pPr>
              <w:pStyle w:val="Definitiontext"/>
              <w:spacing w:after="113"/>
              <w:rPr>
                <w:lang w:val="en-AU"/>
              </w:rPr>
            </w:pPr>
            <m:oMathPara>
              <m:oMath>
                <m:r>
                  <w:rPr>
                    <w:rFonts w:ascii="Cambria Math" w:hAnsi="Cambria Math"/>
                    <w:lang w:val="en-GB"/>
                  </w:rPr>
                  <m:t>New to Market =</m:t>
                </m:r>
                <m:d>
                  <m:dPr>
                    <m:ctrlPr>
                      <w:rPr>
                        <w:rFonts w:ascii="Cambria Math" w:hAnsi="Cambria Math"/>
                        <w:i/>
                        <w:lang w:val="en-GB"/>
                      </w:rPr>
                    </m:ctrlPr>
                  </m:dPr>
                  <m:e>
                    <m:r>
                      <w:rPr>
                        <w:rFonts w:ascii="Cambria Math" w:hAnsi="Cambria Math"/>
                        <w:lang w:val="en-GB"/>
                      </w:rPr>
                      <m:t>New to World+New to Australia +New to Industry</m:t>
                    </m:r>
                  </m:e>
                </m:d>
              </m:oMath>
            </m:oMathPara>
          </w:p>
        </w:tc>
      </w:tr>
    </w:tbl>
    <w:p w14:paraId="7418B17E" w14:textId="77777777" w:rsidR="00D471AD" w:rsidRPr="001729A3" w:rsidRDefault="00D471AD" w:rsidP="00D471AD">
      <w:pPr>
        <w:pStyle w:val="BodyText"/>
      </w:pPr>
      <w:r w:rsidRPr="001729A3">
        <w:br w:type="column"/>
        <w:t>Innovation that is only new to the business was the most common type across innovating Australian businesses in 2014–15. The percentage of surveyed businesses that reported introducing new goods and services innovations was 19 per cent in 2014–15. Most of these businesses are doing new</w:t>
      </w:r>
      <w:r>
        <w:t>-</w:t>
      </w:r>
      <w:r w:rsidRPr="001729A3">
        <w:t>to</w:t>
      </w:r>
      <w:r>
        <w:t>-</w:t>
      </w:r>
      <w:r w:rsidRPr="001729A3">
        <w:t>business innovation, adopting goods and services developed by others. Only 5.5 per cent of surveyed businesses reported delivering new</w:t>
      </w:r>
      <w:r>
        <w:t>-</w:t>
      </w:r>
      <w:r w:rsidRPr="001729A3">
        <w:t>to</w:t>
      </w:r>
      <w:r>
        <w:t>-</w:t>
      </w:r>
      <w:r w:rsidRPr="001729A3">
        <w:t xml:space="preserve">market goods and services in 2014–15. </w:t>
      </w:r>
    </w:p>
    <w:p w14:paraId="7418B17F" w14:textId="77777777" w:rsidR="00D471AD" w:rsidRPr="001729A3" w:rsidRDefault="00D471AD" w:rsidP="00D471AD">
      <w:pPr>
        <w:pStyle w:val="BodyText"/>
      </w:pPr>
      <w:r w:rsidRPr="001729A3">
        <w:t>The rate of new</w:t>
      </w:r>
      <w:r>
        <w:t>-</w:t>
      </w:r>
      <w:r w:rsidRPr="001729A3">
        <w:t>to</w:t>
      </w:r>
      <w:r>
        <w:t>-</w:t>
      </w:r>
      <w:r w:rsidRPr="001729A3">
        <w:t>market innovation appears to have declined since the pre-global financial crisis period (</w:t>
      </w:r>
      <w:r w:rsidRPr="001729A3">
        <w:fldChar w:fldCharType="begin"/>
      </w:r>
      <w:r w:rsidRPr="001729A3">
        <w:instrText xml:space="preserve"> REF _Ref461115466 \h </w:instrText>
      </w:r>
      <w:r w:rsidRPr="001729A3">
        <w:fldChar w:fldCharType="separate"/>
      </w:r>
      <w:r w:rsidRPr="000D502B">
        <w:t xml:space="preserve">Figure </w:t>
      </w:r>
      <w:r>
        <w:rPr>
          <w:noProof/>
        </w:rPr>
        <w:t>3</w:t>
      </w:r>
      <w:r w:rsidRPr="000D502B">
        <w:t>.</w:t>
      </w:r>
      <w:r>
        <w:rPr>
          <w:noProof/>
        </w:rPr>
        <w:t>3</w:t>
      </w:r>
      <w:r w:rsidRPr="001729A3">
        <w:fldChar w:fldCharType="end"/>
      </w:r>
      <w:r w:rsidRPr="001729A3">
        <w:t>). This may reflect growing aversion to invest in high</w:t>
      </w:r>
      <w:r>
        <w:t>-</w:t>
      </w:r>
      <w:r w:rsidRPr="001729A3">
        <w:t xml:space="preserve">risk business ventures or internal innovation projects, or an outright loss of highly innovative businesses across Australia. </w:t>
      </w:r>
    </w:p>
    <w:p w14:paraId="7418B180" w14:textId="77777777" w:rsidR="00D471AD" w:rsidRPr="001729A3" w:rsidRDefault="00D471AD" w:rsidP="00D471AD">
      <w:pPr>
        <w:pStyle w:val="BodyText"/>
      </w:pPr>
      <w:r w:rsidRPr="001729A3">
        <w:t>In contrast to the international comparisons on innovation activity (that include all types of novelty), Australian new</w:t>
      </w:r>
      <w:r>
        <w:t>-</w:t>
      </w:r>
      <w:r w:rsidRPr="001729A3">
        <w:t>to</w:t>
      </w:r>
      <w:r>
        <w:t>-</w:t>
      </w:r>
      <w:r w:rsidRPr="001729A3">
        <w:t>market innovation is ranked relatively poorly against other countries (</w:t>
      </w:r>
      <w:r w:rsidRPr="001729A3">
        <w:fldChar w:fldCharType="begin"/>
      </w:r>
      <w:r w:rsidRPr="001729A3">
        <w:instrText xml:space="preserve"> REF _Ref461115523 \h </w:instrText>
      </w:r>
      <w:r w:rsidRPr="001729A3">
        <w:fldChar w:fldCharType="separate"/>
      </w:r>
      <w:r w:rsidRPr="000D502B">
        <w:t xml:space="preserve">Figure </w:t>
      </w:r>
      <w:r>
        <w:rPr>
          <w:noProof/>
        </w:rPr>
        <w:t>3</w:t>
      </w:r>
      <w:r w:rsidRPr="000D502B">
        <w:t>.</w:t>
      </w:r>
      <w:r>
        <w:rPr>
          <w:noProof/>
        </w:rPr>
        <w:t>4</w:t>
      </w:r>
      <w:r w:rsidRPr="001729A3">
        <w:fldChar w:fldCharType="end"/>
      </w:r>
      <w:r w:rsidRPr="001729A3">
        <w:t xml:space="preserve">). After matching to OECD definitions of business size and sector, the data suggests that Australia is not an innovation leader but an innovation follower. Compared to 31 other OECD countries, Australia, at </w:t>
      </w:r>
      <w:r>
        <w:t>nine</w:t>
      </w:r>
      <w:r w:rsidRPr="00660104">
        <w:t xml:space="preserve"> </w:t>
      </w:r>
      <w:r w:rsidRPr="001729A3">
        <w:t xml:space="preserve">per cent, ranked 23rd for the year 2012–13. </w:t>
      </w:r>
    </w:p>
    <w:p w14:paraId="7418B181" w14:textId="77777777" w:rsidR="00D471AD" w:rsidRPr="001729A3" w:rsidRDefault="00D471AD" w:rsidP="00D471AD">
      <w:pPr>
        <w:pStyle w:val="BodyText"/>
      </w:pPr>
      <w:r w:rsidRPr="001729A3">
        <w:t xml:space="preserve">This ranking largely reflects the activity of SMEs (with 10–249 employees) at </w:t>
      </w:r>
      <w:r>
        <w:t>nine</w:t>
      </w:r>
      <w:r w:rsidRPr="00660104">
        <w:t xml:space="preserve"> </w:t>
      </w:r>
      <w:r w:rsidRPr="001729A3">
        <w:t xml:space="preserve">per cent. Large businesses (with 250+ employees), also at 9 per cent, rank even lower at </w:t>
      </w:r>
      <w:r>
        <w:t>29th</w:t>
      </w:r>
      <w:r w:rsidRPr="001729A3">
        <w:t xml:space="preserve"> out of </w:t>
      </w:r>
      <w:r>
        <w:t>30</w:t>
      </w:r>
      <w:r w:rsidRPr="001729A3">
        <w:t xml:space="preserve"> OECD countries. </w:t>
      </w:r>
    </w:p>
    <w:p w14:paraId="7418B182" w14:textId="77777777" w:rsidR="00D471AD" w:rsidRPr="001729A3" w:rsidRDefault="00D471AD" w:rsidP="00D471AD">
      <w:pPr>
        <w:pStyle w:val="BodyText"/>
      </w:pPr>
      <w:r w:rsidRPr="001729A3">
        <w:t xml:space="preserve">Although Australia’s new-to-market innovation ranks poorly against many of our OECD counterparts, several of our sectors perform well above the national average on new-to-market innovation. In particular, the </w:t>
      </w:r>
      <w:r w:rsidRPr="00717CB5">
        <w:rPr>
          <w:i/>
        </w:rPr>
        <w:t>Manufacturing</w:t>
      </w:r>
      <w:r w:rsidRPr="001729A3">
        <w:t xml:space="preserve"> and </w:t>
      </w:r>
      <w:r w:rsidRPr="00717CB5">
        <w:rPr>
          <w:i/>
        </w:rPr>
        <w:t>Wholesale Trade</w:t>
      </w:r>
      <w:r w:rsidRPr="001729A3">
        <w:t xml:space="preserve"> sectors perform well above the national average in both relative and absolute terms.</w:t>
      </w:r>
      <w:r w:rsidRPr="00DC2451">
        <w:rPr>
          <w:vertAlign w:val="superscript"/>
        </w:rPr>
        <w:endnoteReference w:id="39"/>
      </w:r>
    </w:p>
    <w:p w14:paraId="7418B183" w14:textId="77777777" w:rsidR="00D471AD" w:rsidRPr="001729A3" w:rsidRDefault="00D471AD" w:rsidP="00D471AD">
      <w:pPr>
        <w:pStyle w:val="BodyText"/>
        <w:sectPr w:rsidR="00D471AD" w:rsidRPr="001729A3" w:rsidSect="00D471AD">
          <w:footnotePr>
            <w:numFmt w:val="upperRoman"/>
          </w:footnotePr>
          <w:endnotePr>
            <w:numFmt w:val="decimal"/>
          </w:endnotePr>
          <w:type w:val="continuous"/>
          <w:pgSz w:w="11906" w:h="16838" w:code="9"/>
          <w:pgMar w:top="1440" w:right="1020" w:bottom="1440" w:left="992" w:header="709" w:footer="709" w:gutter="0"/>
          <w:cols w:num="2" w:space="708"/>
          <w:docGrid w:linePitch="360"/>
        </w:sectPr>
      </w:pPr>
    </w:p>
    <w:p w14:paraId="7418B184" w14:textId="77777777" w:rsidR="00D471AD" w:rsidRPr="000D502B" w:rsidRDefault="00D471AD" w:rsidP="00D471AD">
      <w:pPr>
        <w:pStyle w:val="Caption"/>
      </w:pPr>
      <w:bookmarkStart w:id="1327" w:name="_Ref461115466"/>
      <w:bookmarkStart w:id="1328" w:name="_Toc461198233"/>
      <w:bookmarkStart w:id="1329" w:name="_Toc461198775"/>
      <w:bookmarkStart w:id="1330" w:name="_Toc461204063"/>
      <w:bookmarkStart w:id="1331" w:name="_Toc461527505"/>
      <w:bookmarkStart w:id="1332" w:name="_Toc461539540"/>
      <w:bookmarkStart w:id="1333" w:name="_Toc461541657"/>
      <w:bookmarkStart w:id="1334" w:name="_Toc461545412"/>
      <w:bookmarkStart w:id="1335" w:name="_Toc461624408"/>
      <w:bookmarkStart w:id="1336" w:name="_Toc461629633"/>
      <w:bookmarkStart w:id="1337" w:name="_Toc461632963"/>
      <w:bookmarkStart w:id="1338" w:name="_Toc461634233"/>
      <w:bookmarkStart w:id="1339" w:name="_Toc463013884"/>
      <w:bookmarkStart w:id="1340" w:name="_Toc463013993"/>
      <w:bookmarkStart w:id="1341" w:name="_Toc463014427"/>
      <w:bookmarkStart w:id="1342" w:name="_Toc463877067"/>
      <w:bookmarkStart w:id="1343" w:name="_Toc465864579"/>
      <w:r w:rsidRPr="000D502B">
        <w:t xml:space="preserve">Figure </w:t>
      </w:r>
      <w:fldSimple w:instr=" STYLEREF 1 \s ">
        <w:r>
          <w:rPr>
            <w:noProof/>
          </w:rPr>
          <w:t>3</w:t>
        </w:r>
      </w:fldSimple>
      <w:r w:rsidRPr="000D502B">
        <w:t>.</w:t>
      </w:r>
      <w:fldSimple w:instr=" SEQ Figure \* ARABIC \s 1 ">
        <w:r>
          <w:rPr>
            <w:noProof/>
          </w:rPr>
          <w:t>3</w:t>
        </w:r>
      </w:fldSimple>
      <w:bookmarkEnd w:id="1327"/>
      <w:r w:rsidRPr="000D502B">
        <w:t>: Degree of innovation novelty in Australian goods and services innovation, 2001–03 to 2014–15</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7418B185" w14:textId="77777777" w:rsidR="00D471AD" w:rsidRPr="001729A3" w:rsidRDefault="00D471AD" w:rsidP="00D471AD">
      <w:pPr>
        <w:pStyle w:val="Note"/>
        <w:rPr>
          <w:lang w:val="en-AU"/>
        </w:rPr>
      </w:pPr>
      <w:r>
        <w:rPr>
          <w:noProof/>
          <w:lang w:val="en-AU" w:eastAsia="en-AU"/>
        </w:rPr>
        <w:drawing>
          <wp:inline distT="0" distB="0" distL="0" distR="0" wp14:anchorId="7418C637" wp14:editId="7418C638">
            <wp:extent cx="6370955" cy="2889885"/>
            <wp:effectExtent l="0" t="0" r="0" b="5715"/>
            <wp:docPr id="28" name="Picture 28" descr="Figure 3.3 shows the percentage of businesses that introduced goods and services, by degree of novelty, over the period 2001–03 to 2014–15. It shows that the percentage of businesses introducing new-to-the-world innovations has remained fairly flat, starting at 1.5 per cent in 2001–03 and creeping to 1.6 per cent in 2014–15. The share of businesses introducing new-to-Australia innovations has declined from 3.1 per cent to 1.4 per cent over the same period. Businesses introducing new-to- industry innovations shrunk from 2.9 per cent at the beginning of the observation period to a low of 1.7 per cent in 2010–11, but has since recovered to 2.5 per cent. New-to-business innovations have increased to 14.4 per cent from 9.5 per cent." title="Figure 3.3: Degree of innovation novelty in Australian goods and services innovation, 2001–03 to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70955" cy="2889885"/>
                    </a:xfrm>
                    <a:prstGeom prst="rect">
                      <a:avLst/>
                    </a:prstGeom>
                    <a:noFill/>
                  </pic:spPr>
                </pic:pic>
              </a:graphicData>
            </a:graphic>
          </wp:inline>
        </w:drawing>
      </w:r>
    </w:p>
    <w:p w14:paraId="7418B186" w14:textId="77777777" w:rsidR="00D471AD" w:rsidRPr="001729A3" w:rsidRDefault="00D471AD" w:rsidP="00D471AD">
      <w:pPr>
        <w:pStyle w:val="Note"/>
        <w:rPr>
          <w:lang w:val="en-AU"/>
        </w:rPr>
      </w:pPr>
      <w:r w:rsidRPr="001729A3">
        <w:rPr>
          <w:lang w:val="en-AU"/>
        </w:rPr>
        <w:t>Notes: New to market innovation is the sum of New to world, New to Australia and New to industry innovation.</w:t>
      </w:r>
    </w:p>
    <w:p w14:paraId="7418B187" w14:textId="77777777" w:rsidR="00D471AD" w:rsidRPr="001729A3" w:rsidRDefault="00D471AD" w:rsidP="00D471AD">
      <w:pPr>
        <w:pStyle w:val="Note"/>
        <w:rPr>
          <w:lang w:val="en-AU"/>
        </w:rPr>
      </w:pPr>
      <w:r w:rsidRPr="001729A3">
        <w:rPr>
          <w:lang w:val="en-AU"/>
        </w:rPr>
        <w:t xml:space="preserve">Source: ABS (various) </w:t>
      </w:r>
      <w:r w:rsidRPr="001729A3">
        <w:rPr>
          <w:i/>
          <w:lang w:val="en-AU"/>
        </w:rPr>
        <w:t>Innovation in Australian business</w:t>
      </w:r>
      <w:r w:rsidRPr="001729A3">
        <w:rPr>
          <w:lang w:val="en-AU"/>
        </w:rPr>
        <w:t>, cat. no. 8158.0</w:t>
      </w:r>
    </w:p>
    <w:p w14:paraId="7418B188" w14:textId="77777777" w:rsidR="00D471AD" w:rsidRPr="001729A3" w:rsidRDefault="00D471AD" w:rsidP="00D471AD">
      <w:pPr>
        <w:pStyle w:val="BodyText"/>
      </w:pPr>
    </w:p>
    <w:p w14:paraId="7418B189" w14:textId="77777777" w:rsidR="00D471AD" w:rsidRPr="001729A3" w:rsidRDefault="00D471AD" w:rsidP="00D471AD">
      <w:pPr>
        <w:pStyle w:val="BodyText"/>
        <w:sectPr w:rsidR="00D471AD" w:rsidRPr="001729A3" w:rsidSect="00D471AD">
          <w:footnotePr>
            <w:numFmt w:val="upperRoman"/>
          </w:footnotePr>
          <w:endnotePr>
            <w:numFmt w:val="decimal"/>
          </w:endnotePr>
          <w:pgSz w:w="11906" w:h="16838" w:code="9"/>
          <w:pgMar w:top="1440" w:right="1020" w:bottom="1440" w:left="992" w:header="709" w:footer="709" w:gutter="0"/>
          <w:cols w:space="708"/>
          <w:docGrid w:linePitch="360"/>
        </w:sectPr>
      </w:pPr>
    </w:p>
    <w:p w14:paraId="7418B18A" w14:textId="77777777" w:rsidR="00D471AD" w:rsidRPr="000D502B" w:rsidRDefault="00D471AD" w:rsidP="00D471AD">
      <w:pPr>
        <w:pStyle w:val="Caption"/>
      </w:pPr>
      <w:bookmarkStart w:id="1344" w:name="_Ref461115523"/>
      <w:bookmarkStart w:id="1345" w:name="_Toc461198234"/>
      <w:bookmarkStart w:id="1346" w:name="_Toc461198776"/>
      <w:bookmarkStart w:id="1347" w:name="_Toc461204064"/>
      <w:bookmarkStart w:id="1348" w:name="_Toc461527506"/>
      <w:bookmarkStart w:id="1349" w:name="_Toc461539541"/>
      <w:bookmarkStart w:id="1350" w:name="_Toc461541658"/>
      <w:bookmarkStart w:id="1351" w:name="_Toc461545413"/>
      <w:bookmarkStart w:id="1352" w:name="_Toc461624409"/>
      <w:bookmarkStart w:id="1353" w:name="_Toc461629634"/>
      <w:bookmarkStart w:id="1354" w:name="_Toc461632964"/>
      <w:bookmarkStart w:id="1355" w:name="_Toc461634234"/>
      <w:bookmarkStart w:id="1356" w:name="_Toc463013885"/>
      <w:bookmarkStart w:id="1357" w:name="_Toc463013994"/>
      <w:bookmarkStart w:id="1358" w:name="_Toc463014428"/>
      <w:bookmarkStart w:id="1359" w:name="_Toc463877068"/>
      <w:bookmarkStart w:id="1360" w:name="_Toc465864580"/>
      <w:r w:rsidRPr="000D502B">
        <w:t xml:space="preserve">Figure </w:t>
      </w:r>
      <w:fldSimple w:instr=" STYLEREF 1 \s ">
        <w:r>
          <w:rPr>
            <w:noProof/>
          </w:rPr>
          <w:t>3</w:t>
        </w:r>
      </w:fldSimple>
      <w:r w:rsidRPr="000D502B">
        <w:t>.</w:t>
      </w:r>
      <w:fldSimple w:instr=" SEQ Figure \* ARABIC \s 1 ">
        <w:r>
          <w:rPr>
            <w:noProof/>
          </w:rPr>
          <w:t>4</w:t>
        </w:r>
      </w:fldSimple>
      <w:bookmarkEnd w:id="1344"/>
      <w:r w:rsidRPr="000D502B">
        <w:t>: International ranking on new to market innovation, 2010-12</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p>
    <w:p w14:paraId="7418B18B" w14:textId="77777777" w:rsidR="00D471AD" w:rsidRPr="001729A3" w:rsidRDefault="00D471AD" w:rsidP="00D471AD">
      <w:pPr>
        <w:pStyle w:val="Note"/>
        <w:rPr>
          <w:lang w:val="en-AU"/>
        </w:rPr>
      </w:pPr>
      <w:r>
        <w:rPr>
          <w:noProof/>
          <w:lang w:val="en-AU" w:eastAsia="en-AU"/>
        </w:rPr>
        <w:drawing>
          <wp:inline distT="0" distB="0" distL="0" distR="0" wp14:anchorId="7418C639" wp14:editId="7418C63A">
            <wp:extent cx="2981325" cy="2097405"/>
            <wp:effectExtent l="0" t="0" r="9525" b="0"/>
            <wp:docPr id="48" name="Picture 48" descr="Figure 3.4 shows international comparisons of the percentage of product-innovative businesses with new-to-market innovations. Australia’s proportion is 9 per cent compared to an OECD average of 13 per cent, and an OECD top five average of 21 per cent." title="Figure 3.4: International ranking on new to market innovation,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81325" cy="2097405"/>
                    </a:xfrm>
                    <a:prstGeom prst="rect">
                      <a:avLst/>
                    </a:prstGeom>
                    <a:noFill/>
                  </pic:spPr>
                </pic:pic>
              </a:graphicData>
            </a:graphic>
          </wp:inline>
        </w:drawing>
      </w:r>
    </w:p>
    <w:p w14:paraId="7418B18C" w14:textId="77777777" w:rsidR="00D471AD" w:rsidRPr="001729A3" w:rsidRDefault="00D471AD" w:rsidP="00D471AD">
      <w:pPr>
        <w:pStyle w:val="Note"/>
        <w:rPr>
          <w:lang w:val="en-AU"/>
        </w:rPr>
      </w:pPr>
      <w:r w:rsidRPr="001729A3">
        <w:rPr>
          <w:lang w:val="en-AU"/>
        </w:rPr>
        <w:t xml:space="preserve">Notes: OECD comparisons exclude businesses with </w:t>
      </w:r>
      <w:r>
        <w:rPr>
          <w:lang w:val="en-AU"/>
        </w:rPr>
        <w:t>fewer</w:t>
      </w:r>
      <w:r w:rsidRPr="00660104">
        <w:rPr>
          <w:lang w:val="en-AU"/>
        </w:rPr>
        <w:t xml:space="preserve"> </w:t>
      </w:r>
      <w:r w:rsidRPr="001729A3">
        <w:rPr>
          <w:lang w:val="en-AU"/>
        </w:rPr>
        <w:t xml:space="preserve">than ten employees. Industry core coverage includes ISIC Rev. 4 Sections and Divisions B, C, D, E, G46, H, J, K, M71-72 and 73. Australian data is for 2012-13. The OECD top five </w:t>
      </w:r>
      <w:r>
        <w:rPr>
          <w:lang w:val="en-AU"/>
        </w:rPr>
        <w:t>countries</w:t>
      </w:r>
      <w:r w:rsidRPr="001729A3">
        <w:rPr>
          <w:lang w:val="en-AU"/>
        </w:rPr>
        <w:t xml:space="preserve"> are</w:t>
      </w:r>
      <w:r>
        <w:rPr>
          <w:lang w:val="en-GB"/>
        </w:rPr>
        <w:t xml:space="preserve"> </w:t>
      </w:r>
      <w:r w:rsidRPr="00B636E2">
        <w:rPr>
          <w:lang w:val="en-GB"/>
        </w:rPr>
        <w:t xml:space="preserve">Canada, Belgium, Netherlands, Finland </w:t>
      </w:r>
      <w:r>
        <w:rPr>
          <w:lang w:val="en-GB"/>
        </w:rPr>
        <w:t>and</w:t>
      </w:r>
      <w:r w:rsidRPr="00B636E2">
        <w:rPr>
          <w:lang w:val="en-GB"/>
        </w:rPr>
        <w:t xml:space="preserve"> Austria</w:t>
      </w:r>
      <w:r>
        <w:rPr>
          <w:lang w:val="en-GB"/>
        </w:rPr>
        <w:t>.</w:t>
      </w:r>
    </w:p>
    <w:p w14:paraId="7418B18D" w14:textId="77777777" w:rsidR="00D471AD" w:rsidRPr="001729A3" w:rsidRDefault="00D471AD" w:rsidP="00D471AD">
      <w:pPr>
        <w:pStyle w:val="Note"/>
        <w:rPr>
          <w:lang w:val="en-AU"/>
        </w:rPr>
      </w:pPr>
      <w:r w:rsidRPr="001729A3">
        <w:rPr>
          <w:lang w:val="en-AU"/>
        </w:rPr>
        <w:t xml:space="preserve">Source: OECD </w:t>
      </w:r>
      <w:r>
        <w:rPr>
          <w:lang w:val="en-AU"/>
        </w:rPr>
        <w:t xml:space="preserve">(2015) </w:t>
      </w:r>
      <w:r w:rsidRPr="00C24E99">
        <w:rPr>
          <w:i/>
          <w:lang w:val="en-AU"/>
        </w:rPr>
        <w:t>Innovation Indicators Database</w:t>
      </w:r>
      <w:r>
        <w:rPr>
          <w:i/>
          <w:lang w:val="en-AU"/>
        </w:rPr>
        <w:t xml:space="preserve">, </w:t>
      </w:r>
      <w:hyperlink r:id="rId107" w:tooltip="www.oecd.org/innovation/inno/inno-stats.htm" w:history="1">
        <w:r w:rsidRPr="001729A3">
          <w:rPr>
            <w:rStyle w:val="Hyperlink"/>
            <w:lang w:val="en-AU"/>
          </w:rPr>
          <w:t>www.oecd.org/innovation/inno/inno-stats.htm</w:t>
        </w:r>
      </w:hyperlink>
    </w:p>
    <w:p w14:paraId="7418B18E" w14:textId="77777777" w:rsidR="00D471AD" w:rsidRPr="000D502B" w:rsidRDefault="00D471AD" w:rsidP="00D471AD">
      <w:pPr>
        <w:pStyle w:val="Heading2"/>
      </w:pPr>
      <w:bookmarkStart w:id="1361" w:name="_Toc461174569"/>
      <w:bookmarkStart w:id="1362" w:name="_Toc461180123"/>
      <w:bookmarkStart w:id="1363" w:name="_Toc461180219"/>
      <w:bookmarkStart w:id="1364" w:name="_Toc461180511"/>
      <w:bookmarkStart w:id="1365" w:name="_Toc461180583"/>
      <w:bookmarkStart w:id="1366" w:name="_Toc461180632"/>
      <w:bookmarkStart w:id="1367" w:name="_Toc461183240"/>
      <w:bookmarkStart w:id="1368" w:name="_Toc461183292"/>
      <w:bookmarkStart w:id="1369" w:name="_Toc461183378"/>
      <w:bookmarkStart w:id="1370" w:name="_Toc461183835"/>
      <w:bookmarkStart w:id="1371" w:name="_Toc461184449"/>
      <w:bookmarkStart w:id="1372" w:name="_Toc461184554"/>
      <w:bookmarkStart w:id="1373" w:name="_Toc461186592"/>
      <w:bookmarkStart w:id="1374" w:name="_Toc461186909"/>
      <w:bookmarkStart w:id="1375" w:name="_Toc461187014"/>
      <w:bookmarkStart w:id="1376" w:name="_Toc461187265"/>
      <w:bookmarkStart w:id="1377" w:name="_Toc461198292"/>
      <w:bookmarkStart w:id="1378" w:name="_Toc461198834"/>
      <w:bookmarkStart w:id="1379" w:name="_Toc461204122"/>
      <w:bookmarkStart w:id="1380" w:name="_Toc461527573"/>
      <w:bookmarkStart w:id="1381" w:name="_Toc461624479"/>
      <w:bookmarkStart w:id="1382" w:name="_Toc461629704"/>
      <w:bookmarkStart w:id="1383" w:name="_Toc461633034"/>
      <w:bookmarkStart w:id="1384" w:name="_Toc461634304"/>
      <w:bookmarkStart w:id="1385" w:name="_Toc462230082"/>
      <w:bookmarkStart w:id="1386" w:name="_Toc462231443"/>
      <w:bookmarkStart w:id="1387" w:name="_Toc463013944"/>
      <w:bookmarkStart w:id="1388" w:name="_Toc463014053"/>
      <w:bookmarkStart w:id="1389" w:name="_Toc463014487"/>
      <w:bookmarkStart w:id="1390" w:name="_Toc463877020"/>
      <w:r>
        <w:br w:type="column"/>
      </w:r>
      <w:bookmarkStart w:id="1391" w:name="_Toc465862814"/>
      <w:r w:rsidRPr="000D502B">
        <w:t>A new measure of innovation frequency</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7418B18F" w14:textId="77777777" w:rsidR="00D471AD" w:rsidRPr="001729A3" w:rsidRDefault="00D471AD" w:rsidP="00D471AD">
      <w:pPr>
        <w:pStyle w:val="BodyText"/>
      </w:pPr>
      <w:r w:rsidRPr="001729A3">
        <w:t xml:space="preserve">One of the criticisms of the Business Characteristics Survey is that its measure of innovation has historically been a YES/NO response for a particular reference year. This meant that there was no way to tell if one innovative business had introduced several innovations or only one. </w:t>
      </w:r>
      <w:r>
        <w:t xml:space="preserve">The new indicators developed </w:t>
      </w:r>
      <w:r w:rsidRPr="001729A3">
        <w:t xml:space="preserve">with the University of Tasmania and the </w:t>
      </w:r>
      <w:r w:rsidRPr="00660104">
        <w:t>A</w:t>
      </w:r>
      <w:r>
        <w:t>BS</w:t>
      </w:r>
      <w:r w:rsidRPr="001729A3">
        <w:t xml:space="preserve"> </w:t>
      </w:r>
      <w:r>
        <w:t>provide insight to</w:t>
      </w:r>
      <w:r w:rsidRPr="001729A3">
        <w:t xml:space="preserve"> innovation frequency (</w:t>
      </w:r>
      <w:r w:rsidRPr="00421E2B">
        <w:t>Chapter 1</w:t>
      </w:r>
      <w:r>
        <w:t>).</w:t>
      </w:r>
    </w:p>
    <w:p w14:paraId="7418B190" w14:textId="77777777" w:rsidR="00D471AD" w:rsidRPr="001729A3" w:rsidRDefault="00D471AD" w:rsidP="00D471AD">
      <w:pPr>
        <w:pStyle w:val="BodyText"/>
      </w:pPr>
      <w:r w:rsidRPr="001729A3">
        <w:t>Across all four types of innovation, businesses most commonly reported introducing one to two new goods, services, processes or methods. For example, of those businesses reporting new goods and/or services:</w:t>
      </w:r>
    </w:p>
    <w:p w14:paraId="7418B191" w14:textId="77777777" w:rsidR="00D471AD" w:rsidRPr="001729A3" w:rsidRDefault="00D471AD" w:rsidP="00D471AD">
      <w:pPr>
        <w:pStyle w:val="ListBullet"/>
      </w:pPr>
      <w:r w:rsidRPr="001729A3">
        <w:t>66 per cent introduced one to two new goods and/or services during the year ended 30 June 2015</w:t>
      </w:r>
    </w:p>
    <w:p w14:paraId="7418B192" w14:textId="77777777" w:rsidR="00D471AD" w:rsidRPr="001729A3" w:rsidRDefault="00D471AD" w:rsidP="00D471AD">
      <w:pPr>
        <w:pStyle w:val="ListBullet"/>
      </w:pPr>
      <w:r w:rsidRPr="001729A3">
        <w:t>only 7 per cent introduced 10 or more new goods and/or services.</w:t>
      </w:r>
    </w:p>
    <w:p w14:paraId="7418B193" w14:textId="77777777" w:rsidR="00D471AD" w:rsidRPr="001729A3" w:rsidRDefault="00D471AD" w:rsidP="00D471AD">
      <w:pPr>
        <w:pStyle w:val="BodyText"/>
        <w:sectPr w:rsidR="00D471AD" w:rsidRPr="001729A3" w:rsidSect="00D471AD">
          <w:footnotePr>
            <w:numFmt w:val="upperRoman"/>
          </w:footnotePr>
          <w:endnotePr>
            <w:numFmt w:val="decimal"/>
          </w:endnotePr>
          <w:type w:val="continuous"/>
          <w:pgSz w:w="11906" w:h="16838" w:code="9"/>
          <w:pgMar w:top="1440" w:right="1020" w:bottom="1440" w:left="992" w:header="709" w:footer="709" w:gutter="0"/>
          <w:cols w:num="2" w:space="708"/>
          <w:docGrid w:linePitch="360"/>
        </w:sectPr>
      </w:pPr>
      <w:r>
        <w:t xml:space="preserve">More frequent innovators are also more likely to be new to market innovators, as shown by </w:t>
      </w:r>
      <w:r>
        <w:fldChar w:fldCharType="begin"/>
      </w:r>
      <w:r>
        <w:instrText xml:space="preserve"> REF _Ref461115752 \h </w:instrText>
      </w:r>
      <w:r>
        <w:fldChar w:fldCharType="separate"/>
      </w:r>
      <w:r w:rsidRPr="000D502B">
        <w:t xml:space="preserve">Figure </w:t>
      </w:r>
      <w:r>
        <w:rPr>
          <w:noProof/>
        </w:rPr>
        <w:t>3</w:t>
      </w:r>
      <w:r w:rsidRPr="000D502B">
        <w:t>.</w:t>
      </w:r>
      <w:r>
        <w:rPr>
          <w:noProof/>
        </w:rPr>
        <w:t>5</w:t>
      </w:r>
      <w:r>
        <w:fldChar w:fldCharType="end"/>
      </w:r>
      <w:r>
        <w:t xml:space="preserve">. </w:t>
      </w:r>
      <w:r w:rsidRPr="001729A3">
        <w:t xml:space="preserve">This is also the case for more persistent innovators (data not shown; Chapter </w:t>
      </w:r>
      <w:r>
        <w:t>2</w:t>
      </w:r>
      <w:r w:rsidRPr="001729A3">
        <w:t>).</w:t>
      </w:r>
    </w:p>
    <w:p w14:paraId="7418B194" w14:textId="77777777" w:rsidR="00D471AD" w:rsidRPr="001729A3" w:rsidRDefault="00D471AD" w:rsidP="00D471AD">
      <w:pPr>
        <w:pStyle w:val="BodyText"/>
      </w:pPr>
    </w:p>
    <w:p w14:paraId="7418B195" w14:textId="77777777" w:rsidR="00D471AD" w:rsidRPr="000D502B" w:rsidRDefault="00D471AD" w:rsidP="00D471AD">
      <w:pPr>
        <w:pStyle w:val="Caption"/>
      </w:pPr>
      <w:bookmarkStart w:id="1392" w:name="_Ref461115752"/>
      <w:bookmarkStart w:id="1393" w:name="_Toc461198235"/>
      <w:bookmarkStart w:id="1394" w:name="_Toc461198777"/>
      <w:bookmarkStart w:id="1395" w:name="_Toc461204065"/>
      <w:bookmarkStart w:id="1396" w:name="_Toc461527507"/>
      <w:bookmarkStart w:id="1397" w:name="_Toc461539542"/>
      <w:bookmarkStart w:id="1398" w:name="_Toc461541659"/>
      <w:bookmarkStart w:id="1399" w:name="_Toc461545414"/>
      <w:bookmarkStart w:id="1400" w:name="_Toc461624410"/>
      <w:bookmarkStart w:id="1401" w:name="_Toc461629635"/>
      <w:bookmarkStart w:id="1402" w:name="_Toc461632965"/>
      <w:bookmarkStart w:id="1403" w:name="_Toc461634235"/>
      <w:bookmarkStart w:id="1404" w:name="_Toc463013886"/>
      <w:bookmarkStart w:id="1405" w:name="_Toc463013995"/>
      <w:bookmarkStart w:id="1406" w:name="_Toc463014429"/>
      <w:bookmarkStart w:id="1407" w:name="_Toc463877069"/>
      <w:bookmarkStart w:id="1408" w:name="_Toc465864581"/>
      <w:r w:rsidRPr="000D502B">
        <w:t xml:space="preserve">Figure </w:t>
      </w:r>
      <w:fldSimple w:instr=" STYLEREF 1 \s ">
        <w:r>
          <w:rPr>
            <w:noProof/>
          </w:rPr>
          <w:t>3</w:t>
        </w:r>
      </w:fldSimple>
      <w:r w:rsidRPr="000D502B">
        <w:t>.</w:t>
      </w:r>
      <w:fldSimple w:instr=" SEQ Figure \* ARABIC \s 1 ">
        <w:r>
          <w:rPr>
            <w:noProof/>
          </w:rPr>
          <w:t>5</w:t>
        </w:r>
      </w:fldSimple>
      <w:bookmarkEnd w:id="1392"/>
      <w:r w:rsidRPr="000D502B">
        <w:t>: The relationship between innovation frequency and innovation novelty, by number of innovations, 2014–15</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7418B196" w14:textId="77777777" w:rsidR="00D471AD" w:rsidRPr="001729A3" w:rsidRDefault="00D471AD" w:rsidP="00D471AD">
      <w:pPr>
        <w:pStyle w:val="Note"/>
        <w:rPr>
          <w:lang w:val="en-AU"/>
        </w:rPr>
      </w:pPr>
      <w:r>
        <w:rPr>
          <w:noProof/>
          <w:lang w:val="en-AU" w:eastAsia="en-AU"/>
        </w:rPr>
        <w:drawing>
          <wp:inline distT="0" distB="0" distL="0" distR="0" wp14:anchorId="7418C63B" wp14:editId="7418C63C">
            <wp:extent cx="6340475" cy="2883535"/>
            <wp:effectExtent l="0" t="0" r="3175" b="0"/>
            <wp:docPr id="57" name="Picture 57" descr="Figure 3.5 shows the relationship between innovation frequency and innovation novelty in 2014–15. The data shows that the businesses that innovated more frequently had more novel innovations than those that innovated intermittently. For each degree of innovation novelty, the proportion of businesses that introduced 10 or more innovations was four times larger than the proportion that introduced 1 or 2 innovations, on average." title="Figure 3.5: The relationship between innovation frequency and innovation novelty, by number of innovations,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40475" cy="2883535"/>
                    </a:xfrm>
                    <a:prstGeom prst="rect">
                      <a:avLst/>
                    </a:prstGeom>
                    <a:noFill/>
                  </pic:spPr>
                </pic:pic>
              </a:graphicData>
            </a:graphic>
          </wp:inline>
        </w:drawing>
      </w:r>
    </w:p>
    <w:p w14:paraId="7418B197" w14:textId="77777777" w:rsidR="00D471AD" w:rsidRPr="001729A3" w:rsidRDefault="00D471AD" w:rsidP="00D471AD">
      <w:pPr>
        <w:pStyle w:val="Source"/>
        <w:rPr>
          <w:lang w:val="en-AU"/>
        </w:rPr>
      </w:pPr>
      <w:r w:rsidRPr="001729A3">
        <w:rPr>
          <w:lang w:val="en-AU"/>
        </w:rPr>
        <w:t>Source: Customised ABS data commissioned by the Department of Industry, Innovation and Science</w:t>
      </w:r>
      <w:r w:rsidRPr="001729A3" w:rsidDel="00AD5860">
        <w:rPr>
          <w:lang w:val="en-AU"/>
        </w:rPr>
        <w:t xml:space="preserve"> </w:t>
      </w:r>
    </w:p>
    <w:p w14:paraId="7418B198" w14:textId="77777777" w:rsidR="00D471AD" w:rsidRPr="001729A3" w:rsidRDefault="00D471AD" w:rsidP="00D471AD">
      <w:pPr>
        <w:pStyle w:val="BodyText"/>
      </w:pPr>
    </w:p>
    <w:p w14:paraId="7418B199" w14:textId="77777777" w:rsidR="00D471AD" w:rsidRPr="001729A3" w:rsidRDefault="00D471AD" w:rsidP="00D471AD">
      <w:pPr>
        <w:pStyle w:val="BodyText"/>
        <w:sectPr w:rsidR="00D471AD" w:rsidRPr="001729A3" w:rsidSect="00D471AD">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19A" w14:textId="77777777" w:rsidR="00D471AD" w:rsidRPr="000D502B" w:rsidRDefault="00D471AD" w:rsidP="00D471AD">
      <w:pPr>
        <w:pStyle w:val="Heading2"/>
      </w:pPr>
      <w:bookmarkStart w:id="1409" w:name="_Toc461174570"/>
      <w:bookmarkStart w:id="1410" w:name="_Toc461180124"/>
      <w:bookmarkStart w:id="1411" w:name="_Toc461180220"/>
      <w:bookmarkStart w:id="1412" w:name="_Toc461180512"/>
      <w:bookmarkStart w:id="1413" w:name="_Toc461180584"/>
      <w:bookmarkStart w:id="1414" w:name="_Toc461180633"/>
      <w:bookmarkStart w:id="1415" w:name="_Toc461183241"/>
      <w:bookmarkStart w:id="1416" w:name="_Toc461183293"/>
      <w:bookmarkStart w:id="1417" w:name="_Toc461183379"/>
      <w:bookmarkStart w:id="1418" w:name="_Toc461183836"/>
      <w:bookmarkStart w:id="1419" w:name="_Toc461184450"/>
      <w:bookmarkStart w:id="1420" w:name="_Toc461184555"/>
      <w:bookmarkStart w:id="1421" w:name="_Toc461186593"/>
      <w:bookmarkStart w:id="1422" w:name="_Toc461186910"/>
      <w:bookmarkStart w:id="1423" w:name="_Toc461187015"/>
      <w:bookmarkStart w:id="1424" w:name="_Toc461187266"/>
      <w:bookmarkStart w:id="1425" w:name="_Toc461198293"/>
      <w:bookmarkStart w:id="1426" w:name="_Toc461198835"/>
      <w:bookmarkStart w:id="1427" w:name="_Toc461204123"/>
      <w:bookmarkStart w:id="1428" w:name="_Toc461527574"/>
      <w:bookmarkStart w:id="1429" w:name="_Toc461624480"/>
      <w:bookmarkStart w:id="1430" w:name="_Toc461629705"/>
      <w:bookmarkStart w:id="1431" w:name="_Toc461633035"/>
      <w:bookmarkStart w:id="1432" w:name="_Toc461634305"/>
      <w:bookmarkStart w:id="1433" w:name="_Toc462230083"/>
      <w:bookmarkStart w:id="1434" w:name="_Toc462231444"/>
      <w:bookmarkStart w:id="1435" w:name="_Toc463013945"/>
      <w:bookmarkStart w:id="1436" w:name="_Toc463014054"/>
      <w:bookmarkStart w:id="1437" w:name="_Toc463014488"/>
      <w:bookmarkStart w:id="1438" w:name="_Toc463877021"/>
      <w:bookmarkStart w:id="1439" w:name="_Toc465862815"/>
      <w:r w:rsidRPr="000D502B">
        <w:t>Improving our measurement of innovation investment</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7418B19B" w14:textId="77777777" w:rsidR="00D471AD" w:rsidRPr="001729A3" w:rsidRDefault="00D471AD" w:rsidP="00D471AD">
      <w:pPr>
        <w:pStyle w:val="BodyText"/>
      </w:pPr>
      <w:r w:rsidRPr="001729A3">
        <w:t>While there is an accounting definition of R&amp;D and intellectual property, there is no such definition of innovation expenditure. For this reason, obtaining accurate estimates of innovation expenditure is difficult.</w:t>
      </w:r>
      <w:r>
        <w:t xml:space="preserve"> </w:t>
      </w:r>
      <w:r w:rsidRPr="001729A3">
        <w:t>The 2014-15 B</w:t>
      </w:r>
      <w:r>
        <w:t xml:space="preserve">CS </w:t>
      </w:r>
      <w:r w:rsidRPr="001729A3">
        <w:t>included a revised question on business innovation expenditure that allows a business to allocate a percentage of total investment towards specific innovation-related activities. This includes estimates of the percentage of expenditure on physical assets for the development of innovation and intangible items (e.g. training and marketing; Definition 3.2).</w:t>
      </w:r>
    </w:p>
    <w:p w14:paraId="7418B19C" w14:textId="77777777" w:rsidR="00D471AD" w:rsidRPr="001729A3" w:rsidRDefault="00D471AD" w:rsidP="00D471AD">
      <w:pPr>
        <w:pStyle w:val="BodyText"/>
      </w:pPr>
      <w:r w:rsidRPr="001729A3">
        <w:t xml:space="preserve">Two new response options were added to the survey: </w:t>
      </w:r>
    </w:p>
    <w:p w14:paraId="7418B19D" w14:textId="77777777" w:rsidR="00D471AD" w:rsidRPr="009D7514" w:rsidRDefault="00D471AD" w:rsidP="00D471AD">
      <w:pPr>
        <w:pStyle w:val="ListNumber"/>
        <w:numPr>
          <w:ilvl w:val="0"/>
          <w:numId w:val="25"/>
        </w:numPr>
        <w:spacing w:before="113" w:after="0" w:line="240" w:lineRule="auto"/>
        <w:rPr>
          <w:sz w:val="20"/>
        </w:rPr>
      </w:pPr>
      <w:r w:rsidRPr="009D7514">
        <w:rPr>
          <w:sz w:val="20"/>
        </w:rPr>
        <w:t>Reorganisation of existing business models, work practices and decision making processes.</w:t>
      </w:r>
    </w:p>
    <w:p w14:paraId="7418B19E" w14:textId="77777777" w:rsidR="00D471AD" w:rsidRPr="009D7514" w:rsidRDefault="00D471AD" w:rsidP="00D471AD">
      <w:pPr>
        <w:pStyle w:val="ListNumber"/>
        <w:numPr>
          <w:ilvl w:val="0"/>
          <w:numId w:val="25"/>
        </w:numPr>
        <w:spacing w:before="113" w:after="0" w:line="240" w:lineRule="auto"/>
        <w:rPr>
          <w:sz w:val="20"/>
        </w:rPr>
      </w:pPr>
      <w:r w:rsidRPr="009D7514">
        <w:rPr>
          <w:sz w:val="20"/>
        </w:rPr>
        <w:t>Training relevant to the development or introduction of new goods, services, processes or methods.</w:t>
      </w:r>
    </w:p>
    <w:p w14:paraId="7418B19F" w14:textId="77777777" w:rsidR="00D471AD" w:rsidRPr="000D502B" w:rsidRDefault="00D471AD" w:rsidP="00D471AD">
      <w:pPr>
        <w:pStyle w:val="Caption"/>
      </w:pPr>
      <w:r w:rsidRPr="000D502B">
        <w:t xml:space="preserve">Definition </w:t>
      </w:r>
      <w:fldSimple w:instr=" STYLEREF 1 \s ">
        <w:r>
          <w:rPr>
            <w:noProof/>
          </w:rPr>
          <w:t>3</w:t>
        </w:r>
      </w:fldSimple>
      <w:r w:rsidRPr="000D502B">
        <w:t>.</w:t>
      </w:r>
      <w:fldSimple w:instr=" SEQ Definition \* ARABIC \s 1 ">
        <w:r>
          <w:rPr>
            <w:noProof/>
          </w:rPr>
          <w:t>2</w:t>
        </w:r>
      </w:fldSimple>
      <w:r w:rsidRPr="000D502B">
        <w:t>: Innovation investment</w:t>
      </w:r>
    </w:p>
    <w:tbl>
      <w:tblPr>
        <w:tblStyle w:val="OCETable"/>
        <w:tblW w:w="5030" w:type="pct"/>
        <w:tblInd w:w="57" w:type="dxa"/>
        <w:tblLayout w:type="fixed"/>
        <w:tblLook w:val="04A0" w:firstRow="1" w:lastRow="0" w:firstColumn="1" w:lastColumn="0" w:noHBand="0" w:noVBand="1"/>
        <w:tblCaption w:val="Innovation investment"/>
        <w:tblDescription w:val="Investment on innovation comprises all expenditure incurred by businesses on developing or introducing all new or significantly improved goods, services, processes or methods over a financial year period.&#10;The types of activities covered in the survey are:&#10;acquisition of machinery, equipment or technology (including hardware and software)&#10;re-organisation of existing business models, work practices and decision-making processes&#10;training relevant to the development or introduction of new goods, services, processes or methods&#10;marketing activities undertaken to introduce new goods and/or services to the market&#10;research and experimental development for the purposes of developing or introducing innovation&#10;design, planning or testing&#10;acquisition of licences, rights, patents or other intellectual property&#10;other labour costs related to the development or introduction of new goods, services, processes or methods&#10;other activities related to the development or introduction of new goods, services, processes or methods&#10;"/>
      </w:tblPr>
      <w:tblGrid>
        <w:gridCol w:w="4621"/>
      </w:tblGrid>
      <w:tr w:rsidR="00D471AD" w:rsidRPr="000D502B" w14:paraId="7418B1AB"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Mar>
              <w:left w:w="0" w:type="dxa"/>
              <w:right w:w="0" w:type="dxa"/>
            </w:tcMar>
          </w:tcPr>
          <w:p w14:paraId="7418B1A0" w14:textId="77777777" w:rsidR="00D471AD" w:rsidRPr="00882E31" w:rsidRDefault="00D471AD" w:rsidP="004A31A9">
            <w:pPr>
              <w:pStyle w:val="Definitiontext"/>
              <w:rPr>
                <w:i/>
                <w:lang w:val="en-AU"/>
              </w:rPr>
            </w:pPr>
            <w:r w:rsidRPr="00882E31">
              <w:rPr>
                <w:lang w:val="en-AU"/>
              </w:rPr>
              <w:t>Investment on innovation comprises all expenditure incurred by businesses on developing or introducing all new or significantly improved goods, services, processes or methods over a financial year period.</w:t>
            </w:r>
          </w:p>
          <w:p w14:paraId="7418B1A1" w14:textId="77777777" w:rsidR="00D471AD" w:rsidRPr="00882E31" w:rsidRDefault="00D471AD" w:rsidP="004A31A9">
            <w:pPr>
              <w:pStyle w:val="Definitiontext"/>
              <w:rPr>
                <w:i/>
                <w:lang w:val="en-AU"/>
              </w:rPr>
            </w:pPr>
            <w:r w:rsidRPr="00882E31">
              <w:rPr>
                <w:lang w:val="en-AU"/>
              </w:rPr>
              <w:t>The types of activities covered in the survey are:</w:t>
            </w:r>
          </w:p>
          <w:p w14:paraId="7418B1A2" w14:textId="77777777" w:rsidR="00D471AD" w:rsidRPr="00882E31" w:rsidRDefault="00D471AD" w:rsidP="00D471AD">
            <w:pPr>
              <w:pStyle w:val="ListBullet"/>
              <w:numPr>
                <w:ilvl w:val="0"/>
                <w:numId w:val="18"/>
              </w:numPr>
              <w:ind w:left="397" w:right="170" w:hanging="227"/>
              <w:rPr>
                <w:sz w:val="19"/>
              </w:rPr>
            </w:pPr>
            <w:r w:rsidRPr="00882E31">
              <w:rPr>
                <w:sz w:val="19"/>
              </w:rPr>
              <w:t>acquisition of machinery, equipment or technology (including hardware and software)</w:t>
            </w:r>
          </w:p>
          <w:p w14:paraId="7418B1A3" w14:textId="77777777" w:rsidR="00D471AD" w:rsidRPr="00882E31" w:rsidRDefault="00D471AD" w:rsidP="00D471AD">
            <w:pPr>
              <w:pStyle w:val="ListBullet"/>
              <w:numPr>
                <w:ilvl w:val="0"/>
                <w:numId w:val="18"/>
              </w:numPr>
              <w:ind w:left="397" w:right="170" w:hanging="227"/>
              <w:rPr>
                <w:sz w:val="19"/>
              </w:rPr>
            </w:pPr>
            <w:r w:rsidRPr="00882E31">
              <w:rPr>
                <w:sz w:val="19"/>
              </w:rPr>
              <w:t>re-organisation of existing business models, work practices and decision</w:t>
            </w:r>
            <w:r w:rsidRPr="00882E31">
              <w:rPr>
                <w:rFonts w:eastAsia="Times New Roman" w:cs="Arial"/>
                <w:sz w:val="19"/>
                <w:szCs w:val="19"/>
              </w:rPr>
              <w:t>-</w:t>
            </w:r>
            <w:r w:rsidRPr="00882E31">
              <w:rPr>
                <w:sz w:val="19"/>
              </w:rPr>
              <w:t>making processes</w:t>
            </w:r>
          </w:p>
          <w:p w14:paraId="7418B1A4" w14:textId="77777777" w:rsidR="00D471AD" w:rsidRPr="00882E31" w:rsidRDefault="00D471AD" w:rsidP="00D471AD">
            <w:pPr>
              <w:pStyle w:val="ListBullet"/>
              <w:numPr>
                <w:ilvl w:val="0"/>
                <w:numId w:val="18"/>
              </w:numPr>
              <w:ind w:left="397" w:right="170" w:hanging="227"/>
              <w:rPr>
                <w:sz w:val="19"/>
              </w:rPr>
            </w:pPr>
            <w:r w:rsidRPr="00882E31">
              <w:rPr>
                <w:sz w:val="19"/>
              </w:rPr>
              <w:t>training relevant to the development or introduction of new goods, services, processes or methods</w:t>
            </w:r>
          </w:p>
          <w:p w14:paraId="7418B1A5" w14:textId="77777777" w:rsidR="00D471AD" w:rsidRPr="00882E31" w:rsidRDefault="00D471AD" w:rsidP="00D471AD">
            <w:pPr>
              <w:pStyle w:val="ListBullet"/>
              <w:numPr>
                <w:ilvl w:val="0"/>
                <w:numId w:val="18"/>
              </w:numPr>
              <w:ind w:left="397" w:right="170" w:hanging="227"/>
              <w:rPr>
                <w:sz w:val="19"/>
              </w:rPr>
            </w:pPr>
            <w:r w:rsidRPr="00882E31">
              <w:rPr>
                <w:sz w:val="19"/>
              </w:rPr>
              <w:t>marketing activities undertaken to introduce new goods and/or services to the market</w:t>
            </w:r>
          </w:p>
          <w:p w14:paraId="7418B1A6" w14:textId="77777777" w:rsidR="00D471AD" w:rsidRPr="00882E31" w:rsidRDefault="00D471AD" w:rsidP="00D471AD">
            <w:pPr>
              <w:pStyle w:val="ListBullet"/>
              <w:numPr>
                <w:ilvl w:val="0"/>
                <w:numId w:val="18"/>
              </w:numPr>
              <w:ind w:left="397" w:right="170" w:hanging="227"/>
              <w:rPr>
                <w:sz w:val="19"/>
              </w:rPr>
            </w:pPr>
            <w:r w:rsidRPr="00882E31">
              <w:rPr>
                <w:sz w:val="19"/>
              </w:rPr>
              <w:t xml:space="preserve">research and </w:t>
            </w:r>
            <w:r w:rsidRPr="00882E31">
              <w:rPr>
                <w:rFonts w:eastAsia="Times New Roman" w:cs="Arial"/>
                <w:sz w:val="19"/>
                <w:szCs w:val="19"/>
              </w:rPr>
              <w:t>experimental d</w:t>
            </w:r>
            <w:r w:rsidRPr="00882E31">
              <w:rPr>
                <w:sz w:val="19"/>
              </w:rPr>
              <w:t>evelopment for the purposes of developing or introducing innovation</w:t>
            </w:r>
          </w:p>
          <w:p w14:paraId="7418B1A7" w14:textId="77777777" w:rsidR="00D471AD" w:rsidRPr="00882E31" w:rsidRDefault="00D471AD" w:rsidP="00D471AD">
            <w:pPr>
              <w:pStyle w:val="ListBullet"/>
              <w:numPr>
                <w:ilvl w:val="0"/>
                <w:numId w:val="18"/>
              </w:numPr>
              <w:ind w:left="397" w:right="170" w:hanging="227"/>
              <w:rPr>
                <w:sz w:val="19"/>
              </w:rPr>
            </w:pPr>
            <w:r w:rsidRPr="00882E31">
              <w:rPr>
                <w:sz w:val="19"/>
              </w:rPr>
              <w:t>design, planning or testing</w:t>
            </w:r>
          </w:p>
          <w:p w14:paraId="7418B1A8" w14:textId="77777777" w:rsidR="00D471AD" w:rsidRPr="00882E31" w:rsidRDefault="00D471AD" w:rsidP="00D471AD">
            <w:pPr>
              <w:pStyle w:val="ListBullet"/>
              <w:numPr>
                <w:ilvl w:val="0"/>
                <w:numId w:val="18"/>
              </w:numPr>
              <w:ind w:left="397" w:right="170" w:hanging="227"/>
              <w:rPr>
                <w:sz w:val="19"/>
              </w:rPr>
            </w:pPr>
            <w:r w:rsidRPr="00882E31">
              <w:rPr>
                <w:sz w:val="19"/>
              </w:rPr>
              <w:t>acquisition of licences, rights, patents or other intellectual property</w:t>
            </w:r>
          </w:p>
          <w:p w14:paraId="7418B1A9" w14:textId="77777777" w:rsidR="00D471AD" w:rsidRPr="00882E31" w:rsidRDefault="00D471AD" w:rsidP="00D471AD">
            <w:pPr>
              <w:pStyle w:val="ListBullet"/>
              <w:numPr>
                <w:ilvl w:val="0"/>
                <w:numId w:val="18"/>
              </w:numPr>
              <w:ind w:left="397" w:right="170" w:hanging="227"/>
              <w:rPr>
                <w:sz w:val="19"/>
              </w:rPr>
            </w:pPr>
            <w:r w:rsidRPr="00882E31">
              <w:rPr>
                <w:sz w:val="19"/>
              </w:rPr>
              <w:t>other labour costs related to the development or introduction of new goods, services, processes or methods</w:t>
            </w:r>
          </w:p>
          <w:p w14:paraId="7418B1AA" w14:textId="77777777" w:rsidR="00D471AD" w:rsidRPr="001729A3" w:rsidRDefault="00D471AD" w:rsidP="00D471AD">
            <w:pPr>
              <w:pStyle w:val="ListBullet"/>
              <w:numPr>
                <w:ilvl w:val="0"/>
                <w:numId w:val="18"/>
              </w:numPr>
              <w:spacing w:after="113"/>
              <w:ind w:left="397" w:right="170" w:hanging="227"/>
            </w:pPr>
            <w:r w:rsidRPr="00882E31">
              <w:rPr>
                <w:sz w:val="19"/>
              </w:rPr>
              <w:t>other activities related to the development or introduction of new goods, services, processes or methods</w:t>
            </w:r>
          </w:p>
        </w:tc>
      </w:tr>
    </w:tbl>
    <w:p w14:paraId="7418B1AC" w14:textId="77777777" w:rsidR="00D471AD" w:rsidRPr="001729A3" w:rsidRDefault="00D471AD" w:rsidP="00D471AD">
      <w:pPr>
        <w:pStyle w:val="BodyText"/>
      </w:pPr>
      <w:r w:rsidRPr="001729A3">
        <w:br w:type="column"/>
        <w:t>Using these revised definitions, the ABS estimated total expenditure by Australian businesses on innovation</w:t>
      </w:r>
      <w:r>
        <w:t>-</w:t>
      </w:r>
      <w:r w:rsidRPr="001729A3">
        <w:t xml:space="preserve">related activities </w:t>
      </w:r>
      <w:r>
        <w:t>to be</w:t>
      </w:r>
      <w:r w:rsidRPr="001729A3">
        <w:t xml:space="preserve"> between $26 and $30 billion in 2014–15.</w:t>
      </w:r>
    </w:p>
    <w:p w14:paraId="7418B1AD" w14:textId="77777777" w:rsidR="00D471AD" w:rsidRPr="000D502B" w:rsidRDefault="00D471AD" w:rsidP="00D471AD">
      <w:pPr>
        <w:pStyle w:val="BodyText"/>
        <w:sectPr w:rsidR="00D471AD" w:rsidRPr="000D502B" w:rsidSect="00D471AD">
          <w:footnotePr>
            <w:numFmt w:val="upperRoman"/>
          </w:footnotePr>
          <w:endnotePr>
            <w:numFmt w:val="decimal"/>
          </w:endnotePr>
          <w:type w:val="continuous"/>
          <w:pgSz w:w="11906" w:h="16838" w:code="9"/>
          <w:pgMar w:top="1440" w:right="1020" w:bottom="1440" w:left="992" w:header="709" w:footer="709" w:gutter="0"/>
          <w:cols w:num="2" w:space="708"/>
          <w:docGrid w:linePitch="360"/>
        </w:sectPr>
      </w:pPr>
      <w:r w:rsidRPr="000D502B">
        <w:t>The proportion of innovation</w:t>
      </w:r>
      <w:r>
        <w:t>-</w:t>
      </w:r>
      <w:r w:rsidRPr="000D502B">
        <w:t xml:space="preserve">active </w:t>
      </w:r>
      <w:r>
        <w:t xml:space="preserve">businesses </w:t>
      </w:r>
      <w:r w:rsidRPr="000D502B">
        <w:t xml:space="preserve">that reported no expenditure on innovation was 28 per cent. Nearly half of all </w:t>
      </w:r>
      <w:r>
        <w:t xml:space="preserve">businesses </w:t>
      </w:r>
      <w:r w:rsidRPr="000D502B">
        <w:t>(46 per cent) reported innovation expenditure of $1 to less than $25</w:t>
      </w:r>
      <w:r>
        <w:t> 000</w:t>
      </w:r>
      <w:r w:rsidRPr="000D502B">
        <w:t xml:space="preserve">. Not surprisingly, as </w:t>
      </w:r>
      <w:r>
        <w:t xml:space="preserve">business </w:t>
      </w:r>
      <w:r w:rsidRPr="000D502B">
        <w:t>size increased, the likelihood of spending more on innovation also increased (</w:t>
      </w:r>
      <w:r w:rsidRPr="000D502B">
        <w:fldChar w:fldCharType="begin"/>
      </w:r>
      <w:r w:rsidRPr="000D502B">
        <w:instrText xml:space="preserve"> REF _Ref461115932 \h  \* MERGEFORMAT </w:instrText>
      </w:r>
      <w:r w:rsidRPr="000D502B">
        <w:fldChar w:fldCharType="separate"/>
      </w:r>
      <w:r w:rsidRPr="000D502B">
        <w:t xml:space="preserve">Figure </w:t>
      </w:r>
      <w:r>
        <w:t>3</w:t>
      </w:r>
      <w:r w:rsidRPr="000D502B">
        <w:t>.</w:t>
      </w:r>
      <w:r>
        <w:t>6</w:t>
      </w:r>
      <w:r w:rsidRPr="000D502B">
        <w:fldChar w:fldCharType="end"/>
      </w:r>
      <w:r w:rsidRPr="000D502B">
        <w:t>).</w:t>
      </w:r>
      <w:r>
        <w:t xml:space="preserve"> </w:t>
      </w:r>
      <w:r w:rsidRPr="000D502B">
        <w:t>The majority of SMEs invested between $1 and $100</w:t>
      </w:r>
      <w:r>
        <w:t xml:space="preserve"> 000 </w:t>
      </w:r>
      <w:r w:rsidRPr="000D502B">
        <w:t>in innovation</w:t>
      </w:r>
      <w:r>
        <w:t>-</w:t>
      </w:r>
      <w:r w:rsidRPr="000D502B">
        <w:t xml:space="preserve">related activities. Less than one per cent of all innovation active </w:t>
      </w:r>
      <w:r>
        <w:t xml:space="preserve">businesses </w:t>
      </w:r>
      <w:r w:rsidRPr="000D502B">
        <w:t>reported innovation expenditure of $5 million or more.</w:t>
      </w:r>
      <w:r>
        <w:t xml:space="preserve"> </w:t>
      </w:r>
      <w:r w:rsidRPr="000D502B">
        <w:t xml:space="preserve">These were mostly large </w:t>
      </w:r>
      <w:r>
        <w:t>businesses</w:t>
      </w:r>
      <w:r w:rsidRPr="000D502B">
        <w:t>.</w:t>
      </w:r>
    </w:p>
    <w:p w14:paraId="7418B1AE" w14:textId="77777777" w:rsidR="00D471AD" w:rsidRDefault="00D471AD" w:rsidP="00D471AD">
      <w:pPr>
        <w:pStyle w:val="Caption"/>
        <w:spacing w:before="120"/>
      </w:pPr>
      <w:bookmarkStart w:id="1440" w:name="_Ref461115932"/>
      <w:bookmarkStart w:id="1441" w:name="_Toc461198236"/>
      <w:bookmarkStart w:id="1442" w:name="_Toc461198778"/>
      <w:bookmarkStart w:id="1443" w:name="_Toc461204066"/>
      <w:bookmarkStart w:id="1444" w:name="_Toc461527508"/>
      <w:bookmarkStart w:id="1445" w:name="_Toc461539543"/>
      <w:bookmarkStart w:id="1446" w:name="_Toc461541660"/>
      <w:bookmarkStart w:id="1447" w:name="_Toc461545415"/>
      <w:bookmarkStart w:id="1448" w:name="_Toc461624411"/>
      <w:bookmarkStart w:id="1449" w:name="_Toc461629636"/>
      <w:bookmarkStart w:id="1450" w:name="_Toc461632966"/>
      <w:bookmarkStart w:id="1451" w:name="_Toc461634236"/>
      <w:bookmarkStart w:id="1452" w:name="_Toc463013887"/>
      <w:bookmarkStart w:id="1453" w:name="_Toc463013996"/>
      <w:bookmarkStart w:id="1454" w:name="_Toc463014430"/>
      <w:bookmarkStart w:id="1455" w:name="_Toc463877070"/>
      <w:bookmarkStart w:id="1456" w:name="_Toc465864582"/>
      <w:r w:rsidRPr="000D502B">
        <w:t xml:space="preserve">Figure </w:t>
      </w:r>
      <w:fldSimple w:instr=" STYLEREF 1 \s ">
        <w:r>
          <w:rPr>
            <w:noProof/>
          </w:rPr>
          <w:t>3</w:t>
        </w:r>
      </w:fldSimple>
      <w:r w:rsidRPr="000D502B">
        <w:t>.</w:t>
      </w:r>
      <w:fldSimple w:instr=" SEQ Figure \* ARABIC \s 1 ">
        <w:r>
          <w:rPr>
            <w:noProof/>
          </w:rPr>
          <w:t>6</w:t>
        </w:r>
      </w:fldSimple>
      <w:bookmarkEnd w:id="1440"/>
      <w:r w:rsidRPr="000D502B">
        <w:t>: Percentage of</w:t>
      </w:r>
      <w:r>
        <w:t xml:space="preserve"> innovation-active</w:t>
      </w:r>
      <w:r w:rsidRPr="000D502B">
        <w:t xml:space="preserve"> </w:t>
      </w:r>
      <w:r>
        <w:t xml:space="preserve">businesses </w:t>
      </w:r>
      <w:r w:rsidRPr="000D502B">
        <w:t>investing in innovation, by range of investment and employment size, 2014–15</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7418B1AF" w14:textId="77777777" w:rsidR="00D471AD" w:rsidRPr="009D7514" w:rsidRDefault="00D471AD" w:rsidP="00D471AD">
      <w:pPr>
        <w:pStyle w:val="Source"/>
        <w:rPr>
          <w:lang w:val="en-AU"/>
        </w:rPr>
      </w:pPr>
      <w:r>
        <w:rPr>
          <w:noProof/>
          <w:lang w:val="en-AU" w:eastAsia="en-AU"/>
        </w:rPr>
        <w:drawing>
          <wp:inline distT="0" distB="0" distL="0" distR="0" wp14:anchorId="7418C63D" wp14:editId="7418C63E">
            <wp:extent cx="6364605" cy="2908300"/>
            <wp:effectExtent l="0" t="0" r="0" b="6350"/>
            <wp:docPr id="4" name="Picture 4" descr="Figure 3.6 shows the percentage of innovation-active businesses investing in innovation, by range of expenditure and business size, in 2014–15. In general, small businesses invested less in innovation than large businesses. On average, 25% of each business size had no expenditure on innovation. Most businesses invested between $1 and $100,000 on innovation, with 65%, 63% and 55% of businesses with 0–4, 5–19 and 20–199 persons respectively investing in that range. However 34% of businesses with 200 or more persons invested between $100,000 and $1,000,000. " title="Figure 3.6: Percentage of innovation-active businesses investing in innovation, by range of investment and employment size,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364605" cy="2908300"/>
                    </a:xfrm>
                    <a:prstGeom prst="rect">
                      <a:avLst/>
                    </a:prstGeom>
                    <a:noFill/>
                  </pic:spPr>
                </pic:pic>
              </a:graphicData>
            </a:graphic>
          </wp:inline>
        </w:drawing>
      </w:r>
      <w:r w:rsidRPr="009D7514">
        <w:rPr>
          <w:lang w:val="en-AU"/>
        </w:rPr>
        <w:t xml:space="preserve"> Source: ABS (2016) </w:t>
      </w:r>
      <w:r w:rsidRPr="009D7514">
        <w:rPr>
          <w:i/>
          <w:lang w:val="en-AU"/>
        </w:rPr>
        <w:t>Innovation in Australian Businesses, 2014-15</w:t>
      </w:r>
      <w:r w:rsidRPr="009D7514">
        <w:rPr>
          <w:lang w:val="en-AU"/>
        </w:rPr>
        <w:t xml:space="preserve">: </w:t>
      </w:r>
      <w:r w:rsidRPr="009D7514">
        <w:rPr>
          <w:i/>
          <w:lang w:val="en-AU"/>
        </w:rPr>
        <w:t>Innovation Expenditure, Table 1</w:t>
      </w:r>
      <w:r w:rsidRPr="009D7514">
        <w:rPr>
          <w:lang w:val="en-AU"/>
        </w:rPr>
        <w:t xml:space="preserve"> cat. no. 8158.0 (data cube: Excel spreadsheet) </w:t>
      </w:r>
      <w:hyperlink r:id="rId110" w:tooltip="http://www.abs.gov.au/ausstats/abs@.nsf/mf/8158.0" w:history="1">
        <w:r w:rsidRPr="009D7514">
          <w:rPr>
            <w:u w:val="single"/>
            <w:lang w:val="en-AU"/>
          </w:rPr>
          <w:t>http://www.abs.gov.au/ausstats/abs@.nsf/mf/8158.0</w:t>
        </w:r>
      </w:hyperlink>
    </w:p>
    <w:p w14:paraId="7418B1B0" w14:textId="77777777" w:rsidR="00D471AD" w:rsidRPr="000D502B" w:rsidRDefault="00D471AD" w:rsidP="00D471AD">
      <w:pPr>
        <w:pStyle w:val="ListNumber"/>
        <w:sectPr w:rsidR="00D471AD" w:rsidRPr="000D502B" w:rsidSect="00D471AD">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1B1" w14:textId="77777777" w:rsidR="00D471AD" w:rsidRPr="001729A3" w:rsidRDefault="00D471AD" w:rsidP="00D471AD">
      <w:pPr>
        <w:pStyle w:val="BodyText"/>
      </w:pPr>
      <w:r w:rsidRPr="001729A3">
        <w:t xml:space="preserve">Businesses investing a high proportion of capital in </w:t>
      </w:r>
      <w:r w:rsidRPr="009D7514">
        <w:t>acquiring physical assets including machinery received less income from the sale of new goods and services than those who invested a low proportion of expenditure in machinery. This is illustrated through the U-shaped relationship between the proportion of businesses receiving 25 per cent or more of their income from new goods and services, and acquiring machinery (</w:t>
      </w:r>
      <w:r w:rsidRPr="009D7514">
        <w:fldChar w:fldCharType="begin"/>
      </w:r>
      <w:r w:rsidRPr="009D7514">
        <w:instrText xml:space="preserve"> REF _Ref461384006 \h </w:instrText>
      </w:r>
      <w:r>
        <w:instrText xml:space="preserve"> \* MERGEFORMAT </w:instrText>
      </w:r>
      <w:r w:rsidRPr="009D7514">
        <w:fldChar w:fldCharType="separate"/>
      </w:r>
      <w:r w:rsidRPr="000D502B">
        <w:t xml:space="preserve">Figure </w:t>
      </w:r>
      <w:r>
        <w:t>3</w:t>
      </w:r>
      <w:r w:rsidRPr="000D502B">
        <w:t>.</w:t>
      </w:r>
      <w:r>
        <w:t>7</w:t>
      </w:r>
      <w:r w:rsidRPr="009D7514">
        <w:fldChar w:fldCharType="end"/>
      </w:r>
      <w:r w:rsidRPr="009D7514">
        <w:t>). This relationship may result from businesses prioritising investment on physical assets and thereby reducing investment on intangible items such as training,</w:t>
      </w:r>
      <w:r w:rsidRPr="001729A3">
        <w:t xml:space="preserve"> marketing and R&amp;D. These intangible items seem to be high contributors to income from the sale of innovative new goods and services.</w:t>
      </w:r>
    </w:p>
    <w:p w14:paraId="7418B1B2" w14:textId="77777777" w:rsidR="00D471AD" w:rsidRPr="000D502B" w:rsidRDefault="00D471AD" w:rsidP="00D471AD">
      <w:pPr>
        <w:pStyle w:val="Caption"/>
        <w:spacing w:before="120"/>
      </w:pPr>
      <w:bookmarkStart w:id="1457" w:name="_Ref461384006"/>
      <w:bookmarkStart w:id="1458" w:name="_Toc461198237"/>
      <w:bookmarkStart w:id="1459" w:name="_Toc461198779"/>
      <w:bookmarkStart w:id="1460" w:name="_Toc461204067"/>
      <w:bookmarkStart w:id="1461" w:name="_Toc461527509"/>
      <w:bookmarkStart w:id="1462" w:name="_Toc461539544"/>
      <w:bookmarkStart w:id="1463" w:name="_Toc461541661"/>
      <w:bookmarkStart w:id="1464" w:name="_Toc461545416"/>
      <w:bookmarkStart w:id="1465" w:name="_Toc461624412"/>
      <w:bookmarkStart w:id="1466" w:name="_Toc461629637"/>
      <w:bookmarkStart w:id="1467" w:name="_Toc461632967"/>
      <w:bookmarkStart w:id="1468" w:name="_Toc461634237"/>
      <w:bookmarkStart w:id="1469" w:name="_Toc463013888"/>
      <w:bookmarkStart w:id="1470" w:name="_Toc463013997"/>
      <w:bookmarkStart w:id="1471" w:name="_Toc463014431"/>
      <w:bookmarkStart w:id="1472" w:name="_Toc463877071"/>
      <w:bookmarkStart w:id="1473" w:name="_Toc465864583"/>
      <w:r w:rsidRPr="000D502B">
        <w:t xml:space="preserve">Figure </w:t>
      </w:r>
      <w:fldSimple w:instr=" STYLEREF 1 \s ">
        <w:r>
          <w:rPr>
            <w:noProof/>
          </w:rPr>
          <w:t>3</w:t>
        </w:r>
      </w:fldSimple>
      <w:r w:rsidRPr="000D502B">
        <w:t>.</w:t>
      </w:r>
      <w:fldSimple w:instr=" SEQ Figure \* ARABIC \s 1 ">
        <w:r>
          <w:rPr>
            <w:noProof/>
          </w:rPr>
          <w:t>7</w:t>
        </w:r>
      </w:fldSimple>
      <w:bookmarkEnd w:id="1457"/>
      <w:r w:rsidRPr="000D502B">
        <w:t xml:space="preserve">: Proportion of </w:t>
      </w:r>
      <w:r>
        <w:t xml:space="preserve">businesses </w:t>
      </w:r>
      <w:r w:rsidRPr="000D502B">
        <w:t>receiving 25 per cent or more of their income from new goods and services, by investment in machinery, equipment or technology, 2014–15</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7418B1B3" w14:textId="77777777" w:rsidR="00D471AD" w:rsidRPr="000D502B" w:rsidRDefault="00D471AD" w:rsidP="00D471AD">
      <w:r>
        <w:rPr>
          <w:noProof/>
          <w:lang w:eastAsia="en-AU"/>
        </w:rPr>
        <w:drawing>
          <wp:inline distT="0" distB="0" distL="0" distR="0" wp14:anchorId="7418C63F" wp14:editId="7418C640">
            <wp:extent cx="2987040" cy="2114550"/>
            <wp:effectExtent l="0" t="0" r="3810" b="0"/>
            <wp:docPr id="66" name="Picture 66" descr="Figure 3.7 shows the proportion of businesses receiving 25 per cent or more of their income from new goods and services by their investment in machinery, equipment or technology, for 2014–15. &#10;19% of businesses that spent 0–25% of their investment on machinery, equipment or technology received 25% or more of their income from innovative sales. &#10;12% of businesses that spent 26–50% of their investment on machinery, equipment or technology received 25% or more of their income from innovative sales. &#10;7% of businesses that spent 51–75% of their investment on machinery, equipment or technology received 25% or more of their income from innovative sales. &#10;10% of businesses that spent 76–100% of their investment on machinery, equipment or technology received 25% or more of their income from innovative sales. " title="Figure 3.7: Proportion of businesses receiving 25 per cent or more of their income from new goods and services, by investment in machinery, equipment or technology,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3642" b="6503"/>
                    <a:stretch/>
                  </pic:blipFill>
                  <pic:spPr bwMode="auto">
                    <a:xfrm>
                      <a:off x="0" y="0"/>
                      <a:ext cx="2987040" cy="2114550"/>
                    </a:xfrm>
                    <a:prstGeom prst="rect">
                      <a:avLst/>
                    </a:prstGeom>
                    <a:noFill/>
                    <a:ln>
                      <a:noFill/>
                    </a:ln>
                    <a:extLst>
                      <a:ext uri="{53640926-AAD7-44D8-BBD7-CCE9431645EC}">
                        <a14:shadowObscured xmlns:a14="http://schemas.microsoft.com/office/drawing/2010/main"/>
                      </a:ext>
                    </a:extLst>
                  </pic:spPr>
                </pic:pic>
              </a:graphicData>
            </a:graphic>
          </wp:inline>
        </w:drawing>
      </w:r>
    </w:p>
    <w:p w14:paraId="7418B1B4" w14:textId="77777777" w:rsidR="00D471AD" w:rsidRDefault="00D471AD" w:rsidP="00D471AD">
      <w:pPr>
        <w:pStyle w:val="Source"/>
        <w:rPr>
          <w:lang w:val="en-AU"/>
        </w:rPr>
      </w:pPr>
      <w:r>
        <w:rPr>
          <w:lang w:val="en-AU"/>
        </w:rPr>
        <w:t>Notes: ‘Tangibles’ means machinery, equipment and technology.</w:t>
      </w:r>
    </w:p>
    <w:p w14:paraId="7418B1B5" w14:textId="77777777" w:rsidR="00D471AD" w:rsidRPr="001729A3" w:rsidRDefault="00D471AD" w:rsidP="00D471AD">
      <w:pPr>
        <w:pStyle w:val="Source"/>
        <w:rPr>
          <w:lang w:val="en-AU"/>
        </w:rPr>
      </w:pPr>
      <w:r w:rsidRPr="001729A3">
        <w:rPr>
          <w:lang w:val="en-AU"/>
        </w:rPr>
        <w:t>Source: Customised ABS data commissioned by the Department of Industry, Innovation and Science</w:t>
      </w:r>
    </w:p>
    <w:p w14:paraId="7418B1B6" w14:textId="77777777" w:rsidR="00D471AD" w:rsidRPr="000D502B" w:rsidRDefault="00D471AD" w:rsidP="00D471AD">
      <w:pPr>
        <w:pStyle w:val="Heading2"/>
      </w:pPr>
      <w:bookmarkStart w:id="1474" w:name="_Ref461114065"/>
      <w:bookmarkStart w:id="1475" w:name="_Toc461174571"/>
      <w:bookmarkStart w:id="1476" w:name="_Toc461180125"/>
      <w:bookmarkStart w:id="1477" w:name="_Toc461180221"/>
      <w:bookmarkStart w:id="1478" w:name="_Toc461180513"/>
      <w:bookmarkStart w:id="1479" w:name="_Toc461180585"/>
      <w:bookmarkStart w:id="1480" w:name="_Toc461180634"/>
      <w:bookmarkStart w:id="1481" w:name="_Toc461183242"/>
      <w:bookmarkStart w:id="1482" w:name="_Toc461183294"/>
      <w:bookmarkStart w:id="1483" w:name="_Toc461183380"/>
      <w:bookmarkStart w:id="1484" w:name="_Toc461183837"/>
      <w:bookmarkStart w:id="1485" w:name="_Toc461184451"/>
      <w:bookmarkStart w:id="1486" w:name="_Toc461184556"/>
      <w:bookmarkStart w:id="1487" w:name="_Toc461186594"/>
      <w:bookmarkStart w:id="1488" w:name="_Toc461186911"/>
      <w:bookmarkStart w:id="1489" w:name="_Toc461187016"/>
      <w:bookmarkStart w:id="1490" w:name="_Toc461187267"/>
      <w:bookmarkStart w:id="1491" w:name="_Toc461198294"/>
      <w:bookmarkStart w:id="1492" w:name="_Toc461198836"/>
      <w:bookmarkStart w:id="1493" w:name="_Toc461204124"/>
      <w:bookmarkStart w:id="1494" w:name="_Toc461527575"/>
      <w:bookmarkStart w:id="1495" w:name="_Toc461624481"/>
      <w:bookmarkStart w:id="1496" w:name="_Toc461629706"/>
      <w:bookmarkStart w:id="1497" w:name="_Toc461633036"/>
      <w:bookmarkStart w:id="1498" w:name="_Toc461634306"/>
      <w:bookmarkStart w:id="1499" w:name="_Toc462230084"/>
      <w:bookmarkStart w:id="1500" w:name="_Toc462231445"/>
      <w:bookmarkStart w:id="1501" w:name="_Toc463013946"/>
      <w:bookmarkStart w:id="1502" w:name="_Toc463014055"/>
      <w:bookmarkStart w:id="1503" w:name="_Toc463014489"/>
      <w:bookmarkStart w:id="1504" w:name="_Toc463877022"/>
      <w:bookmarkStart w:id="1505" w:name="_Toc465862816"/>
      <w:r w:rsidRPr="000D502B">
        <w:t>Research and development in Australia</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7418B1B7" w14:textId="77777777" w:rsidR="00D471AD" w:rsidRPr="001729A3" w:rsidRDefault="00D471AD" w:rsidP="00D471AD">
      <w:pPr>
        <w:pStyle w:val="BodyText"/>
      </w:pPr>
      <w:r w:rsidRPr="001729A3">
        <w:t>R&amp;D plays a crucial role in the technological development and competitiveness of a country. The benefits of R&amp;D come primarily in the form of skills development, the generation of new knowledge and technologies, and the creation of new goods and services. The literature has shown that R&amp;D</w:t>
      </w:r>
      <w:r>
        <w:t>-related activities</w:t>
      </w:r>
      <w:r w:rsidRPr="001729A3">
        <w:t xml:space="preserve"> can explain up to 75 per cent of total factor productivity growth</w:t>
      </w:r>
      <w:r>
        <w:t>,</w:t>
      </w:r>
      <w:r w:rsidRPr="001729A3">
        <w:t xml:space="preserve"> once externalities are considered.</w:t>
      </w:r>
      <w:r w:rsidRPr="001729A3">
        <w:rPr>
          <w:rStyle w:val="EndnoteReference"/>
        </w:rPr>
        <w:endnoteReference w:id="40"/>
      </w:r>
      <w:r w:rsidRPr="001729A3">
        <w:t xml:space="preserve"> The private returns to R&amp;D are generally found to be positive</w:t>
      </w:r>
      <w:r>
        <w:t>,</w:t>
      </w:r>
      <w:r w:rsidRPr="001729A3">
        <w:t xml:space="preserve"> and higher than those for physical capital. International research shows a statistically significant relationship between a business’ investment in </w:t>
      </w:r>
      <w:r>
        <w:t>intellectual property (</w:t>
      </w:r>
      <w:r w:rsidRPr="001729A3">
        <w:t>IP</w:t>
      </w:r>
      <w:r>
        <w:t>)</w:t>
      </w:r>
      <w:r w:rsidRPr="001729A3">
        <w:t xml:space="preserve"> and its performance. In particular, investment in </w:t>
      </w:r>
      <w:r>
        <w:t xml:space="preserve">IP </w:t>
      </w:r>
      <w:r w:rsidRPr="001729A3">
        <w:t xml:space="preserve">and </w:t>
      </w:r>
      <w:r>
        <w:t xml:space="preserve">other forms of </w:t>
      </w:r>
      <w:r w:rsidRPr="001729A3">
        <w:t>intangible capital have been shown to facilitate business growth,</w:t>
      </w:r>
      <w:r w:rsidRPr="001729A3">
        <w:rPr>
          <w:rStyle w:val="EndnoteReference"/>
        </w:rPr>
        <w:endnoteReference w:id="41"/>
      </w:r>
      <w:r w:rsidRPr="001729A3">
        <w:t xml:space="preserve"> and spur productivity improvements.</w:t>
      </w:r>
      <w:r w:rsidRPr="001729A3">
        <w:rPr>
          <w:rStyle w:val="EndnoteReference"/>
        </w:rPr>
        <w:endnoteReference w:id="42"/>
      </w:r>
      <w:r w:rsidRPr="001729A3">
        <w:t xml:space="preserve"> This suggests that innovative businesses conducting R&amp;D may reap greater rewards than innovative businesses that don’t perform R&amp;D.</w:t>
      </w:r>
      <w:r w:rsidRPr="001729A3">
        <w:rPr>
          <w:rStyle w:val="FootnoteReference"/>
        </w:rPr>
        <w:footnoteReference w:id="7"/>
      </w:r>
      <w:r w:rsidRPr="001729A3">
        <w:t xml:space="preserve"> </w:t>
      </w:r>
    </w:p>
    <w:p w14:paraId="7418B1B8" w14:textId="77777777" w:rsidR="00D471AD" w:rsidRPr="00100292" w:rsidRDefault="00D471AD" w:rsidP="00D471AD">
      <w:pPr>
        <w:pStyle w:val="heading3new"/>
      </w:pPr>
      <w:bookmarkStart w:id="1506" w:name="_Toc461198295"/>
      <w:bookmarkStart w:id="1507" w:name="_Toc461198837"/>
      <w:bookmarkStart w:id="1508" w:name="_Toc461204125"/>
      <w:bookmarkStart w:id="1509" w:name="_Toc461527576"/>
      <w:bookmarkStart w:id="1510" w:name="_Toc461624482"/>
      <w:bookmarkStart w:id="1511" w:name="_Toc461629707"/>
      <w:bookmarkStart w:id="1512" w:name="_Toc461633037"/>
      <w:bookmarkStart w:id="1513" w:name="_Toc461634307"/>
      <w:bookmarkStart w:id="1514" w:name="_Toc462230085"/>
      <w:bookmarkStart w:id="1515" w:name="_Toc462231446"/>
      <w:bookmarkStart w:id="1516" w:name="_Toc463013947"/>
      <w:bookmarkStart w:id="1517" w:name="_Toc463014056"/>
      <w:bookmarkStart w:id="1518" w:name="_Toc463014490"/>
      <w:bookmarkStart w:id="1519" w:name="_Toc463877023"/>
      <w:bookmarkStart w:id="1520" w:name="_Toc465862817"/>
      <w:r w:rsidRPr="00100292">
        <w:t>The impact of R&amp;D on innovation activity</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14:paraId="7418B1B9" w14:textId="77777777" w:rsidR="00D471AD" w:rsidRPr="000D502B" w:rsidRDefault="00D471AD" w:rsidP="00D471AD">
      <w:pPr>
        <w:pStyle w:val="BodyText"/>
      </w:pPr>
      <w:r>
        <w:t xml:space="preserve">Businesses </w:t>
      </w:r>
      <w:r w:rsidRPr="000D502B">
        <w:t>that undertake R&amp;D in Australia are almost always innovation-active (</w:t>
      </w:r>
      <w:r w:rsidRPr="00660104">
        <w:fldChar w:fldCharType="begin"/>
      </w:r>
      <w:r w:rsidRPr="00660104">
        <w:instrText xml:space="preserve"> REF _Ref461116222 \h </w:instrText>
      </w:r>
      <w:r>
        <w:instrText xml:space="preserve"> \* MERGEFORMAT </w:instrText>
      </w:r>
      <w:r w:rsidRPr="00660104">
        <w:fldChar w:fldCharType="separate"/>
      </w:r>
      <w:r w:rsidRPr="000D502B">
        <w:t xml:space="preserve">Figure </w:t>
      </w:r>
      <w:r>
        <w:rPr>
          <w:noProof/>
        </w:rPr>
        <w:t>3</w:t>
      </w:r>
      <w:r w:rsidRPr="000D502B">
        <w:rPr>
          <w:noProof/>
        </w:rPr>
        <w:t>.</w:t>
      </w:r>
      <w:r>
        <w:rPr>
          <w:noProof/>
        </w:rPr>
        <w:t>8</w:t>
      </w:r>
      <w:r w:rsidRPr="00660104">
        <w:fldChar w:fldCharType="end"/>
      </w:r>
      <w:r>
        <w:t xml:space="preserve"> </w:t>
      </w:r>
      <w:r w:rsidRPr="000D502B">
        <w:t xml:space="preserve">and </w:t>
      </w:r>
      <w:r w:rsidRPr="00660104">
        <w:fldChar w:fldCharType="begin"/>
      </w:r>
      <w:r w:rsidRPr="00660104">
        <w:instrText xml:space="preserve"> REF _Ref461116233 \h </w:instrText>
      </w:r>
      <w:r>
        <w:instrText xml:space="preserve"> \* MERGEFORMAT </w:instrText>
      </w:r>
      <w:r w:rsidRPr="00660104">
        <w:fldChar w:fldCharType="separate"/>
      </w:r>
      <w:r w:rsidRPr="000D502B">
        <w:t xml:space="preserve">Figure </w:t>
      </w:r>
      <w:r>
        <w:rPr>
          <w:noProof/>
        </w:rPr>
        <w:t>3</w:t>
      </w:r>
      <w:r w:rsidRPr="000D502B">
        <w:rPr>
          <w:noProof/>
        </w:rPr>
        <w:t>.</w:t>
      </w:r>
      <w:r>
        <w:rPr>
          <w:noProof/>
        </w:rPr>
        <w:t>9</w:t>
      </w:r>
      <w:r w:rsidRPr="00660104">
        <w:fldChar w:fldCharType="end"/>
      </w:r>
      <w:r w:rsidRPr="00660104">
        <w:t>).</w:t>
      </w:r>
      <w:r w:rsidRPr="000D502B">
        <w:t xml:space="preserve"> Across the OECD, 94 per cent of </w:t>
      </w:r>
      <w:r>
        <w:t xml:space="preserve">businesses </w:t>
      </w:r>
      <w:r w:rsidRPr="000D502B">
        <w:t xml:space="preserve">doing R&amp;D are innovation-active, compared to only 35 per cent of </w:t>
      </w:r>
      <w:r>
        <w:t xml:space="preserve">businesses </w:t>
      </w:r>
      <w:r w:rsidRPr="000D502B">
        <w:t>that don’t perform R&amp;D</w:t>
      </w:r>
      <w:r>
        <w:t xml:space="preserve"> (</w:t>
      </w:r>
      <w:r w:rsidRPr="000D502B">
        <w:t>on average</w:t>
      </w:r>
      <w:r>
        <w:t>)</w:t>
      </w:r>
      <w:r w:rsidRPr="00660104">
        <w:t>.</w:t>
      </w:r>
    </w:p>
    <w:p w14:paraId="7418B1BA" w14:textId="77777777" w:rsidR="00D471AD" w:rsidRPr="000D502B" w:rsidRDefault="00D471AD" w:rsidP="00D471AD">
      <w:pPr>
        <w:pStyle w:val="Caption"/>
        <w:spacing w:before="113"/>
      </w:pPr>
      <w:bookmarkStart w:id="1521" w:name="_Ref461116222"/>
      <w:bookmarkStart w:id="1522" w:name="_Toc461198238"/>
      <w:bookmarkStart w:id="1523" w:name="_Toc461198780"/>
      <w:bookmarkStart w:id="1524" w:name="_Toc461204068"/>
      <w:bookmarkStart w:id="1525" w:name="_Toc461527510"/>
      <w:bookmarkStart w:id="1526" w:name="_Toc461539545"/>
      <w:bookmarkStart w:id="1527" w:name="_Toc461541662"/>
      <w:bookmarkStart w:id="1528" w:name="_Toc461545417"/>
      <w:bookmarkStart w:id="1529" w:name="_Toc461624413"/>
      <w:bookmarkStart w:id="1530" w:name="_Toc461629638"/>
      <w:bookmarkStart w:id="1531" w:name="_Toc461632968"/>
      <w:bookmarkStart w:id="1532" w:name="_Toc461634238"/>
      <w:bookmarkStart w:id="1533" w:name="_Toc463013889"/>
      <w:bookmarkStart w:id="1534" w:name="_Toc463013998"/>
      <w:bookmarkStart w:id="1535" w:name="_Toc463014432"/>
      <w:bookmarkStart w:id="1536" w:name="_Toc463877072"/>
      <w:bookmarkStart w:id="1537" w:name="_Toc465864584"/>
      <w:r w:rsidRPr="000D502B">
        <w:t xml:space="preserve">Figure </w:t>
      </w:r>
      <w:fldSimple w:instr=" STYLEREF 1 \s ">
        <w:r>
          <w:rPr>
            <w:noProof/>
          </w:rPr>
          <w:t>3</w:t>
        </w:r>
      </w:fldSimple>
      <w:r w:rsidRPr="000D502B">
        <w:t>.</w:t>
      </w:r>
      <w:fldSimple w:instr=" SEQ Figure \* ARABIC \s 1 ">
        <w:r>
          <w:rPr>
            <w:noProof/>
          </w:rPr>
          <w:t>8</w:t>
        </w:r>
      </w:fldSimple>
      <w:bookmarkEnd w:id="1521"/>
      <w:r w:rsidRPr="000D502B">
        <w:t xml:space="preserve">: Innovation-active </w:t>
      </w:r>
      <w:r>
        <w:t>businesses</w:t>
      </w:r>
      <w:r w:rsidRPr="000D502B">
        <w:t xml:space="preserve">, as a percentage of total R&amp;D-active </w:t>
      </w:r>
      <w:r>
        <w:t>businesses</w:t>
      </w:r>
      <w:r w:rsidRPr="000D502B">
        <w:t>, 2010</w:t>
      </w:r>
      <w:r>
        <w:t>–</w:t>
      </w:r>
      <w:r w:rsidRPr="000D502B">
        <w:t>12</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7418B1BB" w14:textId="77777777" w:rsidR="00D471AD" w:rsidRPr="001729A3" w:rsidRDefault="00D471AD" w:rsidP="00D471AD">
      <w:pPr>
        <w:pStyle w:val="Note"/>
        <w:rPr>
          <w:lang w:val="en-AU"/>
        </w:rPr>
      </w:pPr>
      <w:r>
        <w:rPr>
          <w:noProof/>
          <w:lang w:val="en-AU" w:eastAsia="en-AU"/>
        </w:rPr>
        <w:drawing>
          <wp:inline distT="0" distB="0" distL="0" distR="0" wp14:anchorId="7418C641" wp14:editId="7418C642">
            <wp:extent cx="3005455" cy="2207260"/>
            <wp:effectExtent l="0" t="0" r="4445" b="2540"/>
            <wp:docPr id="32" name="Picture 32" descr="Figure 3.8 shows international comparisons of the number of innovation-active businesses, as a percentage of total R&amp;D active businesses, for 2010–12. Australia’s proportion is 99 per cent, compared to an OECD average of 94 per cent and an OECD top five average of 99 per cent." title="Figure 3.8: Innovation-active businesses, as a percentage of total R&amp;D-active businesses,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05455" cy="2207260"/>
                    </a:xfrm>
                    <a:prstGeom prst="rect">
                      <a:avLst/>
                    </a:prstGeom>
                    <a:noFill/>
                  </pic:spPr>
                </pic:pic>
              </a:graphicData>
            </a:graphic>
          </wp:inline>
        </w:drawing>
      </w:r>
    </w:p>
    <w:p w14:paraId="7418B1BC" w14:textId="77777777" w:rsidR="00D471AD" w:rsidRPr="001729A3" w:rsidRDefault="00D471AD" w:rsidP="00D471AD">
      <w:pPr>
        <w:pStyle w:val="Note"/>
        <w:rPr>
          <w:lang w:val="en-AU"/>
        </w:rPr>
      </w:pPr>
      <w:r w:rsidRPr="001729A3">
        <w:rPr>
          <w:lang w:val="en-AU"/>
        </w:rPr>
        <w:t xml:space="preserve">Notes: OECD comparisons exclude businesses with </w:t>
      </w:r>
      <w:r>
        <w:rPr>
          <w:lang w:val="en-AU"/>
        </w:rPr>
        <w:t>fewer</w:t>
      </w:r>
      <w:r w:rsidRPr="001729A3">
        <w:rPr>
          <w:lang w:val="en-AU"/>
        </w:rPr>
        <w:t xml:space="preserve"> than ten employees. Industry core coverage includes ISIC Rev. 4 Sections and Divisions B, C, D, E, G46, H, J, K, M71-72 and 73. Australian data is for 2012-13.</w:t>
      </w:r>
      <w:r>
        <w:rPr>
          <w:lang w:val="en-GB"/>
        </w:rPr>
        <w:t xml:space="preserve"> The OECD top five countries are Japan, Slovakia, Australia, Switzerland and Austria.</w:t>
      </w:r>
    </w:p>
    <w:p w14:paraId="7418B1BD" w14:textId="77777777" w:rsidR="00D471AD" w:rsidRPr="001729A3" w:rsidRDefault="00D471AD" w:rsidP="00D471AD">
      <w:pPr>
        <w:pStyle w:val="Source"/>
        <w:rPr>
          <w:lang w:val="en-AU"/>
        </w:rPr>
      </w:pPr>
      <w:r w:rsidRPr="001729A3">
        <w:rPr>
          <w:lang w:val="en-AU"/>
        </w:rPr>
        <w:t xml:space="preserve">Source: OECD (2015) </w:t>
      </w:r>
      <w:r w:rsidRPr="00BA45A5">
        <w:rPr>
          <w:i/>
          <w:lang w:val="en-AU"/>
        </w:rPr>
        <w:t>Innovation indicators database</w:t>
      </w:r>
      <w:r>
        <w:rPr>
          <w:i/>
          <w:lang w:val="en-AU"/>
        </w:rPr>
        <w:t xml:space="preserve">, </w:t>
      </w:r>
      <w:hyperlink r:id="rId113" w:tooltip="www.oecd.org/innovation/inno/inno-stats.htm" w:history="1">
        <w:r w:rsidRPr="001729A3">
          <w:rPr>
            <w:rStyle w:val="Hyperlink"/>
            <w:lang w:val="en-AU"/>
          </w:rPr>
          <w:t>www.oecd.org/innovation/inno/inno-stats.htm</w:t>
        </w:r>
      </w:hyperlink>
    </w:p>
    <w:p w14:paraId="7418B1BE" w14:textId="77777777" w:rsidR="00D471AD" w:rsidRPr="000D502B" w:rsidRDefault="00D471AD" w:rsidP="00D471AD">
      <w:pPr>
        <w:pStyle w:val="ListNumber"/>
        <w:jc w:val="both"/>
      </w:pPr>
    </w:p>
    <w:p w14:paraId="7418B1BF" w14:textId="77777777" w:rsidR="00D471AD" w:rsidRPr="000D502B" w:rsidRDefault="00D471AD" w:rsidP="00D471AD">
      <w:pPr>
        <w:pStyle w:val="Caption"/>
      </w:pPr>
      <w:r w:rsidRPr="000D502B">
        <w:t xml:space="preserve">Definition </w:t>
      </w:r>
      <w:fldSimple w:instr=" STYLEREF 1 \s ">
        <w:r>
          <w:rPr>
            <w:noProof/>
          </w:rPr>
          <w:t>3</w:t>
        </w:r>
      </w:fldSimple>
      <w:r w:rsidRPr="000D502B">
        <w:t>.</w:t>
      </w:r>
      <w:fldSimple w:instr=" SEQ Definition \* ARABIC \s 1 ">
        <w:r>
          <w:rPr>
            <w:noProof/>
          </w:rPr>
          <w:t>3</w:t>
        </w:r>
      </w:fldSimple>
      <w:r w:rsidRPr="000D502B">
        <w:t>: R&amp;D and R&amp;D Intensity</w:t>
      </w:r>
    </w:p>
    <w:tbl>
      <w:tblPr>
        <w:tblStyle w:val="OCETable"/>
        <w:tblW w:w="5000" w:type="pct"/>
        <w:tblInd w:w="57" w:type="dxa"/>
        <w:tblLayout w:type="fixed"/>
        <w:tblLook w:val="04A0" w:firstRow="1" w:lastRow="0" w:firstColumn="1" w:lastColumn="0" w:noHBand="0" w:noVBand="1"/>
        <w:tblCaption w:val="R&amp;D and R&amp;D Intensity"/>
        <w:tblDescription w:val="R&amp;D comprises creative and systematic work to increase the stock of knowledge—including knowledge of humankind, culture and society—and to devise new applications of available knowledge.&#10;The term R&amp;D includes three types of activity: basic research, applied research and experimental development. &#10;Basic research is experimental or theoretical work undertaken to acquire new knowledge of the underlying foundations of phenomena and observable facts, without any particular application or use in view.&#10;Applied research is original investigation to acquire new knowledge. It is, however, directed primarily towards a specific, practical aim or objective. &#10;Experimental development is systematic work, drawing on knowledge gained from research and practical experience and producing additional knowledge, which is directed to producing new products or processes, or to improving existing products or processes. &#10;R&amp;D intensity is commonly defined as the ratio of R&amp;D expenditure to an output measure, usually gross value added (GVA) or gross output (GO), and occasionally employment. This indicator is commonly used at the level of an economy to measure its relative R&amp;D effort (gross expenditure on research and development (GERD) divided by GDP) or its sector (business expenditure on R&amp;D (BERD) over GDP or a more closely aligned measure of GVA for the industry sector).&#10;Source: Frascati Manual (2015) ; Galindo-Rueda and Verger (2016). &#10;"/>
      </w:tblPr>
      <w:tblGrid>
        <w:gridCol w:w="4593"/>
      </w:tblGrid>
      <w:tr w:rsidR="00D471AD" w:rsidRPr="000D502B" w14:paraId="7418B1C7"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Mar>
              <w:left w:w="0" w:type="dxa"/>
              <w:right w:w="0" w:type="dxa"/>
            </w:tcMar>
          </w:tcPr>
          <w:p w14:paraId="7418B1C0" w14:textId="77777777" w:rsidR="00D471AD" w:rsidRPr="00882E31" w:rsidRDefault="00D471AD" w:rsidP="004A31A9">
            <w:pPr>
              <w:pStyle w:val="Definitiontext"/>
              <w:rPr>
                <w:lang w:val="en-AU"/>
              </w:rPr>
            </w:pPr>
            <w:r w:rsidRPr="00882E31">
              <w:rPr>
                <w:lang w:val="en-AU"/>
              </w:rPr>
              <w:t>R&amp;D comprises creative and systematic work to increase the stock of knowledge—including knowledge of humankind, culture and society—and to devise new applications of available knowledge.</w:t>
            </w:r>
          </w:p>
          <w:p w14:paraId="7418B1C1" w14:textId="77777777" w:rsidR="00D471AD" w:rsidRPr="00882E31" w:rsidRDefault="00D471AD" w:rsidP="004A31A9">
            <w:pPr>
              <w:pStyle w:val="Definitiontext"/>
              <w:rPr>
                <w:lang w:val="en-AU"/>
              </w:rPr>
            </w:pPr>
            <w:r w:rsidRPr="00882E31">
              <w:rPr>
                <w:lang w:val="en-AU"/>
              </w:rPr>
              <w:t xml:space="preserve">The term R&amp;D includes three types of activity: basic research, applied research and experimental development. </w:t>
            </w:r>
          </w:p>
          <w:p w14:paraId="7418B1C2" w14:textId="77777777" w:rsidR="00D471AD" w:rsidRPr="00882E31" w:rsidRDefault="00D471AD" w:rsidP="004A31A9">
            <w:pPr>
              <w:pStyle w:val="Definitiontext"/>
              <w:rPr>
                <w:lang w:val="en-AU"/>
              </w:rPr>
            </w:pPr>
            <w:r w:rsidRPr="00882E31">
              <w:rPr>
                <w:lang w:val="en-AU"/>
              </w:rPr>
              <w:t>Basic research is experimental or theoretical work undertaken to acquire new knowledge of the underlying foundations of phenomena and observable facts, without any particular application or use in view.</w:t>
            </w:r>
          </w:p>
          <w:p w14:paraId="7418B1C3" w14:textId="77777777" w:rsidR="00D471AD" w:rsidRPr="00882E31" w:rsidRDefault="00D471AD" w:rsidP="004A31A9">
            <w:pPr>
              <w:pStyle w:val="Definitiontext"/>
              <w:rPr>
                <w:lang w:val="en-AU"/>
              </w:rPr>
            </w:pPr>
            <w:r w:rsidRPr="00882E31">
              <w:rPr>
                <w:lang w:val="en-AU"/>
              </w:rPr>
              <w:t xml:space="preserve">Applied research is original investigation to acquire new knowledge. It is, however, directed primarily towards a specific, practical aim or objective. </w:t>
            </w:r>
          </w:p>
          <w:p w14:paraId="7418B1C4" w14:textId="77777777" w:rsidR="00D471AD" w:rsidRPr="00882E31" w:rsidRDefault="00D471AD" w:rsidP="004A31A9">
            <w:pPr>
              <w:pStyle w:val="Definitiontext"/>
              <w:rPr>
                <w:lang w:val="en-AU"/>
              </w:rPr>
            </w:pPr>
            <w:r w:rsidRPr="00882E31">
              <w:rPr>
                <w:lang w:val="en-AU"/>
              </w:rPr>
              <w:t>Experimental development is systematic work, drawing on knowledge gained from research and practical experience and producing additional knowledge, which is directed to producing new products or processes</w:t>
            </w:r>
            <w:r w:rsidRPr="00882E31">
              <w:rPr>
                <w:i/>
                <w:lang w:val="en-AU"/>
              </w:rPr>
              <w:t>,</w:t>
            </w:r>
            <w:r w:rsidRPr="00882E31">
              <w:rPr>
                <w:lang w:val="en-AU"/>
              </w:rPr>
              <w:t xml:space="preserve"> or to improving existing products or processes. </w:t>
            </w:r>
          </w:p>
          <w:p w14:paraId="7418B1C5" w14:textId="77777777" w:rsidR="00D471AD" w:rsidRPr="00882E31" w:rsidRDefault="00D471AD" w:rsidP="004A31A9">
            <w:pPr>
              <w:pStyle w:val="Definitiontext"/>
              <w:rPr>
                <w:lang w:val="en-AU"/>
              </w:rPr>
            </w:pPr>
            <w:r w:rsidRPr="00882E31">
              <w:rPr>
                <w:lang w:val="en-AU"/>
              </w:rPr>
              <w:t>R&amp;D intensity is commonly defined as the ratio of R&amp;D expenditure to an output measure, usually gross value added (GVA) or gross output (GO)</w:t>
            </w:r>
            <w:r w:rsidRPr="00882E31">
              <w:rPr>
                <w:i/>
                <w:lang w:val="en-AU"/>
              </w:rPr>
              <w:t>,</w:t>
            </w:r>
            <w:r w:rsidRPr="00882E31">
              <w:rPr>
                <w:lang w:val="en-AU"/>
              </w:rPr>
              <w:t xml:space="preserve"> and occasionally employment. This indicator is commonly used at the level of an economy to measure its relative R&amp;D effort (gross expenditure on research and development (GERD) divided by GDP) or its sector (business expenditure on R&amp;D (BERD) over GDP or a more closely aligned measure of GVA for the industry sector).</w:t>
            </w:r>
          </w:p>
          <w:p w14:paraId="7418B1C6" w14:textId="77777777" w:rsidR="00D471AD" w:rsidRPr="001729A3" w:rsidRDefault="00D471AD" w:rsidP="004A31A9">
            <w:pPr>
              <w:pStyle w:val="Definitiontext"/>
              <w:spacing w:after="113"/>
              <w:rPr>
                <w:lang w:val="en-AU"/>
              </w:rPr>
            </w:pPr>
            <w:r w:rsidRPr="00882E31">
              <w:rPr>
                <w:lang w:val="en-AU"/>
              </w:rPr>
              <w:t>Source: Frascati Manual (2015)</w:t>
            </w:r>
            <w:r w:rsidRPr="00882E31">
              <w:rPr>
                <w:rStyle w:val="EndnoteReference"/>
                <w:lang w:val="en-AU"/>
              </w:rPr>
              <w:endnoteReference w:id="43"/>
            </w:r>
            <w:r w:rsidRPr="00882E31">
              <w:rPr>
                <w:lang w:val="en-AU"/>
              </w:rPr>
              <w:t>; Galindo-Rueda and Verger (2016).</w:t>
            </w:r>
            <w:r w:rsidRPr="00882E31">
              <w:rPr>
                <w:rStyle w:val="EndnoteReference"/>
                <w:lang w:val="en-AU"/>
              </w:rPr>
              <w:endnoteReference w:id="44"/>
            </w:r>
          </w:p>
        </w:tc>
      </w:tr>
    </w:tbl>
    <w:p w14:paraId="7418B1C8" w14:textId="77777777" w:rsidR="00D471AD" w:rsidRPr="000D502B" w:rsidRDefault="00D471AD" w:rsidP="00D471AD">
      <w:pPr>
        <w:pStyle w:val="Caption"/>
      </w:pPr>
      <w:bookmarkStart w:id="1538" w:name="_Toc461174572"/>
      <w:bookmarkStart w:id="1539" w:name="_Toc461180126"/>
      <w:bookmarkStart w:id="1540" w:name="_Toc461180222"/>
      <w:bookmarkStart w:id="1541" w:name="_Toc461180514"/>
      <w:bookmarkStart w:id="1542" w:name="_Toc461180586"/>
      <w:bookmarkStart w:id="1543" w:name="_Toc461180635"/>
      <w:bookmarkStart w:id="1544" w:name="_Toc461183243"/>
      <w:bookmarkStart w:id="1545" w:name="_Toc461183295"/>
      <w:bookmarkStart w:id="1546" w:name="_Toc461183381"/>
      <w:bookmarkStart w:id="1547" w:name="_Toc461183838"/>
      <w:bookmarkStart w:id="1548" w:name="_Toc461184452"/>
      <w:bookmarkStart w:id="1549" w:name="_Toc461184557"/>
      <w:bookmarkStart w:id="1550" w:name="_Toc461186595"/>
      <w:bookmarkStart w:id="1551" w:name="_Toc461186912"/>
      <w:bookmarkStart w:id="1552" w:name="_Toc461187017"/>
      <w:bookmarkStart w:id="1553" w:name="_Toc461187268"/>
      <w:r w:rsidRPr="000D502B">
        <w:rPr>
          <w:i/>
        </w:rPr>
        <w:br w:type="column"/>
      </w:r>
      <w:bookmarkStart w:id="1554" w:name="_Ref461116233"/>
      <w:bookmarkStart w:id="1555" w:name="_Toc461198239"/>
      <w:bookmarkStart w:id="1556" w:name="_Toc461198781"/>
      <w:bookmarkStart w:id="1557" w:name="_Toc461204069"/>
      <w:bookmarkStart w:id="1558" w:name="_Toc461527511"/>
      <w:bookmarkStart w:id="1559" w:name="_Toc461539546"/>
      <w:bookmarkStart w:id="1560" w:name="_Toc461541663"/>
      <w:bookmarkStart w:id="1561" w:name="_Toc461545418"/>
      <w:bookmarkStart w:id="1562" w:name="_Toc461624414"/>
      <w:bookmarkStart w:id="1563" w:name="_Toc461629639"/>
      <w:bookmarkStart w:id="1564" w:name="_Toc461632969"/>
      <w:bookmarkStart w:id="1565" w:name="_Toc461634239"/>
      <w:bookmarkStart w:id="1566" w:name="_Toc463013890"/>
      <w:bookmarkStart w:id="1567" w:name="_Toc463013999"/>
      <w:bookmarkStart w:id="1568" w:name="_Toc463014433"/>
      <w:bookmarkStart w:id="1569" w:name="_Toc463877073"/>
      <w:bookmarkStart w:id="1570" w:name="_Toc465864585"/>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sidRPr="000D502B">
        <w:t xml:space="preserve">Figure </w:t>
      </w:r>
      <w:fldSimple w:instr=" STYLEREF 1 \s ">
        <w:r>
          <w:rPr>
            <w:noProof/>
          </w:rPr>
          <w:t>3</w:t>
        </w:r>
      </w:fldSimple>
      <w:r w:rsidRPr="000D502B">
        <w:t>.</w:t>
      </w:r>
      <w:fldSimple w:instr=" SEQ Figure \* ARABIC \s 1 ">
        <w:r>
          <w:rPr>
            <w:noProof/>
          </w:rPr>
          <w:t>9</w:t>
        </w:r>
      </w:fldSimple>
      <w:bookmarkEnd w:id="1554"/>
      <w:r w:rsidRPr="000D502B">
        <w:t xml:space="preserve">: Innovation-active </w:t>
      </w:r>
      <w:r>
        <w:t>businesses</w:t>
      </w:r>
      <w:r w:rsidRPr="000D502B">
        <w:t xml:space="preserve">, as a percentage of total </w:t>
      </w:r>
      <w:r>
        <w:t xml:space="preserve">businesses </w:t>
      </w:r>
      <w:r w:rsidRPr="000D502B">
        <w:t>with no R&amp;D, 2010</w:t>
      </w:r>
      <w:r>
        <w:t>–</w:t>
      </w:r>
      <w:r w:rsidRPr="000D502B">
        <w:t>12</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14:paraId="7418B1C9" w14:textId="77777777" w:rsidR="00D471AD" w:rsidRPr="001729A3" w:rsidRDefault="00D471AD" w:rsidP="00D471AD">
      <w:pPr>
        <w:pStyle w:val="Note"/>
        <w:rPr>
          <w:lang w:val="en-AU"/>
        </w:rPr>
      </w:pPr>
      <w:r>
        <w:rPr>
          <w:noProof/>
          <w:lang w:val="en-AU" w:eastAsia="en-AU"/>
        </w:rPr>
        <w:drawing>
          <wp:inline distT="0" distB="0" distL="0" distR="0" wp14:anchorId="7418C643" wp14:editId="7418C644">
            <wp:extent cx="2987040" cy="2212975"/>
            <wp:effectExtent l="0" t="0" r="3810" b="0"/>
            <wp:docPr id="42" name="Picture 42" descr="Figure 3.9 shows international comparisons of the number of innovation-active businesses, as a percentage of total businesses with no R&amp;D, for 2010–12. Australia’s proportion is 53 per cent, compared to an OECD average of 34 per cent and an OECD top five average of 50 per cent." title="Figure 3.9: Innovation-active businesses, as a percentage of total businesses with no R&amp;D,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87040" cy="2212975"/>
                    </a:xfrm>
                    <a:prstGeom prst="rect">
                      <a:avLst/>
                    </a:prstGeom>
                    <a:noFill/>
                  </pic:spPr>
                </pic:pic>
              </a:graphicData>
            </a:graphic>
          </wp:inline>
        </w:drawing>
      </w:r>
    </w:p>
    <w:p w14:paraId="7418B1CA" w14:textId="77777777" w:rsidR="00D471AD" w:rsidRPr="001729A3" w:rsidRDefault="00D471AD" w:rsidP="00D471AD">
      <w:pPr>
        <w:pStyle w:val="Note"/>
        <w:rPr>
          <w:lang w:val="en-AU"/>
        </w:rPr>
      </w:pPr>
      <w:r w:rsidRPr="001729A3">
        <w:rPr>
          <w:lang w:val="en-AU"/>
        </w:rPr>
        <w:t xml:space="preserve">Notes: OECD comparisons exclude businesses with </w:t>
      </w:r>
      <w:r>
        <w:rPr>
          <w:lang w:val="en-AU"/>
        </w:rPr>
        <w:t>fewer</w:t>
      </w:r>
      <w:r w:rsidRPr="001729A3">
        <w:rPr>
          <w:lang w:val="en-AU"/>
        </w:rPr>
        <w:t xml:space="preserve"> than ten employees. Industry core coverage includes ISIC Rev. 4 Sections and Divisions B, C, D, E, G46, H, J, K, M71-72 and 73. Australian data is for 2012-13.</w:t>
      </w:r>
      <w:r>
        <w:rPr>
          <w:lang w:val="en-GB"/>
        </w:rPr>
        <w:t xml:space="preserve"> The OECD top five countries are Switzerland, Australia, Germany, Italy and Greece.</w:t>
      </w:r>
    </w:p>
    <w:p w14:paraId="7418B1CB" w14:textId="77777777" w:rsidR="00D471AD" w:rsidRPr="001729A3" w:rsidRDefault="00D471AD" w:rsidP="00D471AD">
      <w:pPr>
        <w:pStyle w:val="Note"/>
        <w:rPr>
          <w:lang w:val="en-AU"/>
        </w:rPr>
      </w:pPr>
      <w:r w:rsidRPr="001729A3">
        <w:rPr>
          <w:lang w:val="en-AU"/>
        </w:rPr>
        <w:t xml:space="preserve">Source: OECD (2015) </w:t>
      </w:r>
      <w:r w:rsidRPr="00BA45A5">
        <w:rPr>
          <w:i/>
          <w:lang w:val="en-AU"/>
        </w:rPr>
        <w:t>Innovation statistics and indicators</w:t>
      </w:r>
      <w:r w:rsidRPr="001729A3">
        <w:rPr>
          <w:lang w:val="en-AU"/>
        </w:rPr>
        <w:t xml:space="preserve">, </w:t>
      </w:r>
      <w:hyperlink r:id="rId115" w:tooltip="www.oecd.org/innovation/inno/inno-stats.htm" w:history="1">
        <w:r w:rsidRPr="001729A3">
          <w:rPr>
            <w:rStyle w:val="Hyperlink"/>
            <w:lang w:val="en-AU"/>
          </w:rPr>
          <w:t>www.oecd.org/innovation/inno/inno-stats.htm</w:t>
        </w:r>
      </w:hyperlink>
    </w:p>
    <w:p w14:paraId="7418B1CC" w14:textId="77777777" w:rsidR="00D471AD" w:rsidRPr="000D502B" w:rsidRDefault="00D471AD" w:rsidP="00D471AD">
      <w:pPr>
        <w:pStyle w:val="BodyText"/>
      </w:pPr>
      <w:r w:rsidRPr="000D502B">
        <w:t xml:space="preserve">R&amp;D-active Australian </w:t>
      </w:r>
      <w:r>
        <w:t xml:space="preserve">businesses </w:t>
      </w:r>
      <w:r w:rsidRPr="000D502B">
        <w:t>are three times more likely to introduce new</w:t>
      </w:r>
      <w:r>
        <w:t>-</w:t>
      </w:r>
      <w:r w:rsidRPr="000D502B">
        <w:t>to</w:t>
      </w:r>
      <w:r>
        <w:t>-</w:t>
      </w:r>
      <w:r w:rsidRPr="000D502B">
        <w:t>market goods and service innovations (24</w:t>
      </w:r>
      <w:r>
        <w:t> </w:t>
      </w:r>
      <w:r w:rsidRPr="000D502B">
        <w:t>per cent) than non</w:t>
      </w:r>
      <w:r>
        <w:t>-</w:t>
      </w:r>
      <w:r w:rsidRPr="000D502B">
        <w:t xml:space="preserve">R&amp;D-active </w:t>
      </w:r>
      <w:r>
        <w:t xml:space="preserve">businesses </w:t>
      </w:r>
      <w:r w:rsidRPr="000D502B">
        <w:t>(</w:t>
      </w:r>
      <w:r>
        <w:t>seven</w:t>
      </w:r>
      <w:r w:rsidRPr="00660104">
        <w:t> per</w:t>
      </w:r>
      <w:r>
        <w:t xml:space="preserve"> </w:t>
      </w:r>
      <w:r w:rsidRPr="00660104">
        <w:t>cent</w:t>
      </w:r>
      <w:r w:rsidRPr="000D502B">
        <w:t xml:space="preserve">). Australia has a relatively low proportion of </w:t>
      </w:r>
      <w:r>
        <w:t xml:space="preserve">businesses </w:t>
      </w:r>
      <w:r w:rsidRPr="000D502B">
        <w:t xml:space="preserve">introducing product or process </w:t>
      </w:r>
      <w:r w:rsidRPr="00726B31">
        <w:t>innovations</w:t>
      </w:r>
      <w:r w:rsidRPr="000D502B">
        <w:t xml:space="preserve"> that are R&amp;D active </w:t>
      </w:r>
      <w:r w:rsidRPr="00726B31">
        <w:t>(</w:t>
      </w:r>
      <w:r w:rsidRPr="00726B31">
        <w:fldChar w:fldCharType="begin"/>
      </w:r>
      <w:r w:rsidRPr="00726B31">
        <w:instrText xml:space="preserve"> REF _Ref461116361 \h  \* MERGEFORMAT </w:instrText>
      </w:r>
      <w:r w:rsidRPr="00726B31">
        <w:fldChar w:fldCharType="separate"/>
      </w:r>
      <w:r w:rsidRPr="000D502B">
        <w:t xml:space="preserve">Figure </w:t>
      </w:r>
      <w:r>
        <w:t>3</w:t>
      </w:r>
      <w:r w:rsidRPr="000D502B">
        <w:t>.</w:t>
      </w:r>
      <w:r>
        <w:t>10</w:t>
      </w:r>
      <w:r w:rsidRPr="00726B31">
        <w:fldChar w:fldCharType="end"/>
      </w:r>
      <w:r w:rsidRPr="00726B31">
        <w:t xml:space="preserve">). Australia ranks last on this measure relative to </w:t>
      </w:r>
      <w:r>
        <w:t>28</w:t>
      </w:r>
      <w:r w:rsidRPr="00726B31">
        <w:t xml:space="preserve"> OECD countries</w:t>
      </w:r>
      <w:r w:rsidRPr="000D502B">
        <w:t>.</w:t>
      </w:r>
    </w:p>
    <w:p w14:paraId="7418B1CD" w14:textId="77777777" w:rsidR="00D471AD" w:rsidRPr="000D502B" w:rsidRDefault="00D471AD" w:rsidP="00D471AD">
      <w:pPr>
        <w:pStyle w:val="Caption"/>
        <w:spacing w:before="120"/>
      </w:pPr>
      <w:bookmarkStart w:id="1571" w:name="_Ref461116361"/>
      <w:bookmarkStart w:id="1572" w:name="_Toc461198240"/>
      <w:bookmarkStart w:id="1573" w:name="_Toc461198782"/>
      <w:bookmarkStart w:id="1574" w:name="_Toc461204070"/>
      <w:bookmarkStart w:id="1575" w:name="_Toc461527512"/>
      <w:bookmarkStart w:id="1576" w:name="_Toc461539547"/>
      <w:bookmarkStart w:id="1577" w:name="_Toc461541664"/>
      <w:bookmarkStart w:id="1578" w:name="_Toc461545419"/>
      <w:bookmarkStart w:id="1579" w:name="_Toc461624415"/>
      <w:bookmarkStart w:id="1580" w:name="_Toc461629640"/>
      <w:bookmarkStart w:id="1581" w:name="_Toc461632970"/>
      <w:bookmarkStart w:id="1582" w:name="_Toc461634240"/>
      <w:bookmarkStart w:id="1583" w:name="_Toc463013891"/>
      <w:bookmarkStart w:id="1584" w:name="_Toc463014000"/>
      <w:bookmarkStart w:id="1585" w:name="_Toc463014434"/>
      <w:bookmarkStart w:id="1586" w:name="_Toc463877074"/>
      <w:bookmarkStart w:id="1587" w:name="_Toc465864586"/>
      <w:r w:rsidRPr="000D502B">
        <w:t xml:space="preserve">Figure </w:t>
      </w:r>
      <w:fldSimple w:instr=" STYLEREF 1 \s ">
        <w:r>
          <w:rPr>
            <w:noProof/>
          </w:rPr>
          <w:t>3</w:t>
        </w:r>
      </w:fldSimple>
      <w:r w:rsidRPr="000D502B">
        <w:t>.</w:t>
      </w:r>
      <w:fldSimple w:instr=" SEQ Figure \* ARABIC \s 1 ">
        <w:r>
          <w:rPr>
            <w:noProof/>
          </w:rPr>
          <w:t>10</w:t>
        </w:r>
      </w:fldSimple>
      <w:bookmarkEnd w:id="1571"/>
      <w:r w:rsidRPr="000D502B">
        <w:t>: Product/process innovators that are R&amp;D active, 2010</w:t>
      </w:r>
      <w:r>
        <w:t>–</w:t>
      </w:r>
      <w:r w:rsidRPr="000D502B">
        <w:t>12</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7418B1CE" w14:textId="77777777" w:rsidR="00D471AD" w:rsidRPr="001729A3" w:rsidRDefault="00D471AD" w:rsidP="00D471AD">
      <w:pPr>
        <w:pStyle w:val="Note"/>
        <w:rPr>
          <w:lang w:val="en-AU"/>
        </w:rPr>
      </w:pPr>
      <w:r>
        <w:rPr>
          <w:noProof/>
          <w:lang w:val="en-AU" w:eastAsia="en-AU"/>
        </w:rPr>
        <w:drawing>
          <wp:inline distT="0" distB="0" distL="0" distR="0" wp14:anchorId="7418C645" wp14:editId="7418C646">
            <wp:extent cx="3133725" cy="2048510"/>
            <wp:effectExtent l="0" t="0" r="9525" b="8890"/>
            <wp:docPr id="56" name="Picture 56" descr="Figure 3.10 shows international comparisons of product or process innovators that are R&amp;D active, for 2010–12. Australia’s proportion is 20 per cent, compared to an OECD average of 52 per cent, and an OECD top five average of 79 per cent." title="Figure 3.10: Product/process innovators that are R&amp;D active,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33725" cy="2048510"/>
                    </a:xfrm>
                    <a:prstGeom prst="rect">
                      <a:avLst/>
                    </a:prstGeom>
                    <a:noFill/>
                  </pic:spPr>
                </pic:pic>
              </a:graphicData>
            </a:graphic>
          </wp:inline>
        </w:drawing>
      </w:r>
    </w:p>
    <w:p w14:paraId="7418B1CF" w14:textId="77777777" w:rsidR="00D471AD" w:rsidRPr="001729A3" w:rsidRDefault="00D471AD" w:rsidP="00D471AD">
      <w:pPr>
        <w:pStyle w:val="Note"/>
        <w:rPr>
          <w:lang w:val="en-AU"/>
        </w:rPr>
      </w:pPr>
      <w:r w:rsidRPr="001729A3">
        <w:rPr>
          <w:lang w:val="en-AU"/>
        </w:rPr>
        <w:t xml:space="preserve">Notes: OECD comparisons exclude businesses with </w:t>
      </w:r>
      <w:r>
        <w:rPr>
          <w:lang w:val="en-AU"/>
        </w:rPr>
        <w:t>fewer</w:t>
      </w:r>
      <w:r w:rsidRPr="001729A3">
        <w:rPr>
          <w:lang w:val="en-AU"/>
        </w:rPr>
        <w:t xml:space="preserve"> than ten employees. Industry core coverage includes ISIC Rev. 4 Sections and Divisions B, C, D, E, G46, H, J, K, M71-72 and 73. Australian data is from 2012-13.</w:t>
      </w:r>
      <w:r>
        <w:rPr>
          <w:lang w:val="en-GB"/>
        </w:rPr>
        <w:t xml:space="preserve"> The OECD top five countries are </w:t>
      </w:r>
      <w:r w:rsidRPr="003A7ABB">
        <w:rPr>
          <w:lang w:val="en-GB"/>
        </w:rPr>
        <w:t>Sweden, Korea, Finland, Netherlands and Norway</w:t>
      </w:r>
      <w:r>
        <w:rPr>
          <w:lang w:val="en-GB"/>
        </w:rPr>
        <w:t>.</w:t>
      </w:r>
    </w:p>
    <w:p w14:paraId="7418B1D0" w14:textId="77777777" w:rsidR="00D471AD" w:rsidRPr="001729A3" w:rsidRDefault="00D471AD" w:rsidP="00D471AD">
      <w:pPr>
        <w:pStyle w:val="Note"/>
        <w:rPr>
          <w:lang w:val="en-AU"/>
        </w:rPr>
      </w:pPr>
      <w:r w:rsidRPr="001729A3">
        <w:rPr>
          <w:lang w:val="en-AU"/>
        </w:rPr>
        <w:t xml:space="preserve">Source: OECD (2015) </w:t>
      </w:r>
      <w:r w:rsidRPr="00BA45A5">
        <w:rPr>
          <w:i/>
          <w:lang w:val="en-AU"/>
        </w:rPr>
        <w:t>Innovation statistics and indicators</w:t>
      </w:r>
      <w:r w:rsidRPr="001729A3">
        <w:rPr>
          <w:lang w:val="en-AU"/>
        </w:rPr>
        <w:t xml:space="preserve">, </w:t>
      </w:r>
      <w:hyperlink r:id="rId117" w:tooltip="www.oecd.org/innovation/inno/inno-stats.htm" w:history="1">
        <w:r w:rsidRPr="001729A3">
          <w:rPr>
            <w:rStyle w:val="Hyperlink"/>
            <w:lang w:val="en-AU"/>
          </w:rPr>
          <w:t>www.oecd.org/innovation/inno/inno-stats.htm</w:t>
        </w:r>
      </w:hyperlink>
    </w:p>
    <w:p w14:paraId="7418B1D1" w14:textId="77777777" w:rsidR="00D471AD" w:rsidRPr="001729A3" w:rsidRDefault="00D471AD" w:rsidP="00D471AD">
      <w:pPr>
        <w:pStyle w:val="BodyText"/>
        <w:rPr>
          <w:sz w:val="2"/>
        </w:rPr>
      </w:pPr>
    </w:p>
    <w:p w14:paraId="7418B1D2" w14:textId="77777777" w:rsidR="00D471AD" w:rsidRPr="001729A3" w:rsidRDefault="00D471AD" w:rsidP="00D471AD">
      <w:pPr>
        <w:pStyle w:val="BodyText"/>
      </w:pPr>
      <w:r w:rsidRPr="001729A3">
        <w:t>A greater share of R&amp;D-active businesses operate in international markets compared to businesses that don’t do R&amp;D (</w:t>
      </w:r>
      <w:r w:rsidRPr="00D17EFF">
        <w:rPr>
          <w:lang w:val="en-GB"/>
        </w:rPr>
        <w:fldChar w:fldCharType="begin"/>
      </w:r>
      <w:r w:rsidRPr="001729A3">
        <w:instrText xml:space="preserve"> REF _Ref461116490 \h  \* MERGEFORMAT </w:instrText>
      </w:r>
      <w:r w:rsidRPr="00D17EFF">
        <w:rPr>
          <w:lang w:val="en-GB"/>
        </w:rPr>
      </w:r>
      <w:r w:rsidRPr="00D17EFF">
        <w:rPr>
          <w:lang w:val="en-GB"/>
        </w:rPr>
        <w:fldChar w:fldCharType="separate"/>
      </w:r>
      <w:r w:rsidRPr="000D502B">
        <w:t xml:space="preserve">Figure </w:t>
      </w:r>
      <w:r>
        <w:rPr>
          <w:noProof/>
        </w:rPr>
        <w:t>3</w:t>
      </w:r>
      <w:r w:rsidRPr="000D502B">
        <w:rPr>
          <w:noProof/>
        </w:rPr>
        <w:t>.</w:t>
      </w:r>
      <w:r>
        <w:rPr>
          <w:noProof/>
        </w:rPr>
        <w:t>11</w:t>
      </w:r>
      <w:r w:rsidRPr="00D17EFF">
        <w:rPr>
          <w:lang w:val="en-GB"/>
        </w:rPr>
        <w:fldChar w:fldCharType="end"/>
      </w:r>
      <w:r w:rsidRPr="001729A3">
        <w:t xml:space="preserve"> and </w:t>
      </w:r>
      <w:r>
        <w:t xml:space="preserve">Figure </w:t>
      </w:r>
      <w:r w:rsidRPr="001729A3">
        <w:t>3.12). This is consistent with the relationship between new</w:t>
      </w:r>
      <w:r>
        <w:t>-</w:t>
      </w:r>
      <w:r w:rsidRPr="001729A3">
        <w:t>to</w:t>
      </w:r>
      <w:r>
        <w:t>-</w:t>
      </w:r>
      <w:r w:rsidRPr="001729A3">
        <w:t>market innovation and R&amp;D.</w:t>
      </w:r>
    </w:p>
    <w:p w14:paraId="7418B1D3" w14:textId="77777777" w:rsidR="00D471AD" w:rsidRPr="000D502B" w:rsidRDefault="00D471AD" w:rsidP="00D471AD">
      <w:pPr>
        <w:pStyle w:val="Caption"/>
        <w:spacing w:before="120"/>
      </w:pPr>
      <w:bookmarkStart w:id="1588" w:name="_Ref461116490"/>
      <w:bookmarkStart w:id="1589" w:name="_Toc461198242"/>
      <w:bookmarkStart w:id="1590" w:name="_Toc461198784"/>
      <w:bookmarkStart w:id="1591" w:name="_Toc461204072"/>
      <w:bookmarkStart w:id="1592" w:name="_Toc461527514"/>
      <w:bookmarkStart w:id="1593" w:name="_Toc461539549"/>
      <w:bookmarkStart w:id="1594" w:name="_Toc461541666"/>
      <w:bookmarkStart w:id="1595" w:name="_Toc461545421"/>
      <w:bookmarkStart w:id="1596" w:name="_Toc461624417"/>
      <w:bookmarkStart w:id="1597" w:name="_Toc461629642"/>
      <w:bookmarkStart w:id="1598" w:name="_Toc461632972"/>
      <w:bookmarkStart w:id="1599" w:name="_Toc461634242"/>
      <w:bookmarkStart w:id="1600" w:name="_Toc463013892"/>
      <w:bookmarkStart w:id="1601" w:name="_Toc463014001"/>
      <w:bookmarkStart w:id="1602" w:name="_Toc463014435"/>
      <w:bookmarkStart w:id="1603" w:name="_Toc463877075"/>
      <w:bookmarkStart w:id="1604" w:name="_Toc465864587"/>
      <w:r w:rsidRPr="000D502B">
        <w:t xml:space="preserve">Figure </w:t>
      </w:r>
      <w:fldSimple w:instr=" STYLEREF 1 \s ">
        <w:r>
          <w:rPr>
            <w:noProof/>
          </w:rPr>
          <w:t>3</w:t>
        </w:r>
      </w:fldSimple>
      <w:r w:rsidRPr="000D502B">
        <w:t>.</w:t>
      </w:r>
      <w:fldSimple w:instr=" SEQ Figure \* ARABIC \s 1 ">
        <w:r>
          <w:rPr>
            <w:noProof/>
          </w:rPr>
          <w:t>11</w:t>
        </w:r>
      </w:fldSimple>
      <w:bookmarkEnd w:id="1588"/>
      <w:r w:rsidRPr="000D502B">
        <w:t>: R&amp;D</w:t>
      </w:r>
      <w:r>
        <w:t>-</w:t>
      </w:r>
      <w:r w:rsidRPr="000D502B">
        <w:t xml:space="preserve">active </w:t>
      </w:r>
      <w:r>
        <w:t xml:space="preserve">businesses </w:t>
      </w:r>
      <w:r w:rsidRPr="000D502B">
        <w:t>operating in international markets, 2010–12</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14:paraId="7418B1D4" w14:textId="77777777" w:rsidR="00D471AD" w:rsidRPr="00864F0E" w:rsidRDefault="00D471AD" w:rsidP="00D471AD">
      <w:pPr>
        <w:spacing w:after="0"/>
        <w:rPr>
          <w:rFonts w:eastAsia="Times New Roman" w:cs="Arial"/>
          <w:color w:val="22789A"/>
          <w:sz w:val="16"/>
          <w:szCs w:val="20"/>
        </w:rPr>
      </w:pPr>
      <w:r>
        <w:rPr>
          <w:noProof/>
          <w:lang w:eastAsia="en-AU"/>
        </w:rPr>
        <w:drawing>
          <wp:inline distT="0" distB="0" distL="0" distR="0" wp14:anchorId="7418C647" wp14:editId="7418C648">
            <wp:extent cx="2779953" cy="2009775"/>
            <wp:effectExtent l="0" t="0" r="1905" b="0"/>
            <wp:docPr id="7" name="Picture 7" descr="Figure 3.11 shows international comparisons of R&amp;D active businesses operating in international markets, as a percentage of all R&amp;D active businesses, for 2010–12. Australia’s proportion is 44 per cent, compared to an OECD average of 64 per cent, and an OECD top five average of 82 per cent." title="Figure 3.11: R&amp;D-active businesses operating in international markets,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79953" cy="2009775"/>
                    </a:xfrm>
                    <a:prstGeom prst="rect">
                      <a:avLst/>
                    </a:prstGeom>
                    <a:noFill/>
                  </pic:spPr>
                </pic:pic>
              </a:graphicData>
            </a:graphic>
          </wp:inline>
        </w:drawing>
      </w:r>
      <w:r w:rsidRPr="00864F0E">
        <w:rPr>
          <w:rFonts w:eastAsia="Times New Roman" w:cs="Arial"/>
          <w:color w:val="22789A"/>
          <w:sz w:val="16"/>
          <w:szCs w:val="20"/>
        </w:rPr>
        <w:t>Notes: OECD comparisons exclude businesses with fewer than ten employees. Industry core coverage includes ISIC Rev. 4 Sections and Divisions B, C, D, E, G46, H, J, K, M71-72 and 73. Australian data is for 2012-13. The OECD top five are Austria, Latvia, Slovenia, Hungary and Slovakia.</w:t>
      </w:r>
    </w:p>
    <w:p w14:paraId="7418B1D5" w14:textId="77777777" w:rsidR="00D471AD" w:rsidRPr="001729A3" w:rsidRDefault="00D471AD" w:rsidP="00D471AD">
      <w:pPr>
        <w:pStyle w:val="Note"/>
        <w:keepNext w:val="0"/>
        <w:rPr>
          <w:lang w:val="en-AU"/>
        </w:rPr>
      </w:pPr>
      <w:r w:rsidRPr="001729A3">
        <w:rPr>
          <w:lang w:val="en-AU"/>
        </w:rPr>
        <w:t xml:space="preserve">Source: OECD (2015) </w:t>
      </w:r>
      <w:r w:rsidRPr="00BA45A5">
        <w:rPr>
          <w:i/>
          <w:lang w:val="en-AU"/>
        </w:rPr>
        <w:t>Innovation statistics and indicators</w:t>
      </w:r>
      <w:r w:rsidRPr="001729A3">
        <w:rPr>
          <w:lang w:val="en-AU"/>
        </w:rPr>
        <w:t xml:space="preserve">, </w:t>
      </w:r>
      <w:hyperlink r:id="rId119" w:tooltip="www.oecd.org/innovation/inno/inno-stats.htm" w:history="1">
        <w:r w:rsidRPr="001729A3">
          <w:rPr>
            <w:rStyle w:val="Hyperlink"/>
            <w:lang w:val="en-AU"/>
          </w:rPr>
          <w:t>www.oecd.org/innovation/inno/inno-stats.htm</w:t>
        </w:r>
      </w:hyperlink>
    </w:p>
    <w:p w14:paraId="7418B1D6" w14:textId="77777777" w:rsidR="00D471AD" w:rsidRPr="000D502B" w:rsidRDefault="00D471AD" w:rsidP="00D471AD">
      <w:pPr>
        <w:pStyle w:val="Caption"/>
        <w:spacing w:before="120"/>
      </w:pPr>
      <w:bookmarkStart w:id="1605" w:name="_Toc461198243"/>
      <w:bookmarkStart w:id="1606" w:name="_Toc461198785"/>
      <w:bookmarkStart w:id="1607" w:name="_Toc461204073"/>
      <w:bookmarkStart w:id="1608" w:name="_Toc461527515"/>
      <w:bookmarkStart w:id="1609" w:name="_Toc461539550"/>
      <w:bookmarkStart w:id="1610" w:name="_Toc461541667"/>
      <w:bookmarkStart w:id="1611" w:name="_Toc461545422"/>
      <w:bookmarkStart w:id="1612" w:name="_Toc461624418"/>
      <w:bookmarkStart w:id="1613" w:name="_Toc461629643"/>
      <w:bookmarkStart w:id="1614" w:name="_Toc461632973"/>
      <w:bookmarkStart w:id="1615" w:name="_Toc461634243"/>
      <w:bookmarkStart w:id="1616" w:name="_Toc463013893"/>
      <w:bookmarkStart w:id="1617" w:name="_Toc463014002"/>
      <w:bookmarkStart w:id="1618" w:name="_Toc463014436"/>
      <w:bookmarkStart w:id="1619" w:name="_Toc463877076"/>
      <w:bookmarkStart w:id="1620" w:name="_Toc465864588"/>
      <w:r w:rsidRPr="000D502B">
        <w:t xml:space="preserve">Figure </w:t>
      </w:r>
      <w:fldSimple w:instr=" STYLEREF 1 \s ">
        <w:r>
          <w:rPr>
            <w:noProof/>
          </w:rPr>
          <w:t>3</w:t>
        </w:r>
      </w:fldSimple>
      <w:r w:rsidRPr="000D502B">
        <w:t>.</w:t>
      </w:r>
      <w:fldSimple w:instr=" SEQ Figure \* ARABIC \s 1 ">
        <w:r>
          <w:rPr>
            <w:noProof/>
          </w:rPr>
          <w:t>12</w:t>
        </w:r>
      </w:fldSimple>
      <w:r w:rsidRPr="000D502B">
        <w:t xml:space="preserve">: </w:t>
      </w:r>
      <w:r>
        <w:t xml:space="preserve">Businesses </w:t>
      </w:r>
      <w:r w:rsidRPr="000D502B">
        <w:t>with no R&amp;D operating in international markets, 2010–12</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14:paraId="7418B1D7" w14:textId="77777777" w:rsidR="00D471AD" w:rsidRDefault="00D471AD" w:rsidP="00D471AD">
      <w:pPr>
        <w:spacing w:after="0"/>
        <w:rPr>
          <w:rFonts w:eastAsia="Times New Roman" w:cs="Arial"/>
          <w:color w:val="22789A"/>
          <w:sz w:val="16"/>
          <w:szCs w:val="20"/>
        </w:rPr>
      </w:pPr>
      <w:r>
        <w:rPr>
          <w:noProof/>
          <w:lang w:eastAsia="en-AU"/>
        </w:rPr>
        <w:drawing>
          <wp:inline distT="0" distB="0" distL="0" distR="0" wp14:anchorId="7418C649" wp14:editId="7418C64A">
            <wp:extent cx="2886075" cy="2090932"/>
            <wp:effectExtent l="0" t="0" r="0" b="5080"/>
            <wp:docPr id="53" name="Picture 53" descr="Figure 3.12 shows international comparisons of businesses with no R&amp;D operating in international markets, as a percentage of all businesses with no R&amp;D, for 2010–12. Australia’s proportion is 15 per cent, compared to an OECD average of 38 per cent, and an OECD top five average of 61 per cent." title="Figure 3.12: Businesses with no R&amp;D operating in international markets,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87607" cy="2092042"/>
                    </a:xfrm>
                    <a:prstGeom prst="rect">
                      <a:avLst/>
                    </a:prstGeom>
                    <a:noFill/>
                  </pic:spPr>
                </pic:pic>
              </a:graphicData>
            </a:graphic>
          </wp:inline>
        </w:drawing>
      </w:r>
      <w:r w:rsidRPr="007769EE">
        <w:rPr>
          <w:rFonts w:eastAsia="Times New Roman" w:cs="Arial"/>
          <w:color w:val="22789A"/>
          <w:sz w:val="16"/>
          <w:szCs w:val="20"/>
        </w:rPr>
        <w:t>Notes: OECD comparisons exclude businesses with fewer than ten employees. Industry core coverage includes ISIC Rev. 4 Sections and Divisions B, C, D, E, G46, H, J, K, M71-72 and 73. Australian data is for 2012-13. The OECD top five are Latvia, Slovakia, Slovenia, Hungary and the Netherlands.</w:t>
      </w:r>
    </w:p>
    <w:p w14:paraId="7418B1D8" w14:textId="77777777" w:rsidR="00D471AD" w:rsidRPr="001729A3" w:rsidRDefault="00D471AD" w:rsidP="00D471AD">
      <w:pPr>
        <w:pStyle w:val="Note"/>
        <w:rPr>
          <w:lang w:val="en-AU"/>
        </w:rPr>
      </w:pPr>
      <w:bookmarkStart w:id="1621" w:name="_Toc461174573"/>
      <w:bookmarkStart w:id="1622" w:name="_Toc461180127"/>
      <w:bookmarkStart w:id="1623" w:name="_Toc461180223"/>
      <w:bookmarkStart w:id="1624" w:name="_Toc461180515"/>
      <w:bookmarkStart w:id="1625" w:name="_Toc461180587"/>
      <w:bookmarkStart w:id="1626" w:name="_Toc461180636"/>
      <w:bookmarkStart w:id="1627" w:name="_Toc461183244"/>
      <w:bookmarkStart w:id="1628" w:name="_Toc461183296"/>
      <w:bookmarkStart w:id="1629" w:name="_Toc461183382"/>
      <w:bookmarkStart w:id="1630" w:name="_Toc461183839"/>
      <w:bookmarkStart w:id="1631" w:name="_Toc461184453"/>
      <w:bookmarkStart w:id="1632" w:name="_Toc461184558"/>
      <w:bookmarkStart w:id="1633" w:name="_Toc461186596"/>
      <w:bookmarkStart w:id="1634" w:name="_Toc461186913"/>
      <w:bookmarkStart w:id="1635" w:name="_Toc461187018"/>
      <w:bookmarkStart w:id="1636" w:name="_Toc461187269"/>
      <w:bookmarkStart w:id="1637" w:name="_Toc461198296"/>
      <w:bookmarkStart w:id="1638" w:name="_Toc461198838"/>
      <w:bookmarkStart w:id="1639" w:name="_Toc461204126"/>
      <w:bookmarkStart w:id="1640" w:name="_Toc461527577"/>
      <w:bookmarkStart w:id="1641" w:name="_Toc461624483"/>
      <w:bookmarkStart w:id="1642" w:name="_Toc461629708"/>
      <w:bookmarkStart w:id="1643" w:name="_Toc461633038"/>
      <w:bookmarkStart w:id="1644" w:name="_Toc461634308"/>
      <w:bookmarkStart w:id="1645" w:name="_Toc462230086"/>
      <w:bookmarkStart w:id="1646" w:name="_Toc462231447"/>
      <w:bookmarkStart w:id="1647" w:name="_Toc463013948"/>
      <w:bookmarkStart w:id="1648" w:name="_Toc463014057"/>
      <w:bookmarkStart w:id="1649" w:name="_Toc463014491"/>
      <w:bookmarkStart w:id="1650" w:name="_Toc463877024"/>
      <w:r w:rsidRPr="001729A3">
        <w:rPr>
          <w:lang w:val="en-AU"/>
        </w:rPr>
        <w:t xml:space="preserve">Source: OECD (2015) </w:t>
      </w:r>
      <w:r w:rsidRPr="00BA45A5">
        <w:rPr>
          <w:i/>
          <w:lang w:val="en-AU"/>
        </w:rPr>
        <w:t>Innovation statistics and indicators</w:t>
      </w:r>
      <w:r w:rsidRPr="001729A3">
        <w:rPr>
          <w:lang w:val="en-AU"/>
        </w:rPr>
        <w:t xml:space="preserve">, </w:t>
      </w:r>
      <w:hyperlink r:id="rId121" w:tooltip="www.oecd.org/innovation/inno/inno-stats.htm" w:history="1">
        <w:r w:rsidRPr="001729A3">
          <w:rPr>
            <w:rStyle w:val="Hyperlink"/>
            <w:lang w:val="en-AU"/>
          </w:rPr>
          <w:t>www.oecd.org/innovation/inno/inno-stats.htm</w:t>
        </w:r>
      </w:hyperlink>
    </w:p>
    <w:p w14:paraId="7418B1D9" w14:textId="77777777" w:rsidR="00D471AD" w:rsidRPr="00924CA6" w:rsidRDefault="00D471AD" w:rsidP="00D471AD">
      <w:pPr>
        <w:pStyle w:val="heading3new"/>
      </w:pPr>
      <w:bookmarkStart w:id="1651" w:name="_Toc465862818"/>
      <w:r w:rsidRPr="00924CA6">
        <w:t>Trends in R&amp;D activity</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7418B1DA" w14:textId="77777777" w:rsidR="00D471AD" w:rsidRPr="001729A3" w:rsidRDefault="00D471AD" w:rsidP="00D471AD">
      <w:pPr>
        <w:pStyle w:val="BodyText"/>
      </w:pPr>
      <w:r w:rsidRPr="001729A3">
        <w:t>Australia’s GERD to GDP ratio was 2.1</w:t>
      </w:r>
      <w:r>
        <w:t>1</w:t>
      </w:r>
      <w:r w:rsidRPr="001729A3">
        <w:t xml:space="preserve"> per cent in 2013–14 (</w:t>
      </w:r>
      <w:hyperlink r:id="rId122" w:history="1">
        <w:r w:rsidRPr="001729A3">
          <w:rPr>
            <w:rStyle w:val="Hyperlink"/>
          </w:rPr>
          <w:t>Table A7</w:t>
        </w:r>
      </w:hyperlink>
      <w:r w:rsidRPr="001729A3">
        <w:t xml:space="preserve">), which is slightly </w:t>
      </w:r>
      <w:r>
        <w:t xml:space="preserve">above the </w:t>
      </w:r>
      <w:r w:rsidRPr="001729A3">
        <w:t>OECD</w:t>
      </w:r>
      <w:r>
        <w:t>+</w:t>
      </w:r>
      <w:r w:rsidRPr="001729A3">
        <w:t xml:space="preserve"> average of 2.</w:t>
      </w:r>
      <w:r>
        <w:t>01</w:t>
      </w:r>
      <w:r w:rsidRPr="001729A3">
        <w:t xml:space="preserve"> per cent. Australia was ranked 1</w:t>
      </w:r>
      <w:r>
        <w:t>4</w:t>
      </w:r>
      <w:r w:rsidRPr="001729A3">
        <w:t>th out of 3</w:t>
      </w:r>
      <w:r>
        <w:t>6</w:t>
      </w:r>
      <w:r w:rsidRPr="001729A3">
        <w:t xml:space="preserve"> OECD</w:t>
      </w:r>
      <w:r>
        <w:t>+</w:t>
      </w:r>
      <w:r w:rsidRPr="001729A3">
        <w:t xml:space="preserve"> countries in 2013–14, and also behind </w:t>
      </w:r>
      <w:r>
        <w:t>one</w:t>
      </w:r>
      <w:r w:rsidRPr="001729A3">
        <w:t xml:space="preserve"> non-OECD countr</w:t>
      </w:r>
      <w:r>
        <w:t>y</w:t>
      </w:r>
      <w:r w:rsidRPr="001729A3">
        <w:t xml:space="preserve"> (Taiwan</w:t>
      </w:r>
      <w:r>
        <w:t>)</w:t>
      </w:r>
      <w:r w:rsidRPr="001729A3">
        <w:t xml:space="preserve"> for which data was available. GERD as a percentage of GDP </w:t>
      </w:r>
      <w:r>
        <w:t>(see Definition 3.3)</w:t>
      </w:r>
      <w:r w:rsidRPr="001729A3">
        <w:t xml:space="preserve"> has been in decline in Australia since 2008–09, after a period of strong growth (</w:t>
      </w:r>
      <w:r w:rsidRPr="001729A3">
        <w:fldChar w:fldCharType="begin"/>
      </w:r>
      <w:r w:rsidRPr="001729A3">
        <w:instrText xml:space="preserve"> REF _Ref461118291 \h </w:instrText>
      </w:r>
      <w:r w:rsidRPr="001729A3">
        <w:fldChar w:fldCharType="separate"/>
      </w:r>
      <w:r w:rsidRPr="000D502B">
        <w:t xml:space="preserve">Figure </w:t>
      </w:r>
      <w:r>
        <w:rPr>
          <w:noProof/>
        </w:rPr>
        <w:t>3</w:t>
      </w:r>
      <w:r w:rsidRPr="000D502B">
        <w:t>.</w:t>
      </w:r>
      <w:r>
        <w:rPr>
          <w:noProof/>
        </w:rPr>
        <w:t>13</w:t>
      </w:r>
      <w:r w:rsidRPr="001729A3">
        <w:fldChar w:fldCharType="end"/>
      </w:r>
      <w:r w:rsidRPr="001729A3">
        <w:t>). This decline has been driven by a significant decrease in business R&amp;D as a percentage of GDP over this period (</w:t>
      </w:r>
      <w:r w:rsidRPr="001729A3">
        <w:fldChar w:fldCharType="begin"/>
      </w:r>
      <w:r w:rsidRPr="001729A3">
        <w:instrText xml:space="preserve"> REF _Ref461118291 \h </w:instrText>
      </w:r>
      <w:r w:rsidRPr="001729A3">
        <w:fldChar w:fldCharType="separate"/>
      </w:r>
      <w:r w:rsidRPr="000D502B">
        <w:t xml:space="preserve">Figure </w:t>
      </w:r>
      <w:r>
        <w:rPr>
          <w:noProof/>
        </w:rPr>
        <w:t>3</w:t>
      </w:r>
      <w:r w:rsidRPr="000D502B">
        <w:t>.</w:t>
      </w:r>
      <w:r>
        <w:rPr>
          <w:noProof/>
        </w:rPr>
        <w:t>13</w:t>
      </w:r>
      <w:r w:rsidRPr="001729A3">
        <w:fldChar w:fldCharType="end"/>
      </w:r>
      <w:r w:rsidRPr="001729A3">
        <w:t xml:space="preserve">). </w:t>
      </w:r>
    </w:p>
    <w:p w14:paraId="7418B1DB" w14:textId="77777777" w:rsidR="00D471AD" w:rsidRPr="001729A3" w:rsidRDefault="00D471AD" w:rsidP="00D471AD">
      <w:pPr>
        <w:pStyle w:val="BodyText"/>
      </w:pPr>
      <w:r w:rsidRPr="001729A3">
        <w:t>Australia’s BERD/GDP ratio increased steadily between 1995 and 2008, from 0.82 to 1.37</w:t>
      </w:r>
      <w:r>
        <w:t>. The</w:t>
      </w:r>
      <w:r w:rsidRPr="001729A3">
        <w:t xml:space="preserve"> BERD/GDP ratio then declined to 1.19 by 2013 (</w:t>
      </w:r>
      <w:hyperlink r:id="rId123" w:history="1">
        <w:r w:rsidRPr="001729A3">
          <w:rPr>
            <w:rStyle w:val="Hyperlink"/>
          </w:rPr>
          <w:t>Table A2</w:t>
        </w:r>
      </w:hyperlink>
      <w:r w:rsidRPr="001729A3">
        <w:t>). This is considerably lower than the average BERD</w:t>
      </w:r>
      <w:r>
        <w:t>/</w:t>
      </w:r>
      <w:r w:rsidRPr="001729A3">
        <w:t>GDP ratio of 2.78 for the top five OECD+ countries</w:t>
      </w:r>
      <w:r>
        <w:t>.</w:t>
      </w:r>
      <w:r w:rsidRPr="001729A3">
        <w:t xml:space="preserve"> In 2013, Australia was ranked 15th out of 35 OECD+ countries by BERD/GDP ratio. </w:t>
      </w:r>
    </w:p>
    <w:p w14:paraId="7418B1DC" w14:textId="77777777" w:rsidR="00D471AD" w:rsidRPr="001729A3" w:rsidRDefault="00D471AD" w:rsidP="00D471AD">
      <w:pPr>
        <w:pStyle w:val="BodyText"/>
      </w:pPr>
      <w:r w:rsidRPr="001729A3">
        <w:t>Manufacturing continues to be the largest contributor to R&amp;D in terms of net investment, although the relative proportion has decreased from 36 per cent in 2005–06 to 26 per cent in 2013–14. Despite manufacturing’s declining share of economic activity, manufacturing’s R&amp;D intensity has increased from 3.5 per cent in 2005–2006 to 4.8 per cent in 2013–14. Since 2011–12, mining investment in R&amp;D has declined from $4.1 billion to $2.83 billion in 2013–14. This has been partially offset by a boom in the financial and insurance services sector R&amp;D, where investment tripled between 2005–06 and 2013–14.</w:t>
      </w:r>
    </w:p>
    <w:p w14:paraId="7418B1DD" w14:textId="77777777" w:rsidR="00D471AD" w:rsidRPr="001729A3" w:rsidRDefault="00D471AD" w:rsidP="00D471AD">
      <w:pPr>
        <w:pStyle w:val="BodyText"/>
      </w:pPr>
      <w:r w:rsidRPr="001729A3">
        <w:fldChar w:fldCharType="begin"/>
      </w:r>
      <w:r w:rsidRPr="001729A3">
        <w:instrText xml:space="preserve"> REF _Ref461118363 \h </w:instrText>
      </w:r>
      <w:r w:rsidRPr="001729A3">
        <w:fldChar w:fldCharType="separate"/>
      </w:r>
      <w:r w:rsidRPr="000D502B">
        <w:t xml:space="preserve">Figure </w:t>
      </w:r>
      <w:r>
        <w:rPr>
          <w:noProof/>
        </w:rPr>
        <w:t>3</w:t>
      </w:r>
      <w:r w:rsidRPr="000D502B">
        <w:t>.</w:t>
      </w:r>
      <w:r>
        <w:rPr>
          <w:noProof/>
        </w:rPr>
        <w:t>14</w:t>
      </w:r>
      <w:r w:rsidRPr="001729A3">
        <w:fldChar w:fldCharType="end"/>
      </w:r>
      <w:r w:rsidRPr="001729A3">
        <w:t xml:space="preserve"> shows the major flows of R&amp;D throughout the innovation system. The private sector is the biggest investor in R&amp;D in Australia</w:t>
      </w:r>
      <w:r>
        <w:t>,</w:t>
      </w:r>
      <w:r w:rsidRPr="001729A3">
        <w:t xml:space="preserve"> and performs mostly applied research and experimental development. A small proportion of the $19 billion spent on R&amp;D by businesses in 201</w:t>
      </w:r>
      <w:r>
        <w:t>3</w:t>
      </w:r>
      <w:r w:rsidRPr="001729A3">
        <w:t>–1</w:t>
      </w:r>
      <w:r>
        <w:t>4</w:t>
      </w:r>
      <w:r w:rsidRPr="001729A3">
        <w:t xml:space="preserve"> went to other sectors for collaborative R&amp;D. For example, the industry sector spent $4</w:t>
      </w:r>
      <w:r>
        <w:t>3</w:t>
      </w:r>
      <w:r w:rsidRPr="001729A3">
        <w:t>0 million on higher education sector R&amp;D, approximately 2</w:t>
      </w:r>
      <w:r>
        <w:t>.3</w:t>
      </w:r>
      <w:r w:rsidRPr="001729A3">
        <w:t xml:space="preserve"> per cent of its total investment in R&amp;D.</w:t>
      </w:r>
    </w:p>
    <w:p w14:paraId="7418B1DE" w14:textId="77777777" w:rsidR="00D471AD" w:rsidRPr="001729A3" w:rsidRDefault="00D471AD" w:rsidP="00D471AD">
      <w:pPr>
        <w:pStyle w:val="heading3new"/>
      </w:pPr>
      <w:bookmarkStart w:id="1652" w:name="_Toc465862819"/>
      <w:bookmarkStart w:id="1653" w:name="_Toc462230087"/>
      <w:bookmarkStart w:id="1654" w:name="_Toc462231448"/>
      <w:bookmarkStart w:id="1655" w:name="_Toc463013949"/>
      <w:bookmarkStart w:id="1656" w:name="_Toc463014058"/>
      <w:bookmarkStart w:id="1657" w:name="_Toc463014492"/>
      <w:bookmarkStart w:id="1658" w:name="_Toc463877025"/>
      <w:r>
        <w:t>I</w:t>
      </w:r>
      <w:r w:rsidRPr="001729A3">
        <w:t>nvestment in R&amp;D</w:t>
      </w:r>
      <w:bookmarkEnd w:id="1652"/>
      <w:r w:rsidRPr="001729A3">
        <w:t xml:space="preserve"> </w:t>
      </w:r>
      <w:bookmarkEnd w:id="1653"/>
      <w:bookmarkEnd w:id="1654"/>
      <w:bookmarkEnd w:id="1655"/>
      <w:bookmarkEnd w:id="1656"/>
      <w:bookmarkEnd w:id="1657"/>
      <w:bookmarkEnd w:id="1658"/>
    </w:p>
    <w:p w14:paraId="7418B1DF" w14:textId="77777777" w:rsidR="00D471AD" w:rsidRPr="001729A3" w:rsidRDefault="00D471AD" w:rsidP="00D471AD">
      <w:pPr>
        <w:pStyle w:val="BodyText"/>
      </w:pPr>
      <w:r w:rsidRPr="001729A3">
        <w:t xml:space="preserve">The Australian Government is the second largest </w:t>
      </w:r>
      <w:r>
        <w:t xml:space="preserve">source of funds for </w:t>
      </w:r>
      <w:r w:rsidRPr="001729A3">
        <w:t>R&amp;D expenditure. In 201</w:t>
      </w:r>
      <w:r>
        <w:t>4</w:t>
      </w:r>
      <w:r w:rsidRPr="001729A3">
        <w:t>–1</w:t>
      </w:r>
      <w:r>
        <w:t>5</w:t>
      </w:r>
      <w:r w:rsidRPr="001729A3">
        <w:t>, the industry sector received around $2.</w:t>
      </w:r>
      <w:r>
        <w:t>8</w:t>
      </w:r>
      <w:r w:rsidRPr="001729A3">
        <w:t xml:space="preserve"> billion in tax concessions (</w:t>
      </w:r>
      <w:r w:rsidRPr="001729A3">
        <w:fldChar w:fldCharType="begin"/>
      </w:r>
      <w:r w:rsidRPr="001729A3">
        <w:instrText xml:space="preserve"> REF _Ref461118363 \h </w:instrText>
      </w:r>
      <w:r w:rsidRPr="001729A3">
        <w:fldChar w:fldCharType="separate"/>
      </w:r>
      <w:r w:rsidRPr="000D502B">
        <w:t xml:space="preserve">Figure </w:t>
      </w:r>
      <w:r>
        <w:rPr>
          <w:noProof/>
        </w:rPr>
        <w:t>3</w:t>
      </w:r>
      <w:r w:rsidRPr="000D502B">
        <w:t>.</w:t>
      </w:r>
      <w:r>
        <w:rPr>
          <w:noProof/>
        </w:rPr>
        <w:t>14</w:t>
      </w:r>
      <w:r w:rsidRPr="001729A3">
        <w:fldChar w:fldCharType="end"/>
      </w:r>
      <w:r w:rsidRPr="001729A3">
        <w:t xml:space="preserve">). While the industry sector receives support in the form of tax concessions, the higher education sector and the Australian government research agencies rely on direct government support in the form of grants. In </w:t>
      </w:r>
      <w:r w:rsidRPr="001729A3">
        <w:br/>
        <w:t>201</w:t>
      </w:r>
      <w:r>
        <w:t>4</w:t>
      </w:r>
      <w:r w:rsidRPr="001729A3">
        <w:t>–1</w:t>
      </w:r>
      <w:r>
        <w:t>5</w:t>
      </w:r>
      <w:r w:rsidRPr="001729A3">
        <w:t>, the higher education sector and Australian government research agencies received $3.</w:t>
      </w:r>
      <w:r>
        <w:t>4</w:t>
      </w:r>
      <w:r w:rsidRPr="001729A3">
        <w:t xml:space="preserve"> billion and $</w:t>
      </w:r>
      <w:r>
        <w:t>1</w:t>
      </w:r>
      <w:r w:rsidRPr="001729A3">
        <w:t>.</w:t>
      </w:r>
      <w:r>
        <w:t>9</w:t>
      </w:r>
      <w:r w:rsidRPr="001729A3">
        <w:t xml:space="preserve"> billion respectively. The higher education sector spent $</w:t>
      </w:r>
      <w:r>
        <w:t>10</w:t>
      </w:r>
      <w:r w:rsidRPr="001729A3">
        <w:t>.</w:t>
      </w:r>
      <w:r>
        <w:t>1</w:t>
      </w:r>
      <w:r w:rsidRPr="001729A3">
        <w:t xml:space="preserve"> billion on R&amp;D, over half of which came from general university funds.</w:t>
      </w:r>
    </w:p>
    <w:p w14:paraId="7418B1E0" w14:textId="77777777" w:rsidR="00D471AD" w:rsidRPr="000D502B" w:rsidRDefault="00D471AD" w:rsidP="00D471AD">
      <w:pPr>
        <w:pStyle w:val="ListNumber"/>
        <w:sectPr w:rsidR="00D471AD" w:rsidRPr="000D502B" w:rsidSect="00D471AD">
          <w:headerReference w:type="even" r:id="rId124"/>
          <w:headerReference w:type="default" r:id="rId125"/>
          <w:footerReference w:type="default" r:id="rId126"/>
          <w:headerReference w:type="first" r:id="rId127"/>
          <w:footnotePr>
            <w:numFmt w:val="upperRoman"/>
          </w:footnotePr>
          <w:endnotePr>
            <w:numFmt w:val="decimal"/>
          </w:endnotePr>
          <w:type w:val="continuous"/>
          <w:pgSz w:w="11906" w:h="16838" w:code="9"/>
          <w:pgMar w:top="1440" w:right="1020" w:bottom="1440" w:left="992" w:header="709" w:footer="709" w:gutter="0"/>
          <w:cols w:num="2" w:space="708"/>
          <w:docGrid w:linePitch="360"/>
        </w:sectPr>
      </w:pPr>
    </w:p>
    <w:p w14:paraId="7418B1E1" w14:textId="77777777" w:rsidR="00D471AD" w:rsidRPr="000D502B" w:rsidRDefault="00D471AD" w:rsidP="00D471AD">
      <w:pPr>
        <w:pStyle w:val="ListNumber"/>
      </w:pPr>
    </w:p>
    <w:p w14:paraId="7418B1E2" w14:textId="77777777" w:rsidR="00D471AD" w:rsidRPr="000D502B" w:rsidRDefault="00D471AD" w:rsidP="00D471AD">
      <w:pPr>
        <w:pStyle w:val="ListNumber"/>
        <w:sectPr w:rsidR="00D471AD" w:rsidRPr="000D502B" w:rsidSect="00D471AD">
          <w:footnotePr>
            <w:numFmt w:val="upperRoman"/>
          </w:footnotePr>
          <w:endnotePr>
            <w:numFmt w:val="decimal"/>
          </w:endnotePr>
          <w:pgSz w:w="11906" w:h="16838" w:code="9"/>
          <w:pgMar w:top="1440" w:right="1020" w:bottom="1440" w:left="992" w:header="709" w:footer="709" w:gutter="0"/>
          <w:cols w:space="708"/>
          <w:docGrid w:linePitch="360"/>
        </w:sectPr>
      </w:pPr>
    </w:p>
    <w:p w14:paraId="7418B1E3" w14:textId="77777777" w:rsidR="00D471AD" w:rsidRPr="000D502B" w:rsidRDefault="00D471AD" w:rsidP="00D471AD">
      <w:pPr>
        <w:pStyle w:val="Caption"/>
      </w:pPr>
      <w:bookmarkStart w:id="1659" w:name="_Ref461118291"/>
      <w:bookmarkStart w:id="1660" w:name="_Toc461198244"/>
      <w:bookmarkStart w:id="1661" w:name="_Toc461198786"/>
      <w:bookmarkStart w:id="1662" w:name="_Toc461204074"/>
      <w:bookmarkStart w:id="1663" w:name="_Toc461527516"/>
      <w:bookmarkStart w:id="1664" w:name="_Toc461539551"/>
      <w:bookmarkStart w:id="1665" w:name="_Toc461541668"/>
      <w:bookmarkStart w:id="1666" w:name="_Toc461545423"/>
      <w:bookmarkStart w:id="1667" w:name="_Toc461624419"/>
      <w:bookmarkStart w:id="1668" w:name="_Toc461629644"/>
      <w:bookmarkStart w:id="1669" w:name="_Toc461632974"/>
      <w:bookmarkStart w:id="1670" w:name="_Toc461634244"/>
      <w:bookmarkStart w:id="1671" w:name="_Toc463013894"/>
      <w:bookmarkStart w:id="1672" w:name="_Toc463014003"/>
      <w:bookmarkStart w:id="1673" w:name="_Toc463014437"/>
      <w:bookmarkStart w:id="1674" w:name="_Toc463877077"/>
      <w:bookmarkStart w:id="1675" w:name="_Toc465864589"/>
      <w:r w:rsidRPr="000D502B">
        <w:t xml:space="preserve">Figure </w:t>
      </w:r>
      <w:fldSimple w:instr=" STYLEREF 1 \s ">
        <w:r>
          <w:rPr>
            <w:noProof/>
          </w:rPr>
          <w:t>3</w:t>
        </w:r>
      </w:fldSimple>
      <w:r w:rsidRPr="000D502B">
        <w:t>.</w:t>
      </w:r>
      <w:fldSimple w:instr=" SEQ Figure \* ARABIC \s 1 ">
        <w:r>
          <w:rPr>
            <w:noProof/>
          </w:rPr>
          <w:t>13</w:t>
        </w:r>
      </w:fldSimple>
      <w:bookmarkEnd w:id="1659"/>
      <w:r w:rsidRPr="000D502B">
        <w:t>: Australia’s GERD and BERD intensity, 1990–2013</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14:paraId="7418B1E4" w14:textId="77777777" w:rsidR="00D471AD" w:rsidRPr="001729A3" w:rsidRDefault="00D471AD" w:rsidP="00D471AD">
      <w:pPr>
        <w:pStyle w:val="Note"/>
        <w:rPr>
          <w:lang w:val="en-AU"/>
        </w:rPr>
      </w:pPr>
      <w:r w:rsidRPr="000D502B">
        <w:rPr>
          <w:noProof/>
          <w:lang w:val="en-AU" w:eastAsia="en-AU"/>
        </w:rPr>
        <w:drawing>
          <wp:inline distT="0" distB="0" distL="0" distR="0" wp14:anchorId="7418C64B" wp14:editId="7418C64C">
            <wp:extent cx="6340475" cy="2883535"/>
            <wp:effectExtent l="0" t="0" r="3175" b="0"/>
            <wp:docPr id="43" name="Picture 43" descr="Figure 3.13 is a line graph that plots R&amp; D expenditure as a percentage of GDP. One line plots Australia’s business expenditure on R&amp;D (BERD) from 1990 to 2013. The other line plots Australia’s gross expenditure on R&amp;D (GERD) for the same time period. It shows that they follow the same pattern with R&amp;D expenditure peaking in 2008 and decreasing since then." title="Figure 3.13: Australia’s GERD and BERD intensity, 199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340475" cy="2883535"/>
                    </a:xfrm>
                    <a:prstGeom prst="rect">
                      <a:avLst/>
                    </a:prstGeom>
                    <a:noFill/>
                  </pic:spPr>
                </pic:pic>
              </a:graphicData>
            </a:graphic>
          </wp:inline>
        </w:drawing>
      </w:r>
    </w:p>
    <w:p w14:paraId="7418B1E5" w14:textId="77777777" w:rsidR="00D471AD" w:rsidRPr="001729A3" w:rsidRDefault="00D471AD" w:rsidP="00D471AD">
      <w:pPr>
        <w:pStyle w:val="Note"/>
        <w:rPr>
          <w:lang w:val="en-AU"/>
        </w:rPr>
      </w:pPr>
      <w:r w:rsidRPr="001729A3">
        <w:rPr>
          <w:lang w:val="en-AU"/>
        </w:rPr>
        <w:t>Notes: GERD/GDP is only available for the marked years; the line is a fitted trend.</w:t>
      </w:r>
    </w:p>
    <w:p w14:paraId="7418B1E6" w14:textId="77777777" w:rsidR="00D471AD" w:rsidRPr="001729A3" w:rsidRDefault="00D471AD" w:rsidP="00D471AD">
      <w:pPr>
        <w:pStyle w:val="Note"/>
        <w:rPr>
          <w:lang w:val="en-AU"/>
        </w:rPr>
      </w:pPr>
      <w:r w:rsidRPr="001729A3">
        <w:rPr>
          <w:lang w:val="en-AU"/>
        </w:rPr>
        <w:t xml:space="preserve">Source: OECD (2016) Structural Analysis Database, </w:t>
      </w:r>
      <w:hyperlink r:id="rId129" w:tooltip="http://stats.oecd.org/" w:history="1">
        <w:r w:rsidRPr="001729A3">
          <w:rPr>
            <w:rStyle w:val="Hyperlink"/>
            <w:lang w:val="en-AU"/>
          </w:rPr>
          <w:t>http://stats.oecd.org/</w:t>
        </w:r>
      </w:hyperlink>
    </w:p>
    <w:p w14:paraId="7418B1E7" w14:textId="77777777" w:rsidR="00D471AD" w:rsidRPr="000D502B" w:rsidRDefault="00D471AD" w:rsidP="00D471AD">
      <w:pPr>
        <w:pStyle w:val="ListNumber"/>
      </w:pPr>
    </w:p>
    <w:p w14:paraId="7418B1E8" w14:textId="77777777" w:rsidR="00D471AD" w:rsidRPr="000D502B" w:rsidRDefault="00D471AD" w:rsidP="00D471AD">
      <w:pPr>
        <w:pStyle w:val="ListNumber"/>
      </w:pPr>
    </w:p>
    <w:p w14:paraId="7418B1E9" w14:textId="77777777" w:rsidR="00D471AD" w:rsidRPr="000D502B" w:rsidRDefault="00D471AD" w:rsidP="00D471AD">
      <w:pPr>
        <w:pStyle w:val="ListNumber"/>
        <w:sectPr w:rsidR="00D471AD" w:rsidRPr="000D502B" w:rsidSect="00D471AD">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1EA" w14:textId="77777777" w:rsidR="00D471AD" w:rsidRPr="000D502B" w:rsidRDefault="00D471AD" w:rsidP="00D471AD">
      <w:pPr>
        <w:pStyle w:val="ListNumber"/>
      </w:pPr>
    </w:p>
    <w:p w14:paraId="7418B1EB" w14:textId="77777777" w:rsidR="00D471AD" w:rsidRPr="000D502B" w:rsidRDefault="00D471AD" w:rsidP="00D471AD">
      <w:pPr>
        <w:pStyle w:val="ListNumber"/>
        <w:sectPr w:rsidR="00D471AD" w:rsidRPr="000D502B" w:rsidSect="00D471AD">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1EC" w14:textId="77777777" w:rsidR="00D471AD" w:rsidRPr="000D502B" w:rsidRDefault="00D471AD" w:rsidP="00D471AD">
      <w:pPr>
        <w:pStyle w:val="Caption"/>
      </w:pPr>
      <w:bookmarkStart w:id="1676" w:name="_Ref461118363"/>
      <w:bookmarkStart w:id="1677" w:name="_Toc461198245"/>
      <w:bookmarkStart w:id="1678" w:name="_Toc461198787"/>
      <w:bookmarkStart w:id="1679" w:name="_Toc461204075"/>
      <w:bookmarkStart w:id="1680" w:name="_Toc461527517"/>
      <w:bookmarkStart w:id="1681" w:name="_Toc461539552"/>
      <w:bookmarkStart w:id="1682" w:name="_Toc461541669"/>
      <w:bookmarkStart w:id="1683" w:name="_Toc461545424"/>
      <w:bookmarkStart w:id="1684" w:name="_Toc461624420"/>
      <w:bookmarkStart w:id="1685" w:name="_Toc461629645"/>
      <w:bookmarkStart w:id="1686" w:name="_Toc461632975"/>
      <w:bookmarkStart w:id="1687" w:name="_Toc461634245"/>
      <w:bookmarkStart w:id="1688" w:name="_Toc463013895"/>
      <w:bookmarkStart w:id="1689" w:name="_Toc463014004"/>
      <w:bookmarkStart w:id="1690" w:name="_Toc463014438"/>
      <w:bookmarkStart w:id="1691" w:name="_Toc463877078"/>
      <w:bookmarkStart w:id="1692" w:name="_Toc465864590"/>
      <w:r w:rsidRPr="000D502B">
        <w:t xml:space="preserve">Figure </w:t>
      </w:r>
      <w:fldSimple w:instr=" STYLEREF 1 \s ">
        <w:r>
          <w:rPr>
            <w:noProof/>
          </w:rPr>
          <w:t>3</w:t>
        </w:r>
      </w:fldSimple>
      <w:r w:rsidRPr="000D502B">
        <w:t>.</w:t>
      </w:r>
      <w:fldSimple w:instr=" SEQ Figure \* ARABIC \s 1 ">
        <w:r>
          <w:rPr>
            <w:noProof/>
          </w:rPr>
          <w:t>14</w:t>
        </w:r>
      </w:fldSimple>
      <w:bookmarkEnd w:id="1676"/>
      <w:r w:rsidRPr="000D502B">
        <w:t>: Major flows of R&amp;D investment, 201</w:t>
      </w:r>
      <w:r>
        <w:t>3</w:t>
      </w:r>
      <w:r w:rsidRPr="000D502B">
        <w:t>–1</w:t>
      </w:r>
      <w:r>
        <w:t>4</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7418B1ED" w14:textId="77777777" w:rsidR="00D471AD" w:rsidRPr="001729A3" w:rsidRDefault="00D471AD" w:rsidP="00D471AD">
      <w:pPr>
        <w:pStyle w:val="Note"/>
        <w:rPr>
          <w:lang w:val="en-AU"/>
        </w:rPr>
      </w:pPr>
      <w:r>
        <w:rPr>
          <w:rFonts w:eastAsiaTheme="minorHAnsi" w:cstheme="minorBidi"/>
          <w:noProof/>
          <w:color w:val="595A5B"/>
          <w:szCs w:val="16"/>
          <w:lang w:val="en-AU" w:eastAsia="en-AU"/>
        </w:rPr>
        <w:drawing>
          <wp:inline distT="0" distB="0" distL="0" distR="0" wp14:anchorId="7418C64D" wp14:editId="7418C64E">
            <wp:extent cx="5687098" cy="6723332"/>
            <wp:effectExtent l="0" t="0" r="8890" b="1905"/>
            <wp:docPr id="47" name="Picture 47" descr="Figure 3.14 shows the major flows of R&amp;D investment in Australia for 2013–14. Business is the largest funder of R&amp;D ($18.9 billion), followed by the Australian Government ($6.7 billion direct and $2.8 billion indirect via the R&amp;D tax incentive), the higher education sector ($5.5 billion), other Australian sources ($1.6 billion), and international sources ($0.7 billion). Business-to-business is the largest flow ($18.1 billion), followed by higher education-to-higher education ($5.5 billion), and then Australian Government-to-higher education ($3.4 billion). Businesses are the largest performers of R&amp;D ($18.9 billion), then the higher education sector ($10.1 billion), the Australian Government ($2.3 billion), other governments ($1.1 billion) and private non-profits ($1.0 billion)." title="Figure 3.14: Major flows of R&amp;D investment, 20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 3.14.png"/>
                    <pic:cNvPicPr/>
                  </pic:nvPicPr>
                  <pic:blipFill>
                    <a:blip r:embed="rId130">
                      <a:extLst>
                        <a:ext uri="{28A0092B-C50C-407E-A947-70E740481C1C}">
                          <a14:useLocalDpi xmlns:a14="http://schemas.microsoft.com/office/drawing/2010/main" val="0"/>
                        </a:ext>
                      </a:extLst>
                    </a:blip>
                    <a:stretch>
                      <a:fillRect/>
                    </a:stretch>
                  </pic:blipFill>
                  <pic:spPr>
                    <a:xfrm>
                      <a:off x="0" y="0"/>
                      <a:ext cx="5687098" cy="6723332"/>
                    </a:xfrm>
                    <a:prstGeom prst="rect">
                      <a:avLst/>
                    </a:prstGeom>
                  </pic:spPr>
                </pic:pic>
              </a:graphicData>
            </a:graphic>
          </wp:inline>
        </w:drawing>
      </w:r>
    </w:p>
    <w:p w14:paraId="7418B1EE" w14:textId="77777777" w:rsidR="00D471AD" w:rsidRPr="001729A3" w:rsidRDefault="00D471AD" w:rsidP="00D471AD">
      <w:pPr>
        <w:pStyle w:val="Note"/>
        <w:rPr>
          <w:lang w:val="en-AU"/>
        </w:rPr>
      </w:pPr>
      <w:r w:rsidRPr="001729A3">
        <w:rPr>
          <w:lang w:val="en-AU"/>
        </w:rPr>
        <w:t>Notes: Flows of less than $400 million are not included in this figure for visual clarity.</w:t>
      </w:r>
    </w:p>
    <w:p w14:paraId="7418B1EF" w14:textId="77777777" w:rsidR="00D471AD" w:rsidRPr="001729A3" w:rsidRDefault="00D471AD" w:rsidP="00D471AD">
      <w:pPr>
        <w:pStyle w:val="Note"/>
        <w:rPr>
          <w:lang w:val="en-AU"/>
        </w:rPr>
      </w:pPr>
      <w:r w:rsidRPr="00C61CBB">
        <w:rPr>
          <w:lang w:val="en-AU"/>
        </w:rPr>
        <w:t>Source: ABS (2015</w:t>
      </w:r>
      <w:r w:rsidRPr="001B4199">
        <w:rPr>
          <w:i/>
          <w:lang w:val="en-AU"/>
        </w:rPr>
        <w:t>) Research and Experimental Development, Business, 2013–14</w:t>
      </w:r>
      <w:r w:rsidRPr="00C61CBB">
        <w:rPr>
          <w:lang w:val="en-AU"/>
        </w:rPr>
        <w:t xml:space="preserve">, cat no. 8104.0; ABS (2016) </w:t>
      </w:r>
      <w:r w:rsidRPr="001B4199">
        <w:rPr>
          <w:i/>
          <w:lang w:val="en-AU"/>
        </w:rPr>
        <w:t>Government and Private Non-Profit Organisations, 2014–15</w:t>
      </w:r>
      <w:r w:rsidRPr="00C61CBB">
        <w:rPr>
          <w:lang w:val="en-AU"/>
        </w:rPr>
        <w:t xml:space="preserve">, cat no. 8109; ABS (2016) </w:t>
      </w:r>
      <w:r w:rsidRPr="001B4199">
        <w:rPr>
          <w:i/>
          <w:lang w:val="en-AU"/>
        </w:rPr>
        <w:t>Higher Education Organisations, 2014</w:t>
      </w:r>
      <w:r w:rsidRPr="00C61CBB">
        <w:rPr>
          <w:lang w:val="en-AU"/>
        </w:rPr>
        <w:t xml:space="preserve">, cat no. 8111.0; Department of Industry, Innovation and Science (2016) </w:t>
      </w:r>
      <w:r w:rsidRPr="001B4199">
        <w:rPr>
          <w:i/>
          <w:lang w:val="en-AU"/>
        </w:rPr>
        <w:t>Science, Research and Innovation Budget tables 2016–17</w:t>
      </w:r>
    </w:p>
    <w:p w14:paraId="7418B1F0" w14:textId="77777777" w:rsidR="00D471AD" w:rsidRPr="000D502B" w:rsidRDefault="00D471AD" w:rsidP="00D471AD">
      <w:pPr>
        <w:pStyle w:val="ListNumber"/>
      </w:pPr>
    </w:p>
    <w:p w14:paraId="7418B1F1" w14:textId="77777777" w:rsidR="00D471AD" w:rsidRDefault="00D471AD" w:rsidP="00D471AD">
      <w:pPr>
        <w:pStyle w:val="ListNumber"/>
        <w:sectPr w:rsidR="00D471AD" w:rsidSect="00D471AD">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1F2" w14:textId="77777777" w:rsidR="00D471AD" w:rsidRPr="000D502B" w:rsidRDefault="00D471AD" w:rsidP="00D471AD">
      <w:pPr>
        <w:pStyle w:val="ListNumber"/>
        <w:sectPr w:rsidR="00D471AD" w:rsidRPr="000D502B" w:rsidSect="00D471AD">
          <w:footnotePr>
            <w:numFmt w:val="upperRoman"/>
          </w:footnotePr>
          <w:endnotePr>
            <w:numFmt w:val="decimal"/>
          </w:endnotePr>
          <w:pgSz w:w="11906" w:h="16838" w:code="9"/>
          <w:pgMar w:top="1440" w:right="1020" w:bottom="1440" w:left="992" w:header="709" w:footer="709" w:gutter="0"/>
          <w:cols w:space="708"/>
          <w:docGrid w:linePitch="360"/>
        </w:sectPr>
      </w:pPr>
    </w:p>
    <w:p w14:paraId="7418B1F3" w14:textId="77777777" w:rsidR="00D471AD" w:rsidRPr="000D502B" w:rsidRDefault="00D471AD" w:rsidP="00D471AD">
      <w:pPr>
        <w:pStyle w:val="Heading2"/>
      </w:pPr>
      <w:bookmarkStart w:id="1693" w:name="_Toc461174574"/>
      <w:bookmarkStart w:id="1694" w:name="_Toc461180128"/>
      <w:bookmarkStart w:id="1695" w:name="_Toc461180224"/>
      <w:bookmarkStart w:id="1696" w:name="_Toc461180516"/>
      <w:bookmarkStart w:id="1697" w:name="_Toc461180588"/>
      <w:bookmarkStart w:id="1698" w:name="_Toc461180637"/>
      <w:bookmarkStart w:id="1699" w:name="_Toc461183245"/>
      <w:bookmarkStart w:id="1700" w:name="_Toc461183297"/>
      <w:bookmarkStart w:id="1701" w:name="_Toc461183383"/>
      <w:bookmarkStart w:id="1702" w:name="_Toc461183840"/>
      <w:bookmarkStart w:id="1703" w:name="_Toc461184454"/>
      <w:bookmarkStart w:id="1704" w:name="_Toc461184559"/>
      <w:bookmarkStart w:id="1705" w:name="_Toc461186597"/>
      <w:bookmarkStart w:id="1706" w:name="_Toc461186914"/>
      <w:bookmarkStart w:id="1707" w:name="_Toc461187019"/>
      <w:bookmarkStart w:id="1708" w:name="_Toc461187270"/>
      <w:bookmarkStart w:id="1709" w:name="_Toc461198297"/>
      <w:bookmarkStart w:id="1710" w:name="_Toc461198839"/>
      <w:bookmarkStart w:id="1711" w:name="_Toc461204127"/>
      <w:bookmarkStart w:id="1712" w:name="_Toc461527581"/>
      <w:bookmarkStart w:id="1713" w:name="_Toc461624487"/>
      <w:bookmarkStart w:id="1714" w:name="_Toc461629712"/>
      <w:bookmarkStart w:id="1715" w:name="_Toc461633042"/>
      <w:bookmarkStart w:id="1716" w:name="_Toc461634312"/>
      <w:bookmarkStart w:id="1717" w:name="_Toc462230088"/>
      <w:bookmarkStart w:id="1718" w:name="_Toc462231449"/>
      <w:bookmarkStart w:id="1719" w:name="_Toc463013950"/>
      <w:bookmarkStart w:id="1720" w:name="_Toc463014059"/>
      <w:bookmarkStart w:id="1721" w:name="_Toc463014493"/>
      <w:bookmarkStart w:id="1722" w:name="_Toc463877026"/>
      <w:bookmarkStart w:id="1723" w:name="_Toc465862820"/>
      <w:r w:rsidRPr="000D502B">
        <w:t xml:space="preserve">Trends in </w:t>
      </w:r>
      <w:r>
        <w:t xml:space="preserve">business </w:t>
      </w:r>
      <w:r w:rsidRPr="000D502B">
        <w:t>expenditure on experimental development</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14:paraId="7418B1F4" w14:textId="77777777" w:rsidR="00D471AD" w:rsidRPr="001729A3" w:rsidRDefault="00D471AD" w:rsidP="00D471AD">
      <w:pPr>
        <w:pStyle w:val="BodyText"/>
      </w:pPr>
      <w:r w:rsidRPr="001729A3">
        <w:t xml:space="preserve">As experimental development is dedicated towards producing new materials, products or processes, it is most closely linked with creating innovation within businesses and across the economy. </w:t>
      </w:r>
    </w:p>
    <w:p w14:paraId="7418B1F5" w14:textId="77777777" w:rsidR="00D471AD" w:rsidRPr="001729A3" w:rsidRDefault="00D471AD" w:rsidP="00D471AD">
      <w:pPr>
        <w:pStyle w:val="BodyText"/>
      </w:pPr>
      <w:r w:rsidRPr="001729A3">
        <w:t xml:space="preserve">Business expenditure on experimental development increased from 0.57 to 0.75 per cent of GDP between 1996 and 2013. Compared to other OECD countries, Australia was ranked 10th in terms of business </w:t>
      </w:r>
      <w:r>
        <w:t xml:space="preserve">expenditure on </w:t>
      </w:r>
      <w:r w:rsidRPr="001729A3">
        <w:t>experimental development as a percentage of GDP in 2013.</w:t>
      </w:r>
    </w:p>
    <w:p w14:paraId="7418B1F6" w14:textId="77777777" w:rsidR="00D471AD" w:rsidRPr="001729A3" w:rsidRDefault="00D471AD" w:rsidP="00D471AD">
      <w:pPr>
        <w:pStyle w:val="BodyText"/>
      </w:pPr>
      <w:r w:rsidRPr="001729A3">
        <w:t xml:space="preserve">The Australian industry sector spent $11.5 billion on experimental development in 2013. </w:t>
      </w:r>
      <w:r>
        <w:t>F</w:t>
      </w:r>
      <w:r w:rsidRPr="001729A3">
        <w:t xml:space="preserve">ollowing the Global Financial Crisis of 2008-09, the ratio of business experimental development expenditure to GDP declined marginally. </w:t>
      </w:r>
      <w:r>
        <w:t>In comparison, t</w:t>
      </w:r>
      <w:r w:rsidRPr="001729A3">
        <w:t xml:space="preserve">he top five OECD countries experienced a significant increase in experimental development expenditure for businesses, increasing from 1.2 to 2.2 per cent of GDP over the same period. </w:t>
      </w:r>
    </w:p>
    <w:p w14:paraId="7418B1F7" w14:textId="77777777" w:rsidR="00D471AD" w:rsidRPr="001729A3" w:rsidRDefault="00D471AD" w:rsidP="00D471AD">
      <w:pPr>
        <w:pStyle w:val="BodyText"/>
      </w:pPr>
      <w:r w:rsidRPr="001729A3">
        <w:t>On average, businesses in OECD countries spent 0.85 per cent of GDP on experimental development, compared to 0.76 per cent for Australia (</w:t>
      </w:r>
      <w:r>
        <w:fldChar w:fldCharType="begin"/>
      </w:r>
      <w:r>
        <w:instrText xml:space="preserve"> REF _Ref463376742 \h </w:instrText>
      </w:r>
      <w:r>
        <w:fldChar w:fldCharType="separate"/>
      </w:r>
      <w:r w:rsidRPr="000D502B">
        <w:t xml:space="preserve">Figure </w:t>
      </w:r>
      <w:r>
        <w:rPr>
          <w:noProof/>
        </w:rPr>
        <w:t>3</w:t>
      </w:r>
      <w:r w:rsidRPr="000D502B">
        <w:t>.</w:t>
      </w:r>
      <w:r>
        <w:rPr>
          <w:noProof/>
        </w:rPr>
        <w:t>15</w:t>
      </w:r>
      <w:r>
        <w:fldChar w:fldCharType="end"/>
      </w:r>
      <w:r>
        <w:t xml:space="preserve"> and </w:t>
      </w:r>
      <w:r w:rsidRPr="001729A3">
        <w:fldChar w:fldCharType="begin"/>
      </w:r>
      <w:r w:rsidRPr="001729A3">
        <w:instrText xml:space="preserve"> REF _Ref461134594 \h </w:instrText>
      </w:r>
      <w:r w:rsidRPr="001729A3">
        <w:fldChar w:fldCharType="separate"/>
      </w:r>
      <w:r w:rsidRPr="000D502B">
        <w:t xml:space="preserve">Figure </w:t>
      </w:r>
      <w:r>
        <w:rPr>
          <w:noProof/>
        </w:rPr>
        <w:t>3</w:t>
      </w:r>
      <w:r w:rsidRPr="000D502B">
        <w:t>.</w:t>
      </w:r>
      <w:r>
        <w:rPr>
          <w:noProof/>
        </w:rPr>
        <w:t>16</w:t>
      </w:r>
      <w:r w:rsidRPr="001729A3">
        <w:fldChar w:fldCharType="end"/>
      </w:r>
      <w:r w:rsidRPr="001729A3">
        <w:t>).</w:t>
      </w:r>
    </w:p>
    <w:p w14:paraId="7418B1F8" w14:textId="77777777" w:rsidR="00D471AD" w:rsidRPr="000D502B" w:rsidRDefault="00D471AD" w:rsidP="00D471AD">
      <w:pPr>
        <w:pStyle w:val="Caption"/>
        <w:spacing w:before="120"/>
      </w:pPr>
      <w:bookmarkStart w:id="1724" w:name="_Ref463376742"/>
      <w:bookmarkStart w:id="1725" w:name="_Toc463013896"/>
      <w:bookmarkStart w:id="1726" w:name="_Toc463014005"/>
      <w:bookmarkStart w:id="1727" w:name="_Toc463014439"/>
      <w:bookmarkStart w:id="1728" w:name="_Toc463877079"/>
      <w:bookmarkStart w:id="1729" w:name="_Toc465864591"/>
      <w:r w:rsidRPr="000D502B">
        <w:t xml:space="preserve">Figure </w:t>
      </w:r>
      <w:fldSimple w:instr=" STYLEREF 1 \s ">
        <w:r>
          <w:rPr>
            <w:noProof/>
          </w:rPr>
          <w:t>3</w:t>
        </w:r>
      </w:fldSimple>
      <w:r w:rsidRPr="000D502B">
        <w:t>.</w:t>
      </w:r>
      <w:fldSimple w:instr=" SEQ Figure \* ARABIC \s 1 ">
        <w:r>
          <w:rPr>
            <w:noProof/>
          </w:rPr>
          <w:t>15</w:t>
        </w:r>
      </w:fldSimple>
      <w:bookmarkEnd w:id="1724"/>
      <w:r w:rsidRPr="000D502B">
        <w:t xml:space="preserve">: </w:t>
      </w:r>
      <w:r>
        <w:t xml:space="preserve">Business </w:t>
      </w:r>
      <w:r w:rsidRPr="000D502B">
        <w:t>experimental development as a percentage of GDP, 2013.</w:t>
      </w:r>
      <w:bookmarkEnd w:id="1725"/>
      <w:bookmarkEnd w:id="1726"/>
      <w:bookmarkEnd w:id="1727"/>
      <w:bookmarkEnd w:id="1728"/>
      <w:bookmarkEnd w:id="1729"/>
    </w:p>
    <w:p w14:paraId="7418B1F9" w14:textId="77777777" w:rsidR="00D471AD" w:rsidRPr="001729A3" w:rsidRDefault="00D471AD" w:rsidP="00D471AD">
      <w:pPr>
        <w:pStyle w:val="Note"/>
        <w:rPr>
          <w:lang w:val="en-AU"/>
        </w:rPr>
      </w:pPr>
      <w:r w:rsidRPr="000D502B">
        <w:rPr>
          <w:noProof/>
          <w:lang w:val="en-AU" w:eastAsia="en-AU"/>
        </w:rPr>
        <w:drawing>
          <wp:inline distT="0" distB="0" distL="0" distR="0" wp14:anchorId="7418C64F" wp14:editId="7418C650">
            <wp:extent cx="2987040" cy="2164080"/>
            <wp:effectExtent l="0" t="0" r="3810" b="7620"/>
            <wp:docPr id="39" name="Picture 39" descr="Figure 3.15 shows international comparisons of business experimental development, as a percentage of GDP, for 2013. Australia’s proportion is 0.76, compared to an OECD average of 0.85, and an OECD top five average of 2.21." title="Figure 3.15: Business experimental development as a percentage of GDP,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87040" cy="2164080"/>
                    </a:xfrm>
                    <a:prstGeom prst="rect">
                      <a:avLst/>
                    </a:prstGeom>
                    <a:noFill/>
                  </pic:spPr>
                </pic:pic>
              </a:graphicData>
            </a:graphic>
          </wp:inline>
        </w:drawing>
      </w:r>
    </w:p>
    <w:p w14:paraId="7418B1FA" w14:textId="77777777" w:rsidR="00D471AD" w:rsidRDefault="00D471AD" w:rsidP="00D471AD">
      <w:pPr>
        <w:pStyle w:val="Source"/>
        <w:rPr>
          <w:lang w:val="en-GB"/>
        </w:rPr>
      </w:pPr>
      <w:r>
        <w:rPr>
          <w:lang w:val="en-GB"/>
        </w:rPr>
        <w:t xml:space="preserve">Notes: The OECD top five countries are </w:t>
      </w:r>
      <w:r w:rsidRPr="00A63B9E">
        <w:rPr>
          <w:lang w:val="en-GB"/>
        </w:rPr>
        <w:t>Israel, Korea, Japan, Sweden and Finland</w:t>
      </w:r>
      <w:r>
        <w:rPr>
          <w:lang w:val="en-GB"/>
        </w:rPr>
        <w:t>.</w:t>
      </w:r>
    </w:p>
    <w:p w14:paraId="7418B1FB" w14:textId="77777777" w:rsidR="00D471AD" w:rsidRPr="001729A3" w:rsidRDefault="00D471AD" w:rsidP="00D471AD">
      <w:pPr>
        <w:pStyle w:val="Source"/>
        <w:rPr>
          <w:lang w:val="en-AU"/>
        </w:rPr>
      </w:pPr>
      <w:r w:rsidRPr="001729A3">
        <w:rPr>
          <w:lang w:val="en-AU"/>
        </w:rPr>
        <w:t>Source: United Nations Educational, Scientific and Cultural Organization and World Development Indicators from the World Bank.</w:t>
      </w:r>
    </w:p>
    <w:p w14:paraId="7418B1FC" w14:textId="77777777" w:rsidR="00D471AD" w:rsidRPr="000D502B" w:rsidRDefault="00D471AD" w:rsidP="00D471AD">
      <w:pPr>
        <w:pStyle w:val="BodyText"/>
      </w:pPr>
    </w:p>
    <w:p w14:paraId="7418B1FD" w14:textId="77777777" w:rsidR="00D471AD" w:rsidRPr="000D502B" w:rsidRDefault="00D471AD" w:rsidP="00D471AD">
      <w:pPr>
        <w:pStyle w:val="ListNumber"/>
        <w:sectPr w:rsidR="00D471AD" w:rsidRPr="000D502B" w:rsidSect="00D471AD">
          <w:footnotePr>
            <w:numFmt w:val="upperRoman"/>
          </w:footnotePr>
          <w:endnotePr>
            <w:numFmt w:val="decimal"/>
          </w:endnotePr>
          <w:type w:val="continuous"/>
          <w:pgSz w:w="11906" w:h="16838" w:code="9"/>
          <w:pgMar w:top="1440" w:right="1020" w:bottom="1440" w:left="992" w:header="709" w:footer="709" w:gutter="0"/>
          <w:cols w:num="2" w:space="708"/>
          <w:docGrid w:linePitch="360"/>
        </w:sectPr>
      </w:pPr>
    </w:p>
    <w:p w14:paraId="7418B1FE" w14:textId="77777777" w:rsidR="00D471AD" w:rsidRPr="000D502B" w:rsidRDefault="00D471AD" w:rsidP="00D471AD">
      <w:pPr>
        <w:pStyle w:val="ListNumber"/>
      </w:pPr>
    </w:p>
    <w:p w14:paraId="7418B1FF" w14:textId="77777777" w:rsidR="00D471AD" w:rsidRPr="000D502B" w:rsidRDefault="00D471AD" w:rsidP="00D471AD">
      <w:pPr>
        <w:pStyle w:val="ListNumber"/>
        <w:sectPr w:rsidR="00D471AD" w:rsidRPr="000D502B" w:rsidSect="00D471AD">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200" w14:textId="77777777" w:rsidR="00D471AD" w:rsidRPr="000D502B" w:rsidRDefault="00D471AD" w:rsidP="00D471AD">
      <w:pPr>
        <w:pStyle w:val="Caption"/>
      </w:pPr>
      <w:bookmarkStart w:id="1730" w:name="_Ref461134594"/>
      <w:bookmarkStart w:id="1731" w:name="_Toc461198246"/>
      <w:bookmarkStart w:id="1732" w:name="_Toc461198788"/>
      <w:bookmarkStart w:id="1733" w:name="_Toc461204076"/>
      <w:bookmarkStart w:id="1734" w:name="_Toc461527518"/>
      <w:bookmarkStart w:id="1735" w:name="_Toc461539553"/>
      <w:bookmarkStart w:id="1736" w:name="_Toc461541670"/>
      <w:bookmarkStart w:id="1737" w:name="_Toc461545425"/>
      <w:bookmarkStart w:id="1738" w:name="_Toc461624421"/>
      <w:bookmarkStart w:id="1739" w:name="_Toc461629646"/>
      <w:bookmarkStart w:id="1740" w:name="_Toc461632976"/>
      <w:bookmarkStart w:id="1741" w:name="_Toc461634246"/>
      <w:bookmarkStart w:id="1742" w:name="_Toc463013897"/>
      <w:bookmarkStart w:id="1743" w:name="_Toc463014006"/>
      <w:bookmarkStart w:id="1744" w:name="_Toc463014440"/>
      <w:bookmarkStart w:id="1745" w:name="_Toc463877080"/>
      <w:bookmarkStart w:id="1746" w:name="_Toc465864592"/>
      <w:r w:rsidRPr="000D502B">
        <w:t xml:space="preserve">Figure </w:t>
      </w:r>
      <w:fldSimple w:instr=" STYLEREF 1 \s ">
        <w:r>
          <w:rPr>
            <w:noProof/>
          </w:rPr>
          <w:t>3</w:t>
        </w:r>
      </w:fldSimple>
      <w:r w:rsidRPr="000D502B">
        <w:t>.</w:t>
      </w:r>
      <w:fldSimple w:instr=" SEQ Figure \* ARABIC \s 1 ">
        <w:r>
          <w:rPr>
            <w:noProof/>
          </w:rPr>
          <w:t>16</w:t>
        </w:r>
      </w:fldSimple>
      <w:bookmarkEnd w:id="1730"/>
      <w:r w:rsidRPr="000D502B">
        <w:t xml:space="preserve">: </w:t>
      </w:r>
      <w:r>
        <w:t xml:space="preserve">Business </w:t>
      </w:r>
      <w:r w:rsidRPr="000D502B">
        <w:t xml:space="preserve">expenditure on experimental development as a </w:t>
      </w:r>
      <w:r>
        <w:t xml:space="preserve">percentage </w:t>
      </w:r>
      <w:r w:rsidRPr="000D502B">
        <w:t>of GDP, 1996–2013.</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14:paraId="7418B201" w14:textId="77777777" w:rsidR="00D471AD" w:rsidRPr="001729A3" w:rsidRDefault="00D471AD" w:rsidP="00D471AD">
      <w:pPr>
        <w:pStyle w:val="Note"/>
        <w:rPr>
          <w:lang w:val="en-AU"/>
        </w:rPr>
      </w:pPr>
      <w:r>
        <w:rPr>
          <w:noProof/>
          <w:lang w:val="en-AU" w:eastAsia="en-AU"/>
        </w:rPr>
        <w:drawing>
          <wp:inline distT="0" distB="0" distL="0" distR="0" wp14:anchorId="7418C651" wp14:editId="7418C652">
            <wp:extent cx="6303645" cy="3322320"/>
            <wp:effectExtent l="0" t="0" r="1905" b="0"/>
            <wp:docPr id="29" name="Picture 29" descr="Figure 3.16 shows is a line graph showing international comparisons of business expenditure on R&amp;D (BERD) as a percentage of GDP between 1996 and 2013. It shows that Australia’s BERD to GDP ratio is quite similar to the OECD average, although well below the average of the top five OECD countries. In 1996 the ratios for Australia, the OECD average and the OECD top five were 0.57, 0.72 and 1.24 respectively. In 2013 these had increased to 0.76, 0.83 and 2.21, respectively." title="Figure 3.16: Business expenditure on experimental development as a percentage of GDP, 1996–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03645" cy="3322320"/>
                    </a:xfrm>
                    <a:prstGeom prst="rect">
                      <a:avLst/>
                    </a:prstGeom>
                    <a:noFill/>
                  </pic:spPr>
                </pic:pic>
              </a:graphicData>
            </a:graphic>
          </wp:inline>
        </w:drawing>
      </w:r>
    </w:p>
    <w:p w14:paraId="7418B202" w14:textId="77777777" w:rsidR="00D471AD" w:rsidRPr="001729A3" w:rsidRDefault="00D471AD" w:rsidP="00D471AD">
      <w:pPr>
        <w:pStyle w:val="Source"/>
        <w:rPr>
          <w:lang w:val="en-AU"/>
        </w:rPr>
      </w:pPr>
      <w:r w:rsidRPr="001729A3">
        <w:rPr>
          <w:lang w:val="en-AU"/>
        </w:rPr>
        <w:t xml:space="preserve">Source: United Nations Educational, Scientific and Cultural </w:t>
      </w:r>
      <w:r>
        <w:rPr>
          <w:lang w:val="en-AU"/>
        </w:rPr>
        <w:t>O</w:t>
      </w:r>
      <w:r w:rsidRPr="001729A3">
        <w:rPr>
          <w:lang w:val="en-AU"/>
        </w:rPr>
        <w:t>rganization and World Development Indicators from the World Bank.</w:t>
      </w:r>
    </w:p>
    <w:p w14:paraId="7418B203" w14:textId="77777777" w:rsidR="00D471AD" w:rsidRPr="001729A3" w:rsidRDefault="00D471AD" w:rsidP="00D471AD">
      <w:pPr>
        <w:pStyle w:val="Source"/>
        <w:rPr>
          <w:lang w:val="en-AU"/>
        </w:rPr>
      </w:pPr>
      <w:r w:rsidRPr="001729A3">
        <w:rPr>
          <w:lang w:val="en-AU"/>
        </w:rPr>
        <w:t xml:space="preserve">Notes: Prior to 2006, data for Australia is only available every two years. </w:t>
      </w:r>
      <w:r>
        <w:rPr>
          <w:lang w:val="en-GB"/>
        </w:rPr>
        <w:t>Data not available for all OECD countries.</w:t>
      </w:r>
    </w:p>
    <w:p w14:paraId="7418B204" w14:textId="77777777" w:rsidR="00D471AD" w:rsidRDefault="00D471AD" w:rsidP="00D471AD">
      <w:pPr>
        <w:pStyle w:val="Source"/>
        <w:sectPr w:rsidR="00D471AD" w:rsidSect="00D471AD">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205" w14:textId="77777777" w:rsidR="00D471AD" w:rsidRPr="000D502B" w:rsidRDefault="00D471AD" w:rsidP="00D471AD">
      <w:pPr>
        <w:pStyle w:val="Heading2"/>
      </w:pPr>
      <w:bookmarkStart w:id="1747" w:name="_Toc462230089"/>
      <w:bookmarkStart w:id="1748" w:name="_Toc462231450"/>
      <w:bookmarkStart w:id="1749" w:name="_Toc463013951"/>
      <w:bookmarkStart w:id="1750" w:name="_Toc463014060"/>
      <w:bookmarkStart w:id="1751" w:name="_Toc463014494"/>
      <w:bookmarkStart w:id="1752" w:name="_Toc463877027"/>
      <w:bookmarkStart w:id="1753" w:name="_Toc465862821"/>
      <w:bookmarkStart w:id="1754" w:name="_Toc461624488"/>
      <w:bookmarkStart w:id="1755" w:name="_Toc461629713"/>
      <w:bookmarkStart w:id="1756" w:name="_Toc461633043"/>
      <w:bookmarkStart w:id="1757" w:name="_Toc461634313"/>
      <w:r>
        <w:t>Innovation activity is clustered in cities</w:t>
      </w:r>
      <w:bookmarkEnd w:id="1747"/>
      <w:bookmarkEnd w:id="1748"/>
      <w:bookmarkEnd w:id="1749"/>
      <w:bookmarkEnd w:id="1750"/>
      <w:bookmarkEnd w:id="1751"/>
      <w:bookmarkEnd w:id="1752"/>
      <w:bookmarkEnd w:id="1753"/>
    </w:p>
    <w:p w14:paraId="7418B206" w14:textId="77777777" w:rsidR="00D471AD" w:rsidRPr="001729A3" w:rsidRDefault="00D471AD" w:rsidP="00D471AD">
      <w:pPr>
        <w:pStyle w:val="BodyText"/>
      </w:pPr>
      <w:r w:rsidRPr="001729A3">
        <w:t xml:space="preserve">Framework conditions are often national, reflecting the specific path of technological, economic and social development of a country. At a regional level, the innovation system is often described as an ecosystem so as to highlight the interdependency of its components and the evolutionary processes that drive regional development. This ecosystem view is increasingly used to frame policy problems in terms of the health of a regional innovation system, and to identify the gaps by referencing best practices in other regions.  We recently introduced the </w:t>
      </w:r>
      <w:r w:rsidRPr="001729A3">
        <w:rPr>
          <w:i/>
        </w:rPr>
        <w:t>National Innovation Map</w:t>
      </w:r>
      <w:r w:rsidRPr="001729A3">
        <w:t xml:space="preserve"> to reveal the geography of innovation in Australia and improve our understanding of the innovation ecosystem. </w:t>
      </w:r>
    </w:p>
    <w:p w14:paraId="7418B207" w14:textId="77777777" w:rsidR="00D471AD" w:rsidRPr="001729A3" w:rsidRDefault="00D471AD" w:rsidP="00D471AD">
      <w:pPr>
        <w:pStyle w:val="BodyText"/>
      </w:pPr>
      <w:r w:rsidRPr="001729A3">
        <w:t>This map is an online visualisation tool that highlights differences in innovation and entrepreneurial performance between regions at the SA3 level (Definition 3.4).</w:t>
      </w:r>
    </w:p>
    <w:p w14:paraId="7418B208" w14:textId="77777777" w:rsidR="00D471AD" w:rsidRPr="001729A3" w:rsidRDefault="00D471AD" w:rsidP="00D471AD">
      <w:pPr>
        <w:pStyle w:val="BodyText"/>
      </w:pPr>
      <w:r w:rsidRPr="001729A3">
        <w:t>Research on the geography of innovation activity has highlighted clusters as an important factor contributing to national competitiveness. Close proximity to areas of dense economic activity can induce stronger competition between businesses. This in turn encourages innovation and resource efficiency. Businesses cluster to share resources, including knowledge. Close proximity also reduces transport and communication costs and increases the scope for differentiation and market experimentation in the pursuit of innovation</w:t>
      </w:r>
      <w:r>
        <w:t>-</w:t>
      </w:r>
      <w:r w:rsidRPr="001729A3">
        <w:t>driven comparative advantage.</w:t>
      </w:r>
    </w:p>
    <w:p w14:paraId="7418B209" w14:textId="77777777" w:rsidR="00D471AD" w:rsidRPr="000D502B" w:rsidRDefault="00D471AD" w:rsidP="00D471AD">
      <w:pPr>
        <w:pStyle w:val="Caption"/>
        <w:spacing w:before="120"/>
      </w:pPr>
      <w:r w:rsidRPr="000D502B">
        <w:t xml:space="preserve">Definition </w:t>
      </w:r>
      <w:fldSimple w:instr=" STYLEREF 1 \s ">
        <w:r>
          <w:rPr>
            <w:noProof/>
          </w:rPr>
          <w:t>3</w:t>
        </w:r>
      </w:fldSimple>
      <w:r w:rsidRPr="000D502B">
        <w:t>.</w:t>
      </w:r>
      <w:fldSimple w:instr=" SEQ Definition \* ARABIC \s 1 ">
        <w:r>
          <w:rPr>
            <w:noProof/>
          </w:rPr>
          <w:t>4</w:t>
        </w:r>
      </w:fldSimple>
      <w:r w:rsidRPr="000D502B">
        <w:t>: What is SA3?</w:t>
      </w:r>
    </w:p>
    <w:tbl>
      <w:tblPr>
        <w:tblStyle w:val="OCETable"/>
        <w:tblW w:w="5000" w:type="pct"/>
        <w:tblInd w:w="57" w:type="dxa"/>
        <w:tblLayout w:type="fixed"/>
        <w:tblLook w:val="04A0" w:firstRow="1" w:lastRow="0" w:firstColumn="1" w:lastColumn="0" w:noHBand="0" w:noVBand="1"/>
        <w:tblCaption w:val="What is SA3? "/>
        <w:tblDescription w:val="Statistical Area level 3 (SA3) is a standardised regional breakup of Australia. There are 333 SA3 spatial units. In aggregate, they cover the whole of Australia without gaps or overlaps. In general, the SA3s are designed to have populations between 30 000 and 130 000 persons, however these boundaries can be varied to contain more significant and meaningful regional areas. As a result, there are a number of SA3s with populations above 130 000 or below 30 000. SA3s do not cross state and territory borders. &#10;Since the National Innovation Map was published, the ABS has since released an updated Statistical Geography Standard for SA3.&#10;"/>
      </w:tblPr>
      <w:tblGrid>
        <w:gridCol w:w="4593"/>
      </w:tblGrid>
      <w:tr w:rsidR="00D471AD" w:rsidRPr="000D502B" w14:paraId="7418B20C"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Mar>
              <w:left w:w="0" w:type="dxa"/>
              <w:right w:w="0" w:type="dxa"/>
            </w:tcMar>
          </w:tcPr>
          <w:p w14:paraId="7418B20A" w14:textId="77777777" w:rsidR="00D471AD" w:rsidRPr="00882E31" w:rsidRDefault="00D471AD" w:rsidP="004A31A9">
            <w:pPr>
              <w:pStyle w:val="Definitiontext"/>
              <w:rPr>
                <w:lang w:val="en-AU"/>
              </w:rPr>
            </w:pPr>
            <w:r w:rsidRPr="00882E31">
              <w:rPr>
                <w:lang w:val="en-AU"/>
              </w:rPr>
              <w:t xml:space="preserve">Statistical Area level 3 (SA3) is a standardised regional breakup of Australia. There are 333 SA3 spatial units. In aggregate, they cover the whole of Australia without gaps or overlaps. In general, the SA3s are designed to have populations between 30 000 and 130 000 persons, however these boundaries can be varied to contain more significant and meaningful regional areas. As a result, there are a number of SA3s with populations above 130 000 or below 30 000. SA3s do not cross state and territory borders. </w:t>
            </w:r>
          </w:p>
          <w:p w14:paraId="7418B20B" w14:textId="77777777" w:rsidR="00D471AD" w:rsidRPr="006B2DBA" w:rsidRDefault="00D471AD" w:rsidP="004A31A9">
            <w:pPr>
              <w:pStyle w:val="Definitiontext"/>
              <w:spacing w:after="113"/>
              <w:rPr>
                <w:i/>
                <w:lang w:val="en-AU"/>
              </w:rPr>
            </w:pPr>
            <w:r w:rsidRPr="00882E31">
              <w:rPr>
                <w:lang w:val="en-AU"/>
              </w:rPr>
              <w:t>Since the National Innovation Map was published, the ABS has since released an updated Statistical Geography Standard for SA3</w:t>
            </w:r>
            <w:r w:rsidRPr="00882E31">
              <w:rPr>
                <w:i/>
                <w:lang w:val="en-AU"/>
              </w:rPr>
              <w:t>.</w:t>
            </w:r>
          </w:p>
        </w:tc>
      </w:tr>
    </w:tbl>
    <w:p w14:paraId="7418B20D" w14:textId="77777777" w:rsidR="00D471AD" w:rsidRPr="001729A3" w:rsidRDefault="00D471AD" w:rsidP="00D471AD">
      <w:pPr>
        <w:pStyle w:val="Source"/>
        <w:rPr>
          <w:lang w:val="en-AU"/>
        </w:rPr>
      </w:pPr>
      <w:r w:rsidRPr="001729A3">
        <w:rPr>
          <w:lang w:val="en-AU"/>
        </w:rPr>
        <w:t>Source: ABS (2010) Australian Statistical Geography Standard. Cat. No. 1270.0</w:t>
      </w:r>
    </w:p>
    <w:p w14:paraId="7418B20E" w14:textId="77777777" w:rsidR="00D471AD" w:rsidRPr="001729A3" w:rsidRDefault="00D471AD" w:rsidP="00D471AD">
      <w:pPr>
        <w:pStyle w:val="BodyText"/>
      </w:pPr>
      <w:r w:rsidRPr="001729A3">
        <w:t>The map uses administrative data to plot patents, trademarks, business entries/exits and business expenditure on R&amp;D (BERD) to provide a picture of the level and location of innovative entrepreneurship in Australia. All indicators of innovation activity have some degree of skewness towards major cities</w:t>
      </w:r>
      <w:r>
        <w:t>,</w:t>
      </w:r>
      <w:r w:rsidRPr="001729A3">
        <w:t xml:space="preserve"> in part attributable to the location of companies’ head offices or the location of offices where the IP or R&amp;D is being registered.</w:t>
      </w:r>
    </w:p>
    <w:p w14:paraId="7418B20F" w14:textId="77777777" w:rsidR="00D471AD" w:rsidRPr="001729A3" w:rsidRDefault="00D471AD" w:rsidP="00D471AD">
      <w:pPr>
        <w:pStyle w:val="BodyText"/>
      </w:pPr>
      <w:r w:rsidRPr="001729A3">
        <w:t>Section 3.5 shows that in most countries, almost 100 per cent of R&amp;D active businesses are also innovative businesses. Together with patent and trademark data</w:t>
      </w:r>
      <w:r>
        <w:t>,</w:t>
      </w:r>
      <w:r w:rsidRPr="001729A3">
        <w:t xml:space="preserve"> the map gives a strong signal of business innovation by region. </w:t>
      </w:r>
    </w:p>
    <w:p w14:paraId="7418B210" w14:textId="77777777" w:rsidR="00D471AD" w:rsidRPr="001729A3" w:rsidRDefault="00D471AD" w:rsidP="00D471AD">
      <w:pPr>
        <w:pStyle w:val="BodyText"/>
      </w:pPr>
      <w:r w:rsidRPr="001729A3">
        <w:t xml:space="preserve">The map shows that the majority of innovation activity occurs in Australia’s capital cities. This is not surprising, considering 70 per cent of Australia’s population is concentrated within five major cities. However, close analysis of the map and associated data show that there are pockets of strong regional innovation activity. </w:t>
      </w:r>
    </w:p>
    <w:p w14:paraId="7418B211" w14:textId="77777777" w:rsidR="00D471AD" w:rsidRPr="001729A3" w:rsidRDefault="00D471AD" w:rsidP="00D471AD">
      <w:pPr>
        <w:pStyle w:val="BodyText"/>
      </w:pPr>
      <w:r w:rsidRPr="001729A3">
        <w:t>High levels of BERD have occurred in regional areas despite their lower population density (</w:t>
      </w:r>
      <w:r w:rsidRPr="001729A3">
        <w:fldChar w:fldCharType="begin"/>
      </w:r>
      <w:r w:rsidRPr="001729A3">
        <w:instrText xml:space="preserve"> REF _Ref461112970 \h </w:instrText>
      </w:r>
      <w:r w:rsidRPr="001729A3">
        <w:fldChar w:fldCharType="separate"/>
      </w:r>
      <w:r w:rsidRPr="000D502B">
        <w:t xml:space="preserve">Figure </w:t>
      </w:r>
      <w:r>
        <w:rPr>
          <w:noProof/>
        </w:rPr>
        <w:t>3</w:t>
      </w:r>
      <w:r w:rsidRPr="000D502B">
        <w:t>.</w:t>
      </w:r>
      <w:r>
        <w:rPr>
          <w:noProof/>
        </w:rPr>
        <w:t>17</w:t>
      </w:r>
      <w:r w:rsidRPr="001729A3">
        <w:fldChar w:fldCharType="end"/>
      </w:r>
      <w:r w:rsidRPr="001729A3">
        <w:t>). This may be partly explained by the mining sector, which during the 2008–12 period ha</w:t>
      </w:r>
      <w:r>
        <w:t>d</w:t>
      </w:r>
      <w:r w:rsidRPr="001729A3">
        <w:t xml:space="preserve"> a high share of BERD. However, the latest data for 2013–14 shows that mining R&amp;D is decreasing</w:t>
      </w:r>
      <w:r>
        <w:t>,</w:t>
      </w:r>
      <w:r w:rsidRPr="001729A3">
        <w:t xml:space="preserve"> with some evidence that regional R&amp;D is also declining.</w:t>
      </w:r>
    </w:p>
    <w:p w14:paraId="7418B212" w14:textId="77777777" w:rsidR="00D471AD" w:rsidRPr="001729A3" w:rsidRDefault="00D471AD" w:rsidP="00D471AD">
      <w:pPr>
        <w:pStyle w:val="BodyText"/>
      </w:pPr>
      <w:r w:rsidRPr="001729A3">
        <w:t>Patents and trademarks demonstrate the likely arrival of new technologies and products in the marketplace</w:t>
      </w:r>
      <w:r>
        <w:t>,</w:t>
      </w:r>
      <w:r w:rsidRPr="001729A3">
        <w:t xml:space="preserve"> and are intermediate output measures of innovation activity.</w:t>
      </w:r>
    </w:p>
    <w:p w14:paraId="7418B213" w14:textId="77777777" w:rsidR="00D471AD" w:rsidRPr="001729A3" w:rsidRDefault="00D471AD" w:rsidP="00D471AD">
      <w:pPr>
        <w:pStyle w:val="BodyText"/>
      </w:pPr>
      <w:r w:rsidRPr="001729A3">
        <w:fldChar w:fldCharType="begin"/>
      </w:r>
      <w:r w:rsidRPr="001729A3">
        <w:instrText xml:space="preserve"> REF _Ref461113583 \h </w:instrText>
      </w:r>
      <w:r w:rsidRPr="001729A3">
        <w:fldChar w:fldCharType="separate"/>
      </w:r>
      <w:r w:rsidRPr="000D502B">
        <w:t xml:space="preserve">Figure </w:t>
      </w:r>
      <w:r>
        <w:rPr>
          <w:noProof/>
        </w:rPr>
        <w:t>3</w:t>
      </w:r>
      <w:r w:rsidRPr="000D502B">
        <w:t>.</w:t>
      </w:r>
      <w:r>
        <w:rPr>
          <w:noProof/>
        </w:rPr>
        <w:t>18</w:t>
      </w:r>
      <w:r w:rsidRPr="001729A3">
        <w:fldChar w:fldCharType="end"/>
      </w:r>
      <w:r w:rsidRPr="001729A3">
        <w:t xml:space="preserve"> shows the distribution of patent applications per 10 000 inhabitants</w:t>
      </w:r>
      <w:r>
        <w:t>,</w:t>
      </w:r>
      <w:r w:rsidRPr="001729A3">
        <w:t xml:space="preserve"> and confirms the expected hypothesis that patents are concentrated in more populous regions or cities. </w:t>
      </w:r>
    </w:p>
    <w:p w14:paraId="7418B214" w14:textId="77777777" w:rsidR="00D471AD" w:rsidRPr="001729A3" w:rsidRDefault="00D471AD" w:rsidP="00D471AD">
      <w:pPr>
        <w:pStyle w:val="BodyText"/>
      </w:pPr>
      <w:r w:rsidRPr="001729A3">
        <w:t xml:space="preserve">The online map also shows entrepreneurship churn (the sum of business entries and exits), which has been positively associated with innovation activity as innovative businesses enter markets and compete with incumbents, forcing out less productive businesses. </w:t>
      </w:r>
    </w:p>
    <w:p w14:paraId="7418B215" w14:textId="77777777" w:rsidR="00D471AD" w:rsidRPr="001729A3" w:rsidRDefault="00D471AD" w:rsidP="00D471AD">
      <w:pPr>
        <w:pStyle w:val="BodyText"/>
      </w:pPr>
      <w:r w:rsidRPr="001729A3">
        <w:t>Our research using the maps has found that:</w:t>
      </w:r>
    </w:p>
    <w:p w14:paraId="7418B216" w14:textId="77777777" w:rsidR="00D471AD" w:rsidRPr="001729A3" w:rsidRDefault="00D471AD" w:rsidP="00D471AD">
      <w:pPr>
        <w:pStyle w:val="ListBullet3"/>
        <w:numPr>
          <w:ilvl w:val="0"/>
          <w:numId w:val="12"/>
        </w:numPr>
      </w:pPr>
      <w:r w:rsidRPr="001729A3">
        <w:t>The presence of industry-facing research organisations like CSIRO or Cooperative Research Centres have a positive influence on regional innovation.</w:t>
      </w:r>
    </w:p>
    <w:p w14:paraId="7418B217" w14:textId="77777777" w:rsidR="00D471AD" w:rsidRPr="001729A3" w:rsidRDefault="00D471AD" w:rsidP="00D471AD">
      <w:pPr>
        <w:pStyle w:val="ListBullet3"/>
        <w:numPr>
          <w:ilvl w:val="0"/>
          <w:numId w:val="12"/>
        </w:numPr>
      </w:pPr>
      <w:r w:rsidRPr="001729A3">
        <w:t xml:space="preserve">There are no regions in Australia where high </w:t>
      </w:r>
      <w:r>
        <w:t>IP</w:t>
      </w:r>
      <w:r w:rsidRPr="001729A3">
        <w:t xml:space="preserve"> generation does not occur in tandem with high entrepreneurship.</w:t>
      </w:r>
    </w:p>
    <w:p w14:paraId="7418B218" w14:textId="77777777" w:rsidR="00D471AD" w:rsidRPr="001729A3" w:rsidRDefault="00D471AD" w:rsidP="00D471AD">
      <w:pPr>
        <w:pStyle w:val="ListBullet3"/>
        <w:numPr>
          <w:ilvl w:val="0"/>
          <w:numId w:val="12"/>
        </w:numPr>
      </w:pPr>
      <w:r w:rsidRPr="001729A3">
        <w:t>For every one per cent increase in R&amp;D expenditure, a 0.35 per cent increase was observed in patent applicant counts and a 0.40 per cent increase in trademark applicant counts.</w:t>
      </w:r>
    </w:p>
    <w:p w14:paraId="7418B219" w14:textId="77777777" w:rsidR="00D471AD" w:rsidRPr="00924CA6" w:rsidRDefault="00D471AD" w:rsidP="00D471AD">
      <w:pPr>
        <w:pStyle w:val="heading3new"/>
      </w:pPr>
      <w:bookmarkStart w:id="1758" w:name="_Toc461527555"/>
      <w:bookmarkStart w:id="1759" w:name="_Toc461624459"/>
      <w:bookmarkStart w:id="1760" w:name="_Toc461629684"/>
      <w:bookmarkStart w:id="1761" w:name="_Toc461633014"/>
      <w:bookmarkStart w:id="1762" w:name="_Toc461634284"/>
      <w:bookmarkStart w:id="1763" w:name="_Toc462230090"/>
      <w:bookmarkStart w:id="1764" w:name="_Toc462231451"/>
      <w:bookmarkStart w:id="1765" w:name="_Toc463013952"/>
      <w:bookmarkStart w:id="1766" w:name="_Toc463014061"/>
      <w:bookmarkStart w:id="1767" w:name="_Toc463014495"/>
      <w:bookmarkStart w:id="1768" w:name="_Toc463877028"/>
      <w:bookmarkStart w:id="1769" w:name="_Toc465862822"/>
      <w:r w:rsidRPr="00924CA6">
        <w:t>Refining the map</w:t>
      </w:r>
      <w:bookmarkEnd w:id="1758"/>
      <w:bookmarkEnd w:id="1759"/>
      <w:bookmarkEnd w:id="1760"/>
      <w:bookmarkEnd w:id="1761"/>
      <w:bookmarkEnd w:id="1762"/>
      <w:bookmarkEnd w:id="1763"/>
      <w:bookmarkEnd w:id="1764"/>
      <w:bookmarkEnd w:id="1765"/>
      <w:bookmarkEnd w:id="1766"/>
      <w:bookmarkEnd w:id="1767"/>
      <w:bookmarkEnd w:id="1768"/>
      <w:bookmarkEnd w:id="1769"/>
    </w:p>
    <w:p w14:paraId="7418B21A" w14:textId="77777777" w:rsidR="00D471AD" w:rsidRPr="001729A3" w:rsidRDefault="00D471AD" w:rsidP="00D471AD">
      <w:pPr>
        <w:pStyle w:val="BodyText"/>
      </w:pPr>
      <w:r w:rsidRPr="001729A3">
        <w:t>Since the initial release of the map</w:t>
      </w:r>
      <w:r>
        <w:t>,</w:t>
      </w:r>
      <w:r w:rsidRPr="001729A3">
        <w:t xml:space="preserve"> we have continued to work towards improving the measures in it. For example, we have increased our use of geocoding within the dataset, as previously all of the datasets had been matched using postcodes. IP Australia has since released some geocoding information for their patents and trademarks data</w:t>
      </w:r>
      <w:r>
        <w:t>,</w:t>
      </w:r>
      <w:r w:rsidRPr="001729A3">
        <w:t xml:space="preserve"> which has enabled us to increase the use of geocoding and thus provide greater precision in locating data within their correct SA3. </w:t>
      </w:r>
    </w:p>
    <w:p w14:paraId="7418B21B" w14:textId="77777777" w:rsidR="00D471AD" w:rsidRPr="001729A3" w:rsidRDefault="00D471AD" w:rsidP="00D471AD">
      <w:pPr>
        <w:pStyle w:val="BodyText"/>
      </w:pPr>
      <w:r w:rsidRPr="001729A3">
        <w:t xml:space="preserve">The National Innovation Map will continue to be updated and improved. You can explore the map </w:t>
      </w:r>
      <w:hyperlink r:id="rId133" w:history="1">
        <w:r w:rsidRPr="001729A3">
          <w:rPr>
            <w:rStyle w:val="Hyperlink"/>
          </w:rPr>
          <w:t>here</w:t>
        </w:r>
      </w:hyperlink>
      <w:r w:rsidRPr="001729A3">
        <w:t>.</w:t>
      </w:r>
      <w:r w:rsidRPr="001729A3">
        <w:rPr>
          <w:rStyle w:val="EndnoteReference"/>
        </w:rPr>
        <w:endnoteReference w:id="45"/>
      </w:r>
    </w:p>
    <w:p w14:paraId="7418B21C" w14:textId="77777777" w:rsidR="00D471AD" w:rsidRPr="001729A3" w:rsidRDefault="00D471AD" w:rsidP="00D471AD">
      <w:pPr>
        <w:pStyle w:val="BodyText"/>
      </w:pPr>
    </w:p>
    <w:p w14:paraId="7418B21D" w14:textId="77777777" w:rsidR="00D471AD" w:rsidRPr="001729A3" w:rsidRDefault="00D471AD" w:rsidP="00D471AD">
      <w:pPr>
        <w:pStyle w:val="BodyText"/>
        <w:sectPr w:rsidR="00D471AD" w:rsidRPr="001729A3" w:rsidSect="004A31A9">
          <w:footnotePr>
            <w:numFmt w:val="upperRoman"/>
          </w:footnotePr>
          <w:endnotePr>
            <w:numFmt w:val="decimal"/>
          </w:endnotePr>
          <w:pgSz w:w="11906" w:h="16838" w:code="9"/>
          <w:pgMar w:top="1440" w:right="1020" w:bottom="1440" w:left="992" w:header="709" w:footer="709" w:gutter="0"/>
          <w:cols w:num="2" w:space="708"/>
          <w:docGrid w:linePitch="360"/>
        </w:sectPr>
      </w:pPr>
    </w:p>
    <w:p w14:paraId="7418B21E" w14:textId="77777777" w:rsidR="00D471AD" w:rsidRPr="001729A3" w:rsidRDefault="00D471AD" w:rsidP="00D471AD">
      <w:pPr>
        <w:pStyle w:val="BodyText"/>
      </w:pPr>
    </w:p>
    <w:p w14:paraId="7418B21F" w14:textId="77777777" w:rsidR="00D471AD" w:rsidRPr="001729A3" w:rsidRDefault="00D471AD" w:rsidP="00D471AD">
      <w:pPr>
        <w:pStyle w:val="BodyText"/>
        <w:sectPr w:rsidR="00D471AD" w:rsidRPr="001729A3" w:rsidSect="004A31A9">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220" w14:textId="77777777" w:rsidR="00D471AD" w:rsidRPr="000D502B" w:rsidRDefault="00D471AD" w:rsidP="00D471AD">
      <w:pPr>
        <w:pStyle w:val="Caption"/>
      </w:pPr>
      <w:bookmarkStart w:id="1770" w:name="_Ref461112970"/>
      <w:bookmarkStart w:id="1771" w:name="_Toc461198218"/>
      <w:bookmarkStart w:id="1772" w:name="_Toc461198760"/>
      <w:bookmarkStart w:id="1773" w:name="_Toc461204048"/>
      <w:bookmarkStart w:id="1774" w:name="_Ref461526743"/>
      <w:bookmarkStart w:id="1775" w:name="_Toc461527492"/>
      <w:bookmarkStart w:id="1776" w:name="_Toc461539527"/>
      <w:bookmarkStart w:id="1777" w:name="_Toc461541644"/>
      <w:bookmarkStart w:id="1778" w:name="_Toc461545399"/>
      <w:bookmarkStart w:id="1779" w:name="_Toc461624395"/>
      <w:bookmarkStart w:id="1780" w:name="_Toc461629620"/>
      <w:bookmarkStart w:id="1781" w:name="_Toc461632950"/>
      <w:bookmarkStart w:id="1782" w:name="_Toc461634220"/>
      <w:bookmarkStart w:id="1783" w:name="_Toc463013898"/>
      <w:bookmarkStart w:id="1784" w:name="_Toc463014007"/>
      <w:bookmarkStart w:id="1785" w:name="_Toc463014441"/>
      <w:bookmarkStart w:id="1786" w:name="_Toc463877081"/>
      <w:bookmarkStart w:id="1787" w:name="_Toc465864593"/>
      <w:r w:rsidRPr="000D502B">
        <w:t xml:space="preserve">Figure </w:t>
      </w:r>
      <w:fldSimple w:instr=" STYLEREF 1 \s ">
        <w:r>
          <w:rPr>
            <w:noProof/>
          </w:rPr>
          <w:t>3</w:t>
        </w:r>
      </w:fldSimple>
      <w:r w:rsidRPr="000D502B">
        <w:t>.</w:t>
      </w:r>
      <w:fldSimple w:instr=" SEQ Figure \* ARABIC \s 1 ">
        <w:r>
          <w:rPr>
            <w:noProof/>
          </w:rPr>
          <w:t>17</w:t>
        </w:r>
      </w:fldSimple>
      <w:bookmarkEnd w:id="1770"/>
      <w:r w:rsidRPr="000D502B">
        <w:t>: Mean a</w:t>
      </w:r>
      <w:r>
        <w:t>nnual expenditure in R&amp;D per 10 000</w:t>
      </w:r>
      <w:r w:rsidRPr="000D502B">
        <w:t xml:space="preserve"> inhabitants by SA3 region, 2008–2014</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p>
    <w:p w14:paraId="7418B221" w14:textId="77777777" w:rsidR="00D471AD" w:rsidRPr="001729A3" w:rsidRDefault="00D471AD" w:rsidP="00D471AD">
      <w:pPr>
        <w:pStyle w:val="Note"/>
        <w:rPr>
          <w:lang w:val="en-AU"/>
        </w:rPr>
      </w:pPr>
      <w:r>
        <w:rPr>
          <w:noProof/>
          <w:lang w:val="en-AU" w:eastAsia="en-AU"/>
        </w:rPr>
        <w:drawing>
          <wp:inline distT="0" distB="0" distL="0" distR="0" wp14:anchorId="7418C653" wp14:editId="7418C654">
            <wp:extent cx="6282690" cy="3966845"/>
            <wp:effectExtent l="0" t="0" r="3810" b="0"/>
            <wp:docPr id="3" name="Picture 3" descr="Figure 3.17 is a map of Australia, divided into SA3 regions, as defined by the ABS. Mean annual expenditure on research and development (R&amp;D) per ten thousand inhabitants over the period between June 2008 and June 2014 are classified into 5 ranges (quintiles), and each range is assigned a different colour. Each SA3 region shown on the map is then shaded according to the colour which corresponds to the relevant range, reflecting the intensity of R&amp;D expenditure in that region. The map shows mean R&amp;D expenditure over this period was concentrated in the capital cities." title="Figure 3.17: Mean annual expenditure in R&amp;D per 10 000 inhabitants by SA3 region,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rd per 10k pop mil map image2.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282690" cy="3966845"/>
                    </a:xfrm>
                    <a:prstGeom prst="rect">
                      <a:avLst/>
                    </a:prstGeom>
                  </pic:spPr>
                </pic:pic>
              </a:graphicData>
            </a:graphic>
          </wp:inline>
        </w:drawing>
      </w:r>
    </w:p>
    <w:p w14:paraId="7418B222" w14:textId="77777777" w:rsidR="00D471AD" w:rsidRPr="001729A3" w:rsidRDefault="00D471AD" w:rsidP="00D471AD">
      <w:pPr>
        <w:pStyle w:val="Source"/>
        <w:rPr>
          <w:lang w:val="en-AU"/>
        </w:rPr>
      </w:pPr>
      <w:r w:rsidRPr="001729A3">
        <w:rPr>
          <w:lang w:val="en-AU"/>
        </w:rPr>
        <w:t>Note: Map shows five quintiles with 66–67 SA3 regions each.</w:t>
      </w:r>
    </w:p>
    <w:p w14:paraId="7418B223" w14:textId="77777777" w:rsidR="00D471AD" w:rsidRPr="001729A3" w:rsidRDefault="00D471AD" w:rsidP="00D471AD">
      <w:pPr>
        <w:pStyle w:val="Source"/>
        <w:rPr>
          <w:lang w:val="en-AU"/>
        </w:rPr>
      </w:pPr>
      <w:r w:rsidRPr="00467501">
        <w:rPr>
          <w:lang w:val="en-AU"/>
        </w:rPr>
        <w:t xml:space="preserve">Source: Australian Government R&amp;D Tax Incentive (formerly R&amp;D Tax </w:t>
      </w:r>
      <w:r w:rsidRPr="00AB6BAF">
        <w:rPr>
          <w:lang w:val="en-AU"/>
        </w:rPr>
        <w:t>C</w:t>
      </w:r>
      <w:r w:rsidRPr="00467501">
        <w:rPr>
          <w:lang w:val="en-AU"/>
        </w:rPr>
        <w:t xml:space="preserve">oncession) </w:t>
      </w:r>
      <w:r w:rsidRPr="00AB6BAF">
        <w:rPr>
          <w:lang w:val="en-AU"/>
        </w:rPr>
        <w:t>p</w:t>
      </w:r>
      <w:r w:rsidRPr="00467501">
        <w:rPr>
          <w:lang w:val="en-AU"/>
        </w:rPr>
        <w:t xml:space="preserve">rogramme, </w:t>
      </w:r>
      <w:r w:rsidRPr="00AB6BAF">
        <w:rPr>
          <w:lang w:val="en-AU"/>
        </w:rPr>
        <w:t>v</w:t>
      </w:r>
      <w:r w:rsidRPr="00467501">
        <w:rPr>
          <w:lang w:val="en-AU"/>
        </w:rPr>
        <w:t xml:space="preserve">iewed 22nd June 2015 and Department of Industry, Innovation and Science (2016), </w:t>
      </w:r>
      <w:r w:rsidRPr="00BA45A5">
        <w:rPr>
          <w:i/>
          <w:lang w:val="en-AU"/>
        </w:rPr>
        <w:t>National Innovation Map</w:t>
      </w:r>
      <w:r w:rsidRPr="00AB6BAF">
        <w:rPr>
          <w:lang w:val="en-AU"/>
        </w:rPr>
        <w:t xml:space="preserve">, </w:t>
      </w:r>
      <w:r w:rsidRPr="00981DB6">
        <w:rPr>
          <w:lang w:val="en-AU"/>
        </w:rPr>
        <w:t>http://industry.gov.au/Office-of-the-Chief-Economist/Publications/Pages/Nat-Innovation-Map.aspx</w:t>
      </w:r>
    </w:p>
    <w:p w14:paraId="7418B224" w14:textId="77777777" w:rsidR="00D471AD" w:rsidRPr="000D502B" w:rsidRDefault="00D471AD" w:rsidP="00D471AD">
      <w:pPr>
        <w:sectPr w:rsidR="00D471AD" w:rsidRPr="000D502B" w:rsidSect="004A31A9">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225" w14:textId="77777777" w:rsidR="00D471AD" w:rsidRPr="000D502B" w:rsidRDefault="00D471AD" w:rsidP="00D471AD">
      <w:pPr>
        <w:pStyle w:val="Caption"/>
      </w:pPr>
      <w:bookmarkStart w:id="1788" w:name="_Ref461113583"/>
      <w:bookmarkStart w:id="1789" w:name="_Toc461198219"/>
      <w:bookmarkStart w:id="1790" w:name="_Toc461198761"/>
      <w:bookmarkStart w:id="1791" w:name="_Toc461204049"/>
      <w:bookmarkStart w:id="1792" w:name="_Toc461527493"/>
      <w:bookmarkStart w:id="1793" w:name="_Toc461539528"/>
      <w:bookmarkStart w:id="1794" w:name="_Toc461541645"/>
      <w:bookmarkStart w:id="1795" w:name="_Toc461545400"/>
      <w:bookmarkStart w:id="1796" w:name="_Toc461624396"/>
      <w:bookmarkStart w:id="1797" w:name="_Toc461629621"/>
      <w:bookmarkStart w:id="1798" w:name="_Toc461632951"/>
      <w:bookmarkStart w:id="1799" w:name="_Toc461634221"/>
      <w:bookmarkStart w:id="1800" w:name="_Toc463013899"/>
      <w:bookmarkStart w:id="1801" w:name="_Toc463014008"/>
      <w:bookmarkStart w:id="1802" w:name="_Toc463014442"/>
      <w:bookmarkStart w:id="1803" w:name="_Toc463877082"/>
      <w:bookmarkStart w:id="1804" w:name="_Toc465864594"/>
      <w:r w:rsidRPr="000D502B">
        <w:t xml:space="preserve">Figure </w:t>
      </w:r>
      <w:fldSimple w:instr=" STYLEREF 1 \s ">
        <w:r>
          <w:rPr>
            <w:noProof/>
          </w:rPr>
          <w:t>3</w:t>
        </w:r>
      </w:fldSimple>
      <w:r w:rsidRPr="000D502B">
        <w:t>.</w:t>
      </w:r>
      <w:fldSimple w:instr=" SEQ Figure \* ARABIC \s 1 ">
        <w:r>
          <w:rPr>
            <w:noProof/>
          </w:rPr>
          <w:t>18</w:t>
        </w:r>
      </w:fldSimple>
      <w:bookmarkEnd w:id="1788"/>
      <w:r w:rsidRPr="000D502B">
        <w:t>: Mean patent application counts per 10</w:t>
      </w:r>
      <w:r>
        <w:t> </w:t>
      </w:r>
      <w:r w:rsidRPr="000D502B">
        <w:t>000 inhabitants by SA3 region, 2008–2015</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7418B226" w14:textId="77777777" w:rsidR="00D471AD" w:rsidRPr="001729A3" w:rsidRDefault="00D471AD" w:rsidP="00D471AD">
      <w:pPr>
        <w:pStyle w:val="Note"/>
        <w:rPr>
          <w:lang w:val="en-AU"/>
        </w:rPr>
      </w:pPr>
      <w:r>
        <w:rPr>
          <w:noProof/>
          <w:lang w:val="en-AU" w:eastAsia="en-AU"/>
        </w:rPr>
        <w:drawing>
          <wp:inline distT="0" distB="0" distL="0" distR="0" wp14:anchorId="7418C655" wp14:editId="7418C656">
            <wp:extent cx="6282690" cy="4129405"/>
            <wp:effectExtent l="0" t="0" r="3810" b="4445"/>
            <wp:docPr id="11" name="Picture 11" descr="Figure 3.18 is a map of Australia, divided into SA3 regions, as defined by the ABS. Annual patent applicants per ten thousand inhabitants averaged over the period between 2008 and 2015 are classified into 5 ranges (quintiles), and each range is assigned a different colour. Each SA3 region shown on the map is then shaded according to the colour which corresponds to the relevant range, reflecting the intensity of patenting activity in that region. The map shows that average population adjusted patenting activity was concentrated in the capital cities." title="Figure 3.18: Mean patent application counts per 10 000 inhabitants by SA3 region,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 B2 Patent per 10k pop- AIS colours with breakouts.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282690" cy="4129405"/>
                    </a:xfrm>
                    <a:prstGeom prst="rect">
                      <a:avLst/>
                    </a:prstGeom>
                  </pic:spPr>
                </pic:pic>
              </a:graphicData>
            </a:graphic>
          </wp:inline>
        </w:drawing>
      </w:r>
    </w:p>
    <w:p w14:paraId="7418B227" w14:textId="77777777" w:rsidR="00D471AD" w:rsidRPr="001729A3" w:rsidRDefault="00D471AD" w:rsidP="00D471AD">
      <w:pPr>
        <w:pStyle w:val="Source"/>
        <w:rPr>
          <w:lang w:val="en-AU"/>
        </w:rPr>
      </w:pPr>
      <w:r w:rsidRPr="001729A3">
        <w:rPr>
          <w:lang w:val="en-AU"/>
        </w:rPr>
        <w:t>Note: Map shows five quintiles with 65–66 SA3 regions each.</w:t>
      </w:r>
    </w:p>
    <w:p w14:paraId="7418B228" w14:textId="77777777" w:rsidR="00D471AD" w:rsidRPr="001729A3" w:rsidRDefault="00D471AD" w:rsidP="00D471AD">
      <w:pPr>
        <w:pStyle w:val="Source"/>
        <w:rPr>
          <w:lang w:val="en-AU"/>
        </w:rPr>
      </w:pPr>
      <w:r w:rsidRPr="001729A3">
        <w:rPr>
          <w:lang w:val="en-AU"/>
        </w:rPr>
        <w:t xml:space="preserve">Source: Intellectual Property Government Open Data 2016 (IP Australia) and Department of Industry, Innovation and Science (2016) </w:t>
      </w:r>
      <w:r w:rsidRPr="00BA45A5">
        <w:rPr>
          <w:i/>
          <w:lang w:val="en-AU"/>
        </w:rPr>
        <w:t>National Innovation Map</w:t>
      </w:r>
      <w:r>
        <w:rPr>
          <w:lang w:val="en-AU"/>
        </w:rPr>
        <w:t xml:space="preserve">, </w:t>
      </w:r>
      <w:r w:rsidRPr="00467501">
        <w:rPr>
          <w:lang w:val="en-AU"/>
        </w:rPr>
        <w:t>http://industry.gov.au/Office-of-the-Chief-Economist/Publications/Pages/Nat-Innovation-Map.aspx</w:t>
      </w:r>
    </w:p>
    <w:p w14:paraId="7418B229" w14:textId="77777777" w:rsidR="00D471AD" w:rsidRPr="000D502B" w:rsidRDefault="00D471AD" w:rsidP="00D471AD"/>
    <w:p w14:paraId="7418B22A" w14:textId="77777777" w:rsidR="00D471AD" w:rsidRPr="000D502B" w:rsidRDefault="00D471AD" w:rsidP="00D471AD">
      <w:pPr>
        <w:pStyle w:val="Caption"/>
        <w:sectPr w:rsidR="00D471AD" w:rsidRPr="000D502B" w:rsidSect="004A31A9">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22B" w14:textId="77777777" w:rsidR="00D471AD" w:rsidRPr="001729A3" w:rsidRDefault="00D471AD" w:rsidP="00D471AD">
      <w:pPr>
        <w:pStyle w:val="FACSheading"/>
        <w:rPr>
          <w:lang w:val="en-AU"/>
        </w:rPr>
      </w:pPr>
      <w:bookmarkStart w:id="1805" w:name="_Toc462230091"/>
      <w:bookmarkStart w:id="1806" w:name="_Toc462231452"/>
      <w:bookmarkStart w:id="1807" w:name="_Toc463013953"/>
      <w:bookmarkStart w:id="1808" w:name="_Toc463014062"/>
      <w:bookmarkStart w:id="1809" w:name="_Toc463014496"/>
      <w:bookmarkStart w:id="1810" w:name="_Toc463877029"/>
      <w:bookmarkStart w:id="1811" w:name="_Toc465862823"/>
      <w:r w:rsidRPr="001729A3">
        <w:rPr>
          <w:lang w:val="en-AU"/>
        </w:rPr>
        <w:t>Enablis</w:t>
      </w:r>
      <w:bookmarkEnd w:id="1754"/>
      <w:bookmarkEnd w:id="1755"/>
      <w:bookmarkEnd w:id="1756"/>
      <w:bookmarkEnd w:id="1757"/>
      <w:r w:rsidRPr="001729A3">
        <w:rPr>
          <w:lang w:val="en-AU"/>
        </w:rPr>
        <w:t>: A case study of an innovative, high</w:t>
      </w:r>
      <w:r>
        <w:rPr>
          <w:lang w:val="en-AU"/>
        </w:rPr>
        <w:t>-</w:t>
      </w:r>
      <w:r w:rsidRPr="001729A3">
        <w:rPr>
          <w:lang w:val="en-AU"/>
        </w:rPr>
        <w:t>growth firm</w:t>
      </w:r>
      <w:bookmarkEnd w:id="1805"/>
      <w:bookmarkEnd w:id="1806"/>
      <w:bookmarkEnd w:id="1807"/>
      <w:bookmarkEnd w:id="1808"/>
      <w:bookmarkEnd w:id="1809"/>
      <w:bookmarkEnd w:id="1810"/>
      <w:bookmarkEnd w:id="1811"/>
    </w:p>
    <w:tbl>
      <w:tblPr>
        <w:tblStyle w:val="OCETable"/>
        <w:tblW w:w="4706" w:type="dxa"/>
        <w:tblLayout w:type="fixed"/>
        <w:tblCellMar>
          <w:left w:w="0" w:type="dxa"/>
          <w:right w:w="0" w:type="dxa"/>
        </w:tblCellMar>
        <w:tblLook w:val="04A0" w:firstRow="1" w:lastRow="0" w:firstColumn="1" w:lastColumn="0" w:noHBand="0" w:noVBand="1"/>
        <w:tblCaption w:val="Placeholder table"/>
      </w:tblPr>
      <w:tblGrid>
        <w:gridCol w:w="4706"/>
      </w:tblGrid>
      <w:tr w:rsidR="00D471AD" w:rsidRPr="000D502B" w14:paraId="7418B22D" w14:textId="77777777" w:rsidTr="004A31A9">
        <w:trPr>
          <w:cnfStyle w:val="100000000000" w:firstRow="1" w:lastRow="0" w:firstColumn="0" w:lastColumn="0" w:oddVBand="0" w:evenVBand="0" w:oddHBand="0" w:evenHBand="0" w:firstRowFirstColumn="0" w:firstRowLastColumn="0" w:lastRowFirstColumn="0" w:lastRowLastColumn="0"/>
          <w:cantSplit/>
          <w:trHeight w:hRule="exact" w:val="3402"/>
          <w:tblHeader/>
        </w:trPr>
        <w:tc>
          <w:tcPr>
            <w:tcW w:w="4706" w:type="dxa"/>
            <w:shd w:val="clear" w:color="auto" w:fill="auto"/>
          </w:tcPr>
          <w:p w14:paraId="7418B22C" w14:textId="77777777" w:rsidR="00D471AD" w:rsidRPr="000D502B" w:rsidRDefault="00D471AD" w:rsidP="004A31A9">
            <w:pPr>
              <w:pStyle w:val="Placeholder"/>
            </w:pPr>
            <w:r w:rsidRPr="000D502B">
              <w:rPr>
                <w:noProof/>
                <w:lang w:eastAsia="en-AU"/>
              </w:rPr>
              <w:drawing>
                <wp:inline distT="0" distB="0" distL="0" distR="0" wp14:anchorId="7418C657" wp14:editId="7418C658">
                  <wp:extent cx="2164080" cy="2164080"/>
                  <wp:effectExtent l="0" t="0" r="7620" b="7620"/>
                  <wp:docPr id="49" name="Picture 49" descr="Enablis CEO" title="John Ev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64080" cy="2164080"/>
                          </a:xfrm>
                          <a:prstGeom prst="rect">
                            <a:avLst/>
                          </a:prstGeom>
                          <a:noFill/>
                        </pic:spPr>
                      </pic:pic>
                    </a:graphicData>
                  </a:graphic>
                </wp:inline>
              </w:drawing>
            </w:r>
          </w:p>
        </w:tc>
      </w:tr>
    </w:tbl>
    <w:p w14:paraId="7418B22E" w14:textId="77777777" w:rsidR="00D471AD" w:rsidRPr="001729A3" w:rsidRDefault="00D471AD" w:rsidP="00D471AD">
      <w:pPr>
        <w:pStyle w:val="CellSpaceAfter"/>
        <w:jc w:val="center"/>
      </w:pPr>
      <w:r w:rsidRPr="001729A3">
        <w:tab/>
        <w:t>John Evans, Enablis CEO</w:t>
      </w:r>
    </w:p>
    <w:p w14:paraId="7418B22F" w14:textId="77777777" w:rsidR="00D471AD" w:rsidRPr="001729A3" w:rsidRDefault="00D471AD" w:rsidP="00D471AD">
      <w:pPr>
        <w:pStyle w:val="CellSpaceBefore"/>
      </w:pPr>
    </w:p>
    <w:tbl>
      <w:tblPr>
        <w:tblStyle w:val="OCETable"/>
        <w:tblW w:w="4881" w:type="dxa"/>
        <w:tblLayout w:type="fixed"/>
        <w:tblCellMar>
          <w:left w:w="0" w:type="dxa"/>
          <w:right w:w="0" w:type="dxa"/>
        </w:tblCellMar>
        <w:tblLook w:val="04A0" w:firstRow="1" w:lastRow="0" w:firstColumn="1" w:lastColumn="0" w:noHBand="0" w:noVBand="1"/>
        <w:tblCaption w:val="Placeholder table"/>
      </w:tblPr>
      <w:tblGrid>
        <w:gridCol w:w="4881"/>
      </w:tblGrid>
      <w:tr w:rsidR="00D471AD" w:rsidRPr="000D502B" w14:paraId="7418B231" w14:textId="77777777" w:rsidTr="004A31A9">
        <w:trPr>
          <w:cnfStyle w:val="100000000000" w:firstRow="1" w:lastRow="0" w:firstColumn="0" w:lastColumn="0" w:oddVBand="0" w:evenVBand="0" w:oddHBand="0" w:evenHBand="0" w:firstRowFirstColumn="0" w:firstRowLastColumn="0" w:lastRowFirstColumn="0" w:lastRowLastColumn="0"/>
          <w:cantSplit/>
          <w:trHeight w:hRule="exact" w:val="1983"/>
          <w:tblHeader/>
        </w:trPr>
        <w:tc>
          <w:tcPr>
            <w:tcW w:w="4881" w:type="dxa"/>
            <w:shd w:val="clear" w:color="auto" w:fill="auto"/>
          </w:tcPr>
          <w:p w14:paraId="7418B230" w14:textId="77777777" w:rsidR="00D471AD" w:rsidRPr="000D502B" w:rsidRDefault="00D471AD" w:rsidP="004A31A9">
            <w:pPr>
              <w:pStyle w:val="Placeholder"/>
            </w:pPr>
            <w:r w:rsidRPr="000D502B">
              <w:rPr>
                <w:noProof/>
                <w:lang w:eastAsia="en-AU"/>
              </w:rPr>
              <w:drawing>
                <wp:inline distT="0" distB="0" distL="0" distR="0" wp14:anchorId="7418C659" wp14:editId="7418C65A">
                  <wp:extent cx="2987040" cy="1054735"/>
                  <wp:effectExtent l="0" t="0" r="3810" b="0"/>
                  <wp:docPr id="50" name="Picture 50" descr="Logo says 'your communication partner'" title="Enabl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87040" cy="1054735"/>
                          </a:xfrm>
                          <a:prstGeom prst="rect">
                            <a:avLst/>
                          </a:prstGeom>
                          <a:noFill/>
                        </pic:spPr>
                      </pic:pic>
                    </a:graphicData>
                  </a:graphic>
                </wp:inline>
              </w:drawing>
            </w:r>
          </w:p>
        </w:tc>
      </w:tr>
    </w:tbl>
    <w:p w14:paraId="7418B232" w14:textId="77777777" w:rsidR="00D471AD" w:rsidRPr="001729A3" w:rsidRDefault="00D471AD" w:rsidP="00D471AD">
      <w:pPr>
        <w:pStyle w:val="CellSpaceBefore"/>
        <w:rPr>
          <w:color w:val="292B67"/>
          <w:sz w:val="20"/>
        </w:rPr>
      </w:pPr>
      <w:r w:rsidRPr="001729A3">
        <w:rPr>
          <w:color w:val="292B67"/>
          <w:sz w:val="20"/>
        </w:rPr>
        <w:t>Based in the Sydney CBD, and with a new office opening in Melbourne, Enablis provides data and voice connectivity for highly distributed organisations. Their customers typically have between 10 and 200 or more sites (for example travel agencies and large aged-care providers). As information and communication technologies become central to operations and management, businesses with multiple sites need reliable, secure and efficient data and voice communications. This leads to a strong demand for support ranging from the design to the installation of communications technologies. The constant change in technologies, including VoIP (</w:t>
      </w:r>
      <w:r>
        <w:rPr>
          <w:color w:val="292B67"/>
          <w:sz w:val="20"/>
        </w:rPr>
        <w:t>V</w:t>
      </w:r>
      <w:r w:rsidRPr="00660104">
        <w:rPr>
          <w:color w:val="292B67"/>
          <w:sz w:val="20"/>
        </w:rPr>
        <w:t xml:space="preserve">oice </w:t>
      </w:r>
      <w:r w:rsidRPr="001729A3">
        <w:rPr>
          <w:color w:val="292B67"/>
          <w:sz w:val="20"/>
        </w:rPr>
        <w:t xml:space="preserve">over Internet Protocol) telephony and the growth in </w:t>
      </w:r>
      <w:r>
        <w:rPr>
          <w:color w:val="292B67"/>
          <w:sz w:val="20"/>
        </w:rPr>
        <w:t>c</w:t>
      </w:r>
      <w:r w:rsidRPr="00660104">
        <w:rPr>
          <w:color w:val="292B67"/>
          <w:sz w:val="20"/>
        </w:rPr>
        <w:t>loud</w:t>
      </w:r>
      <w:r w:rsidRPr="001729A3">
        <w:rPr>
          <w:color w:val="292B67"/>
          <w:sz w:val="20"/>
        </w:rPr>
        <w:t>-based services, coupled with the increasing importance of security, is leading more businesses to outsource these services. Enablis offers its target market fully</w:t>
      </w:r>
      <w:r>
        <w:rPr>
          <w:color w:val="292B67"/>
          <w:sz w:val="20"/>
        </w:rPr>
        <w:t xml:space="preserve"> </w:t>
      </w:r>
      <w:r w:rsidRPr="001729A3">
        <w:rPr>
          <w:color w:val="292B67"/>
          <w:sz w:val="20"/>
        </w:rPr>
        <w:t>managed communication services across data, voice and security. The CEO and Enablis founder, Jon Evans, comments that ‘there is at least a perception among organisations in our target market that the major telecommunications service providers are unable to provide the level of customer support that is needed’. With this market focus</w:t>
      </w:r>
      <w:r>
        <w:rPr>
          <w:color w:val="292B67"/>
          <w:sz w:val="20"/>
        </w:rPr>
        <w:t>,</w:t>
      </w:r>
      <w:r w:rsidRPr="001729A3">
        <w:rPr>
          <w:color w:val="292B67"/>
          <w:sz w:val="20"/>
        </w:rPr>
        <w:t xml:space="preserve"> Enablis has achieved strong and consistent growth over the </w:t>
      </w:r>
      <w:r>
        <w:rPr>
          <w:color w:val="292B67"/>
          <w:sz w:val="20"/>
        </w:rPr>
        <w:t>p</w:t>
      </w:r>
      <w:r w:rsidRPr="00660104">
        <w:rPr>
          <w:color w:val="292B67"/>
          <w:sz w:val="20"/>
        </w:rPr>
        <w:t xml:space="preserve">ast </w:t>
      </w:r>
      <w:r w:rsidRPr="001729A3">
        <w:rPr>
          <w:color w:val="292B67"/>
          <w:sz w:val="20"/>
        </w:rPr>
        <w:t>seven years</w:t>
      </w:r>
      <w:r>
        <w:rPr>
          <w:color w:val="292B67"/>
          <w:sz w:val="20"/>
        </w:rPr>
        <w:t xml:space="preserve"> (Figure 3.19)</w:t>
      </w:r>
      <w:r w:rsidRPr="001729A3">
        <w:rPr>
          <w:color w:val="292B67"/>
          <w:sz w:val="20"/>
        </w:rPr>
        <w:t>, delivering revenue growth averaging over 35 per cent year-on-year, reaching $13 million by 2015.</w:t>
      </w:r>
    </w:p>
    <w:p w14:paraId="7418B233" w14:textId="77777777" w:rsidR="00D471AD" w:rsidRPr="001729A3" w:rsidRDefault="00D471AD" w:rsidP="00D471AD">
      <w:pPr>
        <w:pStyle w:val="CellSpaceBefore"/>
        <w:rPr>
          <w:color w:val="292B67"/>
          <w:sz w:val="20"/>
        </w:rPr>
      </w:pPr>
      <w:r w:rsidRPr="001729A3">
        <w:rPr>
          <w:color w:val="292B67"/>
          <w:sz w:val="20"/>
        </w:rPr>
        <w:t>Jon first arrived in Australia as a backpacker</w:t>
      </w:r>
      <w:r>
        <w:rPr>
          <w:color w:val="292B67"/>
          <w:sz w:val="20"/>
        </w:rPr>
        <w:t>,</w:t>
      </w:r>
      <w:r w:rsidRPr="001729A3">
        <w:rPr>
          <w:color w:val="292B67"/>
          <w:sz w:val="20"/>
        </w:rPr>
        <w:t xml:space="preserve"> and then returned to the UK to establish the Australian operations for a small IT communications business, Sirocom. While still young, Sirocom was bought out by another UK business, Azzurri. One of Azzurri’s major clients was STA Travel, who had many sites in the Australasian region. Azzurri needed a local capability to service this client</w:t>
      </w:r>
      <w:r>
        <w:rPr>
          <w:color w:val="292B67"/>
          <w:sz w:val="20"/>
        </w:rPr>
        <w:t>,</w:t>
      </w:r>
      <w:r w:rsidRPr="001729A3">
        <w:rPr>
          <w:color w:val="292B67"/>
          <w:sz w:val="20"/>
        </w:rPr>
        <w:t xml:space="preserve"> and formed an Australian subsidiary. In 2009 Jon bought out the shareholding of this Australian operation and in early 2015 rebranded the business as Enablis.</w:t>
      </w:r>
    </w:p>
    <w:p w14:paraId="7418B234" w14:textId="77777777" w:rsidR="00D471AD" w:rsidRPr="001729A3" w:rsidRDefault="00D471AD" w:rsidP="00D471AD">
      <w:pPr>
        <w:pStyle w:val="CellSpaceBefore"/>
        <w:rPr>
          <w:color w:val="292B67"/>
          <w:sz w:val="20"/>
        </w:rPr>
      </w:pPr>
      <w:r w:rsidRPr="001729A3">
        <w:rPr>
          <w:color w:val="292B67"/>
          <w:sz w:val="20"/>
        </w:rPr>
        <w:t>Jon developed an extensive knowledge of the market by working in sales roles in several IT communications businesses in the UK, and later as a partner-manager for Verizon in Australia.</w:t>
      </w:r>
    </w:p>
    <w:p w14:paraId="7418B235" w14:textId="77777777" w:rsidR="00D471AD" w:rsidRPr="001729A3" w:rsidRDefault="00D471AD" w:rsidP="00D471AD">
      <w:pPr>
        <w:pStyle w:val="CellSpaceBefore"/>
        <w:rPr>
          <w:color w:val="292B67"/>
          <w:sz w:val="20"/>
        </w:rPr>
      </w:pPr>
      <w:r w:rsidRPr="001729A3">
        <w:rPr>
          <w:color w:val="292B67"/>
          <w:sz w:val="20"/>
        </w:rPr>
        <w:t xml:space="preserve">‘Enablis is a “sales-fronted” business with a clear strategy aiming at 30 per cent annual </w:t>
      </w:r>
      <w:r w:rsidRPr="00660104">
        <w:rPr>
          <w:color w:val="292B67"/>
          <w:sz w:val="20"/>
        </w:rPr>
        <w:t>growth</w:t>
      </w:r>
      <w:r>
        <w:rPr>
          <w:color w:val="292B67"/>
          <w:sz w:val="20"/>
        </w:rPr>
        <w:t>’,</w:t>
      </w:r>
      <w:r w:rsidRPr="001729A3">
        <w:rPr>
          <w:color w:val="292B67"/>
          <w:sz w:val="20"/>
        </w:rPr>
        <w:t xml:space="preserve"> says Jon</w:t>
      </w:r>
      <w:r>
        <w:rPr>
          <w:color w:val="292B67"/>
          <w:sz w:val="20"/>
        </w:rPr>
        <w:t>.</w:t>
      </w:r>
      <w:r w:rsidRPr="001729A3">
        <w:rPr>
          <w:color w:val="292B67"/>
          <w:sz w:val="20"/>
        </w:rPr>
        <w:t xml:space="preserve"> ‘I have been determined to keep a focus on the value proposition for customers and a build a culture that supports and motivates </w:t>
      </w:r>
      <w:r w:rsidRPr="00660104">
        <w:rPr>
          <w:color w:val="292B67"/>
          <w:sz w:val="20"/>
        </w:rPr>
        <w:t>staff</w:t>
      </w:r>
      <w:r>
        <w:rPr>
          <w:color w:val="292B67"/>
          <w:sz w:val="20"/>
        </w:rPr>
        <w:t>.</w:t>
      </w:r>
      <w:r w:rsidRPr="00660104">
        <w:rPr>
          <w:color w:val="292B67"/>
          <w:sz w:val="20"/>
        </w:rPr>
        <w:t>’</w:t>
      </w:r>
      <w:r w:rsidRPr="001729A3">
        <w:rPr>
          <w:color w:val="292B67"/>
          <w:sz w:val="20"/>
        </w:rPr>
        <w:t xml:space="preserve"> With a knowledge of the potential of available technologies</w:t>
      </w:r>
      <w:r>
        <w:rPr>
          <w:color w:val="292B67"/>
          <w:sz w:val="20"/>
        </w:rPr>
        <w:t>,</w:t>
      </w:r>
      <w:r w:rsidRPr="001729A3">
        <w:rPr>
          <w:color w:val="292B67"/>
          <w:sz w:val="20"/>
        </w:rPr>
        <w:t xml:space="preserve"> and an understanding of customer needs, Enablis aims to help customers be more efficient in their use of communications. The capability to provide advice that can enable a customer to see opportunities to transform their business model is becoming increasingly important.</w:t>
      </w:r>
    </w:p>
    <w:p w14:paraId="7418B236" w14:textId="77777777" w:rsidR="00D471AD" w:rsidRPr="001729A3" w:rsidRDefault="00D471AD" w:rsidP="00D471AD">
      <w:pPr>
        <w:pStyle w:val="CellSpaceBefore"/>
        <w:rPr>
          <w:color w:val="292B67"/>
          <w:sz w:val="20"/>
        </w:rPr>
      </w:pPr>
      <w:r w:rsidRPr="001729A3">
        <w:rPr>
          <w:color w:val="292B67"/>
          <w:sz w:val="20"/>
        </w:rPr>
        <w:t>Enablis inherited its strategic focus, business model, and to some extent core staff from its one-time owner, Azzurri. Finding this to be a valuable resource they built on this skillset and over time increased focus on their key market</w:t>
      </w:r>
      <w:r>
        <w:rPr>
          <w:color w:val="292B67"/>
          <w:sz w:val="20"/>
        </w:rPr>
        <w:t>. A</w:t>
      </w:r>
      <w:r w:rsidRPr="001729A3">
        <w:rPr>
          <w:color w:val="292B67"/>
          <w:sz w:val="20"/>
        </w:rPr>
        <w:t>s a keen yacht racer, Jon’s analogy of the current situation is ‘we have a full spinnaker up, the sky is blue, and there are no clouds on the horizon… the boat is cranking so let’s enjoy the ride’. In the business’ early days there was a tendency to pursue growth by ‘shooting at everything that moved’, but the focus on the central value</w:t>
      </w:r>
      <w:r>
        <w:rPr>
          <w:color w:val="292B67"/>
          <w:sz w:val="20"/>
        </w:rPr>
        <w:t xml:space="preserve"> </w:t>
      </w:r>
      <w:r w:rsidRPr="001729A3">
        <w:rPr>
          <w:color w:val="292B67"/>
          <w:sz w:val="20"/>
        </w:rPr>
        <w:t>proposition has increased over time, along with the company’s reputation in its target market.</w:t>
      </w:r>
    </w:p>
    <w:p w14:paraId="7418B237" w14:textId="77777777" w:rsidR="00D471AD" w:rsidRPr="001729A3" w:rsidRDefault="00D471AD" w:rsidP="00D471AD">
      <w:pPr>
        <w:pStyle w:val="CellSpaceBefore"/>
        <w:rPr>
          <w:color w:val="292B67"/>
          <w:sz w:val="20"/>
        </w:rPr>
      </w:pPr>
      <w:r w:rsidRPr="001729A3">
        <w:rPr>
          <w:color w:val="292B67"/>
          <w:sz w:val="20"/>
        </w:rPr>
        <w:t>Capable and motivated staff are vital for a small, fast-growing business, and while high growth attracts staff, Enablis finds that the local labour market is limited. Jon comments: ‘we recruit most of our technology specialists through word of mouth. Among our 35 employees today we have 19 nationalities</w:t>
      </w:r>
      <w:r>
        <w:rPr>
          <w:color w:val="292B67"/>
          <w:sz w:val="20"/>
        </w:rPr>
        <w:t>. W</w:t>
      </w:r>
      <w:r w:rsidRPr="001729A3">
        <w:rPr>
          <w:color w:val="292B67"/>
          <w:sz w:val="20"/>
        </w:rPr>
        <w:t>e find that many of these more recent arrivals in Australia have a can-do attitude and are keen to learn and develop’. Fast growth provides increasing opportunities for talented staff, which has contributed to high retention levels. Enablis invests in developing staff and deepening its skillset to support its strategic market focus.</w:t>
      </w:r>
    </w:p>
    <w:p w14:paraId="7418B238" w14:textId="77777777" w:rsidR="00D471AD" w:rsidRPr="001729A3" w:rsidRDefault="00D471AD" w:rsidP="00D471AD">
      <w:pPr>
        <w:pStyle w:val="CellSpaceBefore"/>
        <w:rPr>
          <w:color w:val="292B67"/>
          <w:sz w:val="20"/>
        </w:rPr>
      </w:pPr>
      <w:r w:rsidRPr="001729A3">
        <w:rPr>
          <w:color w:val="292B67"/>
          <w:sz w:val="20"/>
        </w:rPr>
        <w:t>Although Enablis has grown to 35 employees</w:t>
      </w:r>
      <w:r>
        <w:rPr>
          <w:color w:val="292B67"/>
          <w:sz w:val="20"/>
        </w:rPr>
        <w:t>,</w:t>
      </w:r>
      <w:r w:rsidRPr="001729A3">
        <w:rPr>
          <w:color w:val="292B67"/>
          <w:sz w:val="20"/>
        </w:rPr>
        <w:t xml:space="preserve"> it retains a flat structure and a strong internal culture. For Jon this is vital for success</w:t>
      </w:r>
      <w:r>
        <w:rPr>
          <w:color w:val="292B67"/>
          <w:sz w:val="20"/>
        </w:rPr>
        <w:t>.</w:t>
      </w:r>
      <w:r w:rsidRPr="00660104">
        <w:rPr>
          <w:color w:val="292B67"/>
          <w:sz w:val="20"/>
        </w:rPr>
        <w:t xml:space="preserve"> ‘</w:t>
      </w:r>
      <w:r>
        <w:rPr>
          <w:color w:val="292B67"/>
          <w:sz w:val="20"/>
        </w:rPr>
        <w:t>W</w:t>
      </w:r>
      <w:r w:rsidRPr="001729A3">
        <w:rPr>
          <w:color w:val="292B67"/>
          <w:sz w:val="20"/>
        </w:rPr>
        <w:t xml:space="preserve">e have an open culture that avoids internal </w:t>
      </w:r>
      <w:r w:rsidRPr="00660104">
        <w:rPr>
          <w:color w:val="292B67"/>
          <w:sz w:val="20"/>
        </w:rPr>
        <w:t>politics</w:t>
      </w:r>
      <w:r>
        <w:rPr>
          <w:color w:val="292B67"/>
          <w:sz w:val="20"/>
        </w:rPr>
        <w:t>’</w:t>
      </w:r>
      <w:r w:rsidRPr="001729A3">
        <w:rPr>
          <w:color w:val="292B67"/>
          <w:sz w:val="20"/>
        </w:rPr>
        <w:t>. Growth brings new challenges for recruitment and the management of incentives, while complexity increases and there is less direct contact between staff and the senior management team. Enablis recently begun drawing on advice from a specialist human resource management consultancy.</w:t>
      </w:r>
    </w:p>
    <w:p w14:paraId="7418B239" w14:textId="77777777" w:rsidR="00D471AD" w:rsidRPr="001729A3" w:rsidRDefault="00D471AD" w:rsidP="00D471AD">
      <w:pPr>
        <w:pStyle w:val="CellSpaceBefore"/>
        <w:rPr>
          <w:color w:val="292B67"/>
          <w:sz w:val="20"/>
        </w:rPr>
      </w:pPr>
      <w:r w:rsidRPr="001729A3">
        <w:rPr>
          <w:color w:val="292B67"/>
          <w:sz w:val="20"/>
        </w:rPr>
        <w:t>Innovation at Enablis has been incremental</w:t>
      </w:r>
      <w:r>
        <w:rPr>
          <w:color w:val="292B67"/>
          <w:sz w:val="20"/>
        </w:rPr>
        <w:t>,</w:t>
      </w:r>
      <w:r w:rsidRPr="001729A3">
        <w:rPr>
          <w:color w:val="292B67"/>
          <w:sz w:val="20"/>
        </w:rPr>
        <w:t xml:space="preserve"> and largely involves integrating newly available hardware and software to provide better solutions for clients</w:t>
      </w:r>
      <w:r>
        <w:rPr>
          <w:color w:val="292B67"/>
          <w:sz w:val="20"/>
        </w:rPr>
        <w:t>.</w:t>
      </w:r>
      <w:r w:rsidRPr="00660104">
        <w:rPr>
          <w:color w:val="292B67"/>
          <w:sz w:val="20"/>
        </w:rPr>
        <w:t xml:space="preserve"> ‘</w:t>
      </w:r>
      <w:r>
        <w:rPr>
          <w:color w:val="292B67"/>
          <w:sz w:val="20"/>
        </w:rPr>
        <w:t>W</w:t>
      </w:r>
      <w:r w:rsidRPr="001729A3">
        <w:rPr>
          <w:color w:val="292B67"/>
          <w:sz w:val="20"/>
        </w:rPr>
        <w:t xml:space="preserve">e must keep an eye on the horizon and see what is out there, but must keep focused on the commercial application and the customer need for that application—that is a key for innovation for </w:t>
      </w:r>
      <w:r w:rsidRPr="00660104">
        <w:rPr>
          <w:color w:val="292B67"/>
          <w:sz w:val="20"/>
        </w:rPr>
        <w:t>us’</w:t>
      </w:r>
      <w:r w:rsidRPr="001729A3">
        <w:rPr>
          <w:color w:val="292B67"/>
          <w:sz w:val="20"/>
        </w:rPr>
        <w:t>, says Jon. In-house engineering competence and relationships with technology developers provide the capability for the assessment and effective application of new technologies. Enablis’ technology-related links are largely with overseas networks and technology providers; there are no significant innovation-related links to local organisations.</w:t>
      </w:r>
    </w:p>
    <w:p w14:paraId="7418B23A" w14:textId="77777777" w:rsidR="00D471AD" w:rsidRPr="001729A3" w:rsidRDefault="00D471AD" w:rsidP="00D471AD">
      <w:pPr>
        <w:pStyle w:val="CellSpaceBefore"/>
        <w:rPr>
          <w:color w:val="292B67"/>
          <w:sz w:val="20"/>
        </w:rPr>
      </w:pPr>
      <w:r w:rsidRPr="001729A3">
        <w:rPr>
          <w:color w:val="292B67"/>
          <w:sz w:val="20"/>
        </w:rPr>
        <w:t>As flexibility and agility are important, Jon considers Enablis is small enough to maintain fast decision</w:t>
      </w:r>
      <w:r>
        <w:rPr>
          <w:color w:val="292B67"/>
          <w:sz w:val="20"/>
        </w:rPr>
        <w:t xml:space="preserve"> </w:t>
      </w:r>
      <w:r w:rsidRPr="001729A3">
        <w:rPr>
          <w:color w:val="292B67"/>
          <w:sz w:val="20"/>
        </w:rPr>
        <w:t>making, even for major strategic decisions</w:t>
      </w:r>
      <w:r>
        <w:rPr>
          <w:color w:val="292B67"/>
          <w:sz w:val="20"/>
        </w:rPr>
        <w:t>.</w:t>
      </w:r>
      <w:r w:rsidRPr="001729A3">
        <w:rPr>
          <w:color w:val="292B67"/>
          <w:sz w:val="20"/>
        </w:rPr>
        <w:t xml:space="preserve"> ‘We have robust processes so that doubling in size would not be a </w:t>
      </w:r>
      <w:r w:rsidRPr="00660104">
        <w:rPr>
          <w:color w:val="292B67"/>
          <w:sz w:val="20"/>
        </w:rPr>
        <w:t>problem</w:t>
      </w:r>
      <w:r>
        <w:rPr>
          <w:color w:val="292B67"/>
          <w:sz w:val="20"/>
        </w:rPr>
        <w:t>’</w:t>
      </w:r>
      <w:r w:rsidRPr="001729A3">
        <w:rPr>
          <w:color w:val="292B67"/>
          <w:sz w:val="20"/>
        </w:rPr>
        <w:t>.</w:t>
      </w:r>
    </w:p>
    <w:p w14:paraId="7418B23B" w14:textId="77777777" w:rsidR="00D471AD" w:rsidRPr="001729A3" w:rsidRDefault="00D471AD" w:rsidP="00D471AD">
      <w:pPr>
        <w:pStyle w:val="CellSpaceBefore"/>
        <w:rPr>
          <w:color w:val="292B67"/>
          <w:sz w:val="20"/>
        </w:rPr>
      </w:pPr>
      <w:r w:rsidRPr="001729A3">
        <w:rPr>
          <w:color w:val="292B67"/>
          <w:sz w:val="20"/>
        </w:rPr>
        <w:t>Jon and his senior management team think that the next phase of growth will likely require a step-change in the company</w:t>
      </w:r>
      <w:r>
        <w:rPr>
          <w:color w:val="292B67"/>
          <w:sz w:val="20"/>
        </w:rPr>
        <w:t xml:space="preserve">. </w:t>
      </w:r>
      <w:r w:rsidRPr="00660104">
        <w:rPr>
          <w:color w:val="292B67"/>
          <w:sz w:val="20"/>
        </w:rPr>
        <w:t>‘</w:t>
      </w:r>
      <w:r>
        <w:rPr>
          <w:color w:val="292B67"/>
          <w:sz w:val="20"/>
        </w:rPr>
        <w:t>W</w:t>
      </w:r>
      <w:r w:rsidRPr="001729A3">
        <w:rPr>
          <w:color w:val="292B67"/>
          <w:sz w:val="20"/>
        </w:rPr>
        <w:t xml:space="preserve">e are now clarifying the direction for growth, developing a five-year business plan, reviewing the organisational structure, more clearly defining roles and expectations, and formalising some management </w:t>
      </w:r>
      <w:r w:rsidRPr="000D502B">
        <w:rPr>
          <w:color w:val="292B67"/>
          <w:sz w:val="20"/>
          <w:lang w:val="en-GB"/>
        </w:rPr>
        <w:t>processes’</w:t>
      </w:r>
      <w:r>
        <w:rPr>
          <w:color w:val="292B67"/>
          <w:sz w:val="20"/>
          <w:lang w:val="en-GB"/>
        </w:rPr>
        <w:t>.</w:t>
      </w:r>
    </w:p>
    <w:p w14:paraId="7418B23C" w14:textId="77777777" w:rsidR="00D471AD" w:rsidRPr="001729A3" w:rsidRDefault="00D471AD" w:rsidP="00D471AD">
      <w:pPr>
        <w:pStyle w:val="CellSpaceBefore"/>
        <w:rPr>
          <w:color w:val="292B67"/>
          <w:sz w:val="20"/>
        </w:rPr>
      </w:pPr>
      <w:r w:rsidRPr="001729A3">
        <w:rPr>
          <w:color w:val="292B67"/>
          <w:sz w:val="20"/>
        </w:rPr>
        <w:t>Any growing market segment is likely to attract new entrants</w:t>
      </w:r>
      <w:r>
        <w:rPr>
          <w:color w:val="292B67"/>
          <w:sz w:val="20"/>
        </w:rPr>
        <w:t>,</w:t>
      </w:r>
      <w:r w:rsidRPr="001729A3">
        <w:rPr>
          <w:color w:val="292B67"/>
          <w:sz w:val="20"/>
        </w:rPr>
        <w:t xml:space="preserve"> and technological change can lower the barriers to entry. Jon considers that Enablis’ relationship with customers and its reputation in the target market limit the risk of turbulence. The company continues to invest in strengthening capability in newer technology areas, such as the cloud, through recruitment and possibly in the future through a partnership or acquisition. Continued growth is likely to involve developing new clients—they aim for ten new clients each year—including in other geographical markets such as other Australian cities or New Zealand. Jon commented: ‘We have looked at the government market</w:t>
      </w:r>
      <w:r>
        <w:rPr>
          <w:color w:val="292B67"/>
          <w:sz w:val="20"/>
        </w:rPr>
        <w:t>,</w:t>
      </w:r>
      <w:r w:rsidRPr="001729A3">
        <w:rPr>
          <w:color w:val="292B67"/>
          <w:sz w:val="20"/>
        </w:rPr>
        <w:t xml:space="preserve"> and while we are confident we have an attractive value proposition for that market, the complex procurement processes have been a disincentive’.</w:t>
      </w:r>
    </w:p>
    <w:p w14:paraId="7418B23D" w14:textId="77777777" w:rsidR="00D471AD" w:rsidRPr="000D502B" w:rsidRDefault="00D471AD" w:rsidP="00D471AD">
      <w:pPr>
        <w:pStyle w:val="CellSpaceBefore"/>
      </w:pPr>
      <w:r w:rsidRPr="00A14FC7">
        <w:rPr>
          <w:color w:val="292B67"/>
          <w:sz w:val="20"/>
        </w:rPr>
        <w:t>Reflecting on his experience, Jon emphasises ‘self-development and continuous learning’. He acknowledges the value of the mentoring he has had from the owner of Sirocom, Simon Rogan, in creating Enablis through a management buyout</w:t>
      </w:r>
      <w:r w:rsidRPr="00A14FC7">
        <w:rPr>
          <w:color w:val="292B67"/>
          <w:sz w:val="22"/>
        </w:rPr>
        <w:t>,</w:t>
      </w:r>
      <w:r w:rsidRPr="00A14FC7">
        <w:rPr>
          <w:color w:val="292B67"/>
          <w:sz w:val="20"/>
        </w:rPr>
        <w:t xml:space="preserve"> and then leading a period of rapid growth. Simon has been an adviser over the life of the business, sits on the Board of Enablis</w:t>
      </w:r>
      <w:r w:rsidRPr="00A14FC7">
        <w:rPr>
          <w:color w:val="292B67"/>
          <w:sz w:val="22"/>
        </w:rPr>
        <w:t>,</w:t>
      </w:r>
      <w:r w:rsidRPr="00A14FC7">
        <w:rPr>
          <w:color w:val="292B67"/>
          <w:sz w:val="20"/>
        </w:rPr>
        <w:t xml:space="preserve"> and usually spends a week in the company every </w:t>
      </w:r>
      <w:r w:rsidRPr="00A14FC7">
        <w:rPr>
          <w:color w:val="292B67"/>
          <w:sz w:val="22"/>
        </w:rPr>
        <w:t xml:space="preserve">six </w:t>
      </w:r>
      <w:r w:rsidRPr="00A14FC7">
        <w:rPr>
          <w:color w:val="292B67"/>
          <w:sz w:val="20"/>
        </w:rPr>
        <w:t>to 12 months. Jon also found that participating in The Executive Connection (TEC) has been a very valuable source of mentoring, peer-peer learning and support</w:t>
      </w:r>
      <w:r w:rsidRPr="00A14FC7">
        <w:rPr>
          <w:color w:val="292B67"/>
          <w:sz w:val="22"/>
        </w:rPr>
        <w:t xml:space="preserve">. </w:t>
      </w:r>
      <w:r w:rsidRPr="00A14FC7">
        <w:rPr>
          <w:color w:val="292B67"/>
          <w:sz w:val="20"/>
        </w:rPr>
        <w:t xml:space="preserve">‘I wouldn’t be where I am without the support I have found through </w:t>
      </w:r>
      <w:r w:rsidRPr="00A14FC7">
        <w:rPr>
          <w:color w:val="292B67"/>
          <w:sz w:val="22"/>
        </w:rPr>
        <w:t>TEC</w:t>
      </w:r>
      <w:r>
        <w:rPr>
          <w:color w:val="292B67"/>
          <w:sz w:val="22"/>
        </w:rPr>
        <w:t>’</w:t>
      </w:r>
      <w:r w:rsidRPr="00A14FC7">
        <w:rPr>
          <w:color w:val="292B67"/>
          <w:sz w:val="22"/>
          <w:lang w:val="en-GB"/>
        </w:rPr>
        <w:t>.</w:t>
      </w:r>
    </w:p>
    <w:p w14:paraId="7418B23E" w14:textId="77777777" w:rsidR="00D471AD" w:rsidRPr="000D502B" w:rsidRDefault="00D471AD" w:rsidP="00D471AD">
      <w:pPr>
        <w:pStyle w:val="Caption"/>
        <w:spacing w:before="120"/>
      </w:pPr>
      <w:bookmarkStart w:id="1812" w:name="_Toc461198250"/>
      <w:bookmarkStart w:id="1813" w:name="_Toc461198792"/>
      <w:bookmarkStart w:id="1814" w:name="_Toc461204080"/>
      <w:bookmarkStart w:id="1815" w:name="_Toc461527520"/>
      <w:bookmarkStart w:id="1816" w:name="_Toc461539555"/>
      <w:bookmarkStart w:id="1817" w:name="_Toc461541672"/>
      <w:bookmarkStart w:id="1818" w:name="_Toc461545427"/>
      <w:bookmarkStart w:id="1819" w:name="_Toc461624423"/>
      <w:bookmarkStart w:id="1820" w:name="_Toc461629648"/>
      <w:bookmarkStart w:id="1821" w:name="_Toc461632978"/>
      <w:bookmarkStart w:id="1822" w:name="_Toc461634248"/>
      <w:bookmarkStart w:id="1823" w:name="_Toc463013900"/>
      <w:bookmarkStart w:id="1824" w:name="_Toc463014009"/>
      <w:bookmarkStart w:id="1825" w:name="_Toc463014443"/>
      <w:bookmarkStart w:id="1826" w:name="_Toc463877083"/>
      <w:bookmarkStart w:id="1827" w:name="_Toc465864595"/>
      <w:r w:rsidRPr="000D502B">
        <w:t xml:space="preserve">Figure </w:t>
      </w:r>
      <w:fldSimple w:instr=" STYLEREF 1 \s ">
        <w:r>
          <w:rPr>
            <w:noProof/>
          </w:rPr>
          <w:t>3</w:t>
        </w:r>
      </w:fldSimple>
      <w:r w:rsidRPr="000D502B">
        <w:t>.</w:t>
      </w:r>
      <w:fldSimple w:instr=" SEQ Figure \* ARABIC \s 1 ">
        <w:r>
          <w:rPr>
            <w:noProof/>
          </w:rPr>
          <w:t>19</w:t>
        </w:r>
      </w:fldSimple>
      <w:r w:rsidRPr="000D502B">
        <w:t xml:space="preserve">: Enablis’ growth, indexed, 2005–06 to </w:t>
      </w:r>
      <w:r>
        <w:br/>
      </w:r>
      <w:r w:rsidRPr="000D502B">
        <w:t>2015–16</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tbl>
      <w:tblPr>
        <w:tblStyle w:val="OCETable"/>
        <w:tblW w:w="4782" w:type="pct"/>
        <w:tblInd w:w="108" w:type="dxa"/>
        <w:tblLayout w:type="fixed"/>
        <w:tblLook w:val="04A0" w:firstRow="1" w:lastRow="0" w:firstColumn="1" w:lastColumn="0" w:noHBand="0" w:noVBand="1"/>
        <w:tblCaption w:val="Placeholder table"/>
      </w:tblPr>
      <w:tblGrid>
        <w:gridCol w:w="4393"/>
      </w:tblGrid>
      <w:tr w:rsidR="00D471AD" w:rsidRPr="000D502B" w14:paraId="7418B240" w14:textId="77777777" w:rsidTr="004A31A9">
        <w:trPr>
          <w:cnfStyle w:val="100000000000" w:firstRow="1" w:lastRow="0" w:firstColumn="0" w:lastColumn="0" w:oddVBand="0" w:evenVBand="0" w:oddHBand="0" w:evenHBand="0" w:firstRowFirstColumn="0" w:firstRowLastColumn="0" w:lastRowFirstColumn="0" w:lastRowLastColumn="0"/>
          <w:trHeight w:val="3402"/>
          <w:tblHeader/>
        </w:trPr>
        <w:tc>
          <w:tcPr>
            <w:tcW w:w="4706" w:type="dxa"/>
            <w:shd w:val="clear" w:color="auto" w:fill="auto"/>
          </w:tcPr>
          <w:p w14:paraId="7418B23F" w14:textId="77777777" w:rsidR="00D471AD" w:rsidRPr="000D502B" w:rsidRDefault="00D471AD" w:rsidP="004A31A9">
            <w:pPr>
              <w:pStyle w:val="Placeholder"/>
            </w:pPr>
            <w:r w:rsidRPr="000D502B">
              <w:rPr>
                <w:noProof/>
                <w:lang w:eastAsia="en-AU"/>
              </w:rPr>
              <w:drawing>
                <wp:inline distT="0" distB="0" distL="0" distR="0" wp14:anchorId="7418C65B" wp14:editId="7418C65C">
                  <wp:extent cx="2993390" cy="2164080"/>
                  <wp:effectExtent l="0" t="0" r="0" b="7620"/>
                  <wp:docPr id="38" name="Picture 38" descr="Figure 3.19 shows Enablis’ indexed growth in turnover and staff from 2005–06 to 2015–16, with the values in 2011–12 set at 100. Turnover went from an index of 0.2 in 2005–06, to 100 in 2011–12, to 811 in 2015-16. Staff went from an index of 8 in 2005–06, to 100 in 2011–12, to 292 in 2015-16." title="Figure 3.19: Enablis’ growth, indexed, 2005–06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93390" cy="2164080"/>
                          </a:xfrm>
                          <a:prstGeom prst="rect">
                            <a:avLst/>
                          </a:prstGeom>
                          <a:noFill/>
                        </pic:spPr>
                      </pic:pic>
                    </a:graphicData>
                  </a:graphic>
                </wp:inline>
              </w:drawing>
            </w:r>
          </w:p>
        </w:tc>
      </w:tr>
    </w:tbl>
    <w:p w14:paraId="7418B241" w14:textId="77777777" w:rsidR="00D471AD" w:rsidRPr="001729A3" w:rsidRDefault="00D471AD" w:rsidP="00D471AD">
      <w:pPr>
        <w:pStyle w:val="Note"/>
        <w:rPr>
          <w:lang w:val="en-AU"/>
        </w:rPr>
      </w:pPr>
      <w:r w:rsidRPr="001729A3">
        <w:rPr>
          <w:lang w:val="en-AU"/>
        </w:rPr>
        <w:t>Notes: Turnover and staff are indexed from 2005–06. The value in 2011–12 is 100.</w:t>
      </w:r>
    </w:p>
    <w:p w14:paraId="7418B242" w14:textId="77777777" w:rsidR="00D471AD" w:rsidRPr="000D502B" w:rsidRDefault="00D471AD" w:rsidP="00D471AD">
      <w:pPr>
        <w:pStyle w:val="BodyText"/>
      </w:pPr>
      <w:r w:rsidRPr="001729A3">
        <w:t>Authors: UTS Business School MCS Research Team and Abasi Latcham.</w:t>
      </w:r>
    </w:p>
    <w:p w14:paraId="7418B243" w14:textId="77777777" w:rsidR="00D471AD" w:rsidRPr="000D502B" w:rsidRDefault="00D471AD" w:rsidP="00D471AD">
      <w:pPr>
        <w:pStyle w:val="BodyText"/>
      </w:pPr>
    </w:p>
    <w:p w14:paraId="7418B244" w14:textId="77777777" w:rsidR="00D471AD" w:rsidRPr="001729A3" w:rsidRDefault="00D471AD" w:rsidP="00D471AD">
      <w:pPr>
        <w:pStyle w:val="BodyText"/>
      </w:pPr>
    </w:p>
    <w:p w14:paraId="7418B245" w14:textId="77777777" w:rsidR="00D471AD" w:rsidRPr="001729A3" w:rsidRDefault="00D471AD" w:rsidP="00D471AD">
      <w:pPr>
        <w:pStyle w:val="BodyText"/>
        <w:sectPr w:rsidR="00D471AD" w:rsidRPr="001729A3" w:rsidSect="00D471AD">
          <w:footnotePr>
            <w:numFmt w:val="upperRoman"/>
          </w:footnotePr>
          <w:endnotePr>
            <w:numFmt w:val="decimal"/>
          </w:endnotePr>
          <w:pgSz w:w="11906" w:h="16838" w:code="9"/>
          <w:pgMar w:top="1440" w:right="1020" w:bottom="1440" w:left="992" w:header="709" w:footer="709" w:gutter="0"/>
          <w:cols w:num="2" w:space="708"/>
          <w:docGrid w:linePitch="360"/>
        </w:sectPr>
      </w:pPr>
    </w:p>
    <w:p w14:paraId="7418B246" w14:textId="77777777" w:rsidR="00D471AD" w:rsidRPr="000D502B" w:rsidRDefault="00D471AD" w:rsidP="00D471AD">
      <w:pPr>
        <w:pStyle w:val="Heading1"/>
      </w:pPr>
      <w:bookmarkStart w:id="1828" w:name="_Toc461174577"/>
      <w:bookmarkStart w:id="1829" w:name="_Toc461180131"/>
      <w:bookmarkStart w:id="1830" w:name="_Toc461180227"/>
      <w:bookmarkStart w:id="1831" w:name="_Toc461180519"/>
      <w:bookmarkStart w:id="1832" w:name="_Toc461180591"/>
      <w:bookmarkStart w:id="1833" w:name="_Toc461180640"/>
      <w:bookmarkStart w:id="1834" w:name="_Toc461183248"/>
      <w:bookmarkStart w:id="1835" w:name="_Toc461183300"/>
      <w:bookmarkStart w:id="1836" w:name="_Toc461183386"/>
      <w:bookmarkStart w:id="1837" w:name="_Toc461183843"/>
      <w:bookmarkStart w:id="1838" w:name="_Toc461184457"/>
      <w:bookmarkStart w:id="1839" w:name="_Toc461184562"/>
      <w:bookmarkStart w:id="1840" w:name="_Toc461186600"/>
      <w:bookmarkStart w:id="1841" w:name="_Toc461186917"/>
      <w:bookmarkStart w:id="1842" w:name="_Toc461187022"/>
      <w:bookmarkStart w:id="1843" w:name="_Toc461187273"/>
      <w:bookmarkStart w:id="1844" w:name="_Toc461198299"/>
      <w:bookmarkStart w:id="1845" w:name="_Toc461198841"/>
      <w:bookmarkStart w:id="1846" w:name="_Toc461204129"/>
      <w:bookmarkStart w:id="1847" w:name="_Toc461527582"/>
      <w:bookmarkStart w:id="1848" w:name="_Toc461624489"/>
      <w:bookmarkStart w:id="1849" w:name="_Toc461629714"/>
      <w:bookmarkStart w:id="1850" w:name="_Toc461633044"/>
      <w:bookmarkStart w:id="1851" w:name="_Toc461634314"/>
      <w:bookmarkStart w:id="1852" w:name="_Toc462230092"/>
      <w:bookmarkStart w:id="1853" w:name="_Toc462231453"/>
      <w:bookmarkStart w:id="1854" w:name="_Toc463013954"/>
      <w:bookmarkStart w:id="1855" w:name="_Toc463014063"/>
      <w:bookmarkStart w:id="1856" w:name="_Toc463014497"/>
      <w:bookmarkStart w:id="1857" w:name="_Toc463877030"/>
      <w:bookmarkStart w:id="1858" w:name="_Toc465862824"/>
      <w:r w:rsidRPr="000D502B">
        <w:t>Networks</w:t>
      </w:r>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r w:rsidRPr="000D502B">
        <w:t xml:space="preserve"> and collaboration</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7418B247" w14:textId="77777777" w:rsidR="00D471AD" w:rsidRPr="001729A3" w:rsidRDefault="00D471AD" w:rsidP="00D471AD">
      <w:pPr>
        <w:pStyle w:val="BodyText"/>
        <w:rPr>
          <w:vertAlign w:val="superscript"/>
        </w:rPr>
      </w:pPr>
      <w:r w:rsidRPr="001729A3">
        <w:t xml:space="preserve">Networking and collaboration activity is </w:t>
      </w:r>
      <w:r>
        <w:t>essential to</w:t>
      </w:r>
      <w:r w:rsidRPr="001729A3">
        <w:t xml:space="preserve"> a high-performing innovation system. Highly networked innovation systems enable businesses to efficiently share resources, risk and ideas for innovation.</w:t>
      </w:r>
      <w:r w:rsidRPr="001729A3">
        <w:rPr>
          <w:vertAlign w:val="superscript"/>
        </w:rPr>
        <w:endnoteReference w:id="46"/>
      </w:r>
      <w:r w:rsidRPr="001729A3">
        <w:t xml:space="preserve"> Collaborative innovation is associated with more novel innovations that can capture global market shares.</w:t>
      </w:r>
      <w:r w:rsidRPr="001729A3">
        <w:rPr>
          <w:rStyle w:val="EndnoteReference"/>
        </w:rPr>
        <w:endnoteReference w:id="47"/>
      </w:r>
      <w:r w:rsidRPr="001729A3">
        <w:t xml:space="preserve"> Businesses that pursue a culture of both innovation and collaboration experience compounding benefits across a range of business performance measures.</w:t>
      </w:r>
      <w:r w:rsidRPr="001729A3">
        <w:rPr>
          <w:vertAlign w:val="superscript"/>
        </w:rPr>
        <w:endnoteReference w:id="48"/>
      </w:r>
    </w:p>
    <w:p w14:paraId="7418B248" w14:textId="77777777" w:rsidR="00D471AD" w:rsidRPr="001729A3" w:rsidRDefault="00D471AD" w:rsidP="00D471AD">
      <w:pPr>
        <w:pStyle w:val="BodyText"/>
      </w:pPr>
      <w:r w:rsidRPr="001729A3">
        <w:t>This chapter discusses Australia’s performance on (1) general indicators of business collaboration, (2) indicators of business-to-research collaboration, and (3) measures of business absorptive capacity.</w:t>
      </w:r>
    </w:p>
    <w:p w14:paraId="7418B249" w14:textId="77777777" w:rsidR="00D471AD" w:rsidRPr="000D502B" w:rsidRDefault="00D471AD" w:rsidP="00D471AD">
      <w:pPr>
        <w:pStyle w:val="Heading2"/>
      </w:pPr>
      <w:bookmarkStart w:id="1859" w:name="_Toc461174578"/>
      <w:bookmarkStart w:id="1860" w:name="_Toc461180132"/>
      <w:bookmarkStart w:id="1861" w:name="_Toc461180228"/>
      <w:bookmarkStart w:id="1862" w:name="_Toc461180520"/>
      <w:bookmarkStart w:id="1863" w:name="_Toc461180592"/>
      <w:bookmarkStart w:id="1864" w:name="_Toc461180641"/>
      <w:bookmarkStart w:id="1865" w:name="_Toc461183249"/>
      <w:bookmarkStart w:id="1866" w:name="_Toc461183301"/>
      <w:bookmarkStart w:id="1867" w:name="_Toc461183387"/>
      <w:bookmarkStart w:id="1868" w:name="_Toc461183844"/>
      <w:bookmarkStart w:id="1869" w:name="_Toc461184458"/>
      <w:bookmarkStart w:id="1870" w:name="_Toc461184563"/>
      <w:bookmarkStart w:id="1871" w:name="_Toc461186601"/>
      <w:bookmarkStart w:id="1872" w:name="_Toc461186918"/>
      <w:bookmarkStart w:id="1873" w:name="_Toc461187023"/>
      <w:bookmarkStart w:id="1874" w:name="_Toc461187274"/>
      <w:bookmarkStart w:id="1875" w:name="_Toc461198300"/>
      <w:bookmarkStart w:id="1876" w:name="_Toc461198842"/>
      <w:bookmarkStart w:id="1877" w:name="_Toc461204130"/>
      <w:bookmarkStart w:id="1878" w:name="_Toc461527583"/>
      <w:bookmarkStart w:id="1879" w:name="_Toc461624490"/>
      <w:bookmarkStart w:id="1880" w:name="_Toc461629715"/>
      <w:bookmarkStart w:id="1881" w:name="_Toc461633045"/>
      <w:bookmarkStart w:id="1882" w:name="_Toc461634315"/>
      <w:bookmarkStart w:id="1883" w:name="_Toc462230093"/>
      <w:bookmarkStart w:id="1884" w:name="_Toc462231454"/>
      <w:bookmarkStart w:id="1885" w:name="_Toc463013955"/>
      <w:bookmarkStart w:id="1886" w:name="_Toc463014064"/>
      <w:bookmarkStart w:id="1887" w:name="_Toc463014498"/>
      <w:bookmarkStart w:id="1888" w:name="_Toc463877031"/>
      <w:bookmarkStart w:id="1889" w:name="_Toc465862825"/>
      <w:r w:rsidRPr="000D502B">
        <w:t xml:space="preserve">The state of </w:t>
      </w:r>
      <w:r>
        <w:t xml:space="preserve">business </w:t>
      </w:r>
      <w:r w:rsidRPr="000D502B">
        <w:t>collaboration in Australia</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14:paraId="7418B24A" w14:textId="77777777" w:rsidR="00D471AD" w:rsidRPr="001729A3" w:rsidRDefault="00D471AD" w:rsidP="00D471AD">
      <w:pPr>
        <w:pStyle w:val="BodyText"/>
      </w:pPr>
      <w:r w:rsidRPr="001729A3">
        <w:t>We use the collaboration definition from the ABS BCS</w:t>
      </w:r>
      <w:r>
        <w:t xml:space="preserve"> which</w:t>
      </w:r>
      <w:r w:rsidRPr="001729A3">
        <w:t xml:space="preserve"> is consistent with the OECD’s Oslo Manual (Definition 4.1). International comparisons on business collaboration are, like the innovation data, matched to OECD business size and industry sector classifications. The biggest issue with these comparisons is that the Australian data has a single reference year such as 2012–13 while most other OECD countries have a three year reference period such as 2010–12. We are currently working with the ABS to estimate a three</w:t>
      </w:r>
      <w:r>
        <w:t>-</w:t>
      </w:r>
      <w:r w:rsidRPr="001729A3">
        <w:t>year rate of innovation and collaboration to improve international comparisons.</w:t>
      </w:r>
    </w:p>
    <w:p w14:paraId="7418B24B" w14:textId="77777777" w:rsidR="00D471AD" w:rsidRPr="000D502B" w:rsidRDefault="00D471AD" w:rsidP="00D471AD">
      <w:pPr>
        <w:pStyle w:val="Caption"/>
        <w:spacing w:before="120"/>
      </w:pPr>
      <w:r w:rsidRPr="000D502B">
        <w:t xml:space="preserve">Definition </w:t>
      </w:r>
      <w:fldSimple w:instr=" STYLEREF 1 \s ">
        <w:r>
          <w:rPr>
            <w:noProof/>
          </w:rPr>
          <w:t>4</w:t>
        </w:r>
      </w:fldSimple>
      <w:r w:rsidRPr="000D502B">
        <w:t>.</w:t>
      </w:r>
      <w:fldSimple w:instr=" SEQ Definition \* ARABIC \s 1 ">
        <w:r>
          <w:rPr>
            <w:noProof/>
          </w:rPr>
          <w:t>1</w:t>
        </w:r>
      </w:fldSimple>
      <w:r w:rsidRPr="000D502B">
        <w:t>: Collaboration</w:t>
      </w:r>
    </w:p>
    <w:tbl>
      <w:tblPr>
        <w:tblStyle w:val="OCETable"/>
        <w:tblW w:w="5000" w:type="pct"/>
        <w:tblInd w:w="57" w:type="dxa"/>
        <w:tblLayout w:type="fixed"/>
        <w:tblLook w:val="04A0" w:firstRow="1" w:lastRow="0" w:firstColumn="1" w:lastColumn="0" w:noHBand="0" w:noVBand="1"/>
        <w:tblCaption w:val="Collaboration"/>
        <w:tblDescription w:val="Collaboration describes arrangements where partners work together for mutual benefit, including some sharing of technical and commercial risk. It is not necessary for each participant in a collaboration to benefit commercially. &#10;This definition used in the ABS BCS conforms to the OECD’s Oslo Manual and includes informal collaboration arrangements.&#10;"/>
      </w:tblPr>
      <w:tblGrid>
        <w:gridCol w:w="4593"/>
      </w:tblGrid>
      <w:tr w:rsidR="00D471AD" w:rsidRPr="000D502B" w14:paraId="7418B24E"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Mar>
              <w:left w:w="0" w:type="dxa"/>
              <w:right w:w="0" w:type="dxa"/>
            </w:tcMar>
          </w:tcPr>
          <w:p w14:paraId="7418B24C" w14:textId="77777777" w:rsidR="00D471AD" w:rsidRPr="00882E31" w:rsidRDefault="00D471AD" w:rsidP="004A31A9">
            <w:pPr>
              <w:pStyle w:val="Definitiontext"/>
              <w:rPr>
                <w:i/>
                <w:lang w:val="en-AU"/>
              </w:rPr>
            </w:pPr>
            <w:r w:rsidRPr="00882E31">
              <w:rPr>
                <w:lang w:val="en-AU"/>
              </w:rPr>
              <w:t xml:space="preserve">Collaboration describes arrangements where partners work together for mutual benefit, including some sharing of technical and commercial risk. It is not necessary for each participant in a collaboration to benefit commercially. </w:t>
            </w:r>
          </w:p>
          <w:p w14:paraId="7418B24D" w14:textId="77777777" w:rsidR="00D471AD" w:rsidRPr="001729A3" w:rsidRDefault="00D471AD" w:rsidP="004A31A9">
            <w:pPr>
              <w:pStyle w:val="Definitiontext"/>
              <w:spacing w:after="113"/>
              <w:rPr>
                <w:lang w:val="en-AU"/>
              </w:rPr>
            </w:pPr>
            <w:r w:rsidRPr="00882E31">
              <w:rPr>
                <w:lang w:val="en-AU"/>
              </w:rPr>
              <w:t>This definition used in the ABS BCS conforms to the OECD’s Oslo Manual and includes informal collaboration arrangements.</w:t>
            </w:r>
          </w:p>
        </w:tc>
      </w:tr>
    </w:tbl>
    <w:p w14:paraId="7418B24F" w14:textId="77777777" w:rsidR="00D471AD" w:rsidRPr="001729A3" w:rsidRDefault="00D471AD" w:rsidP="00D471AD">
      <w:pPr>
        <w:pStyle w:val="BodyText"/>
      </w:pPr>
      <w:r w:rsidRPr="001729A3">
        <w:t>Measures of Australia’s business collaboration activity, including international engagement</w:t>
      </w:r>
      <w:r>
        <w:t>,</w:t>
      </w:r>
      <w:r w:rsidRPr="001729A3">
        <w:t xml:space="preserve"> are shown in </w:t>
      </w:r>
      <w:hyperlink r:id="rId139" w:history="1">
        <w:r w:rsidRPr="008465E2">
          <w:rPr>
            <w:rStyle w:val="Hyperlink"/>
          </w:rPr>
          <w:t>Tables A3 and A4</w:t>
        </w:r>
      </w:hyperlink>
      <w:r w:rsidRPr="001729A3">
        <w:t>. With the exception of the resources sector, the data suggests that Australia has a weakly networked innovation system. Innovation-active Australian businesses have below average likelihood of collaboration on innovation. Australian industry has low levels of international engagement with respect to trade in goods, services, intellectual property and joint R&amp;D. Australia performs relatively well on raw commodity trade and foreign direct investment,</w:t>
      </w:r>
      <w:r w:rsidRPr="001729A3">
        <w:rPr>
          <w:rStyle w:val="FootnoteReference"/>
        </w:rPr>
        <w:footnoteReference w:id="8"/>
      </w:r>
      <w:r w:rsidRPr="001729A3">
        <w:t xml:space="preserve"> consistent with our technological leadership in the resources sector. </w:t>
      </w:r>
    </w:p>
    <w:p w14:paraId="7418B250" w14:textId="77777777" w:rsidR="00D471AD" w:rsidRPr="001729A3" w:rsidRDefault="00D471AD" w:rsidP="00D471AD">
      <w:pPr>
        <w:pStyle w:val="BodyText"/>
      </w:pPr>
      <w:r w:rsidRPr="001729A3">
        <w:fldChar w:fldCharType="begin"/>
      </w:r>
      <w:r w:rsidRPr="001729A3">
        <w:instrText xml:space="preserve"> REF _Ref461116738 \h </w:instrText>
      </w:r>
      <w:r w:rsidRPr="001729A3">
        <w:fldChar w:fldCharType="separate"/>
      </w:r>
      <w:r w:rsidRPr="000D502B">
        <w:t xml:space="preserve">Figure </w:t>
      </w:r>
      <w:r>
        <w:rPr>
          <w:noProof/>
        </w:rPr>
        <w:t>4</w:t>
      </w:r>
      <w:r w:rsidRPr="000D502B">
        <w:t>.</w:t>
      </w:r>
      <w:r>
        <w:rPr>
          <w:noProof/>
        </w:rPr>
        <w:t>1</w:t>
      </w:r>
      <w:r w:rsidRPr="001729A3">
        <w:fldChar w:fldCharType="end"/>
      </w:r>
      <w:r w:rsidRPr="001729A3">
        <w:t xml:space="preserve"> shows the proportion of innovation-active product and process innovators that collaborated on innovation. In this generic measure of collaboration, the percentage of Australian businesses collaborating on innovation activities is lower than the OECD average and more than 20 percentage points below the OECD top </w:t>
      </w:r>
      <w:r>
        <w:t>five</w:t>
      </w:r>
      <w:r w:rsidRPr="001729A3">
        <w:t xml:space="preserve"> average.</w:t>
      </w:r>
    </w:p>
    <w:p w14:paraId="7418B251" w14:textId="77777777" w:rsidR="00D471AD" w:rsidRPr="000D502B" w:rsidRDefault="00D471AD" w:rsidP="00D471AD">
      <w:pPr>
        <w:pStyle w:val="Caption"/>
        <w:spacing w:before="120"/>
      </w:pPr>
      <w:bookmarkStart w:id="1890" w:name="_Ref461116738"/>
      <w:bookmarkStart w:id="1891" w:name="_Toc461198251"/>
      <w:bookmarkStart w:id="1892" w:name="_Toc461198793"/>
      <w:bookmarkStart w:id="1893" w:name="_Toc461204081"/>
      <w:bookmarkStart w:id="1894" w:name="_Toc461527521"/>
      <w:bookmarkStart w:id="1895" w:name="_Toc461539556"/>
      <w:bookmarkStart w:id="1896" w:name="_Toc461541673"/>
      <w:bookmarkStart w:id="1897" w:name="_Toc461545428"/>
      <w:bookmarkStart w:id="1898" w:name="_Toc461624424"/>
      <w:bookmarkStart w:id="1899" w:name="_Toc461629649"/>
      <w:bookmarkStart w:id="1900" w:name="_Toc461632979"/>
      <w:bookmarkStart w:id="1901" w:name="_Toc461634249"/>
      <w:bookmarkStart w:id="1902" w:name="_Toc463013901"/>
      <w:bookmarkStart w:id="1903" w:name="_Toc463014010"/>
      <w:bookmarkStart w:id="1904" w:name="_Toc463014444"/>
      <w:bookmarkStart w:id="1905" w:name="_Toc463877084"/>
      <w:bookmarkStart w:id="1906" w:name="_Toc465864596"/>
      <w:r w:rsidRPr="000D502B">
        <w:t xml:space="preserve">Figure </w:t>
      </w:r>
      <w:fldSimple w:instr=" STYLEREF 1 \s ">
        <w:r>
          <w:rPr>
            <w:noProof/>
          </w:rPr>
          <w:t>4</w:t>
        </w:r>
      </w:fldSimple>
      <w:r w:rsidRPr="000D502B">
        <w:t>.</w:t>
      </w:r>
      <w:fldSimple w:instr=" SEQ Figure \* ARABIC \s 1 ">
        <w:r>
          <w:rPr>
            <w:noProof/>
          </w:rPr>
          <w:t>1</w:t>
        </w:r>
      </w:fldSimple>
      <w:bookmarkEnd w:id="1890"/>
      <w:r w:rsidRPr="000D502B">
        <w:t xml:space="preserve">: </w:t>
      </w:r>
      <w:r>
        <w:t xml:space="preserve">Businesses </w:t>
      </w:r>
      <w:r w:rsidRPr="000D502B">
        <w:t xml:space="preserve">collaborating on innovation activities (as a percentage of innovation-active </w:t>
      </w:r>
      <w:r>
        <w:t xml:space="preserve">businesses </w:t>
      </w:r>
      <w:r w:rsidRPr="000D502B">
        <w:t>undertaking product and/or process innovation), 2010</w:t>
      </w:r>
      <w:r>
        <w:t>–</w:t>
      </w:r>
      <w:r w:rsidRPr="000D502B">
        <w:t>12</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14:paraId="7418B252" w14:textId="77777777" w:rsidR="00D471AD" w:rsidRPr="001729A3" w:rsidRDefault="00D471AD" w:rsidP="00D471AD">
      <w:pPr>
        <w:pStyle w:val="Note"/>
        <w:rPr>
          <w:lang w:val="en-AU"/>
        </w:rPr>
      </w:pPr>
      <w:r>
        <w:rPr>
          <w:noProof/>
          <w:lang w:val="en-AU" w:eastAsia="en-AU"/>
        </w:rPr>
        <w:drawing>
          <wp:inline distT="0" distB="0" distL="0" distR="0" wp14:anchorId="7418C65D" wp14:editId="7418C65E">
            <wp:extent cx="2993390" cy="2164080"/>
            <wp:effectExtent l="0" t="0" r="0" b="7620"/>
            <wp:docPr id="84" name="Picture 84" descr="Figure 4.1 shows international comparisons of businesses collaborating on innovation activities, as a percentage of innovation-active businesses undertaking product and/or process innovation, for 2010–12. Australia’s proportion is 25 per cent, compared to an OECD average of 32 percent and an OECD top five average of 47 per cent." title="Figure 4.1: Businesses collaborating on innovation activities (as a percentage of innovation-active businesses undertaking product and/or process innovation),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993390" cy="2164080"/>
                    </a:xfrm>
                    <a:prstGeom prst="rect">
                      <a:avLst/>
                    </a:prstGeom>
                    <a:noFill/>
                  </pic:spPr>
                </pic:pic>
              </a:graphicData>
            </a:graphic>
          </wp:inline>
        </w:drawing>
      </w:r>
    </w:p>
    <w:p w14:paraId="7418B253" w14:textId="77777777" w:rsidR="00D471AD" w:rsidRPr="001729A3" w:rsidRDefault="00D471AD" w:rsidP="00D471AD">
      <w:pPr>
        <w:pStyle w:val="Note"/>
        <w:rPr>
          <w:lang w:val="en-AU"/>
        </w:rPr>
      </w:pPr>
      <w:r w:rsidRPr="001729A3">
        <w:rPr>
          <w:lang w:val="en-AU"/>
        </w:rPr>
        <w:t xml:space="preserve">Notes: OECD comparisons exclude businesses with </w:t>
      </w:r>
      <w:r>
        <w:rPr>
          <w:lang w:val="en-AU"/>
        </w:rPr>
        <w:t>fewer</w:t>
      </w:r>
      <w:r w:rsidRPr="00660104">
        <w:rPr>
          <w:lang w:val="en-AU"/>
        </w:rPr>
        <w:t xml:space="preserve"> </w:t>
      </w:r>
      <w:r w:rsidRPr="001729A3">
        <w:rPr>
          <w:lang w:val="en-AU"/>
        </w:rPr>
        <w:t>than ten employees. Industry core coverage includes ISIC Rev. 4 Sections and Divisions B, C, D, E, G46, H, J, K, M71-72 and 73. Australian data is for 2012-13.</w:t>
      </w:r>
      <w:r>
        <w:rPr>
          <w:lang w:val="en-GB"/>
        </w:rPr>
        <w:t xml:space="preserve"> The OECD top five countries are Belgium, Slovenia, Denmark, Estonia and Austria.</w:t>
      </w:r>
    </w:p>
    <w:p w14:paraId="7418B254" w14:textId="77777777" w:rsidR="00D471AD" w:rsidRPr="001729A3" w:rsidRDefault="00D471AD" w:rsidP="00D471AD">
      <w:pPr>
        <w:pStyle w:val="Note"/>
        <w:keepNext w:val="0"/>
        <w:rPr>
          <w:lang w:val="en-AU"/>
        </w:rPr>
      </w:pPr>
      <w:r w:rsidRPr="001729A3">
        <w:rPr>
          <w:lang w:val="en-AU"/>
        </w:rPr>
        <w:t xml:space="preserve">Source: OECD (2015) </w:t>
      </w:r>
      <w:r w:rsidRPr="00BA45A5">
        <w:rPr>
          <w:i/>
          <w:lang w:val="en-AU"/>
        </w:rPr>
        <w:t>Innovation Indicators Database</w:t>
      </w:r>
      <w:r w:rsidRPr="001729A3">
        <w:rPr>
          <w:lang w:val="en-AU"/>
        </w:rPr>
        <w:t xml:space="preserve">, </w:t>
      </w:r>
      <w:hyperlink r:id="rId141" w:tooltip="www.oecd.org/innovation/inno/inno-stats.htm" w:history="1">
        <w:r w:rsidRPr="001729A3">
          <w:rPr>
            <w:rStyle w:val="Hyperlink"/>
            <w:lang w:val="en-AU"/>
          </w:rPr>
          <w:t>www.oecd.org/innovation/inno/inno-stats.htm</w:t>
        </w:r>
      </w:hyperlink>
    </w:p>
    <w:p w14:paraId="7418B255" w14:textId="77777777" w:rsidR="00D471AD" w:rsidRPr="001729A3" w:rsidRDefault="00D471AD" w:rsidP="00D471AD">
      <w:pPr>
        <w:pStyle w:val="BodyText"/>
      </w:pPr>
      <w:bookmarkStart w:id="1907" w:name="_Toc461198301"/>
      <w:bookmarkStart w:id="1908" w:name="_Toc461198843"/>
      <w:bookmarkStart w:id="1909" w:name="_Toc461204131"/>
      <w:bookmarkStart w:id="1910" w:name="_Toc461527584"/>
      <w:bookmarkStart w:id="1911" w:name="_Toc461624491"/>
      <w:bookmarkStart w:id="1912" w:name="_Toc461629716"/>
      <w:bookmarkStart w:id="1913" w:name="_Toc461633046"/>
      <w:bookmarkStart w:id="1914" w:name="_Toc461634316"/>
      <w:r w:rsidRPr="001729A3">
        <w:t xml:space="preserve">Looking at the percentage of businesses cooperating on innovation activities with suppliers, Australia also ranks poorly (25th </w:t>
      </w:r>
      <w:r>
        <w:t xml:space="preserve">out </w:t>
      </w:r>
      <w:r w:rsidRPr="001729A3">
        <w:t>of 30 OECD countries)</w:t>
      </w:r>
      <w:r>
        <w:t>. O</w:t>
      </w:r>
      <w:r w:rsidRPr="001729A3">
        <w:t>nly 12 per cent of innovation-active businesses undertak</w:t>
      </w:r>
      <w:r>
        <w:t>e</w:t>
      </w:r>
      <w:r w:rsidRPr="001729A3">
        <w:t xml:space="preserve"> this type of collaboration</w:t>
      </w:r>
      <w:r>
        <w:t>,</w:t>
      </w:r>
      <w:r w:rsidRPr="001729A3">
        <w:t xml:space="preserve"> compared with an OECD average of 21 per cent (for 30 countries), with the top five countries averaging 34 per cent. The rankings and the gap from the frontier (the OECD top five average) is even worse when comparing large Australian businesses with their OECD counterparts. Australia also ranks below the OECD average, at 20th </w:t>
      </w:r>
      <w:r>
        <w:t xml:space="preserve">out </w:t>
      </w:r>
      <w:r w:rsidRPr="001729A3">
        <w:t>of 30 countries, for collaboration with customers.</w:t>
      </w:r>
    </w:p>
    <w:p w14:paraId="7418B256" w14:textId="77777777" w:rsidR="00D471AD" w:rsidRPr="00924CA6" w:rsidRDefault="00D471AD" w:rsidP="00D471AD">
      <w:pPr>
        <w:pStyle w:val="heading3new"/>
      </w:pPr>
      <w:bookmarkStart w:id="1915" w:name="_Toc462230094"/>
      <w:bookmarkStart w:id="1916" w:name="_Toc462231455"/>
      <w:bookmarkStart w:id="1917" w:name="_Toc463013956"/>
      <w:bookmarkStart w:id="1918" w:name="_Toc463014065"/>
      <w:bookmarkStart w:id="1919" w:name="_Toc463014499"/>
      <w:bookmarkStart w:id="1920" w:name="_Toc463877032"/>
      <w:bookmarkStart w:id="1921" w:name="_Toc465862826"/>
      <w:r w:rsidRPr="00924CA6">
        <w:t>Collaboration and the frequency of innovation</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14:paraId="7418B257" w14:textId="77777777" w:rsidR="00D471AD" w:rsidRPr="001729A3" w:rsidRDefault="00D471AD" w:rsidP="00D471AD">
      <w:pPr>
        <w:pStyle w:val="BodyText"/>
      </w:pPr>
      <w:r w:rsidRPr="001729A3">
        <w:fldChar w:fldCharType="begin"/>
      </w:r>
      <w:r w:rsidRPr="001729A3">
        <w:instrText xml:space="preserve"> REF _Ref461204097 \h </w:instrText>
      </w:r>
      <w:r w:rsidRPr="001729A3">
        <w:fldChar w:fldCharType="separate"/>
      </w:r>
      <w:r w:rsidRPr="000D502B">
        <w:t xml:space="preserve">Figure </w:t>
      </w:r>
      <w:r>
        <w:rPr>
          <w:noProof/>
        </w:rPr>
        <w:t>4</w:t>
      </w:r>
      <w:r w:rsidRPr="000D502B">
        <w:t>.</w:t>
      </w:r>
      <w:r>
        <w:rPr>
          <w:noProof/>
        </w:rPr>
        <w:t>2</w:t>
      </w:r>
      <w:r w:rsidRPr="001729A3">
        <w:fldChar w:fldCharType="end"/>
      </w:r>
      <w:r w:rsidRPr="001729A3">
        <w:t xml:space="preserve"> suggests that collaboration on innovation and the number of innovations introduced per business per year is correlated. For example, businesses that collaborated on innovation were twice as likely to develop ten or more innovations in 2014–15. </w:t>
      </w:r>
    </w:p>
    <w:p w14:paraId="7418B258" w14:textId="77777777" w:rsidR="00D471AD" w:rsidRPr="001729A3" w:rsidRDefault="00D471AD" w:rsidP="00D471AD">
      <w:pPr>
        <w:pStyle w:val="BodyText"/>
      </w:pPr>
      <w:r w:rsidRPr="001729A3">
        <w:t xml:space="preserve">When the data is disaggregated by business size there are notable differences between SMEs and large businesses. While large businesses tend to develop a higher number of innovations, collaboration activity </w:t>
      </w:r>
      <w:r>
        <w:t xml:space="preserve">did not have a significant </w:t>
      </w:r>
      <w:r w:rsidRPr="001729A3">
        <w:t xml:space="preserve">effect on the frequency of innovation. For example, 32 per cent of non-collaborators and 28 per cent of the collaborators (on innovation) undertook 10 or more innovations respectively. </w:t>
      </w:r>
    </w:p>
    <w:p w14:paraId="7418B259" w14:textId="77777777" w:rsidR="00D471AD" w:rsidRPr="001729A3" w:rsidRDefault="00D471AD" w:rsidP="00D471AD">
      <w:pPr>
        <w:pStyle w:val="BodyText"/>
      </w:pPr>
      <w:r w:rsidRPr="001729A3">
        <w:t>By contrast</w:t>
      </w:r>
      <w:r>
        <w:t>,</w:t>
      </w:r>
      <w:r w:rsidRPr="001729A3">
        <w:t xml:space="preserve"> 19 per cent of innovative SME collaborators introduced 10 or more innovations in 2014–15, almost double their non-collaborative counterparts (10 per cent). This positive relationship may reflect a general lack of resources (and risk appetite) in SMEs for undertaking a high number of innovation projects. Collaboration would allow resource-constrained SMEs to share resources and spread risks further. </w:t>
      </w:r>
    </w:p>
    <w:p w14:paraId="7418B25A" w14:textId="77777777" w:rsidR="00D471AD" w:rsidRPr="000D502B" w:rsidRDefault="00D471AD" w:rsidP="00D471AD">
      <w:pPr>
        <w:pStyle w:val="Caption"/>
        <w:spacing w:before="120"/>
      </w:pPr>
      <w:bookmarkStart w:id="1922" w:name="_Ref461204097"/>
      <w:bookmarkStart w:id="1923" w:name="_Toc461198252"/>
      <w:bookmarkStart w:id="1924" w:name="_Toc461198794"/>
      <w:bookmarkStart w:id="1925" w:name="_Toc461204082"/>
      <w:bookmarkStart w:id="1926" w:name="_Toc461527522"/>
      <w:bookmarkStart w:id="1927" w:name="_Toc461539557"/>
      <w:bookmarkStart w:id="1928" w:name="_Toc461541674"/>
      <w:bookmarkStart w:id="1929" w:name="_Toc461545429"/>
      <w:bookmarkStart w:id="1930" w:name="_Toc461624425"/>
      <w:bookmarkStart w:id="1931" w:name="_Toc461629650"/>
      <w:bookmarkStart w:id="1932" w:name="_Toc461632980"/>
      <w:bookmarkStart w:id="1933" w:name="_Toc461634250"/>
      <w:bookmarkStart w:id="1934" w:name="_Toc463013902"/>
      <w:bookmarkStart w:id="1935" w:name="_Toc463014011"/>
      <w:bookmarkStart w:id="1936" w:name="_Toc463014445"/>
      <w:bookmarkStart w:id="1937" w:name="_Toc463877085"/>
      <w:bookmarkStart w:id="1938" w:name="_Toc465864597"/>
      <w:r w:rsidRPr="000D502B">
        <w:t xml:space="preserve">Figure </w:t>
      </w:r>
      <w:fldSimple w:instr=" STYLEREF 1 \s ">
        <w:r>
          <w:rPr>
            <w:noProof/>
          </w:rPr>
          <w:t>4</w:t>
        </w:r>
      </w:fldSimple>
      <w:r w:rsidRPr="000D502B">
        <w:t>.</w:t>
      </w:r>
      <w:fldSimple w:instr=" SEQ Figure \* ARABIC \s 1 ">
        <w:r>
          <w:rPr>
            <w:noProof/>
          </w:rPr>
          <w:t>2</w:t>
        </w:r>
      </w:fldSimple>
      <w:bookmarkEnd w:id="1922"/>
      <w:r w:rsidRPr="000D502B">
        <w:t xml:space="preserve">: Percentage of </w:t>
      </w:r>
      <w:r>
        <w:t xml:space="preserve">businesses </w:t>
      </w:r>
      <w:r w:rsidRPr="000D502B">
        <w:t>undertaking collaboration, by frequency of innovation, 2014–15</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p>
    <w:p w14:paraId="7418B25B" w14:textId="77777777" w:rsidR="00D471AD" w:rsidRPr="00607D9A" w:rsidRDefault="00D471AD" w:rsidP="00D471AD">
      <w:r>
        <w:rPr>
          <w:noProof/>
          <w:lang w:eastAsia="en-AU"/>
        </w:rPr>
        <w:drawing>
          <wp:inline distT="0" distB="0" distL="0" distR="0" wp14:anchorId="7418C65F" wp14:editId="7418C660">
            <wp:extent cx="3131929" cy="2349500"/>
            <wp:effectExtent l="0" t="0" r="0" b="0"/>
            <wp:docPr id="45" name="Picture 45" descr="Figure 4.2 analyses percentage of businesses undertaking collaboration, by frequency of innovation, for 2014–15. The category where businesses undertook 1-2 collaboration had the highest percentage of businesses. The figure suggests that collaboration on innovation and the number of innovations introduced per business per year is correlated. For example, businesses that collaborated on innovation were twice as likely to develop ten or more innovations in 2014–15." title="Figure 4.2: Percentage of businesses undertaking collaboration, by frequency of innovation,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3600" b="4133"/>
                    <a:stretch/>
                  </pic:blipFill>
                  <pic:spPr bwMode="auto">
                    <a:xfrm>
                      <a:off x="0" y="0"/>
                      <a:ext cx="3132322" cy="2349795"/>
                    </a:xfrm>
                    <a:prstGeom prst="rect">
                      <a:avLst/>
                    </a:prstGeom>
                    <a:noFill/>
                    <a:ln>
                      <a:noFill/>
                    </a:ln>
                    <a:extLst>
                      <a:ext uri="{53640926-AAD7-44D8-BBD7-CCE9431645EC}">
                        <a14:shadowObscured xmlns:a14="http://schemas.microsoft.com/office/drawing/2010/main"/>
                      </a:ext>
                    </a:extLst>
                  </pic:spPr>
                </pic:pic>
              </a:graphicData>
            </a:graphic>
          </wp:inline>
        </w:drawing>
      </w:r>
    </w:p>
    <w:p w14:paraId="7418B25C" w14:textId="77777777" w:rsidR="00D471AD" w:rsidRPr="001729A3" w:rsidRDefault="00D471AD" w:rsidP="00D471AD">
      <w:pPr>
        <w:pStyle w:val="Source"/>
        <w:rPr>
          <w:lang w:val="en-AU"/>
        </w:rPr>
      </w:pPr>
      <w:r w:rsidRPr="001729A3">
        <w:rPr>
          <w:lang w:val="en-AU"/>
        </w:rPr>
        <w:t>Source: Customised ABS data commissioned by the Department of Industry, Innovation and Science</w:t>
      </w:r>
    </w:p>
    <w:p w14:paraId="7418B25D" w14:textId="77777777" w:rsidR="00D471AD" w:rsidRPr="000D502B" w:rsidRDefault="00D471AD" w:rsidP="00D471AD">
      <w:pPr>
        <w:pStyle w:val="Heading2"/>
      </w:pPr>
      <w:bookmarkStart w:id="1939" w:name="_Toc461174579"/>
      <w:bookmarkStart w:id="1940" w:name="_Toc461180133"/>
      <w:bookmarkStart w:id="1941" w:name="_Toc461180229"/>
      <w:bookmarkStart w:id="1942" w:name="_Toc461180521"/>
      <w:bookmarkStart w:id="1943" w:name="_Toc461180593"/>
      <w:bookmarkStart w:id="1944" w:name="_Toc461180642"/>
      <w:bookmarkStart w:id="1945" w:name="_Toc461183250"/>
      <w:bookmarkStart w:id="1946" w:name="_Toc461183302"/>
      <w:bookmarkStart w:id="1947" w:name="_Toc461183388"/>
      <w:bookmarkStart w:id="1948" w:name="_Toc461183845"/>
      <w:bookmarkStart w:id="1949" w:name="_Toc461184459"/>
      <w:bookmarkStart w:id="1950" w:name="_Toc461184564"/>
      <w:bookmarkStart w:id="1951" w:name="_Toc461186602"/>
      <w:bookmarkStart w:id="1952" w:name="_Toc461186919"/>
      <w:bookmarkStart w:id="1953" w:name="_Toc461187024"/>
      <w:bookmarkStart w:id="1954" w:name="_Toc461187275"/>
      <w:bookmarkStart w:id="1955" w:name="_Toc461198302"/>
      <w:bookmarkStart w:id="1956" w:name="_Toc461198844"/>
      <w:bookmarkStart w:id="1957" w:name="_Toc461204132"/>
      <w:bookmarkStart w:id="1958" w:name="_Toc461527585"/>
      <w:bookmarkStart w:id="1959" w:name="_Toc461624492"/>
      <w:bookmarkStart w:id="1960" w:name="_Toc461629717"/>
      <w:bookmarkStart w:id="1961" w:name="_Toc461633047"/>
      <w:bookmarkStart w:id="1962" w:name="_Toc461634317"/>
      <w:bookmarkStart w:id="1963" w:name="_Toc462230095"/>
      <w:bookmarkStart w:id="1964" w:name="_Toc462231456"/>
      <w:bookmarkStart w:id="1965" w:name="_Toc463013957"/>
      <w:bookmarkStart w:id="1966" w:name="_Toc463014066"/>
      <w:bookmarkStart w:id="1967" w:name="_Toc463014500"/>
      <w:bookmarkStart w:id="1968" w:name="_Toc463877033"/>
      <w:bookmarkStart w:id="1969" w:name="_Toc465862827"/>
      <w:r w:rsidRPr="000D502B">
        <w:t xml:space="preserve">Business-research </w:t>
      </w:r>
      <w:r>
        <w:t xml:space="preserve">sector </w:t>
      </w:r>
      <w:r w:rsidRPr="000D502B">
        <w:t>collaboration</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p>
    <w:p w14:paraId="7418B25E" w14:textId="77777777" w:rsidR="00D471AD" w:rsidRPr="001729A3" w:rsidRDefault="00D471AD" w:rsidP="00D471AD">
      <w:pPr>
        <w:pStyle w:val="BodyText"/>
      </w:pPr>
      <w:r w:rsidRPr="001729A3">
        <w:t xml:space="preserve">Research institutions are a source of expert knowledge that businesses can leverage in order to innovate more effectively, both in outcomes and cost. Collaboration with research organisations such as CSIRO and universities has been found to more than triple the likelihood of businesses reporting annual productivity growth and </w:t>
      </w:r>
      <w:r>
        <w:t xml:space="preserve">increases in </w:t>
      </w:r>
      <w:r w:rsidRPr="001729A3">
        <w:t>other performance measures.</w:t>
      </w:r>
      <w:r w:rsidRPr="001729A3">
        <w:rPr>
          <w:rStyle w:val="EndnoteReference"/>
        </w:rPr>
        <w:endnoteReference w:id="49"/>
      </w:r>
      <w:r w:rsidRPr="001729A3">
        <w:t xml:space="preserve"> </w:t>
      </w:r>
    </w:p>
    <w:p w14:paraId="7418B25F" w14:textId="77777777" w:rsidR="00D471AD" w:rsidRPr="00924CA6" w:rsidRDefault="00D471AD" w:rsidP="00D471AD">
      <w:pPr>
        <w:pStyle w:val="heading3new"/>
      </w:pPr>
      <w:bookmarkStart w:id="1970" w:name="_Toc461527586"/>
      <w:bookmarkStart w:id="1971" w:name="_Toc461624493"/>
      <w:bookmarkStart w:id="1972" w:name="_Toc461629718"/>
      <w:bookmarkStart w:id="1973" w:name="_Toc461633048"/>
      <w:bookmarkStart w:id="1974" w:name="_Toc461634318"/>
      <w:bookmarkStart w:id="1975" w:name="_Toc462230096"/>
      <w:bookmarkStart w:id="1976" w:name="_Toc462231457"/>
      <w:bookmarkStart w:id="1977" w:name="_Toc463013958"/>
      <w:bookmarkStart w:id="1978" w:name="_Toc463014067"/>
      <w:bookmarkStart w:id="1979" w:name="_Toc463014501"/>
      <w:bookmarkStart w:id="1980" w:name="_Toc463877034"/>
      <w:bookmarkStart w:id="1981" w:name="_Toc465862828"/>
      <w:r w:rsidRPr="00924CA6">
        <w:t>How Australia compares</w:t>
      </w:r>
      <w:bookmarkEnd w:id="1970"/>
      <w:bookmarkEnd w:id="1971"/>
      <w:bookmarkEnd w:id="1972"/>
      <w:bookmarkEnd w:id="1973"/>
      <w:bookmarkEnd w:id="1974"/>
      <w:bookmarkEnd w:id="1975"/>
      <w:bookmarkEnd w:id="1976"/>
      <w:bookmarkEnd w:id="1977"/>
      <w:bookmarkEnd w:id="1978"/>
      <w:bookmarkEnd w:id="1979"/>
      <w:bookmarkEnd w:id="1980"/>
      <w:bookmarkEnd w:id="1981"/>
    </w:p>
    <w:p w14:paraId="7418B260" w14:textId="77777777" w:rsidR="00D471AD" w:rsidRPr="001729A3" w:rsidRDefault="00D471AD" w:rsidP="00D471AD">
      <w:pPr>
        <w:pStyle w:val="BodyText"/>
      </w:pPr>
      <w:r w:rsidRPr="001729A3">
        <w:t>Australia fares poorly on collaboration with research institutions. Australian industry’s collaboration with higher education and research institutions ranked the lowest of 27 countries in the OECD, both for large businesses and for SMEs</w:t>
      </w:r>
      <w:r>
        <w:t>,</w:t>
      </w:r>
      <w:r w:rsidRPr="001729A3">
        <w:t xml:space="preserve"> as shown by </w:t>
      </w:r>
      <w:r w:rsidRPr="001729A3">
        <w:fldChar w:fldCharType="begin"/>
      </w:r>
      <w:r w:rsidRPr="001729A3">
        <w:instrText xml:space="preserve"> REF _Ref461116755 \h </w:instrText>
      </w:r>
      <w:r w:rsidRPr="001729A3">
        <w:fldChar w:fldCharType="separate"/>
      </w:r>
      <w:r w:rsidRPr="000D502B">
        <w:t xml:space="preserve">Figure </w:t>
      </w:r>
      <w:r>
        <w:rPr>
          <w:noProof/>
        </w:rPr>
        <w:t>4</w:t>
      </w:r>
      <w:r w:rsidRPr="000D502B">
        <w:t>.</w:t>
      </w:r>
      <w:r>
        <w:rPr>
          <w:noProof/>
        </w:rPr>
        <w:t>3</w:t>
      </w:r>
      <w:r w:rsidRPr="001729A3">
        <w:fldChar w:fldCharType="end"/>
      </w:r>
      <w:r w:rsidRPr="001729A3">
        <w:t xml:space="preserve">. </w:t>
      </w:r>
    </w:p>
    <w:p w14:paraId="7418B261" w14:textId="77777777" w:rsidR="00D471AD" w:rsidRPr="001729A3" w:rsidRDefault="00D471AD" w:rsidP="00D471AD">
      <w:pPr>
        <w:pStyle w:val="BodyText"/>
      </w:pPr>
      <w:r w:rsidRPr="001729A3">
        <w:t xml:space="preserve">For </w:t>
      </w:r>
      <w:r w:rsidRPr="001729A3">
        <w:fldChar w:fldCharType="begin"/>
      </w:r>
      <w:r w:rsidRPr="001729A3">
        <w:instrText xml:space="preserve"> REF _Ref461116755 \h </w:instrText>
      </w:r>
      <w:r w:rsidRPr="001729A3">
        <w:fldChar w:fldCharType="separate"/>
      </w:r>
      <w:r w:rsidRPr="000D502B">
        <w:t xml:space="preserve">Figure </w:t>
      </w:r>
      <w:r>
        <w:rPr>
          <w:noProof/>
        </w:rPr>
        <w:t>4</w:t>
      </w:r>
      <w:r w:rsidRPr="000D502B">
        <w:t>.</w:t>
      </w:r>
      <w:r>
        <w:rPr>
          <w:noProof/>
        </w:rPr>
        <w:t>3</w:t>
      </w:r>
      <w:r w:rsidRPr="001729A3">
        <w:fldChar w:fldCharType="end"/>
      </w:r>
      <w:r w:rsidRPr="001729A3">
        <w:t xml:space="preserve">, the ABS data on collaboration is matched to the OECD definition (Methodology 3.1). The surveys from which the data </w:t>
      </w:r>
      <w:r>
        <w:t xml:space="preserve">are </w:t>
      </w:r>
      <w:r w:rsidRPr="001729A3">
        <w:t>derive</w:t>
      </w:r>
      <w:r>
        <w:t>d</w:t>
      </w:r>
      <w:r w:rsidRPr="001729A3">
        <w:t xml:space="preserve"> are designed to measure the likelihood of collaborating on innovation for the entire population of businesses. They are not directed at R&amp;D</w:t>
      </w:r>
      <w:r>
        <w:t>-</w:t>
      </w:r>
      <w:r w:rsidRPr="001729A3">
        <w:t>intensive businesses</w:t>
      </w:r>
      <w:r>
        <w:t>,</w:t>
      </w:r>
      <w:r w:rsidRPr="001729A3">
        <w:t xml:space="preserve"> or at highly collaborative businesses. If the collaboration rates of R&amp;D-active businesses were made the target indicator, this would not necessarily improve Australia’s ranking</w:t>
      </w:r>
      <w:r>
        <w:t>,</w:t>
      </w:r>
      <w:r w:rsidRPr="001729A3">
        <w:t xml:space="preserve"> as all other countries would have to make a similar definitional change. </w:t>
      </w:r>
    </w:p>
    <w:p w14:paraId="7418B262" w14:textId="77777777" w:rsidR="00D471AD" w:rsidRPr="001729A3" w:rsidRDefault="00D471AD" w:rsidP="00D471AD">
      <w:pPr>
        <w:pStyle w:val="BodyText"/>
      </w:pPr>
      <w:r>
        <w:t xml:space="preserve">In 2012–13, the </w:t>
      </w:r>
      <w:r w:rsidRPr="001729A3">
        <w:t xml:space="preserve">proportion of </w:t>
      </w:r>
      <w:r>
        <w:t xml:space="preserve">Australian </w:t>
      </w:r>
      <w:r w:rsidRPr="001729A3">
        <w:t>non</w:t>
      </w:r>
      <w:r>
        <w:t>-</w:t>
      </w:r>
      <w:r w:rsidRPr="001729A3">
        <w:t>R&amp;D-active product</w:t>
      </w:r>
      <w:r>
        <w:t>-</w:t>
      </w:r>
      <w:r w:rsidRPr="001729A3">
        <w:t xml:space="preserve"> or process</w:t>
      </w:r>
      <w:r>
        <w:t>-</w:t>
      </w:r>
      <w:r w:rsidRPr="001729A3">
        <w:t>innovating businesses</w:t>
      </w:r>
      <w:r>
        <w:t xml:space="preserve"> </w:t>
      </w:r>
      <w:r w:rsidRPr="001729A3">
        <w:t>collaborati</w:t>
      </w:r>
      <w:r>
        <w:t>ng</w:t>
      </w:r>
      <w:r w:rsidRPr="001729A3">
        <w:t xml:space="preserve"> on innovation was 23 per cent, ranked 11th </w:t>
      </w:r>
      <w:r>
        <w:t xml:space="preserve">out </w:t>
      </w:r>
      <w:r w:rsidRPr="001729A3">
        <w:t>of 30 OECD countries. The equivalent collaboration score for R&amp;D</w:t>
      </w:r>
      <w:r>
        <w:t>-</w:t>
      </w:r>
      <w:r w:rsidRPr="001729A3">
        <w:t xml:space="preserve">active businesses was higher at 32 per cent, but Australia’s ranking was 25th </w:t>
      </w:r>
      <w:r>
        <w:t xml:space="preserve">out </w:t>
      </w:r>
      <w:r w:rsidRPr="001729A3">
        <w:t>of 31 countries. Many other OECD countries have a higher proportion of their business population undertaking R&amp;D than Australia, which has only about 12 000 R&amp;D</w:t>
      </w:r>
      <w:r>
        <w:t>-</w:t>
      </w:r>
      <w:r w:rsidRPr="001729A3">
        <w:t xml:space="preserve">active businesses. </w:t>
      </w:r>
    </w:p>
    <w:p w14:paraId="7418B263" w14:textId="77777777" w:rsidR="00D471AD" w:rsidRPr="001729A3" w:rsidRDefault="00D471AD" w:rsidP="00D471AD">
      <w:pPr>
        <w:pStyle w:val="BodyText"/>
      </w:pPr>
      <w:r w:rsidRPr="001729A3">
        <w:t xml:space="preserve">The randomised, stratified sample of 7,000 businesses returns a very low proportion of businesses that are collaborating on innovation with research and higher education institutions. This means that any further breakdown by industry is not possible. Despite the volatility in the national collaboration rate, international comparisons have consistently shown relatively low rates of collaboration. Even if we crudely accounted for the difference in reference periods by tripling the rate of collaboration, Australia would still rank well below the OECD average. </w:t>
      </w:r>
    </w:p>
    <w:p w14:paraId="7418B264" w14:textId="77777777" w:rsidR="00D471AD" w:rsidRPr="001729A3" w:rsidRDefault="00D471AD" w:rsidP="00D471AD">
      <w:pPr>
        <w:pStyle w:val="BodyText"/>
      </w:pPr>
      <w:r w:rsidRPr="001729A3">
        <w:t xml:space="preserve">A low level of collaboration using BCS data is consistent with other </w:t>
      </w:r>
      <w:r>
        <w:t xml:space="preserve">recorded </w:t>
      </w:r>
      <w:r w:rsidRPr="001729A3">
        <w:t>data. In 2013–14, Australian businesses invested $18.8 billion on R&amp;D, but only $426 million (2.3 per cent) was directed to higher education and $185 million (1.0 per cent) to government in 2014–15 (Section 3.5). Much of a country’s research is performed by the higher education and government sectors. Industry financing of R&amp;D in higher education and government in Australia is average by OECD standards. Australia was ranked 16th</w:t>
      </w:r>
      <w:r w:rsidRPr="00660104">
        <w:t xml:space="preserve"> </w:t>
      </w:r>
      <w:r>
        <w:t>out</w:t>
      </w:r>
      <w:r w:rsidRPr="001729A3">
        <w:t xml:space="preserve"> of 33 countries in 2012 for share in total HERD</w:t>
      </w:r>
      <w:r>
        <w:t>,</w:t>
      </w:r>
      <w:r w:rsidRPr="001729A3">
        <w:t xml:space="preserve"> and 12th </w:t>
      </w:r>
      <w:r>
        <w:t xml:space="preserve">out </w:t>
      </w:r>
      <w:r w:rsidRPr="001729A3">
        <w:t xml:space="preserve">of 34 countries for GOVERD financing. In 2014–15, only </w:t>
      </w:r>
      <w:r>
        <w:t>three</w:t>
      </w:r>
      <w:r w:rsidRPr="001729A3">
        <w:t xml:space="preserve"> per cent of Australian businesses reported sourcing their ideas for innovation from higher education institutions. This suggests that the majority of Australian businesses are largely disconnected from the publicly funded research sector. </w:t>
      </w:r>
    </w:p>
    <w:p w14:paraId="7418B265" w14:textId="77777777" w:rsidR="00D471AD" w:rsidRPr="00924CA6" w:rsidRDefault="00D471AD" w:rsidP="00D471AD">
      <w:pPr>
        <w:pStyle w:val="heading3new"/>
      </w:pPr>
      <w:bookmarkStart w:id="1982" w:name="_Toc461527587"/>
      <w:bookmarkStart w:id="1983" w:name="_Toc461624494"/>
      <w:bookmarkStart w:id="1984" w:name="_Toc461629719"/>
      <w:bookmarkStart w:id="1985" w:name="_Toc461633049"/>
      <w:bookmarkStart w:id="1986" w:name="_Toc461634319"/>
      <w:bookmarkStart w:id="1987" w:name="_Toc462230097"/>
      <w:bookmarkStart w:id="1988" w:name="_Toc462231458"/>
      <w:bookmarkStart w:id="1989" w:name="_Toc463013959"/>
      <w:bookmarkStart w:id="1990" w:name="_Toc463014068"/>
      <w:bookmarkStart w:id="1991" w:name="_Toc463014502"/>
      <w:bookmarkStart w:id="1992" w:name="_Toc463877035"/>
      <w:bookmarkStart w:id="1993" w:name="_Toc465862829"/>
      <w:r w:rsidRPr="00924CA6">
        <w:t>Collaboration within research organisations</w:t>
      </w:r>
      <w:bookmarkEnd w:id="1982"/>
      <w:bookmarkEnd w:id="1983"/>
      <w:bookmarkEnd w:id="1984"/>
      <w:bookmarkEnd w:id="1985"/>
      <w:bookmarkEnd w:id="1986"/>
      <w:bookmarkEnd w:id="1987"/>
      <w:bookmarkEnd w:id="1988"/>
      <w:bookmarkEnd w:id="1989"/>
      <w:bookmarkEnd w:id="1990"/>
      <w:bookmarkEnd w:id="1991"/>
      <w:bookmarkEnd w:id="1992"/>
      <w:bookmarkEnd w:id="1993"/>
    </w:p>
    <w:p w14:paraId="7418B266" w14:textId="77777777" w:rsidR="00D471AD" w:rsidRPr="001729A3" w:rsidRDefault="00D471AD" w:rsidP="00D471AD">
      <w:pPr>
        <w:pStyle w:val="BodyText"/>
      </w:pPr>
      <w:r w:rsidRPr="001729A3">
        <w:t xml:space="preserve">Research organisations across Australia have a highly collaborative culture. In the share of the world's top one per cent of highly cited publications attributed to international collaboration, Australia was ranked 7th </w:t>
      </w:r>
      <w:r>
        <w:t xml:space="preserve">out </w:t>
      </w:r>
      <w:r w:rsidRPr="001729A3">
        <w:t>of 37 OECD+ countries across all disciplines, 5th in social sciences and humanities</w:t>
      </w:r>
      <w:r>
        <w:t>,</w:t>
      </w:r>
      <w:r w:rsidRPr="001729A3">
        <w:t xml:space="preserve"> and 8th in natural sciences and engineering (</w:t>
      </w:r>
      <w:hyperlink r:id="rId143" w:history="1">
        <w:r w:rsidRPr="001729A3">
          <w:rPr>
            <w:rStyle w:val="Hyperlink"/>
          </w:rPr>
          <w:t>Table A9</w:t>
        </w:r>
      </w:hyperlink>
      <w:r w:rsidRPr="001729A3">
        <w:t>). The rate of domestic and international research-to-research collaboration is growing.</w:t>
      </w:r>
    </w:p>
    <w:p w14:paraId="7418B267" w14:textId="77777777" w:rsidR="00D471AD" w:rsidRPr="000D502B" w:rsidRDefault="00D471AD" w:rsidP="00D471AD">
      <w:pPr>
        <w:pStyle w:val="Caption"/>
      </w:pPr>
      <w:bookmarkStart w:id="1994" w:name="_Ref461116755"/>
      <w:bookmarkStart w:id="1995" w:name="_Toc461198253"/>
      <w:bookmarkStart w:id="1996" w:name="_Toc461198795"/>
      <w:bookmarkStart w:id="1997" w:name="_Toc461204083"/>
      <w:bookmarkStart w:id="1998" w:name="_Toc461527523"/>
      <w:bookmarkStart w:id="1999" w:name="_Toc461539558"/>
      <w:bookmarkStart w:id="2000" w:name="_Toc461541675"/>
      <w:bookmarkStart w:id="2001" w:name="_Toc461545430"/>
      <w:bookmarkStart w:id="2002" w:name="_Toc461624426"/>
      <w:bookmarkStart w:id="2003" w:name="_Toc461629651"/>
      <w:bookmarkStart w:id="2004" w:name="_Toc461632981"/>
      <w:bookmarkStart w:id="2005" w:name="_Toc461634251"/>
      <w:bookmarkStart w:id="2006" w:name="_Toc463013903"/>
      <w:bookmarkStart w:id="2007" w:name="_Toc463014012"/>
      <w:bookmarkStart w:id="2008" w:name="_Toc463014446"/>
      <w:bookmarkStart w:id="2009" w:name="_Toc463877086"/>
      <w:bookmarkStart w:id="2010" w:name="_Toc465864598"/>
      <w:r w:rsidRPr="000D502B">
        <w:t xml:space="preserve">Figure </w:t>
      </w:r>
      <w:fldSimple w:instr=" STYLEREF 1 \s ">
        <w:r>
          <w:rPr>
            <w:noProof/>
          </w:rPr>
          <w:t>4</w:t>
        </w:r>
      </w:fldSimple>
      <w:r w:rsidRPr="000D502B">
        <w:t>.</w:t>
      </w:r>
      <w:fldSimple w:instr=" SEQ Figure \* ARABIC \s 1 ">
        <w:r>
          <w:rPr>
            <w:noProof/>
          </w:rPr>
          <w:t>3</w:t>
        </w:r>
      </w:fldSimple>
      <w:bookmarkEnd w:id="1994"/>
      <w:r w:rsidRPr="000D502B">
        <w:t xml:space="preserve">: </w:t>
      </w:r>
      <w:r>
        <w:t xml:space="preserve">Businesses </w:t>
      </w:r>
      <w:r w:rsidRPr="000D502B">
        <w:t xml:space="preserve">collaborating on innovation with higher education or research institutions, by size, </w:t>
      </w:r>
      <w:r>
        <w:br/>
      </w:r>
      <w:r w:rsidRPr="000D502B">
        <w:t>2010</w:t>
      </w:r>
      <w:r>
        <w:t>–</w:t>
      </w:r>
      <w:r w:rsidRPr="000D502B">
        <w:t>12</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14:paraId="7418B268" w14:textId="77777777" w:rsidR="00D471AD" w:rsidRPr="001729A3" w:rsidRDefault="00D471AD" w:rsidP="00D471AD">
      <w:pPr>
        <w:pStyle w:val="Note"/>
        <w:rPr>
          <w:lang w:val="en-AU"/>
        </w:rPr>
      </w:pPr>
      <w:r w:rsidRPr="001729A3">
        <w:rPr>
          <w:lang w:val="en-AU"/>
        </w:rPr>
        <w:t>SMEs</w:t>
      </w:r>
    </w:p>
    <w:p w14:paraId="7418B269" w14:textId="77777777" w:rsidR="00D471AD" w:rsidRPr="001729A3" w:rsidRDefault="00D471AD" w:rsidP="00D471AD">
      <w:pPr>
        <w:pStyle w:val="Note"/>
        <w:rPr>
          <w:lang w:val="en-AU"/>
        </w:rPr>
      </w:pPr>
      <w:r>
        <w:rPr>
          <w:noProof/>
          <w:lang w:val="en-AU" w:eastAsia="en-AU"/>
        </w:rPr>
        <w:drawing>
          <wp:inline distT="0" distB="0" distL="0" distR="0" wp14:anchorId="7418C661" wp14:editId="7418C662">
            <wp:extent cx="2981325" cy="2170430"/>
            <wp:effectExtent l="0" t="0" r="9525" b="1270"/>
            <wp:docPr id="87" name="Picture 87" descr="Figure 4.3 shows international comparisons of businesses collaborating on innovation with higher education or research institutions, by size, for 2010–12. Australia’s proportion for SMEs is 2.1 per cent, compared to an OECD average of 13.8 per cent and an OECD top five average of 22.1 per cent. " title="Figure 4.3: Businesses collaborating on innovation with higher education or research institutions, by size, 2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81325" cy="2170430"/>
                    </a:xfrm>
                    <a:prstGeom prst="rect">
                      <a:avLst/>
                    </a:prstGeom>
                    <a:noFill/>
                  </pic:spPr>
                </pic:pic>
              </a:graphicData>
            </a:graphic>
          </wp:inline>
        </w:drawing>
      </w:r>
    </w:p>
    <w:p w14:paraId="7418B26A" w14:textId="77777777" w:rsidR="00D471AD" w:rsidRPr="001729A3" w:rsidRDefault="00D471AD" w:rsidP="00D471AD">
      <w:pPr>
        <w:pStyle w:val="Note"/>
        <w:rPr>
          <w:lang w:val="en-AU"/>
        </w:rPr>
      </w:pPr>
      <w:r w:rsidRPr="001729A3">
        <w:rPr>
          <w:lang w:val="en-AU"/>
        </w:rPr>
        <w:t>Large businesses</w:t>
      </w:r>
    </w:p>
    <w:p w14:paraId="7418B26B" w14:textId="77777777" w:rsidR="00D471AD" w:rsidRPr="001729A3" w:rsidRDefault="00D471AD" w:rsidP="00D471AD">
      <w:pPr>
        <w:pStyle w:val="Note"/>
        <w:rPr>
          <w:lang w:val="en-AU"/>
        </w:rPr>
      </w:pPr>
      <w:r>
        <w:rPr>
          <w:noProof/>
          <w:lang w:val="en-AU" w:eastAsia="en-AU"/>
        </w:rPr>
        <w:drawing>
          <wp:inline distT="0" distB="0" distL="0" distR="0" wp14:anchorId="7418C663" wp14:editId="7418C664">
            <wp:extent cx="2981325" cy="2133600"/>
            <wp:effectExtent l="0" t="0" r="9525" b="0"/>
            <wp:docPr id="88" name="Picture 88" descr="Figure 4.3 shows international comparisons of businesses collaborating on innovation with higher education or research institutions, by size, for 2010–12. Australia’s proportion for large businesses is 3.0 per cent, compared to an OECD average of 35.5 per cent and an OECD top five average of 54.8 per cent." title="Figure 4.3: Businesses collaborating on innovation with higher education or research institutions, by size,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81325" cy="2133600"/>
                    </a:xfrm>
                    <a:prstGeom prst="rect">
                      <a:avLst/>
                    </a:prstGeom>
                    <a:noFill/>
                  </pic:spPr>
                </pic:pic>
              </a:graphicData>
            </a:graphic>
          </wp:inline>
        </w:drawing>
      </w:r>
    </w:p>
    <w:p w14:paraId="7418B26C" w14:textId="77777777" w:rsidR="00D471AD" w:rsidRPr="001729A3" w:rsidRDefault="00D471AD" w:rsidP="00D471AD">
      <w:pPr>
        <w:pStyle w:val="Note"/>
        <w:rPr>
          <w:lang w:val="en-AU"/>
        </w:rPr>
      </w:pPr>
      <w:r w:rsidRPr="001729A3">
        <w:rPr>
          <w:lang w:val="en-AU"/>
        </w:rPr>
        <w:t xml:space="preserve">Notes: Collaboration as a percentage of product and/or process-innovating businesses in each size category. OECD comparisons exclude businesses with </w:t>
      </w:r>
      <w:r>
        <w:rPr>
          <w:lang w:val="en-AU"/>
        </w:rPr>
        <w:t>fewer</w:t>
      </w:r>
      <w:r w:rsidRPr="00660104">
        <w:rPr>
          <w:lang w:val="en-AU"/>
        </w:rPr>
        <w:t xml:space="preserve"> </w:t>
      </w:r>
      <w:r w:rsidRPr="001729A3">
        <w:rPr>
          <w:lang w:val="en-AU"/>
        </w:rPr>
        <w:t>than ten employees. Industry core coverage includes ISIC Rev. 4 Sections and Divisions B, C, D, E, G46, H, J, K, M71-72 and 73. Australian data is for 2012-13.</w:t>
      </w:r>
      <w:r>
        <w:rPr>
          <w:lang w:val="en-GB"/>
        </w:rPr>
        <w:t xml:space="preserve"> </w:t>
      </w:r>
      <w:r w:rsidRPr="009F3B02">
        <w:rPr>
          <w:lang w:val="en-GB"/>
        </w:rPr>
        <w:t xml:space="preserve">The OECD top five </w:t>
      </w:r>
      <w:r>
        <w:rPr>
          <w:lang w:val="en-GB"/>
        </w:rPr>
        <w:t xml:space="preserve">for SMEs </w:t>
      </w:r>
      <w:r w:rsidRPr="009F3B02">
        <w:rPr>
          <w:lang w:val="en-GB"/>
        </w:rPr>
        <w:t>are</w:t>
      </w:r>
      <w:r>
        <w:rPr>
          <w:lang w:val="en-GB"/>
        </w:rPr>
        <w:t xml:space="preserve"> Slovenia, Finland, Austria, Greece and Belgium. The OECD top five for large businesses are Finland, Greece, Austria, Slovenia and Sweden.</w:t>
      </w:r>
    </w:p>
    <w:p w14:paraId="7418B26D" w14:textId="77777777" w:rsidR="00D471AD" w:rsidRPr="001729A3" w:rsidRDefault="00D471AD" w:rsidP="00D471AD">
      <w:pPr>
        <w:pStyle w:val="Source"/>
        <w:rPr>
          <w:lang w:val="en-AU"/>
        </w:rPr>
      </w:pPr>
      <w:r w:rsidRPr="001729A3">
        <w:rPr>
          <w:lang w:val="en-AU"/>
        </w:rPr>
        <w:t xml:space="preserve">Sources: OECD </w:t>
      </w:r>
      <w:r>
        <w:rPr>
          <w:lang w:val="en-AU"/>
        </w:rPr>
        <w:t xml:space="preserve">(2015) </w:t>
      </w:r>
      <w:r w:rsidRPr="001B4199">
        <w:rPr>
          <w:i/>
          <w:lang w:val="en-AU"/>
        </w:rPr>
        <w:t>Science, Technology and Industry Scoreboard 2015</w:t>
      </w:r>
      <w:r w:rsidRPr="001729A3">
        <w:rPr>
          <w:lang w:val="en-AU"/>
        </w:rPr>
        <w:t>; Customised ABS report commissioned by the Department of Industry, Innovation and Science</w:t>
      </w:r>
    </w:p>
    <w:p w14:paraId="7418B26E" w14:textId="77777777" w:rsidR="00D471AD" w:rsidRDefault="00D471AD" w:rsidP="00D471AD">
      <w:pPr>
        <w:spacing w:after="200" w:line="276" w:lineRule="auto"/>
        <w:rPr>
          <w:sz w:val="20"/>
        </w:rPr>
      </w:pPr>
      <w:r>
        <w:br w:type="page"/>
      </w:r>
    </w:p>
    <w:p w14:paraId="7418B26F" w14:textId="77777777" w:rsidR="00D471AD" w:rsidRPr="001729A3" w:rsidRDefault="00D471AD" w:rsidP="00D471AD">
      <w:pPr>
        <w:pStyle w:val="BodyText"/>
      </w:pPr>
      <w:r w:rsidRPr="001729A3">
        <w:t>Data from the National Survey of Research Commercialisation</w:t>
      </w:r>
      <w:r w:rsidRPr="001729A3">
        <w:rPr>
          <w:rStyle w:val="EndnoteReference"/>
        </w:rPr>
        <w:endnoteReference w:id="50"/>
      </w:r>
      <w:r w:rsidRPr="001729A3">
        <w:t xml:space="preserve"> shows collaboration by publicly funded research organisations (PFROs) is increasing in value terms</w:t>
      </w:r>
      <w:r>
        <w:t>,</w:t>
      </w:r>
      <w:r w:rsidRPr="001729A3">
        <w:t xml:space="preserve"> but is a small share of PFROs’ commercialisation income (</w:t>
      </w:r>
      <w:hyperlink r:id="rId146" w:history="1">
        <w:r w:rsidRPr="001729A3">
          <w:rPr>
            <w:rStyle w:val="Hyperlink"/>
          </w:rPr>
          <w:t>Table A10</w:t>
        </w:r>
      </w:hyperlink>
      <w:r w:rsidRPr="001729A3">
        <w:t>). However, other types of income such as contracts and consultancies, while not fitting the formal definition of collaboration, can involve PFROs in work with client businesses that is collaborative in nature. In 2014, PFROs earned $1.8 billion from research contracts, consultancies and collaborations, of which $0.3 billion (16.8 per cent) was on collaboration projects.</w:t>
      </w:r>
    </w:p>
    <w:p w14:paraId="7418B270" w14:textId="77777777" w:rsidR="00D471AD" w:rsidRPr="000D502B" w:rsidRDefault="00D471AD" w:rsidP="00D471AD">
      <w:pPr>
        <w:pStyle w:val="Heading2"/>
      </w:pPr>
      <w:bookmarkStart w:id="2011" w:name="_Toc461174288"/>
      <w:bookmarkStart w:id="2012" w:name="_Toc461174486"/>
      <w:bookmarkStart w:id="2013" w:name="_Toc461174580"/>
      <w:bookmarkStart w:id="2014" w:name="_Toc461174677"/>
      <w:bookmarkStart w:id="2015" w:name="_Toc461174773"/>
      <w:bookmarkStart w:id="2016" w:name="_Toc461175445"/>
      <w:bookmarkStart w:id="2017" w:name="_Toc461177212"/>
      <w:bookmarkStart w:id="2018" w:name="_Toc461177308"/>
      <w:bookmarkStart w:id="2019" w:name="_Toc461177941"/>
      <w:bookmarkStart w:id="2020" w:name="_Toc461178037"/>
      <w:bookmarkStart w:id="2021" w:name="_Toc461178223"/>
      <w:bookmarkStart w:id="2022" w:name="_Toc461178319"/>
      <w:bookmarkStart w:id="2023" w:name="_Toc461178573"/>
      <w:bookmarkStart w:id="2024" w:name="_Toc461178669"/>
      <w:bookmarkStart w:id="2025" w:name="_Toc461179373"/>
      <w:bookmarkStart w:id="2026" w:name="_Toc461179469"/>
      <w:bookmarkStart w:id="2027" w:name="_Toc461179941"/>
      <w:bookmarkStart w:id="2028" w:name="_Toc461180037"/>
      <w:bookmarkStart w:id="2029" w:name="_Toc461180134"/>
      <w:bookmarkStart w:id="2030" w:name="_Toc461180230"/>
      <w:bookmarkStart w:id="2031" w:name="_Toc461180522"/>
      <w:bookmarkStart w:id="2032" w:name="_Toc461181514"/>
      <w:bookmarkStart w:id="2033" w:name="_Toc461181611"/>
      <w:bookmarkStart w:id="2034" w:name="_Toc461181959"/>
      <w:bookmarkStart w:id="2035" w:name="_Toc461182056"/>
      <w:bookmarkStart w:id="2036" w:name="_Toc461182156"/>
      <w:bookmarkStart w:id="2037" w:name="_Toc461182254"/>
      <w:bookmarkStart w:id="2038" w:name="_Toc461182450"/>
      <w:bookmarkStart w:id="2039" w:name="_Toc461182550"/>
      <w:bookmarkStart w:id="2040" w:name="_Toc461182648"/>
      <w:bookmarkStart w:id="2041" w:name="_Toc461182448"/>
      <w:bookmarkStart w:id="2042" w:name="_Toc461182767"/>
      <w:bookmarkStart w:id="2043" w:name="_Toc461183069"/>
      <w:bookmarkStart w:id="2044" w:name="_Toc461183389"/>
      <w:bookmarkStart w:id="2045" w:name="_Toc461183449"/>
      <w:bookmarkStart w:id="2046" w:name="_Toc461183554"/>
      <w:bookmarkStart w:id="2047" w:name="_Toc461183659"/>
      <w:bookmarkStart w:id="2048" w:name="_Toc461183764"/>
      <w:bookmarkStart w:id="2049" w:name="_Toc461183923"/>
      <w:bookmarkStart w:id="2050" w:name="_Toc461184028"/>
      <w:bookmarkStart w:id="2051" w:name="_Toc461184135"/>
      <w:bookmarkStart w:id="2052" w:name="_Toc461184240"/>
      <w:bookmarkStart w:id="2053" w:name="_Toc461183999"/>
      <w:bookmarkStart w:id="2054" w:name="_Toc461184354"/>
      <w:bookmarkStart w:id="2055" w:name="_Toc461184460"/>
      <w:bookmarkStart w:id="2056" w:name="_Toc461184565"/>
      <w:bookmarkStart w:id="2057" w:name="_Toc461184776"/>
      <w:bookmarkStart w:id="2058" w:name="_Toc461184881"/>
      <w:bookmarkStart w:id="2059" w:name="_Toc461185062"/>
      <w:bookmarkStart w:id="2060" w:name="_Toc461185167"/>
      <w:bookmarkStart w:id="2061" w:name="_Toc461185437"/>
      <w:bookmarkStart w:id="2062" w:name="_Toc461185542"/>
      <w:bookmarkStart w:id="2063" w:name="_Toc461185968"/>
      <w:bookmarkStart w:id="2064" w:name="_Toc461186075"/>
      <w:bookmarkStart w:id="2065" w:name="_Toc461186180"/>
      <w:bookmarkStart w:id="2066" w:name="_Toc461186287"/>
      <w:bookmarkStart w:id="2067" w:name="_Toc461186392"/>
      <w:bookmarkStart w:id="2068" w:name="_Toc461186603"/>
      <w:bookmarkStart w:id="2069" w:name="_Toc461186708"/>
      <w:bookmarkStart w:id="2070" w:name="_Toc461186813"/>
      <w:bookmarkStart w:id="2071" w:name="_Toc461186920"/>
      <w:bookmarkStart w:id="2072" w:name="_Toc461187025"/>
      <w:bookmarkStart w:id="2073" w:name="_Toc461198303"/>
      <w:bookmarkStart w:id="2074" w:name="_Toc461198845"/>
      <w:bookmarkStart w:id="2075" w:name="_Toc461204133"/>
      <w:bookmarkStart w:id="2076" w:name="_Toc461527588"/>
      <w:bookmarkStart w:id="2077" w:name="_Toc461624495"/>
      <w:bookmarkStart w:id="2078" w:name="_Toc461629720"/>
      <w:bookmarkStart w:id="2079" w:name="_Toc461633050"/>
      <w:bookmarkStart w:id="2080" w:name="_Toc461634320"/>
      <w:bookmarkStart w:id="2081" w:name="_Toc462230098"/>
      <w:bookmarkStart w:id="2082" w:name="_Toc462231459"/>
      <w:bookmarkStart w:id="2083" w:name="_Toc463013960"/>
      <w:bookmarkStart w:id="2084" w:name="_Toc463014069"/>
      <w:bookmarkStart w:id="2085" w:name="_Toc463014503"/>
      <w:bookmarkStart w:id="2086" w:name="_Toc463877036"/>
      <w:bookmarkStart w:id="2087" w:name="_Toc46586283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r w:rsidRPr="000D502B">
        <w:t xml:space="preserve">Absorptive </w:t>
      </w:r>
      <w:bookmarkEnd w:id="2073"/>
      <w:bookmarkEnd w:id="2074"/>
      <w:bookmarkEnd w:id="2075"/>
      <w:bookmarkEnd w:id="2076"/>
      <w:r>
        <w:t>c</w:t>
      </w:r>
      <w:r w:rsidRPr="000D502B">
        <w:t>apacity</w:t>
      </w:r>
      <w:bookmarkEnd w:id="2077"/>
      <w:bookmarkEnd w:id="2078"/>
      <w:bookmarkEnd w:id="2079"/>
      <w:bookmarkEnd w:id="2080"/>
      <w:bookmarkEnd w:id="2081"/>
      <w:bookmarkEnd w:id="2082"/>
      <w:bookmarkEnd w:id="2083"/>
      <w:bookmarkEnd w:id="2084"/>
      <w:bookmarkEnd w:id="2085"/>
      <w:bookmarkEnd w:id="2086"/>
      <w:bookmarkEnd w:id="2087"/>
    </w:p>
    <w:p w14:paraId="7418B271" w14:textId="77777777" w:rsidR="00D471AD" w:rsidRPr="001729A3" w:rsidRDefault="00D471AD" w:rsidP="00D471AD">
      <w:pPr>
        <w:pStyle w:val="BodyText"/>
      </w:pPr>
      <w:r w:rsidRPr="001729A3">
        <w:t>Absorptive capacity (see Definition 4.2) influences innovation, business performance</w:t>
      </w:r>
      <w:r>
        <w:t>,</w:t>
      </w:r>
      <w:r w:rsidRPr="001729A3">
        <w:t xml:space="preserve"> and the transfer of knowledge within and between businesses.</w:t>
      </w:r>
      <w:r w:rsidRPr="001729A3">
        <w:rPr>
          <w:rStyle w:val="EndnoteReference"/>
        </w:rPr>
        <w:endnoteReference w:id="51"/>
      </w:r>
      <w:r w:rsidRPr="001729A3">
        <w:t xml:space="preserve"> </w:t>
      </w:r>
    </w:p>
    <w:p w14:paraId="7418B272" w14:textId="77777777" w:rsidR="00D471AD" w:rsidRPr="001729A3" w:rsidRDefault="00D471AD" w:rsidP="00D471AD">
      <w:pPr>
        <w:pStyle w:val="BodyText"/>
      </w:pPr>
      <w:r w:rsidRPr="001729A3">
        <w:t xml:space="preserve">Over the past several decades a business’ capacity to manage knowledge has increasingly been recognised as being important for competitiveness. The intensity of global competition requires </w:t>
      </w:r>
      <w:r>
        <w:t>businesses</w:t>
      </w:r>
      <w:r w:rsidRPr="001729A3">
        <w:t xml:space="preserve"> to build their absorptive capacity to stay at the global innovation frontier. Absorptive capacity has also been described as central in facilitating high levels of entrepreneurship, which is in turn linked </w:t>
      </w:r>
      <w:r>
        <w:t>to</w:t>
      </w:r>
      <w:r w:rsidRPr="001729A3">
        <w:t xml:space="preserve"> growth and competitiveness.</w:t>
      </w:r>
      <w:r w:rsidRPr="001729A3">
        <w:rPr>
          <w:rStyle w:val="EndnoteReference"/>
        </w:rPr>
        <w:endnoteReference w:id="52"/>
      </w:r>
      <w:r w:rsidRPr="001729A3">
        <w:t xml:space="preserve"> </w:t>
      </w:r>
    </w:p>
    <w:p w14:paraId="7418B273" w14:textId="77777777" w:rsidR="00D471AD" w:rsidRPr="000D502B" w:rsidRDefault="00D471AD" w:rsidP="00D471AD">
      <w:pPr>
        <w:pStyle w:val="Caption"/>
        <w:spacing w:before="120"/>
      </w:pPr>
      <w:r w:rsidRPr="000D502B">
        <w:t xml:space="preserve">Definition </w:t>
      </w:r>
      <w:fldSimple w:instr=" STYLEREF 1 \s ">
        <w:r>
          <w:rPr>
            <w:noProof/>
          </w:rPr>
          <w:t>4</w:t>
        </w:r>
      </w:fldSimple>
      <w:r w:rsidRPr="000D502B">
        <w:t>.</w:t>
      </w:r>
      <w:fldSimple w:instr=" SEQ Definition \* ARABIC \s 1 ">
        <w:r>
          <w:rPr>
            <w:noProof/>
          </w:rPr>
          <w:t>2</w:t>
        </w:r>
      </w:fldSimple>
      <w:r w:rsidRPr="000D502B">
        <w:t>: Absorptive Capacity</w:t>
      </w:r>
    </w:p>
    <w:tbl>
      <w:tblPr>
        <w:tblStyle w:val="OCETable"/>
        <w:tblW w:w="5000" w:type="pct"/>
        <w:tblInd w:w="57" w:type="dxa"/>
        <w:tblLayout w:type="fixed"/>
        <w:tblLook w:val="04A0" w:firstRow="1" w:lastRow="0" w:firstColumn="1" w:lastColumn="0" w:noHBand="0" w:noVBand="1"/>
        <w:tblCaption w:val="Definition 4.2: Absorptive Capacity"/>
        <w:tblDescription w:val="Absorptive capacity  is a business’ ability to identify, acquire, transform and exploit knowledge, external to the business. "/>
      </w:tblPr>
      <w:tblGrid>
        <w:gridCol w:w="4593"/>
      </w:tblGrid>
      <w:tr w:rsidR="00D471AD" w:rsidRPr="000D502B" w14:paraId="7418B275"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Mar>
              <w:left w:w="0" w:type="dxa"/>
              <w:right w:w="0" w:type="dxa"/>
            </w:tcMar>
          </w:tcPr>
          <w:p w14:paraId="7418B274" w14:textId="77777777" w:rsidR="00D471AD" w:rsidRPr="001729A3" w:rsidRDefault="00D471AD" w:rsidP="004A31A9">
            <w:pPr>
              <w:pStyle w:val="Definitionboxtext"/>
              <w:spacing w:after="113"/>
              <w:rPr>
                <w:lang w:val="en-AU"/>
              </w:rPr>
            </w:pPr>
            <w:r w:rsidRPr="00882E31">
              <w:rPr>
                <w:lang w:val="en-AU"/>
              </w:rPr>
              <w:t>Absorptive capacity  is a business’ ability to identify, acquire, transform and exploit knowledge, external to the business.</w:t>
            </w:r>
            <w:r w:rsidRPr="00882E31">
              <w:rPr>
                <w:rStyle w:val="EndnoteReference"/>
                <w:lang w:val="en-AU"/>
              </w:rPr>
              <w:endnoteReference w:id="53"/>
            </w:r>
          </w:p>
        </w:tc>
      </w:tr>
    </w:tbl>
    <w:p w14:paraId="7418B276" w14:textId="77777777" w:rsidR="00D471AD" w:rsidRPr="001729A3" w:rsidRDefault="00D471AD" w:rsidP="00D471AD">
      <w:pPr>
        <w:pStyle w:val="BodyText"/>
      </w:pPr>
      <w:r>
        <w:br w:type="column"/>
      </w:r>
      <w:r w:rsidRPr="001729A3">
        <w:t xml:space="preserve">In 2013 we collaborated with the Melbourne Institute of Applied Economic and Social Research to survey around </w:t>
      </w:r>
      <w:r>
        <w:t xml:space="preserve">1,050 </w:t>
      </w:r>
      <w:r w:rsidRPr="001729A3">
        <w:t xml:space="preserve">businesses </w:t>
      </w:r>
      <w:r>
        <w:t>on</w:t>
      </w:r>
      <w:r w:rsidRPr="001729A3">
        <w:t xml:space="preserve"> the relationship between absorptive capacity, innovation and business performance. </w:t>
      </w:r>
      <w:r>
        <w:t>The survey results indicated that businesses reporting a high-absorptive capacity tended to rate their innovation and financial performance very highly compared with low-absorptive capacity businesses (Figure 4.4).</w:t>
      </w:r>
    </w:p>
    <w:p w14:paraId="7418B277" w14:textId="77777777" w:rsidR="00D471AD" w:rsidRPr="001729A3" w:rsidRDefault="00D471AD" w:rsidP="00D471AD">
      <w:pPr>
        <w:pStyle w:val="BodyText"/>
      </w:pPr>
      <w:r w:rsidRPr="001729A3">
        <w:t>Activities such as co-patenting and joint R&amp;D are commonly used as imperfect proxy indicators f</w:t>
      </w:r>
      <w:r>
        <w:t>or</w:t>
      </w:r>
      <w:r w:rsidRPr="001729A3">
        <w:t xml:space="preserve"> absorptive capacity (Chapter 3). </w:t>
      </w:r>
      <w:r>
        <w:t xml:space="preserve">This section provides two other indicators of absorptive capacity: the </w:t>
      </w:r>
      <w:r w:rsidRPr="00BA45A5">
        <w:rPr>
          <w:i/>
        </w:rPr>
        <w:t>Source of ideas and information for innovation</w:t>
      </w:r>
      <w:r>
        <w:t xml:space="preserve"> (based on the Oslo Manual) and the proportion of </w:t>
      </w:r>
      <w:r w:rsidRPr="00BA45A5">
        <w:rPr>
          <w:i/>
        </w:rPr>
        <w:t>Researchers in Business</w:t>
      </w:r>
      <w:r>
        <w:t xml:space="preserve"> (based on the Frascati Manual).</w:t>
      </w:r>
    </w:p>
    <w:p w14:paraId="7418B278" w14:textId="77777777" w:rsidR="00D471AD" w:rsidRPr="00924CA6" w:rsidRDefault="00D471AD" w:rsidP="00D471AD">
      <w:pPr>
        <w:pStyle w:val="heading3new"/>
      </w:pPr>
      <w:bookmarkStart w:id="2088" w:name="_Toc461198304"/>
      <w:bookmarkStart w:id="2089" w:name="_Toc461198846"/>
      <w:bookmarkStart w:id="2090" w:name="_Toc461204134"/>
      <w:bookmarkStart w:id="2091" w:name="_Toc461527589"/>
      <w:bookmarkStart w:id="2092" w:name="_Toc461624496"/>
      <w:bookmarkStart w:id="2093" w:name="_Toc461629721"/>
      <w:bookmarkStart w:id="2094" w:name="_Toc461633051"/>
      <w:bookmarkStart w:id="2095" w:name="_Toc461634321"/>
      <w:bookmarkStart w:id="2096" w:name="_Toc462230099"/>
      <w:bookmarkStart w:id="2097" w:name="_Toc462231460"/>
      <w:bookmarkStart w:id="2098" w:name="_Toc463013961"/>
      <w:bookmarkStart w:id="2099" w:name="_Toc463014070"/>
      <w:bookmarkStart w:id="2100" w:name="_Toc463014504"/>
      <w:bookmarkStart w:id="2101" w:name="_Toc463877037"/>
      <w:bookmarkStart w:id="2102" w:name="_Toc465862831"/>
      <w:r w:rsidRPr="00924CA6">
        <w:t>Source of ideas and information for innovation</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p>
    <w:p w14:paraId="7418B279" w14:textId="77777777" w:rsidR="00D471AD" w:rsidRPr="001729A3" w:rsidRDefault="00D471AD" w:rsidP="00D471AD">
      <w:pPr>
        <w:pStyle w:val="BodyText"/>
      </w:pPr>
      <w:r w:rsidRPr="001729A3">
        <w:t>The BCS asks all innovation-active businesses the question: “</w:t>
      </w:r>
      <w:r w:rsidRPr="001729A3">
        <w:rPr>
          <w:i/>
        </w:rPr>
        <w:t>During the [reference] year, from where did this business source ideas and information for the development or introduction of new goods, services, processes or methods?</w:t>
      </w:r>
      <w:r w:rsidRPr="001729A3">
        <w:t xml:space="preserve">” Businesses are then asked to tick a range of market (e.g. customers and suppliers) and institutional sources (e.g. universities and governments). </w:t>
      </w:r>
    </w:p>
    <w:p w14:paraId="7418B27A" w14:textId="77777777" w:rsidR="00D471AD" w:rsidRPr="001729A3" w:rsidRDefault="00D471AD" w:rsidP="00D471AD">
      <w:pPr>
        <w:pStyle w:val="BodyText"/>
      </w:pPr>
    </w:p>
    <w:p w14:paraId="7418B27B" w14:textId="77777777" w:rsidR="00D471AD" w:rsidRPr="001729A3" w:rsidRDefault="00D471AD" w:rsidP="00D471AD">
      <w:pPr>
        <w:pStyle w:val="BodyText"/>
      </w:pPr>
    </w:p>
    <w:p w14:paraId="7418B27C" w14:textId="77777777" w:rsidR="00D471AD" w:rsidRPr="001729A3" w:rsidRDefault="00D471AD" w:rsidP="00D471AD">
      <w:pPr>
        <w:pStyle w:val="BodyText"/>
        <w:sectPr w:rsidR="00D471AD" w:rsidRPr="001729A3" w:rsidSect="00D471AD">
          <w:headerReference w:type="even" r:id="rId147"/>
          <w:headerReference w:type="default" r:id="rId148"/>
          <w:footerReference w:type="default" r:id="rId149"/>
          <w:headerReference w:type="first" r:id="rId150"/>
          <w:footnotePr>
            <w:numFmt w:val="upperRoman"/>
          </w:footnotePr>
          <w:endnotePr>
            <w:numFmt w:val="decimal"/>
          </w:endnotePr>
          <w:pgSz w:w="11906" w:h="16838" w:code="9"/>
          <w:pgMar w:top="1440" w:right="1020" w:bottom="1440" w:left="992" w:header="709" w:footer="709" w:gutter="0"/>
          <w:cols w:num="2" w:space="708"/>
          <w:docGrid w:linePitch="360"/>
        </w:sectPr>
      </w:pPr>
    </w:p>
    <w:p w14:paraId="7418B27D" w14:textId="77777777" w:rsidR="00D471AD" w:rsidRDefault="00D471AD" w:rsidP="00D471AD">
      <w:pPr>
        <w:pStyle w:val="Caption"/>
      </w:pPr>
      <w:bookmarkStart w:id="2103" w:name="_Ref461191874"/>
      <w:bookmarkStart w:id="2104" w:name="_Toc461198254"/>
      <w:bookmarkStart w:id="2105" w:name="_Toc461198796"/>
      <w:bookmarkStart w:id="2106" w:name="_Toc461204084"/>
      <w:bookmarkStart w:id="2107" w:name="_Toc461527524"/>
      <w:bookmarkStart w:id="2108" w:name="_Toc461539559"/>
      <w:bookmarkStart w:id="2109" w:name="_Toc461541676"/>
      <w:bookmarkStart w:id="2110" w:name="_Toc461545431"/>
      <w:bookmarkStart w:id="2111" w:name="_Toc461624427"/>
      <w:bookmarkStart w:id="2112" w:name="_Toc461629652"/>
      <w:bookmarkStart w:id="2113" w:name="_Toc461632982"/>
      <w:bookmarkStart w:id="2114" w:name="_Toc461634252"/>
      <w:bookmarkStart w:id="2115" w:name="_Toc463013904"/>
      <w:bookmarkStart w:id="2116" w:name="_Toc463014013"/>
      <w:bookmarkStart w:id="2117" w:name="_Toc463014447"/>
      <w:bookmarkStart w:id="2118" w:name="_Toc463877087"/>
      <w:bookmarkStart w:id="2119" w:name="_Toc465864599"/>
      <w:r w:rsidRPr="000D502B">
        <w:t xml:space="preserve">Figure </w:t>
      </w:r>
      <w:r>
        <w:fldChar w:fldCharType="begin"/>
      </w:r>
      <w:r>
        <w:rPr>
          <w:bCs w:val="0"/>
        </w:rPr>
        <w:instrText xml:space="preserve"> STYLEREF 1 \s </w:instrText>
      </w:r>
      <w:r>
        <w:fldChar w:fldCharType="separate"/>
      </w:r>
      <w:r>
        <w:rPr>
          <w:bCs w:val="0"/>
          <w:noProof/>
        </w:rPr>
        <w:t>4</w:t>
      </w:r>
      <w:r>
        <w:rPr>
          <w:noProof/>
        </w:rPr>
        <w:fldChar w:fldCharType="end"/>
      </w:r>
      <w:r w:rsidRPr="000D502B">
        <w:t>.</w:t>
      </w:r>
      <w:r>
        <w:fldChar w:fldCharType="begin"/>
      </w:r>
      <w:r>
        <w:rPr>
          <w:bCs w:val="0"/>
        </w:rPr>
        <w:instrText xml:space="preserve"> SEQ Figure \* ARABIC \s 1 </w:instrText>
      </w:r>
      <w:r>
        <w:fldChar w:fldCharType="separate"/>
      </w:r>
      <w:r>
        <w:rPr>
          <w:bCs w:val="0"/>
          <w:noProof/>
        </w:rPr>
        <w:t>4</w:t>
      </w:r>
      <w:r>
        <w:rPr>
          <w:noProof/>
        </w:rPr>
        <w:fldChar w:fldCharType="end"/>
      </w:r>
      <w:bookmarkEnd w:id="2103"/>
      <w:r w:rsidRPr="000D502B">
        <w:t xml:space="preserve">: Self-reported </w:t>
      </w:r>
      <w:r>
        <w:t xml:space="preserve">business </w:t>
      </w:r>
      <w:r w:rsidRPr="000D502B">
        <w:t xml:space="preserve">performance and innovation, by </w:t>
      </w:r>
      <w:r>
        <w:t xml:space="preserve">business </w:t>
      </w:r>
      <w:r w:rsidRPr="000D502B">
        <w:t>absorptive capacity, 2013</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7418B27E" w14:textId="77777777" w:rsidR="00D471AD" w:rsidRPr="001729A3" w:rsidRDefault="00D471AD" w:rsidP="00D471AD">
      <w:pPr>
        <w:pStyle w:val="Caption"/>
      </w:pPr>
      <w:r>
        <w:rPr>
          <w:noProof/>
          <w:lang w:eastAsia="en-AU"/>
        </w:rPr>
        <w:drawing>
          <wp:inline distT="0" distB="0" distL="0" distR="0" wp14:anchorId="7418C665" wp14:editId="7418C666">
            <wp:extent cx="6224270" cy="4352925"/>
            <wp:effectExtent l="0" t="0" r="5080" b="9525"/>
            <wp:docPr id="68" name="Picture 68" descr="Figure 4.4 shows the results of a survey of businesses reporting on their absorptive capacity. Absorptive capacity is the ability to identify, acquire, transform and exploit knowledge external to their organisation. The relationship is shown between absorptive capacity, innovation and business performance for businesses reporting a high absorptive capacity (top 20%) and a low absorptive capacity (bottom 20%). Scores are based on seven point Likert scale responses. Where 1=’least likely’ and 7=’most likely’. Inn. = Innovation. IP = Intellectual property.   " title="Figure 4.4: Self-reported business performance and innovation, by business absorptive capacit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a:stretch/>
                  </pic:blipFill>
                  <pic:spPr bwMode="auto">
                    <a:xfrm>
                      <a:off x="0" y="0"/>
                      <a:ext cx="6224270" cy="4352925"/>
                    </a:xfrm>
                    <a:prstGeom prst="rect">
                      <a:avLst/>
                    </a:prstGeom>
                    <a:noFill/>
                    <a:ln>
                      <a:noFill/>
                    </a:ln>
                    <a:extLst>
                      <a:ext uri="{53640926-AAD7-44D8-BBD7-CCE9431645EC}">
                        <a14:shadowObscured xmlns:a14="http://schemas.microsoft.com/office/drawing/2010/main"/>
                      </a:ext>
                    </a:extLst>
                  </pic:spPr>
                </pic:pic>
              </a:graphicData>
            </a:graphic>
          </wp:inline>
        </w:drawing>
      </w:r>
    </w:p>
    <w:p w14:paraId="7418B27F" w14:textId="77777777" w:rsidR="00D471AD" w:rsidRPr="001729A3" w:rsidRDefault="00D471AD" w:rsidP="00D471AD">
      <w:pPr>
        <w:pStyle w:val="Source"/>
        <w:rPr>
          <w:lang w:val="en-AU"/>
        </w:rPr>
      </w:pPr>
      <w:r w:rsidRPr="001729A3">
        <w:rPr>
          <w:lang w:val="en-AU"/>
        </w:rPr>
        <w:t xml:space="preserve">Notes: Based on a customised survey of </w:t>
      </w:r>
      <w:r>
        <w:rPr>
          <w:lang w:val="en-AU"/>
        </w:rPr>
        <w:t>a</w:t>
      </w:r>
      <w:r w:rsidRPr="001729A3">
        <w:rPr>
          <w:lang w:val="en-AU"/>
        </w:rPr>
        <w:t xml:space="preserve">bsorptive </w:t>
      </w:r>
      <w:r>
        <w:rPr>
          <w:lang w:val="en-AU"/>
        </w:rPr>
        <w:t>c</w:t>
      </w:r>
      <w:r w:rsidRPr="001729A3">
        <w:rPr>
          <w:lang w:val="en-AU"/>
        </w:rPr>
        <w:t xml:space="preserve">apacity. </w:t>
      </w:r>
      <w:r w:rsidRPr="001729A3">
        <w:rPr>
          <w:i/>
          <w:lang w:val="en-AU"/>
        </w:rPr>
        <w:t xml:space="preserve">High </w:t>
      </w:r>
      <w:r>
        <w:rPr>
          <w:i/>
          <w:lang w:val="en-AU"/>
        </w:rPr>
        <w:t>a</w:t>
      </w:r>
      <w:r w:rsidRPr="001729A3">
        <w:rPr>
          <w:i/>
          <w:lang w:val="en-AU"/>
        </w:rPr>
        <w:t xml:space="preserve">bsorptive </w:t>
      </w:r>
      <w:r>
        <w:rPr>
          <w:i/>
          <w:lang w:val="en-AU"/>
        </w:rPr>
        <w:t>c</w:t>
      </w:r>
      <w:r w:rsidRPr="001729A3">
        <w:rPr>
          <w:i/>
          <w:lang w:val="en-AU"/>
        </w:rPr>
        <w:t>apacity</w:t>
      </w:r>
      <w:r w:rsidRPr="001729A3">
        <w:rPr>
          <w:lang w:val="en-AU"/>
        </w:rPr>
        <w:t xml:space="preserve"> businesses are the top </w:t>
      </w:r>
      <w:r>
        <w:rPr>
          <w:lang w:val="en-AU"/>
        </w:rPr>
        <w:t>20 per cent</w:t>
      </w:r>
      <w:r w:rsidRPr="001729A3">
        <w:rPr>
          <w:lang w:val="en-AU"/>
        </w:rPr>
        <w:t xml:space="preserve"> of businesses reporting on their capacity to identify, acquire, transform and exploit knowledge external to their organisation. </w:t>
      </w:r>
      <w:r w:rsidRPr="001729A3">
        <w:rPr>
          <w:i/>
          <w:lang w:val="en-AU"/>
        </w:rPr>
        <w:t xml:space="preserve">Low </w:t>
      </w:r>
      <w:r>
        <w:rPr>
          <w:i/>
          <w:lang w:val="en-AU"/>
        </w:rPr>
        <w:t>a</w:t>
      </w:r>
      <w:r w:rsidRPr="001729A3">
        <w:rPr>
          <w:i/>
          <w:lang w:val="en-AU"/>
        </w:rPr>
        <w:t xml:space="preserve">bsorptive </w:t>
      </w:r>
      <w:r>
        <w:rPr>
          <w:i/>
          <w:lang w:val="en-AU"/>
        </w:rPr>
        <w:t>c</w:t>
      </w:r>
      <w:r w:rsidRPr="001729A3">
        <w:rPr>
          <w:i/>
          <w:lang w:val="en-AU"/>
        </w:rPr>
        <w:t>apacity</w:t>
      </w:r>
      <w:r w:rsidRPr="001729A3">
        <w:rPr>
          <w:lang w:val="en-AU"/>
        </w:rPr>
        <w:t xml:space="preserve"> businesses are the bottom </w:t>
      </w:r>
      <w:r>
        <w:rPr>
          <w:lang w:val="en-AU"/>
        </w:rPr>
        <w:t>20 per cent</w:t>
      </w:r>
      <w:r w:rsidRPr="001729A3">
        <w:rPr>
          <w:lang w:val="en-AU"/>
        </w:rPr>
        <w:t xml:space="preserve">. Scores are based on seven point Likert scale responses. </w:t>
      </w:r>
      <w:r w:rsidRPr="001729A3">
        <w:rPr>
          <w:i/>
          <w:lang w:val="en-AU"/>
        </w:rPr>
        <w:t>Inn.</w:t>
      </w:r>
      <w:r w:rsidRPr="001729A3">
        <w:rPr>
          <w:lang w:val="en-AU"/>
        </w:rPr>
        <w:t xml:space="preserve"> = Innovation. IP = Intellectual property.</w:t>
      </w:r>
    </w:p>
    <w:p w14:paraId="7418B280" w14:textId="77777777" w:rsidR="00D471AD" w:rsidRPr="001729A3" w:rsidRDefault="00D471AD" w:rsidP="00D471AD">
      <w:pPr>
        <w:pStyle w:val="Source"/>
        <w:rPr>
          <w:lang w:val="en-AU"/>
        </w:rPr>
      </w:pPr>
      <w:r w:rsidRPr="001729A3">
        <w:rPr>
          <w:lang w:val="en-AU"/>
        </w:rPr>
        <w:t>Source: Department of Industry and Melbourne Institute of Applied Economic and Social Research, 2013</w:t>
      </w:r>
      <w:r>
        <w:rPr>
          <w:lang w:val="en-AU"/>
        </w:rPr>
        <w:t>,</w:t>
      </w:r>
      <w:r w:rsidRPr="00C625D1">
        <w:t xml:space="preserve"> </w:t>
      </w:r>
      <w:r>
        <w:t>commissioned by the Department of Industry, Innovation and Science</w:t>
      </w:r>
      <w:r w:rsidRPr="001729A3">
        <w:rPr>
          <w:lang w:val="en-AU"/>
        </w:rPr>
        <w:t xml:space="preserve"> </w:t>
      </w:r>
    </w:p>
    <w:p w14:paraId="7418B281" w14:textId="77777777" w:rsidR="00D471AD" w:rsidRPr="001729A3" w:rsidRDefault="00D471AD" w:rsidP="00D471AD">
      <w:pPr>
        <w:pStyle w:val="BodyText"/>
      </w:pPr>
    </w:p>
    <w:p w14:paraId="7418B282" w14:textId="77777777" w:rsidR="00D471AD" w:rsidRPr="001729A3" w:rsidRDefault="00D471AD" w:rsidP="00D471AD">
      <w:pPr>
        <w:pStyle w:val="BodyText"/>
        <w:sectPr w:rsidR="00D471AD" w:rsidRPr="001729A3" w:rsidSect="00D471AD">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283" w14:textId="77777777" w:rsidR="00D471AD" w:rsidRPr="000D502B" w:rsidRDefault="00D471AD" w:rsidP="00D471AD">
      <w:pPr>
        <w:pStyle w:val="Caption"/>
      </w:pPr>
      <w:bookmarkStart w:id="2120" w:name="_Ref461193329"/>
      <w:bookmarkStart w:id="2121" w:name="_Toc461198255"/>
      <w:bookmarkStart w:id="2122" w:name="_Toc461198797"/>
      <w:bookmarkStart w:id="2123" w:name="_Toc461204085"/>
      <w:bookmarkStart w:id="2124" w:name="_Toc461527525"/>
      <w:bookmarkStart w:id="2125" w:name="_Toc461539560"/>
      <w:bookmarkStart w:id="2126" w:name="_Toc461541677"/>
      <w:bookmarkStart w:id="2127" w:name="_Toc461545432"/>
      <w:bookmarkStart w:id="2128" w:name="_Toc461624428"/>
      <w:bookmarkStart w:id="2129" w:name="_Toc461629653"/>
      <w:bookmarkStart w:id="2130" w:name="_Toc461632983"/>
      <w:bookmarkStart w:id="2131" w:name="_Toc461634253"/>
      <w:bookmarkStart w:id="2132" w:name="_Toc463013905"/>
      <w:bookmarkStart w:id="2133" w:name="_Toc463014014"/>
      <w:bookmarkStart w:id="2134" w:name="_Toc463014448"/>
      <w:bookmarkStart w:id="2135" w:name="_Toc463877088"/>
      <w:bookmarkStart w:id="2136" w:name="_Toc465864600"/>
      <w:r w:rsidRPr="000D502B">
        <w:t xml:space="preserve">Figure </w:t>
      </w:r>
      <w:fldSimple w:instr=" STYLEREF 1 \s ">
        <w:r>
          <w:rPr>
            <w:noProof/>
          </w:rPr>
          <w:t>4</w:t>
        </w:r>
      </w:fldSimple>
      <w:r w:rsidRPr="000D502B">
        <w:t>.</w:t>
      </w:r>
      <w:fldSimple w:instr=" SEQ Figure \* ARABIC \s 1 ">
        <w:r>
          <w:rPr>
            <w:noProof/>
          </w:rPr>
          <w:t>5</w:t>
        </w:r>
      </w:fldSimple>
      <w:bookmarkEnd w:id="2120"/>
      <w:r w:rsidRPr="000D502B">
        <w:t>: Sources of ideas or information for innovation, 2006–07 and 2014-15</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7418B284" w14:textId="77777777" w:rsidR="00D471AD" w:rsidRPr="000D502B" w:rsidRDefault="00D471AD" w:rsidP="00D471AD">
      <w:r>
        <w:rPr>
          <w:noProof/>
          <w:lang w:eastAsia="en-AU"/>
        </w:rPr>
        <w:drawing>
          <wp:inline distT="0" distB="0" distL="0" distR="0" wp14:anchorId="7418C667" wp14:editId="7418C668">
            <wp:extent cx="2932951" cy="7781925"/>
            <wp:effectExtent l="0" t="0" r="1270" b="0"/>
            <wp:docPr id="71" name="Picture 71" descr="Figure 4.5 shows where businesses sourced ideas or information for innovation in 2006–07 and 2014–15, as measured by the percentage of innovation-active businesses sourcing ideas from each source. In both periods the most frequent sources were within the business or within another business owned by the same company (61% in 2014–15), clients, customers or buyers (39% in 2014–15), and competitors (28% in 2014–15). The least frequent sources were government agencies (3% in 2014–15), private non-profit research institutions (2% in 2014–15), and commercial laboratories or research and development enterprises (1% in 2014–15). In general, the percentage of innovate-active businesses sourcing ideas from each source has decreased over the period, by an average of 22 per cent for each source. The only sources that have increased are within the businesses or within another business owned by the same company, universities or other higher education institutions, and private non-profit research intuitions, by an average of 18 per cent." title="Figure 4.5: Sources of ideas or information for innovation, 2006–07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940454" cy="7801833"/>
                    </a:xfrm>
                    <a:prstGeom prst="rect">
                      <a:avLst/>
                    </a:prstGeom>
                    <a:noFill/>
                  </pic:spPr>
                </pic:pic>
              </a:graphicData>
            </a:graphic>
          </wp:inline>
        </w:drawing>
      </w:r>
    </w:p>
    <w:p w14:paraId="7418B285" w14:textId="77777777" w:rsidR="00D471AD" w:rsidRPr="001729A3" w:rsidRDefault="00D471AD" w:rsidP="00D471AD">
      <w:pPr>
        <w:pStyle w:val="Source"/>
        <w:rPr>
          <w:lang w:val="en-AU"/>
        </w:rPr>
      </w:pPr>
      <w:r w:rsidRPr="001729A3">
        <w:rPr>
          <w:lang w:val="en-AU"/>
        </w:rPr>
        <w:t xml:space="preserve">Source: ABS (various) </w:t>
      </w:r>
      <w:r w:rsidRPr="001729A3">
        <w:rPr>
          <w:i/>
          <w:lang w:val="en-AU"/>
        </w:rPr>
        <w:t>Innovation in Australian Business</w:t>
      </w:r>
      <w:r w:rsidRPr="001729A3">
        <w:rPr>
          <w:lang w:val="en-AU"/>
        </w:rPr>
        <w:t>, cat. no. 8158.0</w:t>
      </w:r>
    </w:p>
    <w:p w14:paraId="7418B286" w14:textId="77777777" w:rsidR="00D471AD" w:rsidRPr="001729A3" w:rsidRDefault="00D471AD" w:rsidP="00D471AD">
      <w:pPr>
        <w:pStyle w:val="BodyText"/>
      </w:pPr>
      <w:r w:rsidRPr="001729A3">
        <w:t>Previous research shows that the more diverse the sources of information and ideas, the stronger the innovation performance of a business.</w:t>
      </w:r>
      <w:r w:rsidRPr="001729A3">
        <w:rPr>
          <w:rStyle w:val="EndnoteReference"/>
        </w:rPr>
        <w:endnoteReference w:id="54"/>
      </w:r>
      <w:r w:rsidRPr="001729A3">
        <w:t xml:space="preserve"> </w:t>
      </w:r>
      <w:r w:rsidRPr="001729A3">
        <w:fldChar w:fldCharType="begin"/>
      </w:r>
      <w:r w:rsidRPr="000D502B">
        <w:rPr>
          <w:lang w:val="en-GB"/>
        </w:rPr>
        <w:instrText xml:space="preserve"> REF _Ref461193329 \h </w:instrText>
      </w:r>
      <w:r w:rsidRPr="001729A3">
        <w:fldChar w:fldCharType="separate"/>
      </w:r>
      <w:r w:rsidRPr="000D502B">
        <w:t xml:space="preserve">Figure </w:t>
      </w:r>
      <w:r>
        <w:rPr>
          <w:noProof/>
        </w:rPr>
        <w:t>4</w:t>
      </w:r>
      <w:r w:rsidRPr="000D502B">
        <w:t>.</w:t>
      </w:r>
      <w:r>
        <w:rPr>
          <w:noProof/>
        </w:rPr>
        <w:t>5</w:t>
      </w:r>
      <w:r w:rsidRPr="001729A3">
        <w:fldChar w:fldCharType="end"/>
      </w:r>
      <w:r w:rsidRPr="001729A3">
        <w:t xml:space="preserve"> shows that this measure of absorptive capacity in Australian businesses has changed marginally over the </w:t>
      </w:r>
      <w:r>
        <w:t>p</w:t>
      </w:r>
      <w:r w:rsidRPr="00660104">
        <w:t xml:space="preserve">ast </w:t>
      </w:r>
      <w:r w:rsidRPr="001729A3">
        <w:t>decade.</w:t>
      </w:r>
    </w:p>
    <w:p w14:paraId="7418B287" w14:textId="77777777" w:rsidR="00D471AD" w:rsidRPr="001729A3" w:rsidRDefault="00D471AD" w:rsidP="00D471AD">
      <w:pPr>
        <w:pStyle w:val="BodyText"/>
      </w:pPr>
      <w:r w:rsidRPr="001729A3">
        <w:t>The majority of OECD country data on sourcing ideas is collected via the Community Innovation Survey</w:t>
      </w:r>
      <w:r>
        <w:t xml:space="preserve"> (CIS)</w:t>
      </w:r>
      <w:r w:rsidRPr="001729A3">
        <w:t>. In this survey</w:t>
      </w:r>
      <w:r>
        <w:t>,</w:t>
      </w:r>
      <w:r w:rsidRPr="001729A3">
        <w:t xml:space="preserve"> businesses are asked to rate the importance of a variety of sources to their business’ innovation activities. By contrast, the ABS does not ask Australian businesses to rate the importance of each source. Because the C</w:t>
      </w:r>
      <w:r>
        <w:t>IS</w:t>
      </w:r>
      <w:r w:rsidRPr="001729A3">
        <w:t xml:space="preserve"> ratings are qualitative and subjective, the following two international comparison figures may be subject to risks of bias and misinterpretation. Despite this issue, both figures are generally consistent with other data on networks and collaboration.</w:t>
      </w:r>
    </w:p>
    <w:p w14:paraId="7418B288" w14:textId="77777777" w:rsidR="00D471AD" w:rsidRPr="001729A3" w:rsidRDefault="00D471AD" w:rsidP="00D471AD">
      <w:pPr>
        <w:pStyle w:val="BodyText"/>
      </w:pPr>
      <w:r w:rsidRPr="001729A3">
        <w:t>For all countries in the OECD</w:t>
      </w:r>
      <w:r>
        <w:t>,</w:t>
      </w:r>
      <w:r w:rsidRPr="001729A3">
        <w:t xml:space="preserve"> market sources are considered more important than institutional sources</w:t>
      </w:r>
      <w:r>
        <w:t>,</w:t>
      </w:r>
      <w:r w:rsidRPr="001729A3">
        <w:t xml:space="preserve"> and are more likely used as sources of ideas or information for innovation</w:t>
      </w:r>
      <w:r>
        <w:t>.</w:t>
      </w:r>
      <w:r w:rsidRPr="001729A3">
        <w:t xml:space="preserve"> Australian businesses, at 68 per cent, rank reasonably highly in networking with external market sources such as customers and suppliers </w:t>
      </w:r>
      <w:r w:rsidRPr="001729A3" w:rsidDel="00C51E1A">
        <w:t>(</w:t>
      </w:r>
      <w:r w:rsidRPr="001729A3">
        <w:t xml:space="preserve">4th out of 24 OECD countries; </w:t>
      </w:r>
      <w:r w:rsidRPr="001729A3">
        <w:fldChar w:fldCharType="begin"/>
      </w:r>
      <w:r w:rsidRPr="001729A3">
        <w:instrText xml:space="preserve"> REF _Ref461194694 \h </w:instrText>
      </w:r>
      <w:r w:rsidRPr="001729A3">
        <w:fldChar w:fldCharType="separate"/>
      </w:r>
      <w:r w:rsidRPr="000D502B">
        <w:t xml:space="preserve">Figure </w:t>
      </w:r>
      <w:r>
        <w:rPr>
          <w:noProof/>
        </w:rPr>
        <w:t>4</w:t>
      </w:r>
      <w:r w:rsidRPr="000D502B">
        <w:t>.</w:t>
      </w:r>
      <w:r>
        <w:rPr>
          <w:noProof/>
        </w:rPr>
        <w:t>6</w:t>
      </w:r>
      <w:r w:rsidRPr="001729A3">
        <w:fldChar w:fldCharType="end"/>
      </w:r>
      <w:r w:rsidRPr="001729A3">
        <w:t>).</w:t>
      </w:r>
      <w:r w:rsidRPr="001729A3">
        <w:rPr>
          <w:rStyle w:val="EndnoteReference"/>
        </w:rPr>
        <w:endnoteReference w:id="55"/>
      </w:r>
      <w:r w:rsidRPr="001729A3">
        <w:t xml:space="preserve"> Australian businesses</w:t>
      </w:r>
      <w:r>
        <w:t>,</w:t>
      </w:r>
      <w:r w:rsidRPr="001729A3">
        <w:t xml:space="preserve"> at </w:t>
      </w:r>
      <w:r>
        <w:t>6</w:t>
      </w:r>
      <w:r w:rsidRPr="001729A3">
        <w:t> per cent</w:t>
      </w:r>
      <w:r>
        <w:t>,</w:t>
      </w:r>
      <w:r w:rsidRPr="001729A3">
        <w:t xml:space="preserve"> ranks reasonably poorly in networking with external institutional sources such as universities (19th out of 2</w:t>
      </w:r>
      <w:r>
        <w:t>6</w:t>
      </w:r>
      <w:r w:rsidRPr="001729A3">
        <w:t xml:space="preserve"> OECD countries; </w:t>
      </w:r>
      <w:r w:rsidRPr="001729A3">
        <w:fldChar w:fldCharType="begin"/>
      </w:r>
      <w:r w:rsidRPr="001729A3">
        <w:instrText xml:space="preserve"> REF _Ref461194698 \h </w:instrText>
      </w:r>
      <w:r w:rsidRPr="001729A3">
        <w:fldChar w:fldCharType="separate"/>
      </w:r>
      <w:r w:rsidRPr="000D502B">
        <w:t xml:space="preserve">Figure </w:t>
      </w:r>
      <w:r>
        <w:rPr>
          <w:noProof/>
        </w:rPr>
        <w:t>4</w:t>
      </w:r>
      <w:r w:rsidRPr="000D502B">
        <w:t>.</w:t>
      </w:r>
      <w:r>
        <w:rPr>
          <w:noProof/>
        </w:rPr>
        <w:t>7</w:t>
      </w:r>
      <w:r w:rsidRPr="001729A3">
        <w:fldChar w:fldCharType="end"/>
      </w:r>
      <w:r w:rsidRPr="001729A3">
        <w:t>).</w:t>
      </w:r>
    </w:p>
    <w:p w14:paraId="7418B289" w14:textId="77777777" w:rsidR="00D471AD" w:rsidRPr="000D502B" w:rsidRDefault="00D471AD" w:rsidP="00D471AD">
      <w:pPr>
        <w:pStyle w:val="Caption"/>
        <w:spacing w:before="120"/>
      </w:pPr>
      <w:bookmarkStart w:id="2137" w:name="_Ref461194694"/>
      <w:bookmarkStart w:id="2138" w:name="_Toc461198256"/>
      <w:bookmarkStart w:id="2139" w:name="_Toc461198798"/>
      <w:bookmarkStart w:id="2140" w:name="_Toc461204086"/>
      <w:bookmarkStart w:id="2141" w:name="_Toc461527526"/>
      <w:bookmarkStart w:id="2142" w:name="_Toc461539561"/>
      <w:bookmarkStart w:id="2143" w:name="_Toc461541678"/>
      <w:bookmarkStart w:id="2144" w:name="_Toc461545433"/>
      <w:bookmarkStart w:id="2145" w:name="_Toc461624429"/>
      <w:bookmarkStart w:id="2146" w:name="_Toc461629654"/>
      <w:bookmarkStart w:id="2147" w:name="_Toc461632984"/>
      <w:bookmarkStart w:id="2148" w:name="_Toc461634254"/>
      <w:bookmarkStart w:id="2149" w:name="_Toc463013906"/>
      <w:bookmarkStart w:id="2150" w:name="_Toc463014015"/>
      <w:bookmarkStart w:id="2151" w:name="_Toc463014449"/>
      <w:bookmarkStart w:id="2152" w:name="_Toc463877089"/>
      <w:bookmarkStart w:id="2153" w:name="_Toc465864601"/>
      <w:r w:rsidRPr="000D502B">
        <w:t xml:space="preserve">Figure </w:t>
      </w:r>
      <w:fldSimple w:instr=" STYLEREF 1 \s ">
        <w:r>
          <w:rPr>
            <w:noProof/>
          </w:rPr>
          <w:t>4</w:t>
        </w:r>
      </w:fldSimple>
      <w:r w:rsidRPr="000D502B">
        <w:t>.</w:t>
      </w:r>
      <w:fldSimple w:instr=" SEQ Figure \* ARABIC \s 1 ">
        <w:r>
          <w:rPr>
            <w:noProof/>
          </w:rPr>
          <w:t>6</w:t>
        </w:r>
      </w:fldSimple>
      <w:bookmarkEnd w:id="2137"/>
      <w:r w:rsidRPr="000D502B">
        <w:t xml:space="preserve">: </w:t>
      </w:r>
      <w:r>
        <w:t xml:space="preserve">Businesses </w:t>
      </w:r>
      <w:r w:rsidRPr="000D502B">
        <w:t>citing market sources as highly important for innovation, 2010</w:t>
      </w:r>
      <w:r>
        <w:t>–</w:t>
      </w:r>
      <w:r w:rsidRPr="000D502B">
        <w:t>12</w:t>
      </w:r>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14:paraId="7418B28A" w14:textId="77777777" w:rsidR="00D471AD" w:rsidRPr="000D502B" w:rsidRDefault="00D471AD" w:rsidP="00D471AD">
      <w:r>
        <w:rPr>
          <w:noProof/>
          <w:lang w:eastAsia="en-AU"/>
        </w:rPr>
        <w:drawing>
          <wp:inline distT="0" distB="0" distL="0" distR="0" wp14:anchorId="7418C669" wp14:editId="7418C66A">
            <wp:extent cx="2987040" cy="2170430"/>
            <wp:effectExtent l="0" t="0" r="3810" b="1270"/>
            <wp:docPr id="59" name="Picture 59" descr="Figure 4.6 shows international comparisons of businesses citing market sources as highly important for innovation, for 2010–12. Australia’s proportion is 68 per cent, compared to an OECD average of 52 per cent and an OECD top five average of 76 per cent. " title="Figure 4.6: Businesses citing market sources as highly important for innovation,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87040" cy="2170430"/>
                    </a:xfrm>
                    <a:prstGeom prst="rect">
                      <a:avLst/>
                    </a:prstGeom>
                    <a:noFill/>
                  </pic:spPr>
                </pic:pic>
              </a:graphicData>
            </a:graphic>
          </wp:inline>
        </w:drawing>
      </w:r>
    </w:p>
    <w:p w14:paraId="7418B28B" w14:textId="77777777" w:rsidR="00D471AD" w:rsidRPr="001729A3" w:rsidRDefault="00D471AD" w:rsidP="00D471AD">
      <w:pPr>
        <w:pStyle w:val="Note"/>
        <w:rPr>
          <w:lang w:val="en-AU"/>
        </w:rPr>
      </w:pPr>
      <w:r w:rsidRPr="001729A3">
        <w:rPr>
          <w:lang w:val="en-AU"/>
        </w:rPr>
        <w:t xml:space="preserve">Notes: </w:t>
      </w:r>
      <w:r>
        <w:rPr>
          <w:lang w:val="en-AU"/>
        </w:rPr>
        <w:t xml:space="preserve">The </w:t>
      </w:r>
      <w:r w:rsidRPr="001729A3">
        <w:rPr>
          <w:lang w:val="en-AU"/>
        </w:rPr>
        <w:t xml:space="preserve">OECD top </w:t>
      </w:r>
      <w:r>
        <w:rPr>
          <w:lang w:val="en-AU"/>
        </w:rPr>
        <w:t>five</w:t>
      </w:r>
      <w:r w:rsidRPr="001729A3">
        <w:rPr>
          <w:lang w:val="en-AU"/>
        </w:rPr>
        <w:t xml:space="preserve"> are </w:t>
      </w:r>
      <w:r>
        <w:rPr>
          <w:lang w:val="en-GB"/>
        </w:rPr>
        <w:t>Turkey, Israel, Switzerland, Australia and Slovenia</w:t>
      </w:r>
      <w:r w:rsidRPr="001729A3">
        <w:rPr>
          <w:lang w:val="en-AU"/>
        </w:rPr>
        <w:t xml:space="preserve">. OECD comparisons exclude businesses with </w:t>
      </w:r>
      <w:r>
        <w:rPr>
          <w:lang w:val="en-AU"/>
        </w:rPr>
        <w:t>fewer</w:t>
      </w:r>
      <w:r w:rsidRPr="00660104">
        <w:rPr>
          <w:lang w:val="en-AU"/>
        </w:rPr>
        <w:t xml:space="preserve"> </w:t>
      </w:r>
      <w:r w:rsidRPr="001729A3">
        <w:rPr>
          <w:lang w:val="en-AU"/>
        </w:rPr>
        <w:t>than ten employees. Industry core coverage includes ISIC Rev. 4 Sections and Divisions B, C, D, E, G46, H, J, K, M71-72 and 73. Australian data is for 2012-13.</w:t>
      </w:r>
    </w:p>
    <w:p w14:paraId="7418B28C" w14:textId="77777777" w:rsidR="00D471AD" w:rsidRPr="001729A3" w:rsidRDefault="00D471AD" w:rsidP="00D471AD">
      <w:pPr>
        <w:pStyle w:val="Note"/>
        <w:keepNext w:val="0"/>
        <w:rPr>
          <w:lang w:val="en-AU"/>
        </w:rPr>
      </w:pPr>
      <w:r w:rsidRPr="001729A3">
        <w:rPr>
          <w:lang w:val="en-AU"/>
        </w:rPr>
        <w:t xml:space="preserve">Source: OECD (2015) </w:t>
      </w:r>
      <w:r w:rsidRPr="00A3532A">
        <w:rPr>
          <w:i/>
          <w:lang w:val="en-AU"/>
        </w:rPr>
        <w:t>Innovation statistics and indicators</w:t>
      </w:r>
      <w:r w:rsidRPr="001729A3">
        <w:rPr>
          <w:lang w:val="en-AU"/>
        </w:rPr>
        <w:t xml:space="preserve">, </w:t>
      </w:r>
      <w:hyperlink r:id="rId154" w:tooltip="www.oecd.org/innovation/inno/inno-stats.htm" w:history="1">
        <w:r w:rsidRPr="001729A3">
          <w:rPr>
            <w:rStyle w:val="Hyperlink"/>
            <w:lang w:val="en-AU"/>
          </w:rPr>
          <w:t>www.oecd.org/innovation/inno/inno-stats.htm</w:t>
        </w:r>
      </w:hyperlink>
    </w:p>
    <w:p w14:paraId="7418B28D" w14:textId="77777777" w:rsidR="00D471AD" w:rsidRPr="001729A3" w:rsidRDefault="00D471AD" w:rsidP="00D471AD">
      <w:pPr>
        <w:pStyle w:val="BodyText"/>
      </w:pPr>
    </w:p>
    <w:p w14:paraId="7418B28E" w14:textId="77777777" w:rsidR="00D471AD" w:rsidRPr="000D502B" w:rsidRDefault="00D471AD" w:rsidP="00D471AD">
      <w:pPr>
        <w:pStyle w:val="Caption"/>
      </w:pPr>
      <w:bookmarkStart w:id="2154" w:name="_Ref461194698"/>
      <w:bookmarkStart w:id="2155" w:name="_Toc461198257"/>
      <w:bookmarkStart w:id="2156" w:name="_Toc461198799"/>
      <w:bookmarkStart w:id="2157" w:name="_Toc461204087"/>
      <w:bookmarkStart w:id="2158" w:name="_Toc461527527"/>
      <w:bookmarkStart w:id="2159" w:name="_Toc461539562"/>
      <w:bookmarkStart w:id="2160" w:name="_Toc461541679"/>
      <w:bookmarkStart w:id="2161" w:name="_Toc461545434"/>
      <w:bookmarkStart w:id="2162" w:name="_Toc461624430"/>
      <w:bookmarkStart w:id="2163" w:name="_Toc461629655"/>
      <w:bookmarkStart w:id="2164" w:name="_Toc461632985"/>
      <w:bookmarkStart w:id="2165" w:name="_Toc461634255"/>
      <w:bookmarkStart w:id="2166" w:name="_Toc463013907"/>
      <w:bookmarkStart w:id="2167" w:name="_Toc463014016"/>
      <w:bookmarkStart w:id="2168" w:name="_Toc463014450"/>
      <w:bookmarkStart w:id="2169" w:name="_Toc463877090"/>
      <w:bookmarkStart w:id="2170" w:name="_Toc465864602"/>
      <w:r w:rsidRPr="000D502B">
        <w:t xml:space="preserve">Figure </w:t>
      </w:r>
      <w:fldSimple w:instr=" STYLEREF 1 \s ">
        <w:r>
          <w:rPr>
            <w:noProof/>
          </w:rPr>
          <w:t>4</w:t>
        </w:r>
      </w:fldSimple>
      <w:r w:rsidRPr="000D502B">
        <w:t>.</w:t>
      </w:r>
      <w:fldSimple w:instr=" SEQ Figure \* ARABIC \s 1 ">
        <w:r>
          <w:rPr>
            <w:noProof/>
          </w:rPr>
          <w:t>7</w:t>
        </w:r>
      </w:fldSimple>
      <w:bookmarkEnd w:id="2154"/>
      <w:r w:rsidRPr="000D502B">
        <w:t xml:space="preserve">: </w:t>
      </w:r>
      <w:r>
        <w:t xml:space="preserve">Businesses </w:t>
      </w:r>
      <w:r w:rsidRPr="000D502B">
        <w:t xml:space="preserve">citing </w:t>
      </w:r>
      <w:r>
        <w:t>external</w:t>
      </w:r>
      <w:r w:rsidRPr="000D502B">
        <w:t xml:space="preserve"> institutional sources as highly important for innovation, 2010</w:t>
      </w:r>
      <w:r>
        <w:t>–</w:t>
      </w:r>
      <w:r w:rsidRPr="000D502B">
        <w:t>12</w:t>
      </w:r>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14:paraId="7418B28F" w14:textId="77777777" w:rsidR="00D471AD" w:rsidRPr="000D502B" w:rsidRDefault="00D471AD" w:rsidP="00D471AD">
      <w:r>
        <w:rPr>
          <w:noProof/>
          <w:lang w:eastAsia="en-AU"/>
        </w:rPr>
        <w:drawing>
          <wp:inline distT="0" distB="0" distL="0" distR="0" wp14:anchorId="7418C66B" wp14:editId="7418C66C">
            <wp:extent cx="2993390" cy="2145665"/>
            <wp:effectExtent l="0" t="0" r="0" b="6985"/>
            <wp:docPr id="62" name="Picture 62" descr="Figure 4.7 shows international comparisons of businesses citing external institutional sources as highly important for innovation, for 2010–12. Australia’s proportion is 6 per cent, compared to an OECD average of 9 per cent and an OECD top five average of 16 per cent. " title="Figure 4.7: Businesses citing external institutional sources as highly important for innovation,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93390" cy="2145665"/>
                    </a:xfrm>
                    <a:prstGeom prst="rect">
                      <a:avLst/>
                    </a:prstGeom>
                    <a:noFill/>
                  </pic:spPr>
                </pic:pic>
              </a:graphicData>
            </a:graphic>
          </wp:inline>
        </w:drawing>
      </w:r>
    </w:p>
    <w:p w14:paraId="7418B290" w14:textId="77777777" w:rsidR="00D471AD" w:rsidRPr="001729A3" w:rsidRDefault="00D471AD" w:rsidP="00D471AD">
      <w:pPr>
        <w:pStyle w:val="Note"/>
        <w:rPr>
          <w:lang w:val="en-AU"/>
        </w:rPr>
      </w:pPr>
      <w:r w:rsidRPr="001729A3">
        <w:rPr>
          <w:lang w:val="en-AU"/>
        </w:rPr>
        <w:t xml:space="preserve">Notes: OECD comparisons exclude businesses with </w:t>
      </w:r>
      <w:r>
        <w:rPr>
          <w:lang w:val="en-AU"/>
        </w:rPr>
        <w:t>fewer</w:t>
      </w:r>
      <w:r w:rsidRPr="00660104">
        <w:rPr>
          <w:lang w:val="en-AU"/>
        </w:rPr>
        <w:t xml:space="preserve"> </w:t>
      </w:r>
      <w:r w:rsidRPr="001729A3">
        <w:rPr>
          <w:lang w:val="en-AU"/>
        </w:rPr>
        <w:t>than ten employees. Industry core coverage includes ISIC Rev. 4 Sections and Divisions B, C, D, E, G46, H, J, K, M71-72 and 73. Australian data is for 2012-13.</w:t>
      </w:r>
      <w:r>
        <w:rPr>
          <w:lang w:val="en-GB"/>
        </w:rPr>
        <w:t xml:space="preserve"> The OECD top five are Switzerland, Israel, Hungary, Austria and the United Kingdom.</w:t>
      </w:r>
    </w:p>
    <w:p w14:paraId="7418B291" w14:textId="77777777" w:rsidR="00D471AD" w:rsidRPr="001729A3" w:rsidRDefault="00D471AD" w:rsidP="00D471AD">
      <w:pPr>
        <w:pStyle w:val="Note"/>
        <w:keepNext w:val="0"/>
        <w:rPr>
          <w:lang w:val="en-AU"/>
        </w:rPr>
      </w:pPr>
      <w:r w:rsidRPr="001729A3">
        <w:rPr>
          <w:lang w:val="en-AU"/>
        </w:rPr>
        <w:t xml:space="preserve">Source: OECD (2015) </w:t>
      </w:r>
      <w:r w:rsidRPr="00A3532A">
        <w:rPr>
          <w:i/>
          <w:lang w:val="en-AU"/>
        </w:rPr>
        <w:t>Innovation statistics and indicators</w:t>
      </w:r>
      <w:r w:rsidRPr="001729A3">
        <w:rPr>
          <w:lang w:val="en-AU"/>
        </w:rPr>
        <w:t xml:space="preserve">, </w:t>
      </w:r>
      <w:hyperlink r:id="rId156" w:tooltip="www.oecd.org/innovation/inno/inno-stats.htm" w:history="1">
        <w:r w:rsidRPr="001729A3">
          <w:rPr>
            <w:rStyle w:val="Hyperlink"/>
            <w:lang w:val="en-AU"/>
          </w:rPr>
          <w:t>www.oecd.org/innovation/inno/inno-stats.htm</w:t>
        </w:r>
      </w:hyperlink>
    </w:p>
    <w:p w14:paraId="7418B292" w14:textId="77777777" w:rsidR="00D471AD" w:rsidRPr="00924CA6" w:rsidRDefault="00D471AD" w:rsidP="00D471AD">
      <w:pPr>
        <w:pStyle w:val="heading3new"/>
      </w:pPr>
      <w:bookmarkStart w:id="2171" w:name="_Toc461198305"/>
      <w:bookmarkStart w:id="2172" w:name="_Toc461198847"/>
      <w:bookmarkStart w:id="2173" w:name="_Toc461204135"/>
      <w:bookmarkStart w:id="2174" w:name="_Toc461527590"/>
      <w:bookmarkStart w:id="2175" w:name="_Toc461624497"/>
      <w:bookmarkStart w:id="2176" w:name="_Toc461629722"/>
      <w:bookmarkStart w:id="2177" w:name="_Toc461633052"/>
      <w:bookmarkStart w:id="2178" w:name="_Toc461634322"/>
      <w:bookmarkStart w:id="2179" w:name="_Toc462230100"/>
      <w:bookmarkStart w:id="2180" w:name="_Toc462231461"/>
      <w:bookmarkStart w:id="2181" w:name="_Toc463013962"/>
      <w:bookmarkStart w:id="2182" w:name="_Toc463014071"/>
      <w:bookmarkStart w:id="2183" w:name="_Toc463014505"/>
      <w:bookmarkStart w:id="2184" w:name="_Toc463877038"/>
      <w:bookmarkStart w:id="2185" w:name="_Toc465862832"/>
      <w:r w:rsidRPr="00924CA6">
        <w:t>Researchers in business</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14:paraId="7418B293" w14:textId="77777777" w:rsidR="00D471AD" w:rsidRPr="001729A3" w:rsidRDefault="00D471AD" w:rsidP="00D471AD">
      <w:pPr>
        <w:pStyle w:val="BodyText"/>
      </w:pPr>
      <w:r w:rsidRPr="001729A3">
        <w:t>The more a business invests in R&amp;D activities, the better it will be at adopting innovations and deriving profit from these activities. Using the proportion of researchers in business as a rough proxy for private sector absorptive capacity shows that Australia has low absorptive capacity by OECD standards. The total number of business R&amp;D FTE personnel per thousand employment in industry was 9.4 in 2013.</w:t>
      </w:r>
      <w:r w:rsidRPr="001729A3">
        <w:rPr>
          <w:rStyle w:val="EndnoteReference"/>
        </w:rPr>
        <w:endnoteReference w:id="56"/>
      </w:r>
      <w:r w:rsidRPr="001729A3">
        <w:t xml:space="preserve"> Australia ranks 19th out of 33 countries on this measure. The Australian figure is below the OECD average of 9.8</w:t>
      </w:r>
      <w:r>
        <w:t>,</w:t>
      </w:r>
      <w:r w:rsidRPr="001729A3">
        <w:t xml:space="preserve"> and well behind the top five OECD countries’ 19.2. However</w:t>
      </w:r>
      <w:r>
        <w:t>,</w:t>
      </w:r>
      <w:r w:rsidRPr="001729A3">
        <w:t xml:space="preserve"> there are signs of improvement. Australia has grown at an average annual compound growth rate of 6.0 per cent since 1981, from a low base of 1.6 business R&amp;D FTE personnel per thousand employees. </w:t>
      </w:r>
    </w:p>
    <w:p w14:paraId="7418B294" w14:textId="77777777" w:rsidR="00D471AD" w:rsidRPr="001729A3" w:rsidRDefault="00D471AD" w:rsidP="00D471AD">
      <w:pPr>
        <w:pStyle w:val="BodyText"/>
      </w:pPr>
      <w:r w:rsidRPr="001729A3">
        <w:t>The total number of business researchers (FTE) per thousand employment in industry was 4.7 in 2013.</w:t>
      </w:r>
      <w:r w:rsidRPr="001729A3">
        <w:rPr>
          <w:rStyle w:val="EndnoteReference"/>
        </w:rPr>
        <w:endnoteReference w:id="57"/>
      </w:r>
      <w:r w:rsidRPr="001729A3">
        <w:t xml:space="preserve"> Australia ranks 18th out of 33 countries on this measure. The Australian figure is below the OECD average of 6.3</w:t>
      </w:r>
      <w:r>
        <w:t>,</w:t>
      </w:r>
      <w:r w:rsidRPr="001729A3">
        <w:t xml:space="preserve"> and well behind the top five OECD </w:t>
      </w:r>
      <w:r w:rsidRPr="00660104">
        <w:t>countr</w:t>
      </w:r>
      <w:r>
        <w:t>ies’</w:t>
      </w:r>
      <w:r w:rsidRPr="001729A3">
        <w:t xml:space="preserve"> average of 14.7. </w:t>
      </w:r>
    </w:p>
    <w:p w14:paraId="7418B295" w14:textId="77777777" w:rsidR="00D471AD" w:rsidRPr="001729A3" w:rsidRDefault="00D471AD" w:rsidP="00D471AD">
      <w:pPr>
        <w:pStyle w:val="BodyText"/>
      </w:pPr>
      <w:r w:rsidRPr="001729A3">
        <w:fldChar w:fldCharType="begin"/>
      </w:r>
      <w:r w:rsidRPr="001729A3">
        <w:instrText xml:space="preserve"> REF _Ref461119229 \h  \* MERGEFORMAT </w:instrText>
      </w:r>
      <w:r w:rsidRPr="001729A3">
        <w:fldChar w:fldCharType="separate"/>
      </w:r>
      <w:r w:rsidRPr="000D502B">
        <w:t xml:space="preserve">Figure </w:t>
      </w:r>
      <w:r>
        <w:t>4</w:t>
      </w:r>
      <w:r w:rsidRPr="000D502B">
        <w:t>.</w:t>
      </w:r>
      <w:r>
        <w:t>8</w:t>
      </w:r>
      <w:r w:rsidRPr="001729A3">
        <w:fldChar w:fldCharType="end"/>
      </w:r>
      <w:r w:rsidRPr="001729A3">
        <w:t xml:space="preserve"> also shows that Australia has a below</w:t>
      </w:r>
      <w:r>
        <w:t>-</w:t>
      </w:r>
      <w:r w:rsidRPr="001729A3">
        <w:t>average proportion of its total researchers in the industry sector (43 per cent) by OECD standards. The OECD average is 48 per cent, with proportions ranging between 14 and 84 per cent. Most Australian researchers work in the higher education sector (44 per cent), although researchers in business have almost reached parity. In 2008</w:t>
      </w:r>
      <w:r>
        <w:t>,</w:t>
      </w:r>
      <w:r w:rsidRPr="001729A3">
        <w:t xml:space="preserve"> only 31 per cent of researchers worked in the </w:t>
      </w:r>
      <w:r>
        <w:t>business enterprise</w:t>
      </w:r>
      <w:r w:rsidRPr="001729A3">
        <w:t xml:space="preserve"> sector in Australia. The share of researchers working in Australian businesses, although still below the OECD average, has increased in recent years. </w:t>
      </w:r>
    </w:p>
    <w:p w14:paraId="7418B296" w14:textId="77777777" w:rsidR="00D471AD" w:rsidRPr="001729A3" w:rsidRDefault="00D471AD" w:rsidP="00D471AD">
      <w:pPr>
        <w:pStyle w:val="BodyText"/>
      </w:pPr>
      <w:r w:rsidRPr="001729A3">
        <w:t xml:space="preserve">As the increased share has come at the expense of the higher education sector, it may suggest that business demand for researchers is increasing. This may indicate an increasing appreciation of the benefits of collaboration within the </w:t>
      </w:r>
      <w:r>
        <w:t>business</w:t>
      </w:r>
      <w:r w:rsidRPr="001729A3">
        <w:t xml:space="preserve"> sector. Historically in Australia, it has appeared as though businesses have undervalued collaboration because they do not have the capacity to understand what economically useful knowledge is outside of the business, particularly knowledge found in universities and other research organisations. This would be the case for the majority of businesses in Australia, as R&amp;D investment is unevenly distributed.</w:t>
      </w:r>
    </w:p>
    <w:p w14:paraId="7418B297" w14:textId="77777777" w:rsidR="00D471AD" w:rsidRPr="001729A3" w:rsidRDefault="00D471AD" w:rsidP="00D471AD">
      <w:pPr>
        <w:pStyle w:val="BodyText"/>
      </w:pPr>
      <w:r w:rsidRPr="001729A3">
        <w:t>The share of researchers working in government has remained relatively stable. In 2008</w:t>
      </w:r>
      <w:r>
        <w:t>,</w:t>
      </w:r>
      <w:r w:rsidRPr="001729A3">
        <w:t xml:space="preserve"> government researchers accounted for </w:t>
      </w:r>
      <w:r>
        <w:t>nine</w:t>
      </w:r>
      <w:r w:rsidRPr="00660104">
        <w:t> </w:t>
      </w:r>
      <w:r w:rsidRPr="001729A3">
        <w:t xml:space="preserve">per cent of the total, whereas in 2012–13 it had </w:t>
      </w:r>
      <w:r>
        <w:t xml:space="preserve">only </w:t>
      </w:r>
      <w:r w:rsidRPr="001729A3">
        <w:t xml:space="preserve">increased to 10 per cent. </w:t>
      </w:r>
    </w:p>
    <w:p w14:paraId="7418B298" w14:textId="77777777" w:rsidR="00D471AD" w:rsidRPr="001729A3" w:rsidRDefault="00D471AD" w:rsidP="00D471AD">
      <w:pPr>
        <w:pStyle w:val="BodyText"/>
      </w:pPr>
      <w:r w:rsidRPr="001729A3">
        <w:t xml:space="preserve">The absorptive capacity of Australian businesses may be further limited by a highly uneven distribution of researchers within the private sector. Data from the 2011 </w:t>
      </w:r>
      <w:r w:rsidRPr="00C76832">
        <w:rPr>
          <w:i/>
        </w:rPr>
        <w:t xml:space="preserve">Census of Population and </w:t>
      </w:r>
      <w:r>
        <w:rPr>
          <w:i/>
        </w:rPr>
        <w:t>H</w:t>
      </w:r>
      <w:r w:rsidRPr="00C76832">
        <w:rPr>
          <w:i/>
        </w:rPr>
        <w:t>ousing</w:t>
      </w:r>
      <w:r w:rsidRPr="001729A3">
        <w:t xml:space="preserve"> show that engineering and PhD graduates were highly concentrated within a few sectors of the economy. Many industries in the private sector employ very low percentages of PhD graduates, with the majority of them filling management or technical roles in their sector of employment. </w:t>
      </w:r>
    </w:p>
    <w:p w14:paraId="7418B299" w14:textId="77777777" w:rsidR="00D471AD" w:rsidRPr="001729A3" w:rsidRDefault="00D471AD" w:rsidP="00D471AD">
      <w:pPr>
        <w:pStyle w:val="BodyText"/>
      </w:pPr>
    </w:p>
    <w:p w14:paraId="7418B29A" w14:textId="77777777" w:rsidR="00D471AD" w:rsidRPr="001729A3" w:rsidRDefault="00D471AD" w:rsidP="00D471AD">
      <w:pPr>
        <w:pStyle w:val="BodyText"/>
        <w:sectPr w:rsidR="00D471AD" w:rsidRPr="001729A3" w:rsidSect="00D471AD">
          <w:footnotePr>
            <w:numFmt w:val="upperRoman"/>
          </w:footnotePr>
          <w:endnotePr>
            <w:numFmt w:val="decimal"/>
          </w:endnotePr>
          <w:pgSz w:w="11906" w:h="16838" w:code="9"/>
          <w:pgMar w:top="1440" w:right="1020" w:bottom="1440" w:left="992" w:header="709" w:footer="709" w:gutter="0"/>
          <w:cols w:num="2" w:space="708"/>
          <w:docGrid w:linePitch="360"/>
        </w:sectPr>
      </w:pPr>
    </w:p>
    <w:p w14:paraId="7418B29B" w14:textId="77777777" w:rsidR="00D471AD" w:rsidRDefault="00D471AD" w:rsidP="00D471AD">
      <w:pPr>
        <w:pStyle w:val="Caption"/>
      </w:pPr>
      <w:bookmarkStart w:id="2186" w:name="_Ref461119229"/>
      <w:bookmarkStart w:id="2187" w:name="_Toc461198258"/>
      <w:bookmarkStart w:id="2188" w:name="_Toc461198800"/>
      <w:bookmarkStart w:id="2189" w:name="_Toc461204088"/>
      <w:bookmarkStart w:id="2190" w:name="_Toc461527528"/>
      <w:bookmarkStart w:id="2191" w:name="_Toc461539563"/>
      <w:bookmarkStart w:id="2192" w:name="_Toc461541680"/>
      <w:bookmarkStart w:id="2193" w:name="_Toc461545435"/>
      <w:bookmarkStart w:id="2194" w:name="_Toc461624431"/>
      <w:bookmarkStart w:id="2195" w:name="_Toc461629656"/>
      <w:bookmarkStart w:id="2196" w:name="_Toc461632986"/>
      <w:bookmarkStart w:id="2197" w:name="_Toc461634256"/>
      <w:bookmarkStart w:id="2198" w:name="_Toc463013908"/>
      <w:bookmarkStart w:id="2199" w:name="_Toc463014017"/>
      <w:bookmarkStart w:id="2200" w:name="_Toc463014451"/>
      <w:bookmarkStart w:id="2201" w:name="_Toc463877091"/>
      <w:bookmarkStart w:id="2202" w:name="_Toc465864603"/>
      <w:r w:rsidRPr="000D502B">
        <w:t xml:space="preserve">Figure </w:t>
      </w:r>
      <w:fldSimple w:instr=" STYLEREF 1 \s ">
        <w:r>
          <w:rPr>
            <w:noProof/>
          </w:rPr>
          <w:t>4</w:t>
        </w:r>
      </w:fldSimple>
      <w:r w:rsidRPr="000D502B">
        <w:t>.</w:t>
      </w:r>
      <w:fldSimple w:instr=" SEQ Figure \* ARABIC \s 1 ">
        <w:r>
          <w:rPr>
            <w:noProof/>
          </w:rPr>
          <w:t>8</w:t>
        </w:r>
      </w:fldSimple>
      <w:bookmarkEnd w:id="2186"/>
      <w:r w:rsidRPr="000D502B">
        <w:t>: Proportion of total researchers</w:t>
      </w:r>
      <w:r>
        <w:t xml:space="preserve"> in business enterprise (panel A), government (panel B), higher education (panel C) and private non-profit (panel D)</w:t>
      </w:r>
      <w:r w:rsidRPr="000D502B">
        <w:t>, 2013</w:t>
      </w:r>
      <w:bookmarkEnd w:id="2187"/>
      <w:bookmarkEnd w:id="2188"/>
      <w:bookmarkEnd w:id="2189"/>
      <w:bookmarkEnd w:id="2190"/>
      <w:bookmarkEnd w:id="2191"/>
      <w:bookmarkEnd w:id="2192"/>
      <w:bookmarkEnd w:id="2193"/>
      <w:bookmarkEnd w:id="2194"/>
      <w:bookmarkEnd w:id="2195"/>
      <w:bookmarkEnd w:id="2196"/>
      <w:bookmarkEnd w:id="2197"/>
      <w:r>
        <w:t>.</w:t>
      </w:r>
      <w:bookmarkEnd w:id="2198"/>
      <w:bookmarkEnd w:id="2199"/>
      <w:bookmarkEnd w:id="2200"/>
      <w:bookmarkEnd w:id="2201"/>
      <w:bookmarkEnd w:id="2202"/>
    </w:p>
    <w:p w14:paraId="7418B29C" w14:textId="77777777" w:rsidR="00D471AD" w:rsidRDefault="00D471AD" w:rsidP="00D471AD">
      <w:r>
        <w:rPr>
          <w:noProof/>
          <w:lang w:eastAsia="en-AU"/>
        </w:rPr>
        <w:drawing>
          <wp:inline distT="0" distB="0" distL="0" distR="0" wp14:anchorId="7418C66D" wp14:editId="7418C66E">
            <wp:extent cx="2987040" cy="2200910"/>
            <wp:effectExtent l="0" t="0" r="3810" b="8890"/>
            <wp:docPr id="14" name="Picture 14" descr="There are four panels in figure 4.8 showing international comparisons of total researches in various sectors. Panel A shows the proportion of total researchers in business. Australia’s proportion is 42.6 per cent, compared to an OECD average of 48.5 per cent and an OECD top five average of 74.8 per cent." title="Figure 4.8: Proportion of total researchers in business enterprise (panel A), government (panel B), higher education (panel C) and private non-profit (panel 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87040" cy="2200910"/>
                    </a:xfrm>
                    <a:prstGeom prst="rect">
                      <a:avLst/>
                    </a:prstGeom>
                    <a:noFill/>
                  </pic:spPr>
                </pic:pic>
              </a:graphicData>
            </a:graphic>
          </wp:inline>
        </w:drawing>
      </w:r>
      <w:r>
        <w:rPr>
          <w:noProof/>
          <w:lang w:eastAsia="en-AU"/>
        </w:rPr>
        <w:drawing>
          <wp:inline distT="0" distB="0" distL="0" distR="0" wp14:anchorId="7418C66F" wp14:editId="7418C670">
            <wp:extent cx="2999740" cy="2231390"/>
            <wp:effectExtent l="0" t="0" r="0" b="0"/>
            <wp:docPr id="19" name="Picture 19" descr="There are four panels in figure 4.8 showing international comparisons of total researches in various sectors. Panel B shows the proportion of total researchers in government. Australia’s proportion is 9.7 per cent, compared to an OECD average of 11.5 per cent and an OECD top five average of 22.2 per cent." title="Figure 4.8: Proportion of total researchers in business enterprise (panel A), government (panel B), higher education (panel C) and private non-profit (panel 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99740" cy="2231390"/>
                    </a:xfrm>
                    <a:prstGeom prst="rect">
                      <a:avLst/>
                    </a:prstGeom>
                    <a:noFill/>
                  </pic:spPr>
                </pic:pic>
              </a:graphicData>
            </a:graphic>
          </wp:inline>
        </w:drawing>
      </w:r>
    </w:p>
    <w:p w14:paraId="7418B29D" w14:textId="77777777" w:rsidR="00D471AD" w:rsidRDefault="00D471AD" w:rsidP="00D471AD"/>
    <w:p w14:paraId="7418B29E" w14:textId="77777777" w:rsidR="00D471AD" w:rsidRDefault="00D471AD" w:rsidP="00D471AD">
      <w:r>
        <w:rPr>
          <w:noProof/>
          <w:lang w:eastAsia="en-AU"/>
        </w:rPr>
        <w:drawing>
          <wp:inline distT="0" distB="0" distL="0" distR="0" wp14:anchorId="7418C671" wp14:editId="7418C672">
            <wp:extent cx="2987040" cy="2176145"/>
            <wp:effectExtent l="0" t="0" r="3810" b="0"/>
            <wp:docPr id="16" name="Picture 16" descr="There are four panels in figure 4.8 showing international comparisons of total researches in various sectors. Panel C shows the proportion of total researchers in higher education. Australia’s proportion is 44.3 per cent, compared to an OECD average of 39.0 per cent and an OECD top five average of 60.0 per cent." title="Figure 4.8: Proportion of total researchers in business enterprise (panel A), government (panel B), higher education (panel C) and private non-profit (panel 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87040" cy="2176145"/>
                    </a:xfrm>
                    <a:prstGeom prst="rect">
                      <a:avLst/>
                    </a:prstGeom>
                    <a:noFill/>
                  </pic:spPr>
                </pic:pic>
              </a:graphicData>
            </a:graphic>
          </wp:inline>
        </w:drawing>
      </w:r>
      <w:r>
        <w:rPr>
          <w:noProof/>
          <w:lang w:eastAsia="en-AU"/>
        </w:rPr>
        <w:drawing>
          <wp:inline distT="0" distB="0" distL="0" distR="0" wp14:anchorId="7418C673" wp14:editId="7418C674">
            <wp:extent cx="2987040" cy="2200910"/>
            <wp:effectExtent l="0" t="0" r="3810" b="8890"/>
            <wp:docPr id="18" name="Picture 18" descr="There are four panels in figure 4.8 showing international comparisons of total researches in various sectors. Panel D shows the proportion of total researchers in the private non-profit sector. Australia’s proportion is 3.4 per cent, compared to and OECD average of 1.6 per cent and an OECD top 5 average of 7.1 per cent." title="Figure 4.8: Proportion of total researchers in business enterprise (panel A), government (panel B), higher education (panel C) and private non-profit (panel 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87040" cy="2200910"/>
                    </a:xfrm>
                    <a:prstGeom prst="rect">
                      <a:avLst/>
                    </a:prstGeom>
                    <a:noFill/>
                  </pic:spPr>
                </pic:pic>
              </a:graphicData>
            </a:graphic>
          </wp:inline>
        </w:drawing>
      </w:r>
    </w:p>
    <w:p w14:paraId="7418B29F" w14:textId="77777777" w:rsidR="00D471AD" w:rsidRPr="00F16FC5" w:rsidRDefault="00D471AD" w:rsidP="00D471AD"/>
    <w:p w14:paraId="7418B2A0" w14:textId="77777777" w:rsidR="00D471AD" w:rsidRPr="001729A3" w:rsidRDefault="00D471AD" w:rsidP="00D471AD">
      <w:pPr>
        <w:pStyle w:val="Note"/>
        <w:rPr>
          <w:lang w:val="en-AU"/>
        </w:rPr>
      </w:pPr>
      <w:r w:rsidRPr="001729A3">
        <w:rPr>
          <w:lang w:val="en-AU"/>
        </w:rPr>
        <w:t xml:space="preserve">Notes: Data are shown as full-time equivalent. For a number of countries, methodological improvements were adopted over the period 2003–13, which may hinder data comparisons over time. In the USA 31.3 per cent of researchers are classified as ‘not elsewhere classified, estimates’ which hinder data comparisons. The top five countries are: (A) </w:t>
      </w:r>
      <w:r w:rsidRPr="00F56829">
        <w:rPr>
          <w:lang w:val="en-AU"/>
        </w:rPr>
        <w:t xml:space="preserve">Israel (2012), Korea, Japan, Sweden </w:t>
      </w:r>
      <w:r>
        <w:rPr>
          <w:lang w:val="en-AU"/>
        </w:rPr>
        <w:t>and</w:t>
      </w:r>
      <w:r w:rsidRPr="00F56829">
        <w:rPr>
          <w:lang w:val="en-AU"/>
        </w:rPr>
        <w:t xml:space="preserve"> United States (2012)</w:t>
      </w:r>
      <w:r>
        <w:rPr>
          <w:lang w:val="en-AU"/>
        </w:rPr>
        <w:t xml:space="preserve">; (B) </w:t>
      </w:r>
      <w:r w:rsidRPr="001729A3">
        <w:rPr>
          <w:lang w:val="en-AU"/>
        </w:rPr>
        <w:t xml:space="preserve">Luxembourg, Mexico (2011), Slovenia, Greece </w:t>
      </w:r>
      <w:r>
        <w:rPr>
          <w:lang w:val="en-AU"/>
        </w:rPr>
        <w:t>and</w:t>
      </w:r>
      <w:r w:rsidRPr="001729A3">
        <w:rPr>
          <w:lang w:val="en-AU"/>
        </w:rPr>
        <w:t xml:space="preserve"> Hungary; (C) </w:t>
      </w:r>
      <w:r w:rsidRPr="00F56829">
        <w:rPr>
          <w:lang w:val="en-AU"/>
        </w:rPr>
        <w:t xml:space="preserve">Slovak Republic, Greece, United Kingdom, Portugal </w:t>
      </w:r>
      <w:r>
        <w:rPr>
          <w:lang w:val="en-AU"/>
        </w:rPr>
        <w:t>and</w:t>
      </w:r>
      <w:r w:rsidRPr="00F56829">
        <w:rPr>
          <w:lang w:val="en-AU"/>
        </w:rPr>
        <w:t xml:space="preserve"> Chile</w:t>
      </w:r>
      <w:r>
        <w:rPr>
          <w:lang w:val="en-AU"/>
        </w:rPr>
        <w:t xml:space="preserve">; (D) </w:t>
      </w:r>
      <w:r w:rsidRPr="001729A3">
        <w:rPr>
          <w:lang w:val="en-AU"/>
        </w:rPr>
        <w:t xml:space="preserve">Chile, Portugal, Mexico (2011), Australia (2012-13) </w:t>
      </w:r>
      <w:r>
        <w:rPr>
          <w:lang w:val="en-AU"/>
        </w:rPr>
        <w:t>and</w:t>
      </w:r>
      <w:r w:rsidRPr="001729A3">
        <w:rPr>
          <w:lang w:val="en-AU"/>
        </w:rPr>
        <w:t xml:space="preserve"> Italy. </w:t>
      </w:r>
    </w:p>
    <w:p w14:paraId="7418B2A1" w14:textId="77777777" w:rsidR="00D471AD" w:rsidRPr="001729A3" w:rsidRDefault="00D471AD" w:rsidP="00D471AD">
      <w:pPr>
        <w:pStyle w:val="Note"/>
        <w:rPr>
          <w:lang w:val="en-AU"/>
        </w:rPr>
      </w:pPr>
      <w:r w:rsidRPr="001729A3">
        <w:rPr>
          <w:lang w:val="en-AU"/>
        </w:rPr>
        <w:t>Source: OECD (2015) Research and Development Statistics Database</w:t>
      </w:r>
    </w:p>
    <w:p w14:paraId="7418B2A2" w14:textId="77777777" w:rsidR="00D471AD" w:rsidRPr="001729A3" w:rsidRDefault="00D471AD" w:rsidP="00D471AD">
      <w:pPr>
        <w:pStyle w:val="BodyText"/>
        <w:sectPr w:rsidR="00D471AD" w:rsidRPr="001729A3" w:rsidSect="00D471AD">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2A3" w14:textId="77777777" w:rsidR="00D471AD" w:rsidRPr="001729A3" w:rsidRDefault="00D471AD" w:rsidP="00D471AD">
      <w:pPr>
        <w:pStyle w:val="Source"/>
        <w:rPr>
          <w:lang w:val="en-AU"/>
        </w:rPr>
        <w:sectPr w:rsidR="00D471AD" w:rsidRPr="001729A3" w:rsidSect="00D471AD">
          <w:footnotePr>
            <w:numFmt w:val="upperRoman"/>
          </w:footnotePr>
          <w:endnotePr>
            <w:numFmt w:val="decimal"/>
          </w:endnotePr>
          <w:type w:val="continuous"/>
          <w:pgSz w:w="11906" w:h="16838" w:code="9"/>
          <w:pgMar w:top="1440" w:right="1020" w:bottom="1440" w:left="992" w:header="709" w:footer="709" w:gutter="0"/>
          <w:cols w:num="2" w:space="708"/>
          <w:docGrid w:linePitch="360"/>
        </w:sectPr>
      </w:pPr>
    </w:p>
    <w:p w14:paraId="7418B2A4" w14:textId="77777777" w:rsidR="00D471AD" w:rsidRPr="001729A3" w:rsidRDefault="00D471AD" w:rsidP="00D471AD">
      <w:pPr>
        <w:pStyle w:val="BodyText"/>
        <w:rPr>
          <w:color w:val="FF0000"/>
          <w:sz w:val="28"/>
        </w:rPr>
        <w:sectPr w:rsidR="00D471AD" w:rsidRPr="001729A3" w:rsidSect="00D471AD">
          <w:footnotePr>
            <w:numFmt w:val="upperRoman"/>
          </w:footnotePr>
          <w:endnotePr>
            <w:numFmt w:val="decimal"/>
          </w:endnotePr>
          <w:type w:val="continuous"/>
          <w:pgSz w:w="11906" w:h="16838" w:code="9"/>
          <w:pgMar w:top="1440" w:right="1440" w:bottom="1440" w:left="1440" w:header="709" w:footer="709" w:gutter="0"/>
          <w:cols w:num="2" w:space="708"/>
          <w:docGrid w:linePitch="360"/>
        </w:sectPr>
      </w:pPr>
    </w:p>
    <w:p w14:paraId="7418B2A5" w14:textId="77777777" w:rsidR="00D471AD" w:rsidRDefault="00D471AD" w:rsidP="00D471AD">
      <w:pPr>
        <w:pStyle w:val="BodyText"/>
      </w:pPr>
      <w:r>
        <w:rPr>
          <w:noProof/>
          <w:lang w:eastAsia="en-AU"/>
        </w:rPr>
        <w:drawing>
          <wp:inline distT="0" distB="0" distL="0" distR="0" wp14:anchorId="7418C675" wp14:editId="7418C676">
            <wp:extent cx="5246363" cy="8522898"/>
            <wp:effectExtent l="0" t="0" r="0" b="0"/>
            <wp:docPr id="10" name="Picture 10" descr="Infographic shows that new technologies begin as ideas or research, then research expenditure, commercialisation staff and collaboration are used to implement the new ideas and commercialize the new products and processes which leads to economic gains for the business and the economy in general. In 2014 medical research institutes, universities and publicly funded research agencies spent $1201m on research expenditure and employed 533 commercialization staff.  " title="Understanding Australia's research commercia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pdated ResearchCommercialisation-story-09-01.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256914" cy="8540039"/>
                    </a:xfrm>
                    <a:prstGeom prst="rect">
                      <a:avLst/>
                    </a:prstGeom>
                  </pic:spPr>
                </pic:pic>
              </a:graphicData>
            </a:graphic>
          </wp:inline>
        </w:drawing>
      </w:r>
    </w:p>
    <w:p w14:paraId="7418B2A6" w14:textId="77777777" w:rsidR="00D471AD" w:rsidRPr="000803F1" w:rsidRDefault="00D471AD" w:rsidP="00D471AD">
      <w:pPr>
        <w:pStyle w:val="Note"/>
        <w:keepNext w:val="0"/>
        <w:pBdr>
          <w:bottom w:val="none" w:sz="0" w:space="0" w:color="auto"/>
        </w:pBdr>
        <w:rPr>
          <w:lang w:val="en-AU"/>
        </w:rPr>
        <w:sectPr w:rsidR="00D471AD" w:rsidRPr="000803F1" w:rsidSect="00D471AD">
          <w:footnotePr>
            <w:numFmt w:val="upperRoman"/>
          </w:footnotePr>
          <w:endnotePr>
            <w:numFmt w:val="decimal"/>
          </w:endnotePr>
          <w:pgSz w:w="11906" w:h="16838" w:code="9"/>
          <w:pgMar w:top="1440" w:right="1440" w:bottom="1440" w:left="1440" w:header="709" w:footer="709" w:gutter="0"/>
          <w:cols w:space="708"/>
          <w:docGrid w:linePitch="360"/>
        </w:sectPr>
      </w:pPr>
      <w:r w:rsidRPr="001729A3">
        <w:rPr>
          <w:lang w:val="en-AU"/>
        </w:rPr>
        <w:t xml:space="preserve">Source: </w:t>
      </w:r>
      <w:r>
        <w:rPr>
          <w:lang w:val="en-AU"/>
        </w:rPr>
        <w:t>National Survey of Research Commercialisation (2016)</w:t>
      </w:r>
    </w:p>
    <w:p w14:paraId="7418B2A7" w14:textId="77777777" w:rsidR="00D471AD" w:rsidRPr="000D502B" w:rsidRDefault="00D471AD" w:rsidP="00D471AD">
      <w:pPr>
        <w:pStyle w:val="Heading1"/>
      </w:pPr>
      <w:bookmarkStart w:id="2203" w:name="_Toc461181517"/>
      <w:bookmarkStart w:id="2204" w:name="_Toc461181614"/>
      <w:bookmarkStart w:id="2205" w:name="_Toc461181962"/>
      <w:bookmarkStart w:id="2206" w:name="_Toc461182059"/>
      <w:bookmarkStart w:id="2207" w:name="_Toc461182159"/>
      <w:bookmarkStart w:id="2208" w:name="_Toc461182257"/>
      <w:bookmarkStart w:id="2209" w:name="_Toc461182453"/>
      <w:bookmarkStart w:id="2210" w:name="_Toc461182553"/>
      <w:bookmarkStart w:id="2211" w:name="_Toc461182651"/>
      <w:bookmarkStart w:id="2212" w:name="_Toc461182452"/>
      <w:bookmarkStart w:id="2213" w:name="_Toc461182770"/>
      <w:bookmarkStart w:id="2214" w:name="_Toc461183072"/>
      <w:bookmarkStart w:id="2215" w:name="_Toc461183392"/>
      <w:bookmarkStart w:id="2216" w:name="_Toc461183452"/>
      <w:bookmarkStart w:id="2217" w:name="_Toc461183557"/>
      <w:bookmarkStart w:id="2218" w:name="_Toc461183662"/>
      <w:bookmarkStart w:id="2219" w:name="_Toc461183767"/>
      <w:bookmarkStart w:id="2220" w:name="_Toc461183926"/>
      <w:bookmarkStart w:id="2221" w:name="_Toc461184031"/>
      <w:bookmarkStart w:id="2222" w:name="_Toc461184138"/>
      <w:bookmarkStart w:id="2223" w:name="_Toc461184243"/>
      <w:bookmarkStart w:id="2224" w:name="_Toc461184010"/>
      <w:bookmarkStart w:id="2225" w:name="_Toc461184357"/>
      <w:bookmarkStart w:id="2226" w:name="_Toc461184463"/>
      <w:bookmarkStart w:id="2227" w:name="_Toc461184568"/>
      <w:bookmarkStart w:id="2228" w:name="_Toc461184779"/>
      <w:bookmarkStart w:id="2229" w:name="_Toc461184884"/>
      <w:bookmarkStart w:id="2230" w:name="_Toc461185065"/>
      <w:bookmarkStart w:id="2231" w:name="_Toc461185170"/>
      <w:bookmarkStart w:id="2232" w:name="_Toc461185440"/>
      <w:bookmarkStart w:id="2233" w:name="_Toc461185545"/>
      <w:bookmarkStart w:id="2234" w:name="_Toc461185971"/>
      <w:bookmarkStart w:id="2235" w:name="_Toc461186290"/>
      <w:bookmarkStart w:id="2236" w:name="_Toc461186395"/>
      <w:bookmarkStart w:id="2237" w:name="_Toc461186606"/>
      <w:bookmarkStart w:id="2238" w:name="_Toc461186711"/>
      <w:bookmarkStart w:id="2239" w:name="_Toc461186816"/>
      <w:bookmarkStart w:id="2240" w:name="_Toc461186923"/>
      <w:bookmarkStart w:id="2241" w:name="_Toc461187028"/>
      <w:bookmarkStart w:id="2242" w:name="_Toc461174291"/>
      <w:bookmarkStart w:id="2243" w:name="_Toc461174489"/>
      <w:bookmarkStart w:id="2244" w:name="_Toc461174583"/>
      <w:bookmarkStart w:id="2245" w:name="_Toc461174680"/>
      <w:bookmarkStart w:id="2246" w:name="_Toc461174776"/>
      <w:bookmarkStart w:id="2247" w:name="_Toc461175448"/>
      <w:bookmarkStart w:id="2248" w:name="_Toc461177215"/>
      <w:bookmarkStart w:id="2249" w:name="_Toc461177311"/>
      <w:bookmarkStart w:id="2250" w:name="_Toc461177944"/>
      <w:bookmarkStart w:id="2251" w:name="_Toc461178040"/>
      <w:bookmarkStart w:id="2252" w:name="_Toc461178226"/>
      <w:bookmarkStart w:id="2253" w:name="_Toc461178322"/>
      <w:bookmarkStart w:id="2254" w:name="_Toc461178576"/>
      <w:bookmarkStart w:id="2255" w:name="_Toc461178672"/>
      <w:bookmarkStart w:id="2256" w:name="_Toc461179376"/>
      <w:bookmarkStart w:id="2257" w:name="_Toc461179472"/>
      <w:bookmarkStart w:id="2258" w:name="_Toc461179944"/>
      <w:bookmarkStart w:id="2259" w:name="_Toc461180040"/>
      <w:bookmarkStart w:id="2260" w:name="_Toc461180137"/>
      <w:bookmarkStart w:id="2261" w:name="_Toc461180233"/>
      <w:bookmarkStart w:id="2262" w:name="_Toc461180525"/>
      <w:bookmarkStart w:id="2263" w:name="_Toc461181518"/>
      <w:bookmarkStart w:id="2264" w:name="_Toc461181615"/>
      <w:bookmarkStart w:id="2265" w:name="_Toc461181963"/>
      <w:bookmarkStart w:id="2266" w:name="_Toc461182060"/>
      <w:bookmarkStart w:id="2267" w:name="_Toc461182160"/>
      <w:bookmarkStart w:id="2268" w:name="_Toc461182258"/>
      <w:bookmarkStart w:id="2269" w:name="_Toc461182454"/>
      <w:bookmarkStart w:id="2270" w:name="_Toc461182554"/>
      <w:bookmarkStart w:id="2271" w:name="_Toc461182652"/>
      <w:bookmarkStart w:id="2272" w:name="_Toc461182467"/>
      <w:bookmarkStart w:id="2273" w:name="_Toc461182771"/>
      <w:bookmarkStart w:id="2274" w:name="_Toc461183073"/>
      <w:bookmarkStart w:id="2275" w:name="_Toc461183393"/>
      <w:bookmarkStart w:id="2276" w:name="_Toc461183453"/>
      <w:bookmarkStart w:id="2277" w:name="_Toc461183558"/>
      <w:bookmarkStart w:id="2278" w:name="_Toc461183663"/>
      <w:bookmarkStart w:id="2279" w:name="_Toc461183768"/>
      <w:bookmarkStart w:id="2280" w:name="_Toc461183927"/>
      <w:bookmarkStart w:id="2281" w:name="_Toc461184032"/>
      <w:bookmarkStart w:id="2282" w:name="_Toc461184139"/>
      <w:bookmarkStart w:id="2283" w:name="_Toc461184244"/>
      <w:bookmarkStart w:id="2284" w:name="_Toc461184011"/>
      <w:bookmarkStart w:id="2285" w:name="_Toc461184358"/>
      <w:bookmarkStart w:id="2286" w:name="_Toc461184464"/>
      <w:bookmarkStart w:id="2287" w:name="_Toc461184569"/>
      <w:bookmarkStart w:id="2288" w:name="_Toc461184780"/>
      <w:bookmarkStart w:id="2289" w:name="_Toc461184885"/>
      <w:bookmarkStart w:id="2290" w:name="_Toc461185066"/>
      <w:bookmarkStart w:id="2291" w:name="_Toc461185171"/>
      <w:bookmarkStart w:id="2292" w:name="_Toc461185441"/>
      <w:bookmarkStart w:id="2293" w:name="_Toc461185546"/>
      <w:bookmarkStart w:id="2294" w:name="_Toc461186184"/>
      <w:bookmarkStart w:id="2295" w:name="_Toc461186291"/>
      <w:bookmarkStart w:id="2296" w:name="_Toc461186396"/>
      <w:bookmarkStart w:id="2297" w:name="_Toc461186607"/>
      <w:bookmarkStart w:id="2298" w:name="_Toc461186712"/>
      <w:bookmarkStart w:id="2299" w:name="_Toc461186817"/>
      <w:bookmarkStart w:id="2300" w:name="_Toc461186924"/>
      <w:bookmarkStart w:id="2301" w:name="_Toc461187029"/>
      <w:bookmarkStart w:id="2302" w:name="_Toc461174292"/>
      <w:bookmarkStart w:id="2303" w:name="_Toc461174490"/>
      <w:bookmarkStart w:id="2304" w:name="_Toc461174584"/>
      <w:bookmarkStart w:id="2305" w:name="_Toc461174681"/>
      <w:bookmarkStart w:id="2306" w:name="_Toc461174777"/>
      <w:bookmarkStart w:id="2307" w:name="_Toc461175449"/>
      <w:bookmarkStart w:id="2308" w:name="_Toc461177216"/>
      <w:bookmarkStart w:id="2309" w:name="_Toc461177312"/>
      <w:bookmarkStart w:id="2310" w:name="_Toc461177945"/>
      <w:bookmarkStart w:id="2311" w:name="_Toc461178041"/>
      <w:bookmarkStart w:id="2312" w:name="_Toc461178227"/>
      <w:bookmarkStart w:id="2313" w:name="_Toc461178323"/>
      <w:bookmarkStart w:id="2314" w:name="_Toc461178577"/>
      <w:bookmarkStart w:id="2315" w:name="_Toc461178673"/>
      <w:bookmarkStart w:id="2316" w:name="_Toc461179377"/>
      <w:bookmarkStart w:id="2317" w:name="_Toc461179473"/>
      <w:bookmarkStart w:id="2318" w:name="_Toc461179945"/>
      <w:bookmarkStart w:id="2319" w:name="_Toc461180041"/>
      <w:bookmarkStart w:id="2320" w:name="_Toc461180138"/>
      <w:bookmarkStart w:id="2321" w:name="_Toc461180234"/>
      <w:bookmarkStart w:id="2322" w:name="_Toc461180526"/>
      <w:bookmarkStart w:id="2323" w:name="_Toc461181519"/>
      <w:bookmarkStart w:id="2324" w:name="_Toc461181616"/>
      <w:bookmarkStart w:id="2325" w:name="_Toc461181964"/>
      <w:bookmarkStart w:id="2326" w:name="_Toc461182061"/>
      <w:bookmarkStart w:id="2327" w:name="_Toc461182161"/>
      <w:bookmarkStart w:id="2328" w:name="_Toc461182259"/>
      <w:bookmarkStart w:id="2329" w:name="_Toc461182455"/>
      <w:bookmarkStart w:id="2330" w:name="_Toc461182555"/>
      <w:bookmarkStart w:id="2331" w:name="_Toc461182653"/>
      <w:bookmarkStart w:id="2332" w:name="_Toc461182475"/>
      <w:bookmarkStart w:id="2333" w:name="_Toc461182772"/>
      <w:bookmarkStart w:id="2334" w:name="_Toc461183074"/>
      <w:bookmarkStart w:id="2335" w:name="_Toc461183394"/>
      <w:bookmarkStart w:id="2336" w:name="_Toc461183454"/>
      <w:bookmarkStart w:id="2337" w:name="_Toc461183559"/>
      <w:bookmarkStart w:id="2338" w:name="_Toc461183664"/>
      <w:bookmarkStart w:id="2339" w:name="_Toc461183769"/>
      <w:bookmarkStart w:id="2340" w:name="_Toc461183928"/>
      <w:bookmarkStart w:id="2341" w:name="_Toc461184033"/>
      <w:bookmarkStart w:id="2342" w:name="_Toc461184140"/>
      <w:bookmarkStart w:id="2343" w:name="_Toc461184245"/>
      <w:bookmarkStart w:id="2344" w:name="_Toc461184012"/>
      <w:bookmarkStart w:id="2345" w:name="_Toc461184359"/>
      <w:bookmarkStart w:id="2346" w:name="_Toc461184465"/>
      <w:bookmarkStart w:id="2347" w:name="_Toc461184570"/>
      <w:bookmarkStart w:id="2348" w:name="_Toc461184781"/>
      <w:bookmarkStart w:id="2349" w:name="_Toc461184886"/>
      <w:bookmarkStart w:id="2350" w:name="_Toc461185067"/>
      <w:bookmarkStart w:id="2351" w:name="_Toc461185172"/>
      <w:bookmarkStart w:id="2352" w:name="_Toc461185442"/>
      <w:bookmarkStart w:id="2353" w:name="_Toc461185547"/>
      <w:bookmarkStart w:id="2354" w:name="_Toc461186185"/>
      <w:bookmarkStart w:id="2355" w:name="_Toc461186292"/>
      <w:bookmarkStart w:id="2356" w:name="_Toc461186397"/>
      <w:bookmarkStart w:id="2357" w:name="_Toc461186608"/>
      <w:bookmarkStart w:id="2358" w:name="_Toc461186713"/>
      <w:bookmarkStart w:id="2359" w:name="_Toc461186818"/>
      <w:bookmarkStart w:id="2360" w:name="_Toc461186925"/>
      <w:bookmarkStart w:id="2361" w:name="_Toc461187030"/>
      <w:bookmarkStart w:id="2362" w:name="_Toc461174293"/>
      <w:bookmarkStart w:id="2363" w:name="_Toc461174491"/>
      <w:bookmarkStart w:id="2364" w:name="_Toc461174585"/>
      <w:bookmarkStart w:id="2365" w:name="_Toc461174682"/>
      <w:bookmarkStart w:id="2366" w:name="_Toc461174778"/>
      <w:bookmarkStart w:id="2367" w:name="_Toc461175450"/>
      <w:bookmarkStart w:id="2368" w:name="_Toc461177217"/>
      <w:bookmarkStart w:id="2369" w:name="_Toc461177313"/>
      <w:bookmarkStart w:id="2370" w:name="_Toc461177946"/>
      <w:bookmarkStart w:id="2371" w:name="_Toc461178042"/>
      <w:bookmarkStart w:id="2372" w:name="_Toc461178228"/>
      <w:bookmarkStart w:id="2373" w:name="_Toc461178324"/>
      <w:bookmarkStart w:id="2374" w:name="_Toc461178578"/>
      <w:bookmarkStart w:id="2375" w:name="_Toc461178674"/>
      <w:bookmarkStart w:id="2376" w:name="_Toc461179378"/>
      <w:bookmarkStart w:id="2377" w:name="_Toc461179474"/>
      <w:bookmarkStart w:id="2378" w:name="_Toc461179946"/>
      <w:bookmarkStart w:id="2379" w:name="_Toc461180042"/>
      <w:bookmarkStart w:id="2380" w:name="_Toc461180139"/>
      <w:bookmarkStart w:id="2381" w:name="_Toc461180235"/>
      <w:bookmarkStart w:id="2382" w:name="_Toc461180527"/>
      <w:bookmarkStart w:id="2383" w:name="_Toc461181520"/>
      <w:bookmarkStart w:id="2384" w:name="_Toc461181617"/>
      <w:bookmarkStart w:id="2385" w:name="_Toc461181965"/>
      <w:bookmarkStart w:id="2386" w:name="_Toc461182062"/>
      <w:bookmarkStart w:id="2387" w:name="_Toc461182162"/>
      <w:bookmarkStart w:id="2388" w:name="_Toc461182260"/>
      <w:bookmarkStart w:id="2389" w:name="_Toc461182456"/>
      <w:bookmarkStart w:id="2390" w:name="_Toc461182556"/>
      <w:bookmarkStart w:id="2391" w:name="_Toc461182654"/>
      <w:bookmarkStart w:id="2392" w:name="_Toc461182476"/>
      <w:bookmarkStart w:id="2393" w:name="_Toc461182773"/>
      <w:bookmarkStart w:id="2394" w:name="_Toc461183075"/>
      <w:bookmarkStart w:id="2395" w:name="_Toc461183395"/>
      <w:bookmarkStart w:id="2396" w:name="_Toc461183455"/>
      <w:bookmarkStart w:id="2397" w:name="_Toc461183560"/>
      <w:bookmarkStart w:id="2398" w:name="_Toc461183665"/>
      <w:bookmarkStart w:id="2399" w:name="_Toc461183770"/>
      <w:bookmarkStart w:id="2400" w:name="_Toc461183929"/>
      <w:bookmarkStart w:id="2401" w:name="_Toc461184034"/>
      <w:bookmarkStart w:id="2402" w:name="_Toc461184141"/>
      <w:bookmarkStart w:id="2403" w:name="_Toc461184246"/>
      <w:bookmarkStart w:id="2404" w:name="_Toc461184013"/>
      <w:bookmarkStart w:id="2405" w:name="_Toc461184360"/>
      <w:bookmarkStart w:id="2406" w:name="_Toc461184466"/>
      <w:bookmarkStart w:id="2407" w:name="_Toc461184571"/>
      <w:bookmarkStart w:id="2408" w:name="_Toc461184782"/>
      <w:bookmarkStart w:id="2409" w:name="_Toc461184887"/>
      <w:bookmarkStart w:id="2410" w:name="_Toc461185068"/>
      <w:bookmarkStart w:id="2411" w:name="_Toc461185173"/>
      <w:bookmarkStart w:id="2412" w:name="_Toc461185443"/>
      <w:bookmarkStart w:id="2413" w:name="_Toc461185548"/>
      <w:bookmarkStart w:id="2414" w:name="_Toc461186186"/>
      <w:bookmarkStart w:id="2415" w:name="_Toc461186293"/>
      <w:bookmarkStart w:id="2416" w:name="_Toc461186398"/>
      <w:bookmarkStart w:id="2417" w:name="_Toc461186609"/>
      <w:bookmarkStart w:id="2418" w:name="_Toc461186714"/>
      <w:bookmarkStart w:id="2419" w:name="_Toc461186819"/>
      <w:bookmarkStart w:id="2420" w:name="_Toc461186926"/>
      <w:bookmarkStart w:id="2421" w:name="_Toc461187031"/>
      <w:bookmarkStart w:id="2422" w:name="_Toc461174305"/>
      <w:bookmarkStart w:id="2423" w:name="_Toc461174503"/>
      <w:bookmarkStart w:id="2424" w:name="_Toc461174597"/>
      <w:bookmarkStart w:id="2425" w:name="_Toc461174694"/>
      <w:bookmarkStart w:id="2426" w:name="_Toc461174790"/>
      <w:bookmarkStart w:id="2427" w:name="_Toc461175462"/>
      <w:bookmarkStart w:id="2428" w:name="_Toc461177229"/>
      <w:bookmarkStart w:id="2429" w:name="_Toc461177325"/>
      <w:bookmarkStart w:id="2430" w:name="_Toc461177958"/>
      <w:bookmarkStart w:id="2431" w:name="_Toc461178054"/>
      <w:bookmarkStart w:id="2432" w:name="_Toc461178240"/>
      <w:bookmarkStart w:id="2433" w:name="_Toc461178336"/>
      <w:bookmarkStart w:id="2434" w:name="_Toc461178590"/>
      <w:bookmarkStart w:id="2435" w:name="_Toc461178686"/>
      <w:bookmarkStart w:id="2436" w:name="_Toc461179390"/>
      <w:bookmarkStart w:id="2437" w:name="_Toc461179486"/>
      <w:bookmarkStart w:id="2438" w:name="_Toc461179958"/>
      <w:bookmarkStart w:id="2439" w:name="_Toc461180054"/>
      <w:bookmarkStart w:id="2440" w:name="_Toc461180151"/>
      <w:bookmarkStart w:id="2441" w:name="_Toc461180247"/>
      <w:bookmarkStart w:id="2442" w:name="_Toc461180539"/>
      <w:bookmarkStart w:id="2443" w:name="_Toc461181532"/>
      <w:bookmarkStart w:id="2444" w:name="_Toc461181629"/>
      <w:bookmarkStart w:id="2445" w:name="_Toc461181977"/>
      <w:bookmarkStart w:id="2446" w:name="_Toc461182074"/>
      <w:bookmarkStart w:id="2447" w:name="_Toc461182174"/>
      <w:bookmarkStart w:id="2448" w:name="_Toc461182272"/>
      <w:bookmarkStart w:id="2449" w:name="_Toc461182468"/>
      <w:bookmarkStart w:id="2450" w:name="_Toc461182568"/>
      <w:bookmarkStart w:id="2451" w:name="_Toc461182666"/>
      <w:bookmarkStart w:id="2452" w:name="_Toc461182687"/>
      <w:bookmarkStart w:id="2453" w:name="_Toc461182785"/>
      <w:bookmarkStart w:id="2454" w:name="_Toc461183087"/>
      <w:bookmarkStart w:id="2455" w:name="_Toc461183407"/>
      <w:bookmarkStart w:id="2456" w:name="_Toc461183467"/>
      <w:bookmarkStart w:id="2457" w:name="_Toc461183572"/>
      <w:bookmarkStart w:id="2458" w:name="_Toc461183677"/>
      <w:bookmarkStart w:id="2459" w:name="_Toc461183782"/>
      <w:bookmarkStart w:id="2460" w:name="_Toc461183941"/>
      <w:bookmarkStart w:id="2461" w:name="_Toc461184046"/>
      <w:bookmarkStart w:id="2462" w:name="_Toc461184153"/>
      <w:bookmarkStart w:id="2463" w:name="_Toc461184258"/>
      <w:bookmarkStart w:id="2464" w:name="_Toc461184025"/>
      <w:bookmarkStart w:id="2465" w:name="_Toc461184372"/>
      <w:bookmarkStart w:id="2466" w:name="_Toc461184478"/>
      <w:bookmarkStart w:id="2467" w:name="_Toc461184583"/>
      <w:bookmarkStart w:id="2468" w:name="_Toc461184794"/>
      <w:bookmarkStart w:id="2469" w:name="_Toc461184899"/>
      <w:bookmarkStart w:id="2470" w:name="_Toc461185080"/>
      <w:bookmarkStart w:id="2471" w:name="_Toc461185185"/>
      <w:bookmarkStart w:id="2472" w:name="_Toc461185455"/>
      <w:bookmarkStart w:id="2473" w:name="_Toc461185560"/>
      <w:bookmarkStart w:id="2474" w:name="_Toc461185986"/>
      <w:bookmarkStart w:id="2475" w:name="_Toc461186093"/>
      <w:bookmarkStart w:id="2476" w:name="_Toc461186198"/>
      <w:bookmarkStart w:id="2477" w:name="_Toc461186305"/>
      <w:bookmarkStart w:id="2478" w:name="_Toc461186410"/>
      <w:bookmarkStart w:id="2479" w:name="_Toc461186621"/>
      <w:bookmarkStart w:id="2480" w:name="_Toc461186726"/>
      <w:bookmarkStart w:id="2481" w:name="_Toc461186831"/>
      <w:bookmarkStart w:id="2482" w:name="_Toc461186938"/>
      <w:bookmarkStart w:id="2483" w:name="_Toc461187043"/>
      <w:bookmarkStart w:id="2484" w:name="_Toc461174311"/>
      <w:bookmarkStart w:id="2485" w:name="_Toc461174509"/>
      <w:bookmarkStart w:id="2486" w:name="_Toc461174603"/>
      <w:bookmarkStart w:id="2487" w:name="_Toc461174700"/>
      <w:bookmarkStart w:id="2488" w:name="_Toc461174796"/>
      <w:bookmarkStart w:id="2489" w:name="_Toc461175468"/>
      <w:bookmarkStart w:id="2490" w:name="_Toc461177235"/>
      <w:bookmarkStart w:id="2491" w:name="_Toc461177331"/>
      <w:bookmarkStart w:id="2492" w:name="_Toc461177964"/>
      <w:bookmarkStart w:id="2493" w:name="_Toc461178060"/>
      <w:bookmarkStart w:id="2494" w:name="_Toc461178246"/>
      <w:bookmarkStart w:id="2495" w:name="_Toc461178342"/>
      <w:bookmarkStart w:id="2496" w:name="_Toc461178596"/>
      <w:bookmarkStart w:id="2497" w:name="_Toc461178692"/>
      <w:bookmarkStart w:id="2498" w:name="_Toc461179396"/>
      <w:bookmarkStart w:id="2499" w:name="_Toc461179492"/>
      <w:bookmarkStart w:id="2500" w:name="_Toc461179964"/>
      <w:bookmarkStart w:id="2501" w:name="_Toc461180060"/>
      <w:bookmarkStart w:id="2502" w:name="_Toc461180157"/>
      <w:bookmarkStart w:id="2503" w:name="_Toc461180253"/>
      <w:bookmarkStart w:id="2504" w:name="_Toc461180545"/>
      <w:bookmarkStart w:id="2505" w:name="_Toc461181538"/>
      <w:bookmarkStart w:id="2506" w:name="_Toc461181635"/>
      <w:bookmarkStart w:id="2507" w:name="_Toc461181983"/>
      <w:bookmarkStart w:id="2508" w:name="_Toc461182080"/>
      <w:bookmarkStart w:id="2509" w:name="_Toc461182180"/>
      <w:bookmarkStart w:id="2510" w:name="_Toc461182278"/>
      <w:bookmarkStart w:id="2511" w:name="_Toc461182474"/>
      <w:bookmarkStart w:id="2512" w:name="_Toc461182574"/>
      <w:bookmarkStart w:id="2513" w:name="_Toc461182672"/>
      <w:bookmarkStart w:id="2514" w:name="_Toc461182693"/>
      <w:bookmarkStart w:id="2515" w:name="_Toc461182791"/>
      <w:bookmarkStart w:id="2516" w:name="_Toc461183093"/>
      <w:bookmarkStart w:id="2517" w:name="_Toc461183413"/>
      <w:bookmarkStart w:id="2518" w:name="_Toc461183473"/>
      <w:bookmarkStart w:id="2519" w:name="_Toc461183578"/>
      <w:bookmarkStart w:id="2520" w:name="_Toc461183683"/>
      <w:bookmarkStart w:id="2521" w:name="_Toc461183788"/>
      <w:bookmarkStart w:id="2522" w:name="_Toc461183947"/>
      <w:bookmarkStart w:id="2523" w:name="_Toc461184052"/>
      <w:bookmarkStart w:id="2524" w:name="_Toc461184159"/>
      <w:bookmarkStart w:id="2525" w:name="_Toc461184264"/>
      <w:bookmarkStart w:id="2526" w:name="_Toc461184053"/>
      <w:bookmarkStart w:id="2527" w:name="_Toc461184378"/>
      <w:bookmarkStart w:id="2528" w:name="_Toc461184484"/>
      <w:bookmarkStart w:id="2529" w:name="_Toc461184589"/>
      <w:bookmarkStart w:id="2530" w:name="_Toc461184800"/>
      <w:bookmarkStart w:id="2531" w:name="_Toc461184905"/>
      <w:bookmarkStart w:id="2532" w:name="_Toc461185086"/>
      <w:bookmarkStart w:id="2533" w:name="_Toc461185191"/>
      <w:bookmarkStart w:id="2534" w:name="_Toc461185461"/>
      <w:bookmarkStart w:id="2535" w:name="_Toc461185566"/>
      <w:bookmarkStart w:id="2536" w:name="_Toc461185992"/>
      <w:bookmarkStart w:id="2537" w:name="_Toc461186099"/>
      <w:bookmarkStart w:id="2538" w:name="_Toc461186204"/>
      <w:bookmarkStart w:id="2539" w:name="_Toc461186311"/>
      <w:bookmarkStart w:id="2540" w:name="_Toc461186416"/>
      <w:bookmarkStart w:id="2541" w:name="_Toc461186627"/>
      <w:bookmarkStart w:id="2542" w:name="_Toc461186732"/>
      <w:bookmarkStart w:id="2543" w:name="_Toc461186837"/>
      <w:bookmarkStart w:id="2544" w:name="_Toc461186944"/>
      <w:bookmarkStart w:id="2545" w:name="_Toc461187049"/>
      <w:bookmarkStart w:id="2546" w:name="_Toc461174604"/>
      <w:bookmarkStart w:id="2547" w:name="_Toc461180158"/>
      <w:bookmarkStart w:id="2548" w:name="_Toc461180254"/>
      <w:bookmarkStart w:id="2549" w:name="_Toc461180546"/>
      <w:bookmarkStart w:id="2550" w:name="_Toc461180596"/>
      <w:bookmarkStart w:id="2551" w:name="_Toc461180645"/>
      <w:bookmarkStart w:id="2552" w:name="_Toc461183253"/>
      <w:bookmarkStart w:id="2553" w:name="_Toc461183305"/>
      <w:bookmarkStart w:id="2554" w:name="_Toc461183414"/>
      <w:bookmarkStart w:id="2555" w:name="_Toc461183848"/>
      <w:bookmarkStart w:id="2556" w:name="_Toc461184485"/>
      <w:bookmarkStart w:id="2557" w:name="_Toc461184590"/>
      <w:bookmarkStart w:id="2558" w:name="_Toc461186628"/>
      <w:bookmarkStart w:id="2559" w:name="_Toc461186945"/>
      <w:bookmarkStart w:id="2560" w:name="_Toc461187050"/>
      <w:bookmarkStart w:id="2561" w:name="_Toc461187278"/>
      <w:bookmarkStart w:id="2562" w:name="_Toc461198306"/>
      <w:bookmarkStart w:id="2563" w:name="_Toc461198848"/>
      <w:bookmarkStart w:id="2564" w:name="_Toc461204136"/>
      <w:bookmarkStart w:id="2565" w:name="_Toc461527591"/>
      <w:bookmarkStart w:id="2566" w:name="_Toc461624498"/>
      <w:bookmarkStart w:id="2567" w:name="_Toc461629723"/>
      <w:bookmarkStart w:id="2568" w:name="_Toc461633053"/>
      <w:bookmarkStart w:id="2569" w:name="_Toc461634323"/>
      <w:bookmarkStart w:id="2570" w:name="_Toc462230101"/>
      <w:bookmarkStart w:id="2571" w:name="_Toc462231462"/>
      <w:bookmarkStart w:id="2572" w:name="_Toc463013963"/>
      <w:bookmarkStart w:id="2573" w:name="_Toc463014072"/>
      <w:bookmarkStart w:id="2574" w:name="_Toc463014506"/>
      <w:bookmarkStart w:id="2575" w:name="_Toc463877039"/>
      <w:bookmarkStart w:id="2576" w:name="_Toc465862833"/>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r w:rsidRPr="000D502B">
        <w:t>Framework conditions</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p>
    <w:p w14:paraId="7418B2A8" w14:textId="77777777" w:rsidR="00D471AD" w:rsidRPr="001729A3" w:rsidRDefault="00D471AD" w:rsidP="00D471AD">
      <w:pPr>
        <w:pStyle w:val="BodyText"/>
      </w:pPr>
      <w:r w:rsidRPr="001729A3">
        <w:t>This chapter discusses a range of innovation system framework conditions, including the availability of human capital (e.g. skills), organisational capital (e.g. employee share schemes), and financial capital (e.g. venture capital and later</w:t>
      </w:r>
      <w:r>
        <w:t>-</w:t>
      </w:r>
      <w:r w:rsidRPr="001729A3">
        <w:t>stage private equity).</w:t>
      </w:r>
    </w:p>
    <w:p w14:paraId="7418B2A9" w14:textId="77777777" w:rsidR="00D471AD" w:rsidRPr="000C78F3" w:rsidRDefault="00D471AD" w:rsidP="00D471AD">
      <w:pPr>
        <w:pStyle w:val="Heading2"/>
      </w:pPr>
      <w:bookmarkStart w:id="2577" w:name="_Toc462230102"/>
      <w:bookmarkStart w:id="2578" w:name="_Toc462231463"/>
      <w:bookmarkStart w:id="2579" w:name="_Toc463013964"/>
      <w:bookmarkStart w:id="2580" w:name="_Toc463014073"/>
      <w:bookmarkStart w:id="2581" w:name="_Toc463014507"/>
      <w:bookmarkStart w:id="2582" w:name="_Toc463877040"/>
      <w:bookmarkStart w:id="2583" w:name="_Toc465862834"/>
      <w:bookmarkStart w:id="2584" w:name="_Ref461114088"/>
      <w:bookmarkStart w:id="2585" w:name="_Toc461174605"/>
      <w:bookmarkStart w:id="2586" w:name="_Toc461180159"/>
      <w:bookmarkStart w:id="2587" w:name="_Toc461180255"/>
      <w:bookmarkStart w:id="2588" w:name="_Toc461180547"/>
      <w:bookmarkStart w:id="2589" w:name="_Toc461180597"/>
      <w:bookmarkStart w:id="2590" w:name="_Toc461180646"/>
      <w:bookmarkStart w:id="2591" w:name="_Toc461183254"/>
      <w:bookmarkStart w:id="2592" w:name="_Toc461183306"/>
      <w:bookmarkStart w:id="2593" w:name="_Toc461183415"/>
      <w:bookmarkStart w:id="2594" w:name="_Toc461183849"/>
      <w:bookmarkStart w:id="2595" w:name="_Toc461184486"/>
      <w:bookmarkStart w:id="2596" w:name="_Toc461184591"/>
      <w:bookmarkStart w:id="2597" w:name="_Toc461186629"/>
      <w:bookmarkStart w:id="2598" w:name="_Toc461186946"/>
      <w:bookmarkStart w:id="2599" w:name="_Toc461187051"/>
      <w:bookmarkStart w:id="2600" w:name="_Toc461187279"/>
      <w:bookmarkStart w:id="2601" w:name="_Toc461198307"/>
      <w:bookmarkStart w:id="2602" w:name="_Toc461198849"/>
      <w:bookmarkStart w:id="2603" w:name="_Toc461204137"/>
      <w:bookmarkStart w:id="2604" w:name="_Toc461527592"/>
      <w:bookmarkStart w:id="2605" w:name="_Toc461624499"/>
      <w:bookmarkStart w:id="2606" w:name="_Toc461629724"/>
      <w:bookmarkStart w:id="2607" w:name="_Toc461633054"/>
      <w:bookmarkStart w:id="2608" w:name="_Toc461634324"/>
      <w:r w:rsidRPr="000C78F3">
        <w:t>Broad indicators of framework conditions in Australia</w:t>
      </w:r>
      <w:bookmarkEnd w:id="2577"/>
      <w:bookmarkEnd w:id="2578"/>
      <w:bookmarkEnd w:id="2579"/>
      <w:bookmarkEnd w:id="2580"/>
      <w:bookmarkEnd w:id="2581"/>
      <w:bookmarkEnd w:id="2582"/>
      <w:bookmarkEnd w:id="2583"/>
    </w:p>
    <w:p w14:paraId="7418B2AA" w14:textId="77777777" w:rsidR="00D471AD" w:rsidRPr="001729A3" w:rsidRDefault="00D471AD" w:rsidP="00D471AD">
      <w:pPr>
        <w:pStyle w:val="BodyText"/>
      </w:pPr>
      <w:r w:rsidRPr="001729A3">
        <w:t xml:space="preserve">A range of indicators for framework conditions </w:t>
      </w:r>
      <w:r>
        <w:t>is</w:t>
      </w:r>
      <w:r w:rsidRPr="00660104">
        <w:t xml:space="preserve"> </w:t>
      </w:r>
      <w:r w:rsidRPr="001729A3">
        <w:t xml:space="preserve">presented in </w:t>
      </w:r>
      <w:hyperlink r:id="rId162" w:history="1">
        <w:r w:rsidRPr="001729A3">
          <w:rPr>
            <w:rStyle w:val="Hyperlink"/>
          </w:rPr>
          <w:t>Table A5</w:t>
        </w:r>
      </w:hyperlink>
      <w:r w:rsidRPr="001729A3">
        <w:t>. Overall, framework conditions in Australia are strong: the economy is growing, entrepreneurial intentions are at their highest to date, and there is sufficient financing available for business activity. In 2015</w:t>
      </w:r>
      <w:r>
        <w:t>,</w:t>
      </w:r>
      <w:r w:rsidRPr="001729A3">
        <w:t xml:space="preserve"> the unemployment rate returned to its 2012 level, a decrease of around 0.4 per</w:t>
      </w:r>
      <w:r w:rsidRPr="0059589D">
        <w:t>centage point</w:t>
      </w:r>
      <w:r>
        <w:t>s</w:t>
      </w:r>
      <w:r w:rsidRPr="001729A3">
        <w:t xml:space="preserve"> from 2014 (</w:t>
      </w:r>
      <w:hyperlink r:id="rId163" w:history="1">
        <w:r w:rsidRPr="001729A3">
          <w:rPr>
            <w:rStyle w:val="Hyperlink"/>
          </w:rPr>
          <w:t>Table A5</w:t>
        </w:r>
      </w:hyperlink>
      <w:r w:rsidRPr="001729A3">
        <w:t>).</w:t>
      </w:r>
    </w:p>
    <w:p w14:paraId="7418B2AB" w14:textId="77777777" w:rsidR="00D471AD" w:rsidRPr="001729A3" w:rsidRDefault="00D471AD" w:rsidP="00D471AD">
      <w:pPr>
        <w:pStyle w:val="BodyText"/>
      </w:pPr>
      <w:r w:rsidRPr="001729A3">
        <w:t>A side</w:t>
      </w:r>
      <w:r>
        <w:t xml:space="preserve"> </w:t>
      </w:r>
      <w:r w:rsidRPr="001729A3">
        <w:t>effect of capital intensification and innovation—especially disruptive innovation—can be the temporary displacement of employees. When compared to other OECD countries, Australia has been successful at providing new jobs relatively quickly to these workers, as on average over the period 2002–13 almost 70 per cent of displaced employees became re-employed within one year</w:t>
      </w:r>
      <w:r>
        <w:t>,</w:t>
      </w:r>
      <w:r w:rsidRPr="001729A3">
        <w:t xml:space="preserve"> and almost 80 per cent found a new job within two years.</w:t>
      </w:r>
      <w:r w:rsidRPr="001729A3">
        <w:rPr>
          <w:rStyle w:val="EndnoteReference"/>
        </w:rPr>
        <w:endnoteReference w:id="58"/>
      </w:r>
      <w:r w:rsidRPr="001729A3">
        <w:t xml:space="preserve"> Re-employment rates are higher in Australia than in most other OECD countries. Notwithstanding, a significant minority of those re-employed do not gain a high</w:t>
      </w:r>
      <w:r>
        <w:t>-</w:t>
      </w:r>
      <w:r w:rsidRPr="001729A3">
        <w:t xml:space="preserve">quality job, and finding a new job is more difficult for older, casual or part-time employees. </w:t>
      </w:r>
    </w:p>
    <w:p w14:paraId="7418B2AC" w14:textId="77777777" w:rsidR="00D471AD" w:rsidRPr="001729A3" w:rsidRDefault="00D471AD" w:rsidP="00D471AD">
      <w:pPr>
        <w:pStyle w:val="BodyText"/>
      </w:pPr>
      <w:r w:rsidRPr="001729A3">
        <w:t>While employment conditions may be relatively stable, the NAB Business Confidence Survey shows a drop in confidence, with the index falling from 7.0 in 2014 down to 5.4 in 2015 (</w:t>
      </w:r>
      <w:hyperlink r:id="rId164" w:history="1">
        <w:r w:rsidRPr="001729A3">
          <w:rPr>
            <w:rStyle w:val="Hyperlink"/>
          </w:rPr>
          <w:t>Table A5</w:t>
        </w:r>
      </w:hyperlink>
      <w:r w:rsidRPr="001729A3">
        <w:t>). While business conditions are strong, supported by record low interest rates and a slightly more favourable Australian dollar, business confidence is not as resilient due to the prevailing uncertainty in the global economy and financial markets. Businesses have indicated that government policy and regulatory compliance costs are becoming an increasingly important factor affecting confidence in the future.</w:t>
      </w:r>
      <w:r w:rsidRPr="001729A3">
        <w:rPr>
          <w:rStyle w:val="EndnoteReference"/>
        </w:rPr>
        <w:endnoteReference w:id="59"/>
      </w:r>
      <w:r w:rsidRPr="001729A3">
        <w:t xml:space="preserve"> </w:t>
      </w:r>
    </w:p>
    <w:p w14:paraId="7418B2AD" w14:textId="77777777" w:rsidR="00D471AD" w:rsidRPr="001729A3" w:rsidRDefault="00D471AD" w:rsidP="00D471AD">
      <w:pPr>
        <w:pStyle w:val="BodyText"/>
      </w:pPr>
      <w:bookmarkStart w:id="2609" w:name="_Toc462230103"/>
      <w:r w:rsidRPr="001729A3">
        <w:t>Nonetheless, in the 2015–16 Global Entrepreneurship Monitor</w:t>
      </w:r>
      <w:r>
        <w:t>,</w:t>
      </w:r>
      <w:r w:rsidRPr="001729A3">
        <w:t xml:space="preserve"> Australia recorded its highest level of entrepreneurial intentions (the proportion of 18</w:t>
      </w:r>
      <w:r>
        <w:t>-</w:t>
      </w:r>
      <w:r w:rsidRPr="001729A3">
        <w:t xml:space="preserve"> to 64</w:t>
      </w:r>
      <w:r>
        <w:t>-</w:t>
      </w:r>
      <w:r w:rsidRPr="001729A3">
        <w:t>year</w:t>
      </w:r>
      <w:r>
        <w:t>-</w:t>
      </w:r>
      <w:r w:rsidRPr="001729A3">
        <w:t xml:space="preserve">olds expecting to start a new businesses within the next three years), at 14.4 per cent (up from 10 per cent in 2014). This puts Australia above the </w:t>
      </w:r>
      <w:r>
        <w:t>USA</w:t>
      </w:r>
      <w:r w:rsidRPr="001729A3">
        <w:t xml:space="preserve"> (12.4 per cent) and the UK (8.2 per cent).</w:t>
      </w:r>
      <w:r w:rsidRPr="001729A3">
        <w:rPr>
          <w:rStyle w:val="EndnoteReference"/>
        </w:rPr>
        <w:endnoteReference w:id="60"/>
      </w:r>
      <w:r w:rsidRPr="001729A3">
        <w:t xml:space="preserve"> This level was below developing regions (Asia and Oceania average 21.6 per cent; Africa 39.3 per cent) where entrepreneurship is more likely to be driven by necessity rather than opportunity. When countries become wealthier and real wages rise, there is a natural decline in entrepreneurship rates as the opportunity cost of starting a new business (as opposed to being a wage</w:t>
      </w:r>
      <w:r>
        <w:t xml:space="preserve"> </w:t>
      </w:r>
      <w:r w:rsidRPr="001729A3">
        <w:t>earner) increases, particularly if the primary motive for starting a business is economic necessity.</w:t>
      </w:r>
      <w:r w:rsidRPr="001729A3">
        <w:rPr>
          <w:rStyle w:val="EndnoteReference"/>
        </w:rPr>
        <w:endnoteReference w:id="61"/>
      </w:r>
      <w:bookmarkEnd w:id="2609"/>
    </w:p>
    <w:p w14:paraId="7418B2AE" w14:textId="77777777" w:rsidR="00D471AD" w:rsidRPr="000D502B" w:rsidRDefault="00D471AD" w:rsidP="00D471AD">
      <w:pPr>
        <w:pStyle w:val="Heading2"/>
      </w:pPr>
      <w:bookmarkStart w:id="2610" w:name="_Toc462230104"/>
      <w:bookmarkStart w:id="2611" w:name="_Toc462231465"/>
      <w:bookmarkStart w:id="2612" w:name="_Toc463013965"/>
      <w:bookmarkStart w:id="2613" w:name="_Toc463014074"/>
      <w:bookmarkStart w:id="2614" w:name="_Toc463014508"/>
      <w:bookmarkStart w:id="2615" w:name="_Toc463877041"/>
      <w:bookmarkStart w:id="2616" w:name="_Toc465862835"/>
      <w:r w:rsidRPr="000D502B">
        <w:t xml:space="preserve">Intellectual </w:t>
      </w:r>
      <w:r>
        <w:t>p</w:t>
      </w:r>
      <w:r w:rsidRPr="000D502B">
        <w:t>roperty protection trends in Australia</w:t>
      </w:r>
      <w:bookmarkEnd w:id="2610"/>
      <w:bookmarkEnd w:id="2611"/>
      <w:bookmarkEnd w:id="2612"/>
      <w:bookmarkEnd w:id="2613"/>
      <w:bookmarkEnd w:id="2614"/>
      <w:bookmarkEnd w:id="2615"/>
      <w:bookmarkEnd w:id="2616"/>
    </w:p>
    <w:p w14:paraId="7418B2AF" w14:textId="77777777" w:rsidR="00D471AD" w:rsidRPr="001729A3" w:rsidRDefault="00D471AD" w:rsidP="00D471AD">
      <w:pPr>
        <w:pStyle w:val="BodyText"/>
      </w:pPr>
      <w:r w:rsidRPr="001729A3">
        <w:t>Intellectual property (IP) protection is an intermediate output measure of innovation, signalling the creation of more novel innovations (see glossary). Innovative exporters</w:t>
      </w:r>
      <w:r w:rsidRPr="001729A3">
        <w:rPr>
          <w:rStyle w:val="EndnoteReference"/>
        </w:rPr>
        <w:endnoteReference w:id="62"/>
      </w:r>
      <w:r w:rsidRPr="001729A3">
        <w:t xml:space="preserve"> are almost twice as likely to invest in IP as non-innovative domestic </w:t>
      </w:r>
      <w:r>
        <w:t>exporters</w:t>
      </w:r>
      <w:r w:rsidRPr="001729A3">
        <w:t xml:space="preserve">, and there is generally a high correlation between patenting and trademarking strengths, and the international competitiveness of a sector. </w:t>
      </w:r>
    </w:p>
    <w:p w14:paraId="7418B2B0" w14:textId="77777777" w:rsidR="00D471AD" w:rsidRPr="001729A3" w:rsidRDefault="00D471AD" w:rsidP="00D471AD">
      <w:pPr>
        <w:pStyle w:val="BodyText"/>
      </w:pPr>
      <w:r w:rsidRPr="001729A3">
        <w:t>Between 2005 and 2008, Australian businesses that use</w:t>
      </w:r>
      <w:r>
        <w:t>d</w:t>
      </w:r>
      <w:r w:rsidRPr="001729A3">
        <w:t xml:space="preserve"> complexity of design to protect the IP of their innovation were 204 per cent more likely to be introducing new-to-world innovations. Businesses that registered designs or</w:t>
      </w:r>
      <w:r w:rsidRPr="001729A3" w:rsidDel="00BC2185">
        <w:t xml:space="preserve"> </w:t>
      </w:r>
      <w:r w:rsidRPr="001729A3">
        <w:t xml:space="preserve">used secrecy/confidentiality agreements were 129 per cent and 92 per cent more likely to be introducing new-to-world </w:t>
      </w:r>
      <w:r w:rsidRPr="00660104">
        <w:t>innovation</w:t>
      </w:r>
      <w:r>
        <w:t>s</w:t>
      </w:r>
      <w:r w:rsidRPr="001729A3">
        <w:t xml:space="preserve"> respectively.</w:t>
      </w:r>
      <w:r w:rsidRPr="001729A3">
        <w:rPr>
          <w:rStyle w:val="EndnoteReference"/>
        </w:rPr>
        <w:endnoteReference w:id="63"/>
      </w:r>
      <w:r w:rsidRPr="001729A3">
        <w:t xml:space="preserve"> Interestingly, neither patents nor trademarks appeared to have a significant association with innovation novelty; however this economy-wide study did not disaggregate results by industry. Manufacturing uses patents, but many service sectors do not. </w:t>
      </w:r>
    </w:p>
    <w:p w14:paraId="7418B2B1" w14:textId="77777777" w:rsidR="00D471AD" w:rsidRPr="001729A3" w:rsidRDefault="00D471AD" w:rsidP="00D471AD">
      <w:pPr>
        <w:pStyle w:val="BodyText"/>
      </w:pPr>
      <w:r w:rsidRPr="001729A3">
        <w:t>Well-developed and strong IP regimes promote trade as a channel of technology transfer, particularly for industries that are R&amp;D intensive.</w:t>
      </w:r>
      <w:r w:rsidRPr="001729A3">
        <w:rPr>
          <w:rStyle w:val="EndnoteReference"/>
        </w:rPr>
        <w:endnoteReference w:id="64"/>
      </w:r>
      <w:r w:rsidRPr="001729A3">
        <w:t xml:space="preserve"> Research undertaken by IP Australia found that improving IP protection and enforcement regimes in destination countries would increase Australia’s exports of elaborately transformed manufactures to those same countries.</w:t>
      </w:r>
      <w:r w:rsidRPr="001729A3">
        <w:rPr>
          <w:rStyle w:val="EndnoteReference"/>
        </w:rPr>
        <w:endnoteReference w:id="65"/>
      </w:r>
      <w:r w:rsidRPr="001729A3">
        <w:t xml:space="preserve"> This finding is consistent with the idea that higher value-added sectors tend to be more R&amp;D intensive</w:t>
      </w:r>
      <w:r>
        <w:t>,</w:t>
      </w:r>
      <w:r w:rsidRPr="001729A3">
        <w:t xml:space="preserve"> and hence more reliant on IP rights both domestically and internationally. There is a significant correlation between IP protection, R&amp;D</w:t>
      </w:r>
      <w:r>
        <w:t>,</w:t>
      </w:r>
      <w:r w:rsidRPr="001729A3">
        <w:t xml:space="preserve"> and new</w:t>
      </w:r>
      <w:r>
        <w:t>-</w:t>
      </w:r>
      <w:r w:rsidRPr="001729A3">
        <w:t>to</w:t>
      </w:r>
      <w:r>
        <w:t>-</w:t>
      </w:r>
      <w:r w:rsidRPr="001729A3">
        <w:t xml:space="preserve">market innovation around the world (Chapter 3). </w:t>
      </w:r>
    </w:p>
    <w:p w14:paraId="7418B2B2" w14:textId="77777777" w:rsidR="00D471AD" w:rsidRPr="001729A3" w:rsidRDefault="00D471AD" w:rsidP="00D471AD">
      <w:pPr>
        <w:pStyle w:val="BodyText"/>
      </w:pPr>
      <w:r w:rsidRPr="001729A3">
        <w:t>In absolute terms, Australia has seen a significant increase in IP-related applications for 2015.</w:t>
      </w:r>
      <w:r w:rsidRPr="001729A3">
        <w:rPr>
          <w:rStyle w:val="EndnoteReference"/>
        </w:rPr>
        <w:endnoteReference w:id="66"/>
      </w:r>
      <w:r w:rsidRPr="001729A3">
        <w:t xml:space="preserve"> Trademark applications, patents, designs and plant breeder’s rights all increased in 2015. However, over the </w:t>
      </w:r>
      <w:r>
        <w:t>p</w:t>
      </w:r>
      <w:r w:rsidRPr="001729A3">
        <w:t>ast decade Australia’s share of global IP relative to its population has declined (</w:t>
      </w:r>
      <w:hyperlink r:id="rId165" w:history="1">
        <w:r w:rsidRPr="001729A3">
          <w:rPr>
            <w:rStyle w:val="Hyperlink"/>
          </w:rPr>
          <w:t>Table A2</w:t>
        </w:r>
      </w:hyperlink>
      <w:r w:rsidRPr="001729A3">
        <w:t>). This trend is consistent with a decline in new</w:t>
      </w:r>
      <w:r>
        <w:t>-</w:t>
      </w:r>
      <w:r w:rsidRPr="001729A3">
        <w:t>to</w:t>
      </w:r>
      <w:r>
        <w:t>-</w:t>
      </w:r>
      <w:r w:rsidRPr="001729A3">
        <w:t>market innovation, but consistent with a large increase in IP application in China as part of the increasing legal convention</w:t>
      </w:r>
      <w:r>
        <w:t>.</w:t>
      </w:r>
    </w:p>
    <w:p w14:paraId="7418B2B3" w14:textId="77777777" w:rsidR="00D471AD" w:rsidRPr="001729A3" w:rsidRDefault="00D471AD" w:rsidP="00D471AD">
      <w:pPr>
        <w:pStyle w:val="BodyText"/>
      </w:pPr>
      <w:r w:rsidRPr="001729A3">
        <w:t>Around 10 per cent of innovation-active Australian businesses applied for patents (ranked at 23 out of 26 countries),</w:t>
      </w:r>
      <w:r w:rsidRPr="001729A3">
        <w:rPr>
          <w:vertAlign w:val="superscript"/>
        </w:rPr>
        <w:footnoteReference w:id="9"/>
      </w:r>
      <w:r w:rsidRPr="001729A3">
        <w:t xml:space="preserve"> </w:t>
      </w:r>
      <w:r>
        <w:t>nine</w:t>
      </w:r>
      <w:r w:rsidRPr="00660104">
        <w:t> </w:t>
      </w:r>
      <w:r w:rsidRPr="001729A3">
        <w:t xml:space="preserve">per cent registered a design (ranked at 21 out of 23 countries), 29 per cent registered a trademark (ranked at 15 out of 24 countries) and 31 per cent indicated that they were using trade secrets (ranked at 18 out of 22 countries). </w:t>
      </w:r>
    </w:p>
    <w:p w14:paraId="7418B2B4" w14:textId="77777777" w:rsidR="00D471AD" w:rsidRPr="001729A3" w:rsidRDefault="00D471AD" w:rsidP="00D471AD">
      <w:pPr>
        <w:pStyle w:val="BodyText"/>
      </w:pPr>
      <w:r w:rsidRPr="001729A3">
        <w:t>Businesses that innovate ten or more times per year are almost twice as likely to use some type of IP protection</w:t>
      </w:r>
      <w:r>
        <w:t>,</w:t>
      </w:r>
      <w:r w:rsidRPr="001729A3">
        <w:t xml:space="preserve"> compared to businesses that innovate less than three times a year (Figure 5.</w:t>
      </w:r>
      <w:r w:rsidRPr="00660104">
        <w:t>1</w:t>
      </w:r>
      <w:r w:rsidRPr="001729A3">
        <w:t>). This effect is particularly true for SMEs</w:t>
      </w:r>
      <w:r>
        <w:t>,</w:t>
      </w:r>
      <w:r w:rsidRPr="001729A3">
        <w:t xml:space="preserve"> and is consistent with the positive relationship between innovation frequency and new</w:t>
      </w:r>
      <w:r>
        <w:t>-</w:t>
      </w:r>
      <w:r w:rsidRPr="001729A3">
        <w:t>to</w:t>
      </w:r>
      <w:r>
        <w:t>-</w:t>
      </w:r>
      <w:r w:rsidRPr="001729A3">
        <w:t>market innovation. Larger businesses also see a positive correlation between frequency of innovation and IP protection, however the increase in the use of IP is less dramatic.</w:t>
      </w:r>
    </w:p>
    <w:p w14:paraId="7418B2B5" w14:textId="77777777" w:rsidR="00D471AD" w:rsidRPr="000D502B" w:rsidRDefault="00D471AD" w:rsidP="00D471AD">
      <w:pPr>
        <w:pStyle w:val="Caption"/>
        <w:spacing w:before="120"/>
      </w:pPr>
      <w:bookmarkStart w:id="2617" w:name="_Toc463013909"/>
      <w:bookmarkStart w:id="2618" w:name="_Toc463014018"/>
      <w:bookmarkStart w:id="2619" w:name="_Toc463014452"/>
      <w:bookmarkStart w:id="2620" w:name="_Toc463877092"/>
      <w:bookmarkStart w:id="2621" w:name="_Toc465864604"/>
      <w:r w:rsidRPr="000D502B">
        <w:t xml:space="preserve">Figure </w:t>
      </w:r>
      <w:fldSimple w:instr=" STYLEREF 1 \s ">
        <w:r>
          <w:rPr>
            <w:noProof/>
          </w:rPr>
          <w:t>5</w:t>
        </w:r>
      </w:fldSimple>
      <w:r w:rsidRPr="000D502B">
        <w:t>.</w:t>
      </w:r>
      <w:fldSimple w:instr=" SEQ Figure \* ARABIC \s 1 ">
        <w:r>
          <w:rPr>
            <w:noProof/>
          </w:rPr>
          <w:t>1</w:t>
        </w:r>
      </w:fldSimple>
      <w:r w:rsidRPr="000D502B">
        <w:t>: Intellectual property protection activity, by innovation frequency, 2014-15</w:t>
      </w:r>
      <w:bookmarkEnd w:id="2617"/>
      <w:bookmarkEnd w:id="2618"/>
      <w:bookmarkEnd w:id="2619"/>
      <w:bookmarkEnd w:id="2620"/>
      <w:bookmarkEnd w:id="2621"/>
      <w:r w:rsidRPr="000D502B">
        <w:t xml:space="preserve"> </w:t>
      </w:r>
    </w:p>
    <w:p w14:paraId="7418B2B6" w14:textId="77777777" w:rsidR="00D471AD" w:rsidRPr="001729A3" w:rsidRDefault="00D471AD" w:rsidP="00D471AD">
      <w:pPr>
        <w:pStyle w:val="Source"/>
        <w:rPr>
          <w:lang w:val="en-AU"/>
        </w:rPr>
      </w:pPr>
      <w:r>
        <w:rPr>
          <w:noProof/>
          <w:lang w:val="en-AU" w:eastAsia="en-AU"/>
        </w:rPr>
        <w:drawing>
          <wp:inline distT="0" distB="0" distL="0" distR="0" wp14:anchorId="7418C677" wp14:editId="7418C678">
            <wp:extent cx="2537461" cy="1527911"/>
            <wp:effectExtent l="0" t="0" r="0" b="0"/>
            <wp:docPr id="69" name="Picture 69" descr="Figure 5.1 shows that Businesses which innovate ten or more times per year are almost twice as likely to use some type of IP protection, compared to businesses that innovate less than three times a year." title="Figure 5.1: Intellectual property protection activity, by innovation frequency, 2014-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53950" cy="1537840"/>
                    </a:xfrm>
                    <a:prstGeom prst="rect">
                      <a:avLst/>
                    </a:prstGeom>
                    <a:noFill/>
                  </pic:spPr>
                </pic:pic>
              </a:graphicData>
            </a:graphic>
          </wp:inline>
        </w:drawing>
      </w:r>
    </w:p>
    <w:p w14:paraId="7418B2B7" w14:textId="77777777" w:rsidR="00D471AD" w:rsidRPr="001729A3" w:rsidRDefault="00D471AD" w:rsidP="00D471AD">
      <w:pPr>
        <w:pStyle w:val="Note"/>
        <w:rPr>
          <w:lang w:val="en-AU"/>
        </w:rPr>
      </w:pPr>
      <w:r w:rsidRPr="001729A3">
        <w:rPr>
          <w:lang w:val="en-AU"/>
        </w:rPr>
        <w:t>Notes: The error bands show a 95 per cent confidence interval.</w:t>
      </w:r>
    </w:p>
    <w:p w14:paraId="7418B2B8" w14:textId="77777777" w:rsidR="00D471AD" w:rsidRPr="001729A3" w:rsidRDefault="00D471AD" w:rsidP="00D471AD">
      <w:pPr>
        <w:pStyle w:val="Note"/>
        <w:keepNext w:val="0"/>
        <w:rPr>
          <w:lang w:val="en-AU"/>
        </w:rPr>
      </w:pPr>
      <w:r w:rsidRPr="001729A3">
        <w:rPr>
          <w:lang w:val="en-AU"/>
        </w:rPr>
        <w:t>Source: Customised ABS data commissioned by the Department of Industry, Innovation and Science</w:t>
      </w:r>
      <w:r w:rsidRPr="001729A3" w:rsidDel="00F156D0">
        <w:rPr>
          <w:lang w:val="en-AU"/>
        </w:rPr>
        <w:t xml:space="preserve"> </w:t>
      </w:r>
    </w:p>
    <w:p w14:paraId="7418B2B9" w14:textId="77777777" w:rsidR="00D471AD" w:rsidRPr="000D502B" w:rsidRDefault="00D471AD" w:rsidP="00D471AD">
      <w:pPr>
        <w:pStyle w:val="Heading2"/>
      </w:pPr>
      <w:bookmarkStart w:id="2622" w:name="_Toc462230105"/>
      <w:bookmarkStart w:id="2623" w:name="_Toc462231466"/>
      <w:bookmarkStart w:id="2624" w:name="_Toc463013966"/>
      <w:bookmarkStart w:id="2625" w:name="_Toc463014075"/>
      <w:bookmarkStart w:id="2626" w:name="_Toc463014509"/>
      <w:bookmarkStart w:id="2627" w:name="_Toc463877042"/>
      <w:r>
        <w:br w:type="column"/>
      </w:r>
      <w:bookmarkStart w:id="2628" w:name="_Toc465862836"/>
      <w:r w:rsidRPr="000D502B">
        <w:t>Venture capital trends in Australia</w:t>
      </w:r>
      <w:bookmarkEnd w:id="2622"/>
      <w:bookmarkEnd w:id="2623"/>
      <w:bookmarkEnd w:id="2624"/>
      <w:bookmarkEnd w:id="2625"/>
      <w:bookmarkEnd w:id="2626"/>
      <w:bookmarkEnd w:id="2627"/>
      <w:bookmarkEnd w:id="2628"/>
    </w:p>
    <w:p w14:paraId="7418B2BA" w14:textId="77777777" w:rsidR="00D471AD" w:rsidRPr="001729A3" w:rsidRDefault="00D471AD" w:rsidP="00D471AD">
      <w:pPr>
        <w:pStyle w:val="BodyText"/>
      </w:pPr>
      <w:r w:rsidRPr="001729A3">
        <w:t>Young innovative businesses often encounter obstacles in obtaining seed and early</w:t>
      </w:r>
      <w:r>
        <w:t>-</w:t>
      </w:r>
      <w:r w:rsidRPr="001729A3">
        <w:t xml:space="preserve">stage financing because of uncertain profit and growth expectations and a general lack of collateral or track record. </w:t>
      </w:r>
    </w:p>
    <w:p w14:paraId="7418B2BB" w14:textId="77777777" w:rsidR="00D471AD" w:rsidRPr="001729A3" w:rsidRDefault="00D471AD" w:rsidP="00D471AD">
      <w:pPr>
        <w:pStyle w:val="BodyText"/>
      </w:pPr>
      <w:r w:rsidRPr="001729A3">
        <w:t>In a recent inquiry into business creation in Australia, the Productivity Commission reviewed access to finance for new businesses.</w:t>
      </w:r>
      <w:r w:rsidRPr="001729A3">
        <w:rPr>
          <w:rStyle w:val="EndnoteReference"/>
        </w:rPr>
        <w:endnoteReference w:id="67"/>
      </w:r>
      <w:r w:rsidRPr="001729A3">
        <w:t xml:space="preserve"> The report showed that many new businesses do not require external financing</w:t>
      </w:r>
      <w:r>
        <w:t>,</w:t>
      </w:r>
      <w:r w:rsidRPr="00660104">
        <w:t xml:space="preserve"> </w:t>
      </w:r>
      <w:r w:rsidRPr="001729A3">
        <w:t>that innovation-active businesses are more likely to identify access to finance as a barrier to innovation</w:t>
      </w:r>
      <w:r>
        <w:t>,</w:t>
      </w:r>
      <w:r w:rsidRPr="00660104">
        <w:t xml:space="preserve"> </w:t>
      </w:r>
      <w:r w:rsidRPr="001729A3">
        <w:t xml:space="preserve">and that personal finance is the dominant source of finance for micro and small start-up businesses. Drawing on a limited body of conflicting evidence, the Productivity Commission concluded that equity finance, on average, was not an issue for Australian entrepreneurship. </w:t>
      </w:r>
    </w:p>
    <w:p w14:paraId="7418B2BC" w14:textId="77777777" w:rsidR="00D471AD" w:rsidRPr="001729A3" w:rsidRDefault="00D471AD" w:rsidP="00D471AD">
      <w:pPr>
        <w:pStyle w:val="BodyText"/>
      </w:pPr>
      <w:r w:rsidRPr="001729A3">
        <w:t>The Treasury’s recent financial inquiry (Murray inquiry) found that new SMEs have more difficulty</w:t>
      </w:r>
      <w:r>
        <w:t xml:space="preserve"> than large businesses </w:t>
      </w:r>
      <w:r w:rsidRPr="001729A3">
        <w:t>accessing bank loans</w:t>
      </w:r>
      <w:r>
        <w:t>. This is because</w:t>
      </w:r>
      <w:r w:rsidRPr="001729A3">
        <w:t xml:space="preserve"> banks’ business models and expertise are more suited to providing debt finance to established businesses, with venture capital more suited to start-up businesses in emerging industries.</w:t>
      </w:r>
      <w:r w:rsidRPr="001729A3">
        <w:rPr>
          <w:rStyle w:val="EndnoteReference"/>
        </w:rPr>
        <w:endnoteReference w:id="68"/>
      </w:r>
      <w:r w:rsidRPr="001729A3">
        <w:t xml:space="preserve"> Often the business concepts and technologies of innovative start-ups that are not yet generating revenue</w:t>
      </w:r>
      <w:r>
        <w:t>,</w:t>
      </w:r>
      <w:r w:rsidRPr="001729A3">
        <w:t xml:space="preserve"> and that have predominantly intangible assets</w:t>
      </w:r>
      <w:r>
        <w:t>,</w:t>
      </w:r>
      <w:r w:rsidRPr="001729A3">
        <w:t xml:space="preserve"> are judged by financial institutions as unviable investments.</w:t>
      </w:r>
      <w:r w:rsidRPr="001729A3">
        <w:rPr>
          <w:rStyle w:val="EndnoteReference"/>
        </w:rPr>
        <w:endnoteReference w:id="69"/>
      </w:r>
      <w:r w:rsidRPr="001729A3">
        <w:t xml:space="preserve">  </w:t>
      </w:r>
    </w:p>
    <w:p w14:paraId="7418B2BD" w14:textId="77777777" w:rsidR="00D471AD" w:rsidRDefault="00D471AD" w:rsidP="00D471AD">
      <w:pPr>
        <w:pStyle w:val="BodyText"/>
      </w:pPr>
      <w:r w:rsidRPr="001729A3">
        <w:t>As a specialised form of private equity finance, venture capital can stimulate innovation, spur entrepreneurship, and enhance productivity growth. Venture capital is a form of private equity used to fund costly, high-risk, high-return technology-based innovative businesses at the pre-seed, seed, start-up, and early-expansion stages of commercialisation.</w:t>
      </w:r>
      <w:r>
        <w:t xml:space="preserve"> </w:t>
      </w:r>
    </w:p>
    <w:p w14:paraId="7418B2BE" w14:textId="77777777" w:rsidR="00D471AD" w:rsidRPr="001729A3" w:rsidRDefault="00D471AD" w:rsidP="00D471AD">
      <w:pPr>
        <w:pStyle w:val="BodyText"/>
      </w:pPr>
      <w:r w:rsidRPr="001729A3">
        <w:t>In real terms, Australian venture capital and later</w:t>
      </w:r>
      <w:r>
        <w:t>-</w:t>
      </w:r>
      <w:r w:rsidRPr="001729A3">
        <w:t xml:space="preserve">stage private equity investment in 2014–15 is 82.5 per cent </w:t>
      </w:r>
      <w:r>
        <w:t xml:space="preserve">of </w:t>
      </w:r>
      <w:r w:rsidRPr="001729A3">
        <w:t>what it was in 2005–06.</w:t>
      </w:r>
      <w:r w:rsidRPr="001729A3">
        <w:rPr>
          <w:rStyle w:val="EndnoteReference"/>
        </w:rPr>
        <w:endnoteReference w:id="70"/>
      </w:r>
      <w:r w:rsidRPr="001729A3">
        <w:t xml:space="preserve"> Over that period </w:t>
      </w:r>
      <w:r>
        <w:t>t</w:t>
      </w:r>
      <w:r w:rsidRPr="00660104">
        <w:t xml:space="preserve">here </w:t>
      </w:r>
      <w:r w:rsidRPr="001729A3">
        <w:t>was a substantial decrease in the amount of venture capital and later</w:t>
      </w:r>
      <w:r>
        <w:t>-</w:t>
      </w:r>
      <w:r w:rsidRPr="001729A3">
        <w:t xml:space="preserve">stage private equity being invested in new companies, with capital instead being channelled into follow-on investments in existing companies. </w:t>
      </w:r>
    </w:p>
    <w:p w14:paraId="7418B2BF" w14:textId="77777777" w:rsidR="00D471AD" w:rsidRPr="001729A3" w:rsidRDefault="00D471AD" w:rsidP="00D471AD">
      <w:pPr>
        <w:pStyle w:val="BodyText"/>
      </w:pPr>
      <w:r w:rsidRPr="001729A3">
        <w:t xml:space="preserve">The value of new investments was three times that of follow-on investments in 2014–15. Before the Global Financial Crisis, this ratio was around four to five </w:t>
      </w:r>
      <w:r>
        <w:t>times</w:t>
      </w:r>
      <w:r w:rsidRPr="001729A3">
        <w:t>. Australian data</w:t>
      </w:r>
      <w:r w:rsidRPr="001729A3">
        <w:rPr>
          <w:rStyle w:val="FootnoteReference"/>
        </w:rPr>
        <w:footnoteReference w:id="10"/>
      </w:r>
      <w:r w:rsidRPr="001729A3">
        <w:t xml:space="preserve"> indicate that investment commitments have also fallen almost as sharply as actual investment values over the same period. Over the </w:t>
      </w:r>
      <w:r>
        <w:t>p</w:t>
      </w:r>
      <w:r w:rsidRPr="00660104">
        <w:t xml:space="preserve">ast </w:t>
      </w:r>
      <w:r w:rsidRPr="001729A3">
        <w:t>decade:</w:t>
      </w:r>
    </w:p>
    <w:p w14:paraId="7418B2C0" w14:textId="77777777" w:rsidR="00D471AD" w:rsidRPr="001729A3" w:rsidRDefault="00D471AD" w:rsidP="00D471AD">
      <w:pPr>
        <w:pStyle w:val="ListBullet"/>
        <w:numPr>
          <w:ilvl w:val="0"/>
          <w:numId w:val="14"/>
        </w:numPr>
      </w:pPr>
      <w:r w:rsidRPr="001729A3">
        <w:t>The number of new investments per year declined from 259 to 76 between 2005–06 and 2012–13. However, during 2013–14 and 2014–15 the number of new investments increased to 151.</w:t>
      </w:r>
    </w:p>
    <w:p w14:paraId="7418B2C1" w14:textId="77777777" w:rsidR="00D471AD" w:rsidRPr="001729A3" w:rsidRDefault="00D471AD" w:rsidP="00D471AD">
      <w:pPr>
        <w:pStyle w:val="ListBullet"/>
        <w:numPr>
          <w:ilvl w:val="0"/>
          <w:numId w:val="14"/>
        </w:numPr>
      </w:pPr>
      <w:r w:rsidRPr="001729A3">
        <w:t xml:space="preserve">The value of total investments (new and follow-on) decreased from $3.0 billion to $1.1 billion in real terms between 2007–08 and 2012–13. Total investments recovered </w:t>
      </w:r>
      <w:r>
        <w:t xml:space="preserve">somewhat </w:t>
      </w:r>
      <w:r w:rsidRPr="001729A3">
        <w:t xml:space="preserve">over the period 2013–2015, with a value of $1.7 billion in 2014–2015. </w:t>
      </w:r>
    </w:p>
    <w:p w14:paraId="7418B2C2" w14:textId="77777777" w:rsidR="00D471AD" w:rsidRPr="001729A3" w:rsidRDefault="00D471AD" w:rsidP="00D471AD">
      <w:pPr>
        <w:pStyle w:val="ListBullet"/>
        <w:numPr>
          <w:ilvl w:val="0"/>
          <w:numId w:val="14"/>
        </w:numPr>
      </w:pPr>
      <w:r w:rsidRPr="001729A3">
        <w:rPr>
          <w:i/>
        </w:rPr>
        <w:t>Information media and telecommunications</w:t>
      </w:r>
      <w:r w:rsidRPr="001729A3">
        <w:t xml:space="preserve"> and </w:t>
      </w:r>
      <w:r w:rsidRPr="001729A3">
        <w:rPr>
          <w:i/>
        </w:rPr>
        <w:t>Health care and social assistance</w:t>
      </w:r>
      <w:r w:rsidRPr="001729A3">
        <w:t xml:space="preserve"> sectors had the highest number of total investments in 2014–15. The </w:t>
      </w:r>
      <w:r w:rsidRPr="001729A3">
        <w:rPr>
          <w:i/>
        </w:rPr>
        <w:t>Information media and telecommunication</w:t>
      </w:r>
      <w:r w:rsidRPr="001729A3">
        <w:t xml:space="preserve"> sector had the highest number of new investments at 49, while the </w:t>
      </w:r>
      <w:r w:rsidRPr="001729A3">
        <w:rPr>
          <w:i/>
        </w:rPr>
        <w:t>Health care and social assistance</w:t>
      </w:r>
      <w:r w:rsidRPr="001729A3">
        <w:t xml:space="preserve"> sector had the highest number of follow-on investments at 34. </w:t>
      </w:r>
    </w:p>
    <w:p w14:paraId="7418B2C3" w14:textId="77777777" w:rsidR="00D471AD" w:rsidRPr="001729A3" w:rsidRDefault="00D471AD" w:rsidP="00D471AD">
      <w:pPr>
        <w:pStyle w:val="ListBullet"/>
        <w:numPr>
          <w:ilvl w:val="0"/>
          <w:numId w:val="14"/>
        </w:numPr>
      </w:pPr>
      <w:r w:rsidRPr="001729A3">
        <w:t>Both the number and value of venture capital and later</w:t>
      </w:r>
      <w:r>
        <w:t>-</w:t>
      </w:r>
      <w:r w:rsidRPr="001729A3">
        <w:t>stage private equity investments show signs of recovery in 2014–15. The leveraged buyout and initial public offer saw the biggest recovery in real terms, increasing from $16 million to $938 million between 2010–11 and 2014–15.</w:t>
      </w:r>
    </w:p>
    <w:p w14:paraId="7418B2C4" w14:textId="77777777" w:rsidR="00D471AD" w:rsidRPr="001729A3" w:rsidRDefault="00D471AD" w:rsidP="00D471AD">
      <w:pPr>
        <w:pStyle w:val="BodyText"/>
      </w:pPr>
      <w:r w:rsidRPr="001729A3">
        <w:t>As expected, the frequency of venture capital investments decline</w:t>
      </w:r>
      <w:r>
        <w:t>s</w:t>
      </w:r>
      <w:r w:rsidRPr="001729A3">
        <w:t xml:space="preserve"> as investment amounts increase (see </w:t>
      </w:r>
      <w:r w:rsidRPr="001729A3">
        <w:fldChar w:fldCharType="begin"/>
      </w:r>
      <w:r>
        <w:rPr>
          <w:lang w:val="en-GB"/>
        </w:rPr>
        <w:instrText xml:space="preserve"> REF _Ref462220836 \h </w:instrText>
      </w:r>
      <w:r w:rsidRPr="001729A3">
        <w:fldChar w:fldCharType="separate"/>
      </w:r>
      <w:r w:rsidRPr="000D502B">
        <w:t xml:space="preserve">Table </w:t>
      </w:r>
      <w:r>
        <w:rPr>
          <w:noProof/>
        </w:rPr>
        <w:t>5</w:t>
      </w:r>
      <w:r w:rsidRPr="000D502B">
        <w:t>.</w:t>
      </w:r>
      <w:r>
        <w:rPr>
          <w:noProof/>
        </w:rPr>
        <w:t>1</w:t>
      </w:r>
      <w:r w:rsidRPr="001729A3">
        <w:fldChar w:fldCharType="end"/>
      </w:r>
      <w:r w:rsidRPr="00660104">
        <w:t>)</w:t>
      </w:r>
      <w:r>
        <w:t>. T</w:t>
      </w:r>
      <w:r w:rsidRPr="001729A3">
        <w:t>his decline is especially visible for the pre-seed/seed/start-up category. Early</w:t>
      </w:r>
      <w:r>
        <w:t>-</w:t>
      </w:r>
      <w:r w:rsidRPr="001729A3">
        <w:t xml:space="preserve"> and later</w:t>
      </w:r>
      <w:r>
        <w:t>-</w:t>
      </w:r>
      <w:r w:rsidRPr="001729A3">
        <w:t xml:space="preserve">stage expansion stages also see a significant decline as investment range increases. This decline may reflect either a decrease in demand or a shortage of funding supply. </w:t>
      </w:r>
    </w:p>
    <w:p w14:paraId="7418B2C5" w14:textId="77777777" w:rsidR="00D471AD" w:rsidRPr="001729A3" w:rsidRDefault="00D471AD" w:rsidP="00D471AD">
      <w:pPr>
        <w:pStyle w:val="BodyText"/>
      </w:pPr>
      <w:r w:rsidRPr="001729A3">
        <w:t xml:space="preserve">Currently, there are no accurate and robust measures of demand for venture capital in Australia. The Department is working with the ABS to further develop the BCS to better estimate demand for debt and equity finance in Australia. </w:t>
      </w:r>
    </w:p>
    <w:p w14:paraId="7418B2C6" w14:textId="77777777" w:rsidR="00D471AD" w:rsidRPr="001729A3" w:rsidRDefault="00D471AD" w:rsidP="00D471AD">
      <w:pPr>
        <w:pStyle w:val="BodyText"/>
      </w:pPr>
      <w:r w:rsidRPr="001729A3">
        <w:t xml:space="preserve">While Australia is performing slightly above the OECD median for later-stage investment as a percentage of GDP, early-stage investment as a percentage of GDP (at 0.007 per cent) is just half the OECD median (0.015 per cent </w:t>
      </w:r>
      <w:r>
        <w:t xml:space="preserve">of </w:t>
      </w:r>
      <w:r w:rsidRPr="001729A3">
        <w:t>GDP).</w:t>
      </w:r>
      <w:r w:rsidRPr="001729A3">
        <w:rPr>
          <w:rStyle w:val="FootnoteReference"/>
        </w:rPr>
        <w:footnoteReference w:id="11"/>
      </w:r>
      <w:r w:rsidRPr="001729A3">
        <w:t xml:space="preserve"> Unlike the US, Israel and many other countries in the OECD, Australian venture capital investment is experiencing a delayed return to pre-GFC levels (</w:t>
      </w:r>
      <w:hyperlink r:id="rId167" w:history="1">
        <w:r w:rsidRPr="009D1C91">
          <w:rPr>
            <w:rStyle w:val="Hyperlink"/>
          </w:rPr>
          <w:t>Table A5</w:t>
        </w:r>
      </w:hyperlink>
      <w:r w:rsidRPr="001729A3">
        <w:t>).</w:t>
      </w:r>
    </w:p>
    <w:p w14:paraId="7418B2C7" w14:textId="77777777" w:rsidR="00D471AD" w:rsidRPr="001729A3" w:rsidRDefault="00D471AD" w:rsidP="00D471AD">
      <w:pPr>
        <w:pStyle w:val="BodyText"/>
      </w:pPr>
      <w:r w:rsidRPr="001729A3">
        <w:t>The rate of venture backing per thousand businesses is on the low side compared with other OECD countries.</w:t>
      </w:r>
      <w:r w:rsidRPr="001729A3">
        <w:rPr>
          <w:rStyle w:val="EndnoteReference"/>
        </w:rPr>
        <w:endnoteReference w:id="71"/>
      </w:r>
      <w:r w:rsidRPr="001729A3">
        <w:t xml:space="preserve"> Although the average investment per business is moderately ranked at US$1.5 million, Australia has the lowest investment in high</w:t>
      </w:r>
      <w:r>
        <w:t>-</w:t>
      </w:r>
      <w:r w:rsidRPr="001729A3">
        <w:t>risk, early</w:t>
      </w:r>
      <w:r>
        <w:t>-</w:t>
      </w:r>
      <w:r w:rsidRPr="001729A3">
        <w:t>stage venture capital (i.e. seed, start-up and other early</w:t>
      </w:r>
      <w:r>
        <w:t>-</w:t>
      </w:r>
      <w:r w:rsidRPr="001729A3">
        <w:t>stage investment) compared with other OECD countries. This is the case both in terms of the number of businesses invested in and the proportion of money invested.</w:t>
      </w:r>
    </w:p>
    <w:p w14:paraId="7418B2C8" w14:textId="77777777" w:rsidR="00D471AD" w:rsidRPr="001729A3" w:rsidRDefault="00D471AD" w:rsidP="00D471AD">
      <w:pPr>
        <w:pStyle w:val="BodyText"/>
      </w:pPr>
      <w:r>
        <w:t>In 2013–14</w:t>
      </w:r>
      <w:r w:rsidRPr="001729A3">
        <w:t xml:space="preserve"> a major venture capital fund, valued at $250 million, was created by AirTree Ventures. This surpasses the $200 million venture capital fund created last year by Blackbird Ventures. The AirTree fund represents a major increase in venture capital in Australia, accounting for around 21 per cent of new and follow-on investment in 2013</w:t>
      </w:r>
      <w:r w:rsidRPr="001729A3">
        <w:noBreakHyphen/>
        <w:t xml:space="preserve">14. </w:t>
      </w:r>
    </w:p>
    <w:p w14:paraId="7418B2C9" w14:textId="77777777" w:rsidR="00D471AD" w:rsidRPr="001729A3" w:rsidRDefault="00D471AD" w:rsidP="00D471AD">
      <w:pPr>
        <w:pStyle w:val="BodyText"/>
        <w:sectPr w:rsidR="00D471AD" w:rsidRPr="001729A3" w:rsidSect="004A31A9">
          <w:footnotePr>
            <w:numFmt w:val="upperRoman"/>
          </w:footnotePr>
          <w:endnotePr>
            <w:numFmt w:val="decimal"/>
          </w:endnotePr>
          <w:pgSz w:w="11906" w:h="16838" w:code="9"/>
          <w:pgMar w:top="1440" w:right="992" w:bottom="1440" w:left="992" w:header="709" w:footer="709" w:gutter="0"/>
          <w:cols w:num="2" w:space="708"/>
          <w:docGrid w:linePitch="360"/>
        </w:sectPr>
      </w:pPr>
    </w:p>
    <w:p w14:paraId="7418B2CA" w14:textId="77777777" w:rsidR="00D471AD" w:rsidRPr="000D502B" w:rsidRDefault="00D471AD" w:rsidP="00D471AD">
      <w:pPr>
        <w:pStyle w:val="Caption"/>
      </w:pPr>
      <w:bookmarkStart w:id="2629" w:name="_Ref462220836"/>
      <w:r w:rsidRPr="000D502B">
        <w:t xml:space="preserve">Table </w:t>
      </w:r>
      <w:fldSimple w:instr=" STYLEREF 1 \s ">
        <w:r>
          <w:rPr>
            <w:noProof/>
          </w:rPr>
          <w:t>5</w:t>
        </w:r>
      </w:fldSimple>
      <w:r w:rsidRPr="000D502B">
        <w:t>.</w:t>
      </w:r>
      <w:fldSimple w:instr=" SEQ Table \* ARABIC \s 1 ">
        <w:r>
          <w:rPr>
            <w:noProof/>
          </w:rPr>
          <w:t>1</w:t>
        </w:r>
      </w:fldSimple>
      <w:bookmarkEnd w:id="2629"/>
      <w:r w:rsidRPr="000D502B">
        <w:t xml:space="preserve">: Number of investee </w:t>
      </w:r>
      <w:r>
        <w:t xml:space="preserve">businesses </w:t>
      </w:r>
      <w:r w:rsidRPr="000D502B">
        <w:t>receiving venture capital and later</w:t>
      </w:r>
      <w:r>
        <w:t>-</w:t>
      </w:r>
      <w:r w:rsidRPr="000D502B">
        <w:t>stage private equity, by investee stage, by investment range, 2014-15</w:t>
      </w:r>
    </w:p>
    <w:tbl>
      <w:tblPr>
        <w:tblW w:w="5000" w:type="pct"/>
        <w:tblInd w:w="57" w:type="dxa"/>
        <w:shd w:val="clear" w:color="auto" w:fill="CAE7F3"/>
        <w:tblLook w:val="04A0" w:firstRow="1" w:lastRow="0" w:firstColumn="1" w:lastColumn="0" w:noHBand="0" w:noVBand="1"/>
      </w:tblPr>
      <w:tblGrid>
        <w:gridCol w:w="4326"/>
        <w:gridCol w:w="1571"/>
        <w:gridCol w:w="1985"/>
        <w:gridCol w:w="2012"/>
      </w:tblGrid>
      <w:tr w:rsidR="00D471AD" w:rsidRPr="000D502B" w14:paraId="7418B2CD" w14:textId="77777777" w:rsidTr="004A31A9">
        <w:trPr>
          <w:trHeight w:val="465"/>
        </w:trPr>
        <w:tc>
          <w:tcPr>
            <w:tcW w:w="2186" w:type="pct"/>
            <w:shd w:val="clear" w:color="auto" w:fill="22789A"/>
            <w:noWrap/>
            <w:vAlign w:val="bottom"/>
            <w:hideMark/>
          </w:tcPr>
          <w:p w14:paraId="7418B2CB" w14:textId="77777777" w:rsidR="00D471AD" w:rsidRPr="000D502B" w:rsidRDefault="00D471AD" w:rsidP="004A31A9">
            <w:pPr>
              <w:pStyle w:val="Tableheader"/>
            </w:pPr>
          </w:p>
        </w:tc>
        <w:tc>
          <w:tcPr>
            <w:tcW w:w="2814" w:type="pct"/>
            <w:gridSpan w:val="3"/>
            <w:shd w:val="clear" w:color="auto" w:fill="22789A"/>
            <w:vAlign w:val="bottom"/>
            <w:hideMark/>
          </w:tcPr>
          <w:p w14:paraId="7418B2CC" w14:textId="77777777" w:rsidR="00D471AD" w:rsidRPr="000D502B" w:rsidRDefault="00D471AD" w:rsidP="004A31A9">
            <w:pPr>
              <w:pStyle w:val="Tableheader"/>
              <w:rPr>
                <w:b/>
                <w:i w:val="0"/>
                <w:sz w:val="16"/>
                <w:szCs w:val="16"/>
                <w:lang w:eastAsia="en-AU"/>
              </w:rPr>
            </w:pPr>
            <w:r w:rsidRPr="000D502B">
              <w:rPr>
                <w:b/>
                <w:sz w:val="16"/>
                <w:szCs w:val="16"/>
                <w:lang w:eastAsia="en-AU"/>
              </w:rPr>
              <w:t>Stage of Investee Company</w:t>
            </w:r>
          </w:p>
        </w:tc>
      </w:tr>
      <w:tr w:rsidR="00D471AD" w:rsidRPr="000D502B" w14:paraId="7418B2D2" w14:textId="77777777" w:rsidTr="004A31A9">
        <w:trPr>
          <w:trHeight w:val="465"/>
        </w:trPr>
        <w:tc>
          <w:tcPr>
            <w:tcW w:w="2186" w:type="pct"/>
            <w:shd w:val="clear" w:color="auto" w:fill="CAE7F3"/>
            <w:noWrap/>
            <w:vAlign w:val="bottom"/>
            <w:hideMark/>
          </w:tcPr>
          <w:p w14:paraId="7418B2CE" w14:textId="77777777" w:rsidR="00D471AD" w:rsidRPr="000D502B" w:rsidRDefault="00D471AD" w:rsidP="004A31A9">
            <w:pPr>
              <w:pStyle w:val="Tabletext"/>
              <w:rPr>
                <w:lang w:eastAsia="en-AU"/>
              </w:rPr>
            </w:pPr>
            <w:r w:rsidRPr="000D502B">
              <w:rPr>
                <w:lang w:eastAsia="en-AU"/>
              </w:rPr>
              <w:t xml:space="preserve">Investment range </w:t>
            </w:r>
          </w:p>
        </w:tc>
        <w:tc>
          <w:tcPr>
            <w:tcW w:w="794" w:type="pct"/>
            <w:shd w:val="clear" w:color="auto" w:fill="CAE7F3"/>
            <w:vAlign w:val="bottom"/>
            <w:hideMark/>
          </w:tcPr>
          <w:p w14:paraId="7418B2CF" w14:textId="77777777" w:rsidR="00D471AD" w:rsidRPr="000D502B" w:rsidRDefault="00D471AD" w:rsidP="004A31A9">
            <w:pPr>
              <w:pStyle w:val="Tabletext"/>
              <w:jc w:val="right"/>
              <w:rPr>
                <w:lang w:eastAsia="en-AU"/>
              </w:rPr>
            </w:pPr>
            <w:r w:rsidRPr="000D502B">
              <w:rPr>
                <w:lang w:eastAsia="en-AU"/>
              </w:rPr>
              <w:t>Pre-seed / Seed / Start-up</w:t>
            </w:r>
          </w:p>
        </w:tc>
        <w:tc>
          <w:tcPr>
            <w:tcW w:w="1003" w:type="pct"/>
            <w:shd w:val="clear" w:color="auto" w:fill="CAE7F3"/>
            <w:vAlign w:val="bottom"/>
            <w:hideMark/>
          </w:tcPr>
          <w:p w14:paraId="7418B2D0" w14:textId="77777777" w:rsidR="00D471AD" w:rsidRPr="000D502B" w:rsidRDefault="00D471AD" w:rsidP="004A31A9">
            <w:pPr>
              <w:pStyle w:val="Tabletext"/>
              <w:jc w:val="right"/>
              <w:rPr>
                <w:lang w:eastAsia="en-AU"/>
              </w:rPr>
            </w:pPr>
            <w:r w:rsidRPr="000D502B">
              <w:rPr>
                <w:lang w:eastAsia="en-AU"/>
              </w:rPr>
              <w:t>Early expansion / Late expansion</w:t>
            </w:r>
          </w:p>
        </w:tc>
        <w:tc>
          <w:tcPr>
            <w:tcW w:w="1017" w:type="pct"/>
            <w:shd w:val="clear" w:color="auto" w:fill="CAE7F3"/>
            <w:vAlign w:val="bottom"/>
            <w:hideMark/>
          </w:tcPr>
          <w:p w14:paraId="7418B2D1" w14:textId="77777777" w:rsidR="00D471AD" w:rsidRPr="000D502B" w:rsidRDefault="00D471AD" w:rsidP="004A31A9">
            <w:pPr>
              <w:pStyle w:val="Tabletext"/>
              <w:jc w:val="right"/>
              <w:rPr>
                <w:lang w:eastAsia="en-AU"/>
              </w:rPr>
            </w:pPr>
            <w:r w:rsidRPr="000D502B">
              <w:rPr>
                <w:lang w:eastAsia="en-AU"/>
              </w:rPr>
              <w:t>Turnaround/LBO/IPO</w:t>
            </w:r>
          </w:p>
        </w:tc>
      </w:tr>
      <w:tr w:rsidR="00D471AD" w:rsidRPr="000D502B" w14:paraId="7418B2D7" w14:textId="77777777" w:rsidTr="004A31A9">
        <w:trPr>
          <w:trHeight w:val="300"/>
        </w:trPr>
        <w:tc>
          <w:tcPr>
            <w:tcW w:w="2186" w:type="pct"/>
            <w:shd w:val="clear" w:color="auto" w:fill="CAE7F3"/>
            <w:noWrap/>
            <w:vAlign w:val="bottom"/>
            <w:hideMark/>
          </w:tcPr>
          <w:p w14:paraId="7418B2D3" w14:textId="77777777" w:rsidR="00D471AD" w:rsidRPr="000D502B" w:rsidRDefault="00D471AD" w:rsidP="004A31A9">
            <w:pPr>
              <w:pStyle w:val="Tabletext"/>
              <w:rPr>
                <w:lang w:eastAsia="en-AU"/>
              </w:rPr>
            </w:pPr>
            <w:r w:rsidRPr="000D502B">
              <w:rPr>
                <w:lang w:eastAsia="en-AU"/>
              </w:rPr>
              <w:t>Less than $2 million</w:t>
            </w:r>
          </w:p>
        </w:tc>
        <w:tc>
          <w:tcPr>
            <w:tcW w:w="794" w:type="pct"/>
            <w:shd w:val="clear" w:color="auto" w:fill="CAE7F3"/>
            <w:noWrap/>
            <w:vAlign w:val="bottom"/>
            <w:hideMark/>
          </w:tcPr>
          <w:p w14:paraId="7418B2D4" w14:textId="77777777" w:rsidR="00D471AD" w:rsidRPr="000D502B" w:rsidRDefault="00D471AD" w:rsidP="004A31A9">
            <w:pPr>
              <w:pStyle w:val="Tabletext"/>
              <w:jc w:val="right"/>
              <w:rPr>
                <w:lang w:eastAsia="en-AU"/>
              </w:rPr>
            </w:pPr>
            <w:r w:rsidRPr="000D502B">
              <w:rPr>
                <w:lang w:eastAsia="en-AU"/>
              </w:rPr>
              <w:t>126</w:t>
            </w:r>
          </w:p>
        </w:tc>
        <w:tc>
          <w:tcPr>
            <w:tcW w:w="1003" w:type="pct"/>
            <w:shd w:val="clear" w:color="auto" w:fill="CAE7F3"/>
            <w:noWrap/>
            <w:vAlign w:val="bottom"/>
            <w:hideMark/>
          </w:tcPr>
          <w:p w14:paraId="7418B2D5" w14:textId="77777777" w:rsidR="00D471AD" w:rsidRPr="000D502B" w:rsidRDefault="00D471AD" w:rsidP="004A31A9">
            <w:pPr>
              <w:pStyle w:val="Tabletext"/>
              <w:jc w:val="right"/>
              <w:rPr>
                <w:lang w:eastAsia="en-AU"/>
              </w:rPr>
            </w:pPr>
            <w:r w:rsidRPr="000D502B">
              <w:rPr>
                <w:lang w:eastAsia="en-AU"/>
              </w:rPr>
              <w:t>65</w:t>
            </w:r>
          </w:p>
        </w:tc>
        <w:tc>
          <w:tcPr>
            <w:tcW w:w="1017" w:type="pct"/>
            <w:shd w:val="clear" w:color="auto" w:fill="CAE7F3"/>
            <w:noWrap/>
            <w:vAlign w:val="bottom"/>
            <w:hideMark/>
          </w:tcPr>
          <w:p w14:paraId="7418B2D6" w14:textId="77777777" w:rsidR="00D471AD" w:rsidRPr="000D502B" w:rsidRDefault="00D471AD" w:rsidP="004A31A9">
            <w:pPr>
              <w:pStyle w:val="Tabletext"/>
              <w:jc w:val="right"/>
              <w:rPr>
                <w:lang w:eastAsia="en-AU"/>
              </w:rPr>
            </w:pPr>
            <w:r w:rsidRPr="000D502B">
              <w:rPr>
                <w:lang w:eastAsia="en-AU"/>
              </w:rPr>
              <w:t>17</w:t>
            </w:r>
          </w:p>
        </w:tc>
      </w:tr>
      <w:tr w:rsidR="00D471AD" w:rsidRPr="000D502B" w14:paraId="7418B2DC" w14:textId="77777777" w:rsidTr="004A31A9">
        <w:trPr>
          <w:trHeight w:val="300"/>
        </w:trPr>
        <w:tc>
          <w:tcPr>
            <w:tcW w:w="2186" w:type="pct"/>
            <w:shd w:val="clear" w:color="auto" w:fill="CAE7F3"/>
            <w:noWrap/>
            <w:vAlign w:val="bottom"/>
            <w:hideMark/>
          </w:tcPr>
          <w:p w14:paraId="7418B2D8" w14:textId="77777777" w:rsidR="00D471AD" w:rsidRPr="000D502B" w:rsidRDefault="00D471AD" w:rsidP="004A31A9">
            <w:pPr>
              <w:pStyle w:val="Tabletext"/>
              <w:rPr>
                <w:lang w:eastAsia="en-AU"/>
              </w:rPr>
            </w:pPr>
            <w:r w:rsidRPr="000D502B">
              <w:rPr>
                <w:lang w:eastAsia="en-AU"/>
              </w:rPr>
              <w:t>$2 million to less than $5 million</w:t>
            </w:r>
          </w:p>
        </w:tc>
        <w:tc>
          <w:tcPr>
            <w:tcW w:w="794" w:type="pct"/>
            <w:shd w:val="clear" w:color="auto" w:fill="CAE7F3"/>
            <w:noWrap/>
            <w:vAlign w:val="bottom"/>
            <w:hideMark/>
          </w:tcPr>
          <w:p w14:paraId="7418B2D9" w14:textId="77777777" w:rsidR="00D471AD" w:rsidRPr="000D502B" w:rsidRDefault="00D471AD" w:rsidP="004A31A9">
            <w:pPr>
              <w:pStyle w:val="Tabletext"/>
              <w:jc w:val="right"/>
              <w:rPr>
                <w:lang w:eastAsia="en-AU"/>
              </w:rPr>
            </w:pPr>
            <w:r w:rsidRPr="000D502B">
              <w:rPr>
                <w:lang w:eastAsia="en-AU"/>
              </w:rPr>
              <w:t>9</w:t>
            </w:r>
          </w:p>
        </w:tc>
        <w:tc>
          <w:tcPr>
            <w:tcW w:w="1003" w:type="pct"/>
            <w:shd w:val="clear" w:color="auto" w:fill="CAE7F3"/>
            <w:noWrap/>
            <w:vAlign w:val="bottom"/>
            <w:hideMark/>
          </w:tcPr>
          <w:p w14:paraId="7418B2DA" w14:textId="77777777" w:rsidR="00D471AD" w:rsidRPr="000D502B" w:rsidRDefault="00D471AD" w:rsidP="004A31A9">
            <w:pPr>
              <w:pStyle w:val="Tabletext"/>
              <w:jc w:val="right"/>
              <w:rPr>
                <w:lang w:eastAsia="en-AU"/>
              </w:rPr>
            </w:pPr>
            <w:r w:rsidRPr="000D502B">
              <w:rPr>
                <w:lang w:eastAsia="en-AU"/>
              </w:rPr>
              <w:t>22</w:t>
            </w:r>
          </w:p>
        </w:tc>
        <w:tc>
          <w:tcPr>
            <w:tcW w:w="1017" w:type="pct"/>
            <w:shd w:val="clear" w:color="auto" w:fill="CAE7F3"/>
            <w:noWrap/>
            <w:vAlign w:val="bottom"/>
            <w:hideMark/>
          </w:tcPr>
          <w:p w14:paraId="7418B2DB" w14:textId="77777777" w:rsidR="00D471AD" w:rsidRPr="000D502B" w:rsidRDefault="00D471AD" w:rsidP="004A31A9">
            <w:pPr>
              <w:pStyle w:val="Tabletext"/>
              <w:jc w:val="right"/>
              <w:rPr>
                <w:lang w:eastAsia="en-AU"/>
              </w:rPr>
            </w:pPr>
            <w:r w:rsidRPr="000D502B">
              <w:rPr>
                <w:lang w:eastAsia="en-AU"/>
              </w:rPr>
              <w:t>9</w:t>
            </w:r>
          </w:p>
        </w:tc>
      </w:tr>
      <w:tr w:rsidR="00D471AD" w:rsidRPr="000D502B" w14:paraId="7418B2E1" w14:textId="77777777" w:rsidTr="004A31A9">
        <w:trPr>
          <w:trHeight w:val="300"/>
        </w:trPr>
        <w:tc>
          <w:tcPr>
            <w:tcW w:w="2186" w:type="pct"/>
            <w:shd w:val="clear" w:color="auto" w:fill="CAE7F3"/>
            <w:noWrap/>
            <w:vAlign w:val="bottom"/>
            <w:hideMark/>
          </w:tcPr>
          <w:p w14:paraId="7418B2DD" w14:textId="77777777" w:rsidR="00D471AD" w:rsidRPr="000D502B" w:rsidRDefault="00D471AD" w:rsidP="004A31A9">
            <w:pPr>
              <w:pStyle w:val="Tabletext"/>
              <w:rPr>
                <w:lang w:eastAsia="en-AU"/>
              </w:rPr>
            </w:pPr>
            <w:r w:rsidRPr="000D502B">
              <w:rPr>
                <w:lang w:eastAsia="en-AU"/>
              </w:rPr>
              <w:t>$5 million to less than $10 million</w:t>
            </w:r>
          </w:p>
        </w:tc>
        <w:tc>
          <w:tcPr>
            <w:tcW w:w="794" w:type="pct"/>
            <w:shd w:val="clear" w:color="auto" w:fill="CAE7F3"/>
            <w:noWrap/>
            <w:vAlign w:val="bottom"/>
            <w:hideMark/>
          </w:tcPr>
          <w:p w14:paraId="7418B2DE" w14:textId="77777777" w:rsidR="00D471AD" w:rsidRPr="000D502B" w:rsidRDefault="00D471AD" w:rsidP="004A31A9">
            <w:pPr>
              <w:pStyle w:val="Tabletext"/>
              <w:jc w:val="right"/>
              <w:rPr>
                <w:lang w:eastAsia="en-AU"/>
              </w:rPr>
            </w:pPr>
            <w:r w:rsidRPr="000D502B">
              <w:rPr>
                <w:lang w:eastAsia="en-AU"/>
              </w:rPr>
              <w:t>4</w:t>
            </w:r>
          </w:p>
        </w:tc>
        <w:tc>
          <w:tcPr>
            <w:tcW w:w="1003" w:type="pct"/>
            <w:shd w:val="clear" w:color="auto" w:fill="CAE7F3"/>
            <w:noWrap/>
            <w:vAlign w:val="bottom"/>
            <w:hideMark/>
          </w:tcPr>
          <w:p w14:paraId="7418B2DF" w14:textId="77777777" w:rsidR="00D471AD" w:rsidRPr="000D502B" w:rsidRDefault="00D471AD" w:rsidP="004A31A9">
            <w:pPr>
              <w:pStyle w:val="Tabletext"/>
              <w:jc w:val="right"/>
              <w:rPr>
                <w:lang w:eastAsia="en-AU"/>
              </w:rPr>
            </w:pPr>
            <w:r w:rsidRPr="000D502B">
              <w:rPr>
                <w:lang w:eastAsia="en-AU"/>
              </w:rPr>
              <w:t>4</w:t>
            </w:r>
          </w:p>
        </w:tc>
        <w:tc>
          <w:tcPr>
            <w:tcW w:w="1017" w:type="pct"/>
            <w:shd w:val="clear" w:color="auto" w:fill="CAE7F3"/>
            <w:noWrap/>
            <w:vAlign w:val="bottom"/>
            <w:hideMark/>
          </w:tcPr>
          <w:p w14:paraId="7418B2E0" w14:textId="77777777" w:rsidR="00D471AD" w:rsidRPr="000D502B" w:rsidRDefault="00D471AD" w:rsidP="004A31A9">
            <w:pPr>
              <w:pStyle w:val="Tabletext"/>
              <w:jc w:val="right"/>
              <w:rPr>
                <w:lang w:eastAsia="en-AU"/>
              </w:rPr>
            </w:pPr>
            <w:r w:rsidRPr="000D502B">
              <w:rPr>
                <w:lang w:eastAsia="en-AU"/>
              </w:rPr>
              <w:t>7</w:t>
            </w:r>
          </w:p>
        </w:tc>
      </w:tr>
      <w:tr w:rsidR="00D471AD" w:rsidRPr="000D502B" w14:paraId="7418B2E6" w14:textId="77777777" w:rsidTr="004A31A9">
        <w:trPr>
          <w:trHeight w:val="300"/>
        </w:trPr>
        <w:tc>
          <w:tcPr>
            <w:tcW w:w="2186" w:type="pct"/>
            <w:shd w:val="clear" w:color="auto" w:fill="CAE7F3"/>
            <w:noWrap/>
            <w:vAlign w:val="bottom"/>
            <w:hideMark/>
          </w:tcPr>
          <w:p w14:paraId="7418B2E2" w14:textId="77777777" w:rsidR="00D471AD" w:rsidRPr="000D502B" w:rsidRDefault="00D471AD" w:rsidP="004A31A9">
            <w:pPr>
              <w:pStyle w:val="Tabletext"/>
              <w:rPr>
                <w:lang w:eastAsia="en-AU"/>
              </w:rPr>
            </w:pPr>
            <w:r w:rsidRPr="000D502B">
              <w:rPr>
                <w:lang w:eastAsia="en-AU"/>
              </w:rPr>
              <w:t>$10 million to less than $20 million</w:t>
            </w:r>
          </w:p>
        </w:tc>
        <w:tc>
          <w:tcPr>
            <w:tcW w:w="794" w:type="pct"/>
            <w:shd w:val="clear" w:color="auto" w:fill="CAE7F3"/>
            <w:noWrap/>
            <w:vAlign w:val="bottom"/>
            <w:hideMark/>
          </w:tcPr>
          <w:p w14:paraId="7418B2E3" w14:textId="77777777" w:rsidR="00D471AD" w:rsidRPr="000D502B" w:rsidRDefault="00D471AD" w:rsidP="004A31A9">
            <w:pPr>
              <w:pStyle w:val="Tabletext"/>
              <w:jc w:val="right"/>
            </w:pPr>
            <w:r w:rsidRPr="000D502B">
              <w:t>-</w:t>
            </w:r>
          </w:p>
        </w:tc>
        <w:tc>
          <w:tcPr>
            <w:tcW w:w="1003" w:type="pct"/>
            <w:shd w:val="clear" w:color="auto" w:fill="CAE7F3"/>
            <w:noWrap/>
            <w:vAlign w:val="bottom"/>
            <w:hideMark/>
          </w:tcPr>
          <w:p w14:paraId="7418B2E4" w14:textId="77777777" w:rsidR="00D471AD" w:rsidRPr="000D502B" w:rsidRDefault="00D471AD" w:rsidP="004A31A9">
            <w:pPr>
              <w:pStyle w:val="Tabletext"/>
              <w:jc w:val="right"/>
              <w:rPr>
                <w:lang w:eastAsia="en-AU"/>
              </w:rPr>
            </w:pPr>
            <w:r w:rsidRPr="000D502B">
              <w:rPr>
                <w:lang w:eastAsia="en-AU"/>
              </w:rPr>
              <w:t>8</w:t>
            </w:r>
          </w:p>
        </w:tc>
        <w:tc>
          <w:tcPr>
            <w:tcW w:w="1017" w:type="pct"/>
            <w:shd w:val="clear" w:color="auto" w:fill="CAE7F3"/>
            <w:noWrap/>
            <w:vAlign w:val="bottom"/>
            <w:hideMark/>
          </w:tcPr>
          <w:p w14:paraId="7418B2E5" w14:textId="77777777" w:rsidR="00D471AD" w:rsidRPr="000D502B" w:rsidRDefault="00D471AD" w:rsidP="004A31A9">
            <w:pPr>
              <w:pStyle w:val="Tabletext"/>
              <w:jc w:val="right"/>
              <w:rPr>
                <w:lang w:eastAsia="en-AU"/>
              </w:rPr>
            </w:pPr>
            <w:r w:rsidRPr="000D502B">
              <w:rPr>
                <w:lang w:eastAsia="en-AU"/>
              </w:rPr>
              <w:t>6</w:t>
            </w:r>
          </w:p>
        </w:tc>
      </w:tr>
      <w:tr w:rsidR="00D471AD" w:rsidRPr="000D502B" w14:paraId="7418B2EB" w14:textId="77777777" w:rsidTr="004A31A9">
        <w:trPr>
          <w:trHeight w:val="300"/>
        </w:trPr>
        <w:tc>
          <w:tcPr>
            <w:tcW w:w="2186" w:type="pct"/>
            <w:shd w:val="clear" w:color="auto" w:fill="CAE7F3"/>
            <w:noWrap/>
            <w:vAlign w:val="bottom"/>
            <w:hideMark/>
          </w:tcPr>
          <w:p w14:paraId="7418B2E7" w14:textId="77777777" w:rsidR="00D471AD" w:rsidRPr="000D502B" w:rsidRDefault="00D471AD" w:rsidP="004A31A9">
            <w:pPr>
              <w:pStyle w:val="Tabletext"/>
              <w:rPr>
                <w:lang w:eastAsia="en-AU"/>
              </w:rPr>
            </w:pPr>
            <w:r w:rsidRPr="000D502B">
              <w:rPr>
                <w:lang w:eastAsia="en-AU"/>
              </w:rPr>
              <w:t>$20 million or</w:t>
            </w:r>
            <w:r>
              <w:rPr>
                <w:lang w:eastAsia="en-AU"/>
              </w:rPr>
              <w:t xml:space="preserve"> </w:t>
            </w:r>
            <w:r w:rsidRPr="000D502B">
              <w:rPr>
                <w:lang w:eastAsia="en-AU"/>
              </w:rPr>
              <w:t>more</w:t>
            </w:r>
          </w:p>
        </w:tc>
        <w:tc>
          <w:tcPr>
            <w:tcW w:w="794" w:type="pct"/>
            <w:shd w:val="clear" w:color="auto" w:fill="CAE7F3"/>
            <w:noWrap/>
            <w:vAlign w:val="bottom"/>
            <w:hideMark/>
          </w:tcPr>
          <w:p w14:paraId="7418B2E8" w14:textId="77777777" w:rsidR="00D471AD" w:rsidRPr="000D502B" w:rsidRDefault="00D471AD" w:rsidP="004A31A9">
            <w:pPr>
              <w:pStyle w:val="Tabletext"/>
              <w:jc w:val="right"/>
            </w:pPr>
            <w:r w:rsidRPr="000D502B">
              <w:t>-</w:t>
            </w:r>
          </w:p>
        </w:tc>
        <w:tc>
          <w:tcPr>
            <w:tcW w:w="1003" w:type="pct"/>
            <w:shd w:val="clear" w:color="auto" w:fill="CAE7F3"/>
            <w:noWrap/>
            <w:vAlign w:val="bottom"/>
            <w:hideMark/>
          </w:tcPr>
          <w:p w14:paraId="7418B2E9" w14:textId="77777777" w:rsidR="00D471AD" w:rsidRPr="000D502B" w:rsidRDefault="00D471AD" w:rsidP="004A31A9">
            <w:pPr>
              <w:pStyle w:val="Tabletext"/>
              <w:jc w:val="right"/>
              <w:rPr>
                <w:lang w:eastAsia="en-AU"/>
              </w:rPr>
            </w:pPr>
            <w:r w:rsidRPr="000D502B">
              <w:rPr>
                <w:lang w:eastAsia="en-AU"/>
              </w:rPr>
              <w:t>12</w:t>
            </w:r>
          </w:p>
        </w:tc>
        <w:tc>
          <w:tcPr>
            <w:tcW w:w="1017" w:type="pct"/>
            <w:shd w:val="clear" w:color="auto" w:fill="CAE7F3"/>
            <w:noWrap/>
            <w:vAlign w:val="bottom"/>
            <w:hideMark/>
          </w:tcPr>
          <w:p w14:paraId="7418B2EA" w14:textId="77777777" w:rsidR="00D471AD" w:rsidRPr="000D502B" w:rsidRDefault="00D471AD" w:rsidP="004A31A9">
            <w:pPr>
              <w:pStyle w:val="Tabletext"/>
              <w:jc w:val="right"/>
              <w:rPr>
                <w:lang w:eastAsia="en-AU"/>
              </w:rPr>
            </w:pPr>
            <w:r w:rsidRPr="000D502B">
              <w:rPr>
                <w:lang w:eastAsia="en-AU"/>
              </w:rPr>
              <w:t>9</w:t>
            </w:r>
          </w:p>
        </w:tc>
      </w:tr>
      <w:tr w:rsidR="00D471AD" w:rsidRPr="000D502B" w14:paraId="7418B2F0" w14:textId="77777777" w:rsidTr="004A31A9">
        <w:trPr>
          <w:trHeight w:val="300"/>
        </w:trPr>
        <w:tc>
          <w:tcPr>
            <w:tcW w:w="2186" w:type="pct"/>
            <w:shd w:val="clear" w:color="auto" w:fill="CAE7F3"/>
            <w:noWrap/>
            <w:vAlign w:val="bottom"/>
            <w:hideMark/>
          </w:tcPr>
          <w:p w14:paraId="7418B2EC" w14:textId="77777777" w:rsidR="00D471AD" w:rsidRPr="000D502B" w:rsidRDefault="00D471AD" w:rsidP="004A31A9">
            <w:pPr>
              <w:pStyle w:val="Tabletext"/>
              <w:rPr>
                <w:lang w:eastAsia="en-AU"/>
              </w:rPr>
            </w:pPr>
            <w:r w:rsidRPr="000D502B">
              <w:rPr>
                <w:lang w:eastAsia="en-AU"/>
              </w:rPr>
              <w:t>Total</w:t>
            </w:r>
          </w:p>
        </w:tc>
        <w:tc>
          <w:tcPr>
            <w:tcW w:w="794" w:type="pct"/>
            <w:shd w:val="clear" w:color="auto" w:fill="CAE7F3"/>
            <w:noWrap/>
            <w:vAlign w:val="bottom"/>
            <w:hideMark/>
          </w:tcPr>
          <w:p w14:paraId="7418B2ED" w14:textId="77777777" w:rsidR="00D471AD" w:rsidRPr="000D502B" w:rsidRDefault="00D471AD" w:rsidP="004A31A9">
            <w:pPr>
              <w:pStyle w:val="Tabletext"/>
              <w:jc w:val="right"/>
              <w:rPr>
                <w:lang w:eastAsia="en-AU"/>
              </w:rPr>
            </w:pPr>
            <w:r w:rsidRPr="000D502B">
              <w:rPr>
                <w:lang w:eastAsia="en-AU"/>
              </w:rPr>
              <w:t>142</w:t>
            </w:r>
          </w:p>
        </w:tc>
        <w:tc>
          <w:tcPr>
            <w:tcW w:w="1003" w:type="pct"/>
            <w:shd w:val="clear" w:color="auto" w:fill="CAE7F3"/>
            <w:noWrap/>
            <w:vAlign w:val="bottom"/>
            <w:hideMark/>
          </w:tcPr>
          <w:p w14:paraId="7418B2EE" w14:textId="77777777" w:rsidR="00D471AD" w:rsidRPr="000D502B" w:rsidRDefault="00D471AD" w:rsidP="004A31A9">
            <w:pPr>
              <w:pStyle w:val="Tabletext"/>
              <w:jc w:val="right"/>
              <w:rPr>
                <w:lang w:eastAsia="en-AU"/>
              </w:rPr>
            </w:pPr>
            <w:r w:rsidRPr="000D502B">
              <w:rPr>
                <w:lang w:eastAsia="en-AU"/>
              </w:rPr>
              <w:t>111</w:t>
            </w:r>
          </w:p>
        </w:tc>
        <w:tc>
          <w:tcPr>
            <w:tcW w:w="1017" w:type="pct"/>
            <w:shd w:val="clear" w:color="auto" w:fill="CAE7F3"/>
            <w:noWrap/>
            <w:vAlign w:val="bottom"/>
            <w:hideMark/>
          </w:tcPr>
          <w:p w14:paraId="7418B2EF" w14:textId="77777777" w:rsidR="00D471AD" w:rsidRPr="000D502B" w:rsidRDefault="00D471AD" w:rsidP="004A31A9">
            <w:pPr>
              <w:pStyle w:val="Tabletext"/>
              <w:jc w:val="right"/>
              <w:rPr>
                <w:lang w:eastAsia="en-AU"/>
              </w:rPr>
            </w:pPr>
            <w:r w:rsidRPr="000D502B">
              <w:rPr>
                <w:lang w:eastAsia="en-AU"/>
              </w:rPr>
              <w:t>48</w:t>
            </w:r>
          </w:p>
        </w:tc>
      </w:tr>
    </w:tbl>
    <w:p w14:paraId="7418B2F1" w14:textId="77777777" w:rsidR="00D471AD" w:rsidRPr="001729A3" w:rsidRDefault="00D471AD" w:rsidP="00D471AD">
      <w:pPr>
        <w:pStyle w:val="Note"/>
        <w:rPr>
          <w:lang w:val="en-AU"/>
        </w:rPr>
      </w:pPr>
      <w:r w:rsidRPr="001729A3">
        <w:rPr>
          <w:lang w:val="en-AU"/>
        </w:rPr>
        <w:t>Notes: Missing cells have been confidentialised due to low counts.</w:t>
      </w:r>
    </w:p>
    <w:p w14:paraId="7418B2F2" w14:textId="77777777" w:rsidR="00D471AD" w:rsidRPr="001729A3" w:rsidRDefault="00D471AD" w:rsidP="00D471AD">
      <w:pPr>
        <w:pStyle w:val="Source"/>
        <w:rPr>
          <w:lang w:val="en-AU"/>
        </w:rPr>
        <w:sectPr w:rsidR="00D471AD" w:rsidRPr="001729A3" w:rsidSect="004A31A9">
          <w:footnotePr>
            <w:numFmt w:val="upperRoman"/>
          </w:footnotePr>
          <w:endnotePr>
            <w:numFmt w:val="decimal"/>
          </w:endnotePr>
          <w:pgSz w:w="11906" w:h="16838" w:code="9"/>
          <w:pgMar w:top="1440" w:right="1020" w:bottom="1440" w:left="992" w:header="709" w:footer="709" w:gutter="0"/>
          <w:cols w:space="708"/>
          <w:docGrid w:linePitch="360"/>
        </w:sectPr>
      </w:pPr>
      <w:r w:rsidRPr="001729A3">
        <w:rPr>
          <w:lang w:val="en-AU"/>
        </w:rPr>
        <w:t>Source: Customised ABS data commissioned by the Department of Industry, Innovation and Science</w:t>
      </w:r>
      <w:r w:rsidRPr="001729A3" w:rsidDel="00F156D0">
        <w:rPr>
          <w:lang w:val="en-AU"/>
        </w:rPr>
        <w:t xml:space="preserve"> </w:t>
      </w:r>
    </w:p>
    <w:p w14:paraId="7418B2F3" w14:textId="77777777" w:rsidR="00D471AD" w:rsidRPr="001729A3" w:rsidRDefault="00D471AD" w:rsidP="00D471AD">
      <w:pPr>
        <w:pStyle w:val="Source"/>
        <w:rPr>
          <w:lang w:val="en-AU"/>
        </w:rPr>
        <w:sectPr w:rsidR="00D471AD" w:rsidRPr="001729A3" w:rsidSect="004A31A9">
          <w:footnotePr>
            <w:numFmt w:val="upperRoman"/>
          </w:footnotePr>
          <w:endnotePr>
            <w:numFmt w:val="decimal"/>
          </w:endnotePr>
          <w:type w:val="continuous"/>
          <w:pgSz w:w="11906" w:h="16838" w:code="9"/>
          <w:pgMar w:top="1440" w:right="1020" w:bottom="1440" w:left="992" w:header="709" w:footer="709" w:gutter="0"/>
          <w:cols w:num="2" w:space="708"/>
          <w:docGrid w:linePitch="360"/>
        </w:sectPr>
      </w:pPr>
    </w:p>
    <w:p w14:paraId="7418B2F4" w14:textId="77777777" w:rsidR="00D471AD" w:rsidRPr="00EA2D78" w:rsidRDefault="00D471AD" w:rsidP="00D471AD">
      <w:pPr>
        <w:pStyle w:val="Heading2"/>
      </w:pPr>
      <w:bookmarkStart w:id="2630" w:name="_Toc462230106"/>
      <w:bookmarkStart w:id="2631" w:name="_Toc462231467"/>
      <w:bookmarkStart w:id="2632" w:name="_Toc463013967"/>
      <w:bookmarkStart w:id="2633" w:name="_Toc463014076"/>
      <w:bookmarkStart w:id="2634" w:name="_Toc463014510"/>
      <w:bookmarkStart w:id="2635" w:name="_Toc463877043"/>
      <w:bookmarkStart w:id="2636" w:name="_Toc465862837"/>
      <w:r w:rsidRPr="00EA2D78">
        <w:t>Product market regulation</w:t>
      </w:r>
      <w:bookmarkEnd w:id="2630"/>
      <w:bookmarkEnd w:id="2631"/>
      <w:bookmarkEnd w:id="2632"/>
      <w:bookmarkEnd w:id="2633"/>
      <w:bookmarkEnd w:id="2634"/>
      <w:bookmarkEnd w:id="2635"/>
      <w:bookmarkEnd w:id="2636"/>
    </w:p>
    <w:p w14:paraId="7418B2F5" w14:textId="77777777" w:rsidR="00D471AD" w:rsidRPr="001729A3" w:rsidRDefault="00D471AD" w:rsidP="00D471AD">
      <w:pPr>
        <w:pStyle w:val="BodyText"/>
      </w:pPr>
      <w:r w:rsidRPr="001729A3">
        <w:t>Product Market Regulation (PMR; see glossary) can influence the process of creative destruction by reducing competitive pressures on incumbent businesses and making it harder for new challengers to establish themselves in a market. Research suggests that there are large differences across the OECD in the growth performance of new businesses after they enter the market.</w:t>
      </w:r>
      <w:r w:rsidRPr="001729A3">
        <w:rPr>
          <w:rStyle w:val="EndnoteReference"/>
        </w:rPr>
        <w:endnoteReference w:id="72"/>
      </w:r>
      <w:r w:rsidRPr="001729A3">
        <w:t xml:space="preserve"> These differences may partly reflect the influence of product market regulation.</w:t>
      </w:r>
    </w:p>
    <w:p w14:paraId="7418B2F6" w14:textId="77777777" w:rsidR="00D471AD" w:rsidRPr="001729A3" w:rsidRDefault="00D471AD" w:rsidP="00D471AD">
      <w:pPr>
        <w:pStyle w:val="BodyText"/>
      </w:pPr>
      <w:r w:rsidRPr="001729A3">
        <w:t xml:space="preserve">The OECD measures barriers to entrepreneurship using its Product Market Regulation Database </w:t>
      </w:r>
      <w:r w:rsidRPr="006F2381">
        <w:t xml:space="preserve">(Methodology 5.1). </w:t>
      </w:r>
    </w:p>
    <w:p w14:paraId="7418B2F7" w14:textId="77777777" w:rsidR="00D471AD" w:rsidRPr="001729A3" w:rsidRDefault="00D471AD" w:rsidP="00D471AD">
      <w:pPr>
        <w:pStyle w:val="BodyText"/>
      </w:pPr>
      <w:r w:rsidRPr="001729A3">
        <w:t>Barriers to entrepreneurship include the administrative burdens on start-ups (costs of creating a new business), the regulatory protection of incumbents, and the complexity of regulatory procedures.</w:t>
      </w:r>
    </w:p>
    <w:p w14:paraId="7418B2F8" w14:textId="77777777" w:rsidR="00D471AD" w:rsidRPr="001729A3" w:rsidRDefault="00D471AD" w:rsidP="00D471AD">
      <w:pPr>
        <w:pStyle w:val="BodyText"/>
      </w:pPr>
      <w:r w:rsidRPr="001729A3">
        <w:t xml:space="preserve">In 2013, Australia was ranked </w:t>
      </w:r>
      <w:r>
        <w:t>17</w:t>
      </w:r>
      <w:r w:rsidRPr="001729A3">
        <w:t>th out of 34 OECD countries in the overall barriers to entrepreneurship indicator (see</w:t>
      </w:r>
      <w:r>
        <w:t xml:space="preserve"> </w:t>
      </w:r>
      <w:r w:rsidRPr="001729A3">
        <w:fldChar w:fldCharType="begin"/>
      </w:r>
      <w:r w:rsidRPr="001729A3">
        <w:instrText xml:space="preserve"> REF _Ref462223774 \h </w:instrText>
      </w:r>
      <w:r w:rsidRPr="001729A3">
        <w:fldChar w:fldCharType="separate"/>
      </w:r>
      <w:r w:rsidRPr="000D502B">
        <w:t xml:space="preserve">Figure </w:t>
      </w:r>
      <w:r>
        <w:rPr>
          <w:noProof/>
        </w:rPr>
        <w:t>5</w:t>
      </w:r>
      <w:r w:rsidRPr="000D502B">
        <w:t>.</w:t>
      </w:r>
      <w:r>
        <w:rPr>
          <w:noProof/>
        </w:rPr>
        <w:t>2</w:t>
      </w:r>
      <w:r w:rsidRPr="001729A3">
        <w:fldChar w:fldCharType="end"/>
      </w:r>
      <w:r w:rsidRPr="001729A3">
        <w:t xml:space="preserve">, Panel A). Notwithstanding, the decomposition of </w:t>
      </w:r>
      <w:r>
        <w:t xml:space="preserve">the </w:t>
      </w:r>
      <w:r w:rsidRPr="001729A3">
        <w:t xml:space="preserve">barriers to entrepreneurship reveals that Australia had the lowest burdens on start-ups in the OECD (1st </w:t>
      </w:r>
      <w:r>
        <w:t xml:space="preserve">out </w:t>
      </w:r>
      <w:r w:rsidRPr="001729A3">
        <w:t>of 34 countries</w:t>
      </w:r>
      <w:r>
        <w:t>,</w:t>
      </w:r>
      <w:r w:rsidRPr="001729A3">
        <w:t xml:space="preserve"> Panel B), high complexity o</w:t>
      </w:r>
      <w:r>
        <w:t>f regulatory protection (23</w:t>
      </w:r>
      <w:r w:rsidRPr="005E299D">
        <w:t>rd</w:t>
      </w:r>
      <w:r>
        <w:t xml:space="preserve"> out of 34 countries, </w:t>
      </w:r>
      <w:r w:rsidRPr="001729A3">
        <w:t xml:space="preserve">Panel </w:t>
      </w:r>
      <w:r>
        <w:t>C), and</w:t>
      </w:r>
      <w:r w:rsidRPr="001729A3">
        <w:t xml:space="preserve"> very high regulatory protection of incumbents (3</w:t>
      </w:r>
      <w:r>
        <w:t>2nd out of 34 countries,</w:t>
      </w:r>
      <w:r w:rsidRPr="001729A3">
        <w:t xml:space="preserve"> Panel </w:t>
      </w:r>
      <w:r>
        <w:t>D</w:t>
      </w:r>
      <w:r w:rsidRPr="001729A3">
        <w:t>)</w:t>
      </w:r>
      <w:r>
        <w:t>.</w:t>
      </w:r>
      <w:r w:rsidRPr="001729A3">
        <w:t xml:space="preserve"> Hence, in Australia there are low initial costs associated with creating a new business, but once created, businesses then have to negotiate higher levels of business regulation</w:t>
      </w:r>
      <w:r>
        <w:t>,</w:t>
      </w:r>
      <w:r w:rsidRPr="001729A3">
        <w:t xml:space="preserve"> which can become costly. High regulatory protection can favour incumbents</w:t>
      </w:r>
      <w:r>
        <w:t>,</w:t>
      </w:r>
      <w:r w:rsidRPr="001729A3">
        <w:t xml:space="preserve"> and can make it hard for new businesses to establish themselves in the market.</w:t>
      </w:r>
      <w:r w:rsidRPr="001729A3">
        <w:rPr>
          <w:rStyle w:val="EndnoteReference"/>
        </w:rPr>
        <w:endnoteReference w:id="73"/>
      </w:r>
    </w:p>
    <w:p w14:paraId="7418B2F9" w14:textId="77777777" w:rsidR="00D471AD" w:rsidRPr="000D502B" w:rsidRDefault="00D471AD" w:rsidP="00D471AD">
      <w:pPr>
        <w:pStyle w:val="Caption"/>
        <w:spacing w:after="0"/>
      </w:pPr>
      <w:bookmarkStart w:id="2637" w:name="_Ref462223774"/>
      <w:bookmarkStart w:id="2638" w:name="_Toc463013910"/>
      <w:bookmarkStart w:id="2639" w:name="_Toc463014019"/>
      <w:bookmarkStart w:id="2640" w:name="_Toc463014453"/>
      <w:bookmarkStart w:id="2641" w:name="_Toc463877093"/>
      <w:bookmarkStart w:id="2642" w:name="_Toc465864605"/>
      <w:r w:rsidRPr="000D502B">
        <w:t xml:space="preserve">Figure </w:t>
      </w:r>
      <w:fldSimple w:instr=" STYLEREF 1 \s ">
        <w:r>
          <w:rPr>
            <w:noProof/>
          </w:rPr>
          <w:t>5</w:t>
        </w:r>
      </w:fldSimple>
      <w:r w:rsidRPr="000D502B">
        <w:t>.</w:t>
      </w:r>
      <w:fldSimple w:instr=" SEQ Figure \* ARABIC \s 1 ">
        <w:r>
          <w:rPr>
            <w:noProof/>
          </w:rPr>
          <w:t>2</w:t>
        </w:r>
      </w:fldSimple>
      <w:bookmarkEnd w:id="2637"/>
      <w:r w:rsidRPr="000D502B">
        <w:t xml:space="preserve">: Barriers to entrepreneurship (panel A), </w:t>
      </w:r>
      <w:r>
        <w:t>a</w:t>
      </w:r>
      <w:r w:rsidRPr="000D502B">
        <w:t>dministrative burdens on start-ups (panel B), complexity of regulatory procedures (panel C) and regulatory protection of incumbents (panel D), 201</w:t>
      </w:r>
      <w:r>
        <w:t>3</w:t>
      </w:r>
      <w:bookmarkEnd w:id="2638"/>
      <w:bookmarkEnd w:id="2639"/>
      <w:bookmarkEnd w:id="2640"/>
      <w:bookmarkEnd w:id="2641"/>
      <w:bookmarkEnd w:id="2642"/>
    </w:p>
    <w:p w14:paraId="7418B2FA" w14:textId="77777777" w:rsidR="00D471AD" w:rsidRPr="000D502B" w:rsidRDefault="00D471AD" w:rsidP="00D471AD">
      <w:r>
        <w:rPr>
          <w:noProof/>
          <w:lang w:eastAsia="en-AU"/>
        </w:rPr>
        <w:drawing>
          <wp:inline distT="0" distB="0" distL="0" distR="0" wp14:anchorId="7418C679" wp14:editId="7418C67A">
            <wp:extent cx="2713167" cy="7901796"/>
            <wp:effectExtent l="0" t="0" r="0" b="4445"/>
            <wp:docPr id="1" name="Picture 1" descr="There are four panels in figure 5.2 showing international comparisons of barriers to entrepreneurship and its elements. Panel A shows the composite indicator, barriers to entrepreneurship. Australia’s score is 1.7, compared to an OECD average of 1.7 and an OECD top five average of 0.5. Panel B shows the administrative burden on start-ups. Australia’s score is 0.9, compared to an OECD average of 1.9 and an OECD to five average of 1.1. Panel C shows the complexity of regulatory procedures. Australia’s score is 2.3, compared to an OECD average of 1.9 and an OECD top five average of 0.7. Panel D shows regulatory protection of incumbents. Australia’s score is 1.9, compared to an OECD average of 1.3 and an OECD top five average of 0.8." title="Figure 5.2: Barriers to entrepreneurship (panel A), administrative burdens on start-ups (panel B), complexity of regulatory procedures (panel C) and regulatory protection of incumbents (panel 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18485" cy="7917284"/>
                    </a:xfrm>
                    <a:prstGeom prst="rect">
                      <a:avLst/>
                    </a:prstGeom>
                    <a:noFill/>
                  </pic:spPr>
                </pic:pic>
              </a:graphicData>
            </a:graphic>
          </wp:inline>
        </w:drawing>
      </w:r>
    </w:p>
    <w:p w14:paraId="7418B2FB" w14:textId="77777777" w:rsidR="00D471AD" w:rsidRPr="001729A3" w:rsidRDefault="00D471AD" w:rsidP="00D471AD">
      <w:pPr>
        <w:pStyle w:val="Note"/>
        <w:rPr>
          <w:lang w:val="en-AU"/>
        </w:rPr>
      </w:pPr>
      <w:r w:rsidRPr="001729A3">
        <w:rPr>
          <w:lang w:val="en-AU"/>
        </w:rPr>
        <w:t xml:space="preserve">Notes: </w:t>
      </w:r>
      <w:r>
        <w:rPr>
          <w:lang w:val="en-AU"/>
        </w:rPr>
        <w:t>Indices</w:t>
      </w:r>
      <w:r w:rsidRPr="001729A3">
        <w:rPr>
          <w:lang w:val="en-AU"/>
        </w:rPr>
        <w:t xml:space="preserve"> </w:t>
      </w:r>
      <w:r>
        <w:rPr>
          <w:lang w:val="en-AU"/>
        </w:rPr>
        <w:t xml:space="preserve">range </w:t>
      </w:r>
      <w:r w:rsidRPr="001729A3">
        <w:rPr>
          <w:lang w:val="en-AU"/>
        </w:rPr>
        <w:t xml:space="preserve">from 0 to </w:t>
      </w:r>
      <w:r>
        <w:rPr>
          <w:lang w:val="en-AU"/>
        </w:rPr>
        <w:t>6</w:t>
      </w:r>
      <w:r w:rsidRPr="001729A3">
        <w:rPr>
          <w:lang w:val="en-AU"/>
        </w:rPr>
        <w:t xml:space="preserve">, </w:t>
      </w:r>
      <w:r>
        <w:rPr>
          <w:lang w:val="en-AU"/>
        </w:rPr>
        <w:t xml:space="preserve">where </w:t>
      </w:r>
      <w:r w:rsidRPr="001729A3">
        <w:rPr>
          <w:lang w:val="en-AU"/>
        </w:rPr>
        <w:t xml:space="preserve">the </w:t>
      </w:r>
      <w:r>
        <w:rPr>
          <w:lang w:val="en-AU"/>
        </w:rPr>
        <w:t xml:space="preserve">lower </w:t>
      </w:r>
      <w:r w:rsidRPr="001729A3">
        <w:rPr>
          <w:lang w:val="en-AU"/>
        </w:rPr>
        <w:t xml:space="preserve">the score, the </w:t>
      </w:r>
      <w:r>
        <w:rPr>
          <w:lang w:val="en-AU"/>
        </w:rPr>
        <w:t xml:space="preserve">less of an impediment is </w:t>
      </w:r>
      <w:r w:rsidRPr="001729A3">
        <w:rPr>
          <w:lang w:val="en-AU"/>
        </w:rPr>
        <w:t>the regulatory barrier.</w:t>
      </w:r>
      <w:r>
        <w:rPr>
          <w:lang w:val="en-GB"/>
        </w:rPr>
        <w:t xml:space="preserve"> The top five countries are thus those with the lowest scores, and are (A) </w:t>
      </w:r>
      <w:r w:rsidRPr="007233C3">
        <w:rPr>
          <w:lang w:val="en-GB"/>
        </w:rPr>
        <w:t>Slovak Republic, New Zealand, Netherlands, Italy and Denmark</w:t>
      </w:r>
      <w:r>
        <w:rPr>
          <w:lang w:val="en-GB"/>
        </w:rPr>
        <w:t xml:space="preserve">; (B) </w:t>
      </w:r>
      <w:r w:rsidRPr="007233C3">
        <w:rPr>
          <w:lang w:val="en-GB"/>
        </w:rPr>
        <w:t>Australia, New Zealand, Chile, Switzerland and Netherlands</w:t>
      </w:r>
      <w:r>
        <w:rPr>
          <w:lang w:val="en-GB"/>
        </w:rPr>
        <w:t xml:space="preserve">; (C) </w:t>
      </w:r>
      <w:r w:rsidRPr="007233C3">
        <w:rPr>
          <w:lang w:val="en-GB"/>
        </w:rPr>
        <w:t>Portugal, Slovak Republic, Italy, Hungary and Austria</w:t>
      </w:r>
      <w:r>
        <w:rPr>
          <w:lang w:val="en-GB"/>
        </w:rPr>
        <w:t xml:space="preserve">; (D) </w:t>
      </w:r>
      <w:r w:rsidRPr="007233C3">
        <w:rPr>
          <w:lang w:val="en-GB"/>
        </w:rPr>
        <w:t>United Kingdom, Estonia, Czech Republic, Austria and Slovak Republic</w:t>
      </w:r>
      <w:r>
        <w:rPr>
          <w:lang w:val="en-GB"/>
        </w:rPr>
        <w:t>.</w:t>
      </w:r>
    </w:p>
    <w:p w14:paraId="7418B2FC" w14:textId="77777777" w:rsidR="00D471AD" w:rsidRPr="001729A3" w:rsidRDefault="00D471AD" w:rsidP="00D471AD">
      <w:pPr>
        <w:pStyle w:val="Source"/>
        <w:rPr>
          <w:lang w:val="en-AU"/>
        </w:rPr>
      </w:pPr>
      <w:r w:rsidRPr="001729A3">
        <w:rPr>
          <w:lang w:val="en-AU"/>
        </w:rPr>
        <w:t>Source: OECD (2016) Product Market Regulation Database</w:t>
      </w:r>
    </w:p>
    <w:p w14:paraId="7418B2FD" w14:textId="77777777" w:rsidR="00D471AD" w:rsidRPr="000D502B" w:rsidRDefault="00D471AD" w:rsidP="00D471AD">
      <w:pPr>
        <w:pStyle w:val="Caption"/>
        <w:spacing w:before="120"/>
      </w:pPr>
      <w:r w:rsidRPr="000D502B">
        <w:t xml:space="preserve">Methodology </w:t>
      </w:r>
      <w:fldSimple w:instr=" STYLEREF 1 \s ">
        <w:r>
          <w:rPr>
            <w:noProof/>
          </w:rPr>
          <w:t>5</w:t>
        </w:r>
      </w:fldSimple>
      <w:r w:rsidRPr="000D502B">
        <w:t>.</w:t>
      </w:r>
      <w:fldSimple w:instr=" SEQ Methodology \* ARABIC \s 1 ">
        <w:r>
          <w:rPr>
            <w:noProof/>
          </w:rPr>
          <w:t>1</w:t>
        </w:r>
      </w:fldSimple>
      <w:r w:rsidRPr="000D502B">
        <w:t>: The OECD’s product market regulation database</w:t>
      </w:r>
    </w:p>
    <w:tbl>
      <w:tblPr>
        <w:tblStyle w:val="OCETable"/>
        <w:tblW w:w="4706" w:type="dxa"/>
        <w:tblInd w:w="57" w:type="dxa"/>
        <w:shd w:val="clear" w:color="auto" w:fill="292B67"/>
        <w:tblLayout w:type="fixed"/>
        <w:tblLook w:val="04A0" w:firstRow="1" w:lastRow="0" w:firstColumn="1" w:lastColumn="0" w:noHBand="0" w:noVBand="1"/>
        <w:tblCaption w:val="Methodology 5.1: The OECD's product market regulation database"/>
        <w:tblDescription w:val="Since the late 1990s, the OECD has been constructing a system of indicators to measure ongoing developments in PMR. These indicators have been condensed over time to form a new integrated PMR indicator. The PMR indicator is constructed from 18 base indicators that are grouped into three main components: state control, barriers to entrepreneurship, and barriers to trade and investment. &#10;The disaggregation of the PMR indicator into these three components suggests regulations that inhibit competition are higher in state control (OECD average 2.2) and barriers to entrepreneurship (OECD average 1.7) than in barriers to trade and investment (OECD average 0.5). High scores on barriers to entrepreneurship are usually driven by complex regulations and high administrative burdens on new entrants.&#10;"/>
      </w:tblPr>
      <w:tblGrid>
        <w:gridCol w:w="4706"/>
      </w:tblGrid>
      <w:tr w:rsidR="00D471AD" w:rsidRPr="000D502B" w14:paraId="7418B300"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92B67"/>
          </w:tcPr>
          <w:p w14:paraId="7418B2FE" w14:textId="77777777" w:rsidR="00D471AD" w:rsidRPr="00A53774" w:rsidRDefault="00D471AD" w:rsidP="004A31A9">
            <w:pPr>
              <w:pStyle w:val="Methodologytext"/>
              <w:spacing w:before="160"/>
              <w:rPr>
                <w:i w:val="0"/>
              </w:rPr>
            </w:pPr>
            <w:r w:rsidRPr="00A53774">
              <w:rPr>
                <w:i w:val="0"/>
              </w:rPr>
              <w:t xml:space="preserve">Since the late 1990s, the OECD has been constructing a system of indicators to measure ongoing developments in PMR. These indicators have been condensed over time to form a new integrated PMR indicator. The PMR indicator is constructed from 18 base indicators that are grouped into three main components: state control, barriers to entrepreneurship, and barriers to trade and investment. </w:t>
            </w:r>
          </w:p>
          <w:p w14:paraId="7418B2FF" w14:textId="77777777" w:rsidR="00D471AD" w:rsidRPr="001729A3" w:rsidRDefault="00D471AD" w:rsidP="004A31A9">
            <w:pPr>
              <w:pStyle w:val="Methodologyboxtext"/>
              <w:jc w:val="both"/>
            </w:pPr>
            <w:r w:rsidRPr="000D502B">
              <w:rPr>
                <w:i w:val="0"/>
              </w:rPr>
              <w:t xml:space="preserve">The disaggregation of the PMR indicator into these three components suggests regulations that inhibit competition are higher in state control (OECD average 2.2) and barriers to entrepreneurship (OECD average </w:t>
            </w:r>
            <w:r>
              <w:rPr>
                <w:i w:val="0"/>
              </w:rPr>
              <w:t>1.7</w:t>
            </w:r>
            <w:r w:rsidRPr="000D502B">
              <w:rPr>
                <w:i w:val="0"/>
              </w:rPr>
              <w:t xml:space="preserve">) than in barriers to trade and investment (OECD average 0.5). High scores on barriers to entrepreneurship are usually driven by </w:t>
            </w:r>
            <w:r>
              <w:rPr>
                <w:i w:val="0"/>
              </w:rPr>
              <w:t>complex regulations</w:t>
            </w:r>
            <w:r w:rsidRPr="000D502B">
              <w:rPr>
                <w:i w:val="0"/>
              </w:rPr>
              <w:t xml:space="preserve"> and high administrative burdens on new entrants.</w:t>
            </w:r>
          </w:p>
        </w:tc>
      </w:tr>
    </w:tbl>
    <w:p w14:paraId="7418B301" w14:textId="77777777" w:rsidR="00D471AD" w:rsidRPr="000D502B" w:rsidRDefault="00D471AD" w:rsidP="00D471AD">
      <w:pPr>
        <w:pStyle w:val="Heading2"/>
      </w:pPr>
      <w:bookmarkStart w:id="2643" w:name="_Toc462230107"/>
      <w:bookmarkStart w:id="2644" w:name="_Toc462231468"/>
      <w:bookmarkStart w:id="2645" w:name="_Toc463013968"/>
      <w:bookmarkStart w:id="2646" w:name="_Toc463014184"/>
      <w:bookmarkStart w:id="2647" w:name="_Toc463014511"/>
      <w:bookmarkStart w:id="2648" w:name="_Toc463877044"/>
      <w:bookmarkStart w:id="2649" w:name="_Toc465862838"/>
      <w:r w:rsidRPr="000D502B">
        <w:t>Australian Employee Share Schemes</w:t>
      </w:r>
      <w:bookmarkEnd w:id="2643"/>
      <w:bookmarkEnd w:id="2644"/>
      <w:bookmarkEnd w:id="2645"/>
      <w:bookmarkEnd w:id="2646"/>
      <w:bookmarkEnd w:id="2647"/>
      <w:bookmarkEnd w:id="2648"/>
      <w:bookmarkEnd w:id="2649"/>
    </w:p>
    <w:p w14:paraId="7418B302" w14:textId="77777777" w:rsidR="00D471AD" w:rsidRPr="001729A3" w:rsidRDefault="00D471AD" w:rsidP="00D471AD">
      <w:pPr>
        <w:pStyle w:val="BodyText"/>
      </w:pPr>
      <w:r w:rsidRPr="001729A3">
        <w:t xml:space="preserve">Attracting skilled employees is extremely important to enable businesses to innovate and grow. Survey data indicates that the top reason for businesses to introduce an Employee Share Scheme </w:t>
      </w:r>
      <w:r w:rsidRPr="006F2381">
        <w:t>(ESS; Definition 5.1) in Australia is to motivate, attract and retain competitive and valuable employees,</w:t>
      </w:r>
      <w:r w:rsidRPr="006F2381">
        <w:rPr>
          <w:rStyle w:val="EndnoteReference"/>
        </w:rPr>
        <w:endnoteReference w:id="74"/>
      </w:r>
      <w:r w:rsidRPr="006F2381">
        <w:t xml:space="preserve"> so an</w:t>
      </w:r>
      <w:r w:rsidRPr="001729A3">
        <w:t xml:space="preserve"> ESS is a form of organisational capital building. There is also evidence that an ESS programme indirectly encourages risk taking, entrepreneurship and investment</w:t>
      </w:r>
      <w:r>
        <w:t xml:space="preserve"> — </w:t>
      </w:r>
      <w:r w:rsidRPr="001729A3">
        <w:t>all important factors in fostering innovation.</w:t>
      </w:r>
      <w:r w:rsidRPr="001729A3">
        <w:rPr>
          <w:rStyle w:val="EndnoteReference"/>
        </w:rPr>
        <w:endnoteReference w:id="75"/>
      </w:r>
      <w:r w:rsidRPr="001729A3">
        <w:t xml:space="preserve"> </w:t>
      </w:r>
    </w:p>
    <w:p w14:paraId="7418B303" w14:textId="77777777" w:rsidR="00D471AD" w:rsidRPr="001729A3" w:rsidRDefault="00D471AD" w:rsidP="00D471AD">
      <w:pPr>
        <w:pStyle w:val="BodyText"/>
      </w:pPr>
      <w:r w:rsidRPr="001729A3">
        <w:t xml:space="preserve">Over the </w:t>
      </w:r>
      <w:r>
        <w:t>p</w:t>
      </w:r>
      <w:r w:rsidRPr="00660104">
        <w:t>ast</w:t>
      </w:r>
      <w:r w:rsidRPr="001729A3">
        <w:t xml:space="preserve"> twenty years there have been two federal parliamentary inquiries</w:t>
      </w:r>
      <w:r w:rsidRPr="001729A3">
        <w:rPr>
          <w:rStyle w:val="EndnoteReference"/>
        </w:rPr>
        <w:endnoteReference w:id="76"/>
      </w:r>
      <w:r w:rsidRPr="001729A3">
        <w:t xml:space="preserve"> into ESS that</w:t>
      </w:r>
      <w:r>
        <w:t xml:space="preserve"> found</w:t>
      </w:r>
      <w:r w:rsidRPr="001729A3">
        <w:t>, executive remuneration aside, ‘very little of a substantive nature is known about employee share plans in Australia at all’.</w:t>
      </w:r>
      <w:r w:rsidRPr="001729A3">
        <w:rPr>
          <w:rStyle w:val="EndnoteReference"/>
        </w:rPr>
        <w:endnoteReference w:id="77"/>
      </w:r>
      <w:r w:rsidRPr="001729A3">
        <w:t xml:space="preserve"> We recently undertook an Australian first research project using cross-sectional and panel analysis of </w:t>
      </w:r>
      <w:r>
        <w:t xml:space="preserve">ABS </w:t>
      </w:r>
      <w:r w:rsidRPr="001729A3">
        <w:t>Economic Activity Survey data and Australian Tax Office data (Methodology 5.2) to identify some of the characteristics and performance of businesses engaged in ESS over the period 2006–07 to 2014–15.</w:t>
      </w:r>
    </w:p>
    <w:p w14:paraId="7418B304" w14:textId="77777777" w:rsidR="00D471AD" w:rsidRPr="001729A3" w:rsidRDefault="00D471AD" w:rsidP="00D471AD">
      <w:pPr>
        <w:pStyle w:val="BodyText"/>
      </w:pPr>
      <w:r w:rsidRPr="001729A3">
        <w:t>ESS activity has been steadily rising in Australia, albeit from a very low base. ESS payments grew to just over $2 billion in 2014-15</w:t>
      </w:r>
      <w:r>
        <w:t>,</w:t>
      </w:r>
      <w:r w:rsidRPr="001729A3">
        <w:t xml:space="preserve"> and accounted for approximately 0.4 per cent of total wages and salaries in Australia (</w:t>
      </w:r>
      <w:r w:rsidRPr="001729A3">
        <w:fldChar w:fldCharType="begin"/>
      </w:r>
      <w:r w:rsidRPr="001729A3">
        <w:instrText xml:space="preserve"> REF _Ref462136057 \h </w:instrText>
      </w:r>
      <w:r w:rsidRPr="001729A3">
        <w:fldChar w:fldCharType="separate"/>
      </w:r>
      <w:r w:rsidRPr="000D502B">
        <w:t xml:space="preserve">Figure </w:t>
      </w:r>
      <w:r>
        <w:rPr>
          <w:noProof/>
        </w:rPr>
        <w:t>5</w:t>
      </w:r>
      <w:r w:rsidRPr="000D502B">
        <w:t>.</w:t>
      </w:r>
      <w:r>
        <w:rPr>
          <w:noProof/>
        </w:rPr>
        <w:t>3</w:t>
      </w:r>
      <w:r w:rsidRPr="001729A3">
        <w:fldChar w:fldCharType="end"/>
      </w:r>
      <w:r w:rsidRPr="001729A3">
        <w:t>). The majority of ESS spending is by mature businesses (86 per cent in 2014-15), particularly large, mature businesses (65 per cent in 2014-15). More specifically, the use of ESS is most common in large, mature businesses in the mining, professional, scientific and technical services, or finance and insurance services industries.</w:t>
      </w:r>
    </w:p>
    <w:p w14:paraId="7418B305" w14:textId="77777777" w:rsidR="00D471AD" w:rsidRPr="001729A3" w:rsidRDefault="00D471AD" w:rsidP="00D471AD">
      <w:pPr>
        <w:pStyle w:val="BodyText"/>
      </w:pPr>
      <w:r w:rsidRPr="001729A3">
        <w:t xml:space="preserve">Despite being much less likely to use an ESS, when small businesses do, they have a greater percentage of employees receiving ESS and it represents a significantly higher share of their annual total labour costs. For every dollar spent on wages by SMEs, approximately 25–53 cents were paid as share-based payments, when compared to only </w:t>
      </w:r>
      <w:r>
        <w:t>three</w:t>
      </w:r>
      <w:r w:rsidRPr="00660104">
        <w:t xml:space="preserve"> </w:t>
      </w:r>
      <w:r w:rsidRPr="001729A3">
        <w:t>cents for every dollar in large organisations.</w:t>
      </w:r>
    </w:p>
    <w:p w14:paraId="7418B306" w14:textId="77777777" w:rsidR="00D471AD" w:rsidRPr="000D502B" w:rsidRDefault="00D471AD" w:rsidP="00D471AD">
      <w:pPr>
        <w:pStyle w:val="Caption"/>
        <w:spacing w:before="120"/>
      </w:pPr>
      <w:r w:rsidRPr="000D502B">
        <w:t xml:space="preserve">Definition </w:t>
      </w:r>
      <w:fldSimple w:instr=" STYLEREF 1 \s ">
        <w:r>
          <w:rPr>
            <w:noProof/>
          </w:rPr>
          <w:t>5</w:t>
        </w:r>
      </w:fldSimple>
      <w:r w:rsidRPr="000D502B">
        <w:t>.</w:t>
      </w:r>
      <w:fldSimple w:instr=" SEQ Definition \* ARABIC \s 1 ">
        <w:r>
          <w:rPr>
            <w:noProof/>
          </w:rPr>
          <w:t>1</w:t>
        </w:r>
      </w:fldSimple>
      <w:r w:rsidRPr="000D502B">
        <w:t>: Employee Share Schemes</w:t>
      </w:r>
    </w:p>
    <w:tbl>
      <w:tblPr>
        <w:tblStyle w:val="OCETable"/>
        <w:tblW w:w="5000" w:type="pct"/>
        <w:tblInd w:w="57" w:type="dxa"/>
        <w:tblLayout w:type="fixed"/>
        <w:tblLook w:val="04A0" w:firstRow="1" w:lastRow="0" w:firstColumn="1" w:lastColumn="0" w:noHBand="0" w:noVBand="1"/>
        <w:tblCaption w:val="Definition 5.1: Employee Share Scheme"/>
        <w:tblDescription w:val="An employee share scheme (ESS), also referred to as an employee share option plan, employee share ownership scheme, or an employee equity scheme, is a remuneration scheme under which businesses offer to their employees shares, stapled securities, or rights to acquire them (options)."/>
      </w:tblPr>
      <w:tblGrid>
        <w:gridCol w:w="4593"/>
      </w:tblGrid>
      <w:tr w:rsidR="00D471AD" w:rsidRPr="000D502B" w14:paraId="7418B308"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Mar>
              <w:left w:w="0" w:type="dxa"/>
              <w:right w:w="0" w:type="dxa"/>
            </w:tcMar>
          </w:tcPr>
          <w:p w14:paraId="7418B307" w14:textId="77777777" w:rsidR="00D471AD" w:rsidRPr="001729A3" w:rsidRDefault="00D471AD" w:rsidP="004A31A9">
            <w:pPr>
              <w:pStyle w:val="Definitiontext"/>
              <w:spacing w:after="114"/>
              <w:jc w:val="both"/>
              <w:rPr>
                <w:i/>
                <w:lang w:val="en-AU"/>
              </w:rPr>
            </w:pPr>
            <w:r w:rsidRPr="00882E31">
              <w:rPr>
                <w:lang w:val="en-AU"/>
              </w:rPr>
              <w:t>An employee share scheme (ESS), also referred to as an employee share option plan, employee share ownership scheme, or an employee equity scheme, is a remuneration scheme under which businesses offer to their employees shares, stapled securities, or rights to acquire them (options).</w:t>
            </w:r>
          </w:p>
        </w:tc>
      </w:tr>
    </w:tbl>
    <w:p w14:paraId="7418B309" w14:textId="77777777" w:rsidR="00D471AD" w:rsidRPr="000D502B" w:rsidRDefault="00D471AD" w:rsidP="00D471AD">
      <w:pPr>
        <w:pStyle w:val="Caption"/>
      </w:pPr>
      <w:r>
        <w:br w:type="column"/>
      </w:r>
      <w:r w:rsidRPr="000D502B">
        <w:t xml:space="preserve">Methodology </w:t>
      </w:r>
      <w:fldSimple w:instr=" STYLEREF 1 \s ">
        <w:r>
          <w:rPr>
            <w:noProof/>
          </w:rPr>
          <w:t>5</w:t>
        </w:r>
      </w:fldSimple>
      <w:r w:rsidRPr="000D502B">
        <w:t>.</w:t>
      </w:r>
      <w:fldSimple w:instr=" SEQ Methodology \* ARABIC \s 1 ">
        <w:r>
          <w:rPr>
            <w:noProof/>
          </w:rPr>
          <w:t>2</w:t>
        </w:r>
      </w:fldSimple>
      <w:r w:rsidRPr="000D502B">
        <w:t>: Measuring the incidence and impact of ESS in Australia</w:t>
      </w:r>
    </w:p>
    <w:tbl>
      <w:tblPr>
        <w:tblStyle w:val="OCETable"/>
        <w:tblW w:w="4706" w:type="dxa"/>
        <w:tblInd w:w="57" w:type="dxa"/>
        <w:shd w:val="clear" w:color="auto" w:fill="292B67"/>
        <w:tblLayout w:type="fixed"/>
        <w:tblLook w:val="04A0" w:firstRow="1" w:lastRow="0" w:firstColumn="1" w:lastColumn="0" w:noHBand="0" w:noVBand="1"/>
        <w:tblCaption w:val="Methodology 5.2: Measuring the incidence and impact of ESS in Australia"/>
        <w:tblDescription w:val="Our study used two main data sources: the BLADE (see glossary) from the ABS, and Australian Tax Office (ATO) data, including Business Activity Statements and Pay-As-You-Go information. &#10;The Economic Activity Survey (EAS) is contained within the BLADE. The relevant survey question of the EAS form asks for employee share-based payments and stock options (analogous to an ESS), expensed to the business or organisation remunerating employees, and accrued during the current period. As such this information does not discriminate between narrow- or broad-based ESS. &#10;Demographic information such as business age, size or industry classification, are derived by a combination of data from the ABS Business Register and historical ATO reporting patterns.&#10;EAS uses stratified random sampling to produce population estimates of economic activity in Australia as published by the ABS in Australian Industry (ABS cat no. 8155.0). EAS data is collected annually for the fiscal year ending June 30 and each iteration contains approximately 20 000 businesses. &#10;Our study contrasts ESS and non-ESS businesses of the same age, size class and sector, recognising that these businesses are likely to use the same labour market and have similar human resource management practices. Most international studies examining the effects of ESS on productivity use cross-sectional data. &#10;"/>
      </w:tblPr>
      <w:tblGrid>
        <w:gridCol w:w="4706"/>
      </w:tblGrid>
      <w:tr w:rsidR="00D471AD" w:rsidRPr="000D502B" w14:paraId="7418B30F"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92B67"/>
          </w:tcPr>
          <w:p w14:paraId="7418B30A" w14:textId="77777777" w:rsidR="00D471AD" w:rsidRPr="00A53774" w:rsidRDefault="00D471AD" w:rsidP="004A31A9">
            <w:pPr>
              <w:pStyle w:val="Methodologytext"/>
              <w:spacing w:before="160"/>
              <w:rPr>
                <w:i w:val="0"/>
              </w:rPr>
            </w:pPr>
            <w:r>
              <w:rPr>
                <w:i w:val="0"/>
              </w:rPr>
              <w:t>Our study</w:t>
            </w:r>
            <w:r w:rsidRPr="00A53774">
              <w:rPr>
                <w:i w:val="0"/>
              </w:rPr>
              <w:t xml:space="preserve"> used two main data sources: the </w:t>
            </w:r>
            <w:r>
              <w:rPr>
                <w:i w:val="0"/>
              </w:rPr>
              <w:t>BLADE</w:t>
            </w:r>
            <w:r w:rsidRPr="00A53774">
              <w:rPr>
                <w:i w:val="0"/>
              </w:rPr>
              <w:t xml:space="preserve"> </w:t>
            </w:r>
            <w:r>
              <w:rPr>
                <w:i w:val="0"/>
              </w:rPr>
              <w:t>(see glossary)</w:t>
            </w:r>
            <w:r w:rsidRPr="00A53774">
              <w:rPr>
                <w:i w:val="0"/>
              </w:rPr>
              <w:t xml:space="preserve"> from the ABS, and Australian Tax Office (ATO) data, including Business Activity Statements and Pay-As-You-Go information.</w:t>
            </w:r>
            <w:r>
              <w:rPr>
                <w:i w:val="0"/>
              </w:rPr>
              <w:t xml:space="preserve"> </w:t>
            </w:r>
          </w:p>
          <w:p w14:paraId="7418B30B" w14:textId="77777777" w:rsidR="00D471AD" w:rsidRPr="00A53774" w:rsidRDefault="00D471AD" w:rsidP="004A31A9">
            <w:pPr>
              <w:pStyle w:val="Methodologytext"/>
              <w:rPr>
                <w:i w:val="0"/>
              </w:rPr>
            </w:pPr>
            <w:r w:rsidRPr="00A53774">
              <w:rPr>
                <w:i w:val="0"/>
              </w:rPr>
              <w:t xml:space="preserve">The Economic Activity Survey (EAS) is contained within the </w:t>
            </w:r>
            <w:r>
              <w:rPr>
                <w:i w:val="0"/>
              </w:rPr>
              <w:t>BLADE</w:t>
            </w:r>
            <w:r w:rsidRPr="00A53774">
              <w:rPr>
                <w:i w:val="0"/>
              </w:rPr>
              <w:t>. The relevant survey question of the EAS form asks for employee share</w:t>
            </w:r>
            <w:r>
              <w:rPr>
                <w:i w:val="0"/>
              </w:rPr>
              <w:t>-</w:t>
            </w:r>
            <w:r w:rsidRPr="00A53774">
              <w:rPr>
                <w:i w:val="0"/>
              </w:rPr>
              <w:t xml:space="preserve">based payments and stock options (analogous to an ESS), expensed to the </w:t>
            </w:r>
            <w:r>
              <w:rPr>
                <w:i w:val="0"/>
              </w:rPr>
              <w:t xml:space="preserve">business </w:t>
            </w:r>
            <w:r w:rsidRPr="00A53774">
              <w:rPr>
                <w:i w:val="0"/>
              </w:rPr>
              <w:t>or organisation remunerating employees, and accrued during the current period. As such this information does not discriminate between narrow</w:t>
            </w:r>
            <w:r>
              <w:rPr>
                <w:i w:val="0"/>
              </w:rPr>
              <w:t>-</w:t>
            </w:r>
            <w:r w:rsidRPr="00A53774">
              <w:rPr>
                <w:i w:val="0"/>
              </w:rPr>
              <w:t xml:space="preserve"> or broad-based ESS.</w:t>
            </w:r>
            <w:r>
              <w:rPr>
                <w:i w:val="0"/>
              </w:rPr>
              <w:t xml:space="preserve"> </w:t>
            </w:r>
          </w:p>
          <w:p w14:paraId="7418B30C" w14:textId="77777777" w:rsidR="00D471AD" w:rsidRPr="00A53774" w:rsidRDefault="00D471AD" w:rsidP="004A31A9">
            <w:pPr>
              <w:pStyle w:val="Methodologytext"/>
              <w:rPr>
                <w:i w:val="0"/>
              </w:rPr>
            </w:pPr>
            <w:r w:rsidRPr="00A53774">
              <w:rPr>
                <w:i w:val="0"/>
              </w:rPr>
              <w:t xml:space="preserve">Demographic information such as </w:t>
            </w:r>
            <w:r>
              <w:rPr>
                <w:i w:val="0"/>
              </w:rPr>
              <w:t xml:space="preserve">business </w:t>
            </w:r>
            <w:r w:rsidRPr="00A53774">
              <w:rPr>
                <w:i w:val="0"/>
              </w:rPr>
              <w:t>age, size or industry classification, are derived by a combination of data from the ABS Business Register and historical ATO reporting patterns.</w:t>
            </w:r>
          </w:p>
          <w:p w14:paraId="7418B30D" w14:textId="77777777" w:rsidR="00D471AD" w:rsidRPr="00A53774" w:rsidRDefault="00D471AD" w:rsidP="004A31A9">
            <w:pPr>
              <w:pStyle w:val="Methodologytext"/>
              <w:rPr>
                <w:i w:val="0"/>
              </w:rPr>
            </w:pPr>
            <w:r w:rsidRPr="00A53774">
              <w:rPr>
                <w:i w:val="0"/>
              </w:rPr>
              <w:t>EAS uses stratified random sampling to produce population estimates of economic activity in Australia as published by the ABS in Australian Industry (ABS cat no</w:t>
            </w:r>
            <w:r>
              <w:rPr>
                <w:i w:val="0"/>
              </w:rPr>
              <w:t>.</w:t>
            </w:r>
            <w:r w:rsidRPr="00A53774">
              <w:rPr>
                <w:i w:val="0"/>
              </w:rPr>
              <w:t xml:space="preserve"> 8155.0). EAS data is collected annually for the fiscal year ending June 30 and each iteration contains approximately 20</w:t>
            </w:r>
            <w:r>
              <w:rPr>
                <w:i w:val="0"/>
              </w:rPr>
              <w:t> 000</w:t>
            </w:r>
            <w:r w:rsidRPr="00A53774">
              <w:rPr>
                <w:i w:val="0"/>
              </w:rPr>
              <w:t xml:space="preserve"> </w:t>
            </w:r>
            <w:r>
              <w:rPr>
                <w:i w:val="0"/>
              </w:rPr>
              <w:t>businesses</w:t>
            </w:r>
            <w:r w:rsidRPr="00A53774">
              <w:rPr>
                <w:i w:val="0"/>
              </w:rPr>
              <w:t xml:space="preserve">. </w:t>
            </w:r>
          </w:p>
          <w:p w14:paraId="7418B30E" w14:textId="77777777" w:rsidR="00D471AD" w:rsidRPr="000D502B" w:rsidRDefault="00D471AD" w:rsidP="004A31A9">
            <w:pPr>
              <w:pStyle w:val="Methodologyboxtext"/>
              <w:jc w:val="both"/>
            </w:pPr>
            <w:r w:rsidRPr="00A53774">
              <w:rPr>
                <w:i w:val="0"/>
              </w:rPr>
              <w:t xml:space="preserve">Our study contrasts ESS and non-ESS </w:t>
            </w:r>
            <w:r>
              <w:rPr>
                <w:i w:val="0"/>
              </w:rPr>
              <w:t xml:space="preserve">businesses </w:t>
            </w:r>
            <w:r w:rsidRPr="00A53774">
              <w:rPr>
                <w:i w:val="0"/>
              </w:rPr>
              <w:t>of the same age, size class and sector</w:t>
            </w:r>
            <w:r>
              <w:rPr>
                <w:i w:val="0"/>
              </w:rPr>
              <w:t>,</w:t>
            </w:r>
            <w:r w:rsidRPr="00A53774">
              <w:rPr>
                <w:i w:val="0"/>
              </w:rPr>
              <w:t xml:space="preserve"> recognising that these </w:t>
            </w:r>
            <w:r>
              <w:rPr>
                <w:i w:val="0"/>
              </w:rPr>
              <w:t xml:space="preserve">businesses </w:t>
            </w:r>
            <w:r w:rsidRPr="00A53774">
              <w:rPr>
                <w:i w:val="0"/>
              </w:rPr>
              <w:t xml:space="preserve">are likely to use the same labour market and have similar human resource management practices. Most international studies examining the effects of ESS on productivity use cross-sectional data. </w:t>
            </w:r>
          </w:p>
        </w:tc>
      </w:tr>
    </w:tbl>
    <w:p w14:paraId="7418B310" w14:textId="77777777" w:rsidR="00D471AD" w:rsidRPr="001729A3" w:rsidRDefault="00D471AD" w:rsidP="00D471AD">
      <w:pPr>
        <w:pStyle w:val="BodyText"/>
      </w:pPr>
      <w:r w:rsidRPr="001729A3">
        <w:t>ESS schemes are seen as a way for business owners to attract and retain valuable employees</w:t>
      </w:r>
      <w:r>
        <w:t>,</w:t>
      </w:r>
      <w:r w:rsidRPr="001729A3">
        <w:t xml:space="preserve"> and enhance employee innovation and productivity. Our research </w:t>
      </w:r>
      <w:r w:rsidRPr="00D20978">
        <w:t>showed</w:t>
      </w:r>
      <w:r w:rsidRPr="001729A3">
        <w:t xml:space="preserve"> that businesses with ESS payments had on average a lower level of employee churn, higher wages per employee, and higher labour productivity, compared to other businesses of a similar size or age (</w:t>
      </w:r>
      <w:r w:rsidRPr="001729A3">
        <w:fldChar w:fldCharType="begin"/>
      </w:r>
      <w:r w:rsidRPr="001729A3">
        <w:instrText xml:space="preserve"> REF _Ref462136019 \h </w:instrText>
      </w:r>
      <w:r w:rsidRPr="001729A3">
        <w:fldChar w:fldCharType="separate"/>
      </w:r>
      <w:r w:rsidRPr="000D502B">
        <w:t xml:space="preserve">Figure </w:t>
      </w:r>
      <w:r>
        <w:rPr>
          <w:noProof/>
        </w:rPr>
        <w:t>5</w:t>
      </w:r>
      <w:r w:rsidRPr="000D502B">
        <w:t>.</w:t>
      </w:r>
      <w:r>
        <w:rPr>
          <w:noProof/>
        </w:rPr>
        <w:t>4</w:t>
      </w:r>
      <w:r w:rsidRPr="001729A3">
        <w:fldChar w:fldCharType="end"/>
      </w:r>
      <w:r w:rsidRPr="001729A3">
        <w:t>). This productivity difference was strongest for SMEs.</w:t>
      </w:r>
    </w:p>
    <w:p w14:paraId="7418B311" w14:textId="77777777" w:rsidR="00D471AD" w:rsidRPr="001729A3" w:rsidRDefault="00D471AD" w:rsidP="00D471AD">
      <w:pPr>
        <w:pStyle w:val="BodyText"/>
        <w:sectPr w:rsidR="00D471AD" w:rsidRPr="001729A3" w:rsidSect="004A31A9">
          <w:footnotePr>
            <w:numFmt w:val="upperRoman"/>
          </w:footnotePr>
          <w:endnotePr>
            <w:numFmt w:val="decimal"/>
          </w:endnotePr>
          <w:type w:val="continuous"/>
          <w:pgSz w:w="11906" w:h="16838" w:code="9"/>
          <w:pgMar w:top="1440" w:right="1020" w:bottom="1440" w:left="992" w:header="709" w:footer="709" w:gutter="0"/>
          <w:cols w:num="2" w:space="708"/>
          <w:docGrid w:linePitch="360"/>
        </w:sectPr>
      </w:pPr>
    </w:p>
    <w:p w14:paraId="7418B312" w14:textId="77777777" w:rsidR="00D471AD" w:rsidRPr="000D502B" w:rsidRDefault="00D471AD" w:rsidP="00D471AD">
      <w:pPr>
        <w:pStyle w:val="Caption"/>
      </w:pPr>
      <w:bookmarkStart w:id="2650" w:name="_Ref462136057"/>
      <w:bookmarkStart w:id="2651" w:name="_Toc463013911"/>
      <w:bookmarkStart w:id="2652" w:name="_Toc463014020"/>
      <w:bookmarkStart w:id="2653" w:name="_Toc463014454"/>
      <w:bookmarkStart w:id="2654" w:name="_Toc463877094"/>
      <w:bookmarkStart w:id="2655" w:name="_Toc465864606"/>
      <w:r w:rsidRPr="000D502B">
        <w:t xml:space="preserve">Figure </w:t>
      </w:r>
      <w:fldSimple w:instr=" STYLEREF 1 \s ">
        <w:r>
          <w:rPr>
            <w:noProof/>
          </w:rPr>
          <w:t>5</w:t>
        </w:r>
      </w:fldSimple>
      <w:r w:rsidRPr="000D502B">
        <w:t>.</w:t>
      </w:r>
      <w:fldSimple w:instr=" SEQ Figure \* ARABIC \s 1 ">
        <w:r>
          <w:rPr>
            <w:noProof/>
          </w:rPr>
          <w:t>3</w:t>
        </w:r>
      </w:fldSimple>
      <w:bookmarkEnd w:id="2650"/>
      <w:r w:rsidRPr="000D502B">
        <w:t xml:space="preserve">: Total share based employee share payments by </w:t>
      </w:r>
      <w:r>
        <w:t xml:space="preserve">business </w:t>
      </w:r>
      <w:r w:rsidRPr="000D502B">
        <w:t>size and age class, 2006-07 to 2014-15</w:t>
      </w:r>
      <w:bookmarkEnd w:id="2651"/>
      <w:bookmarkEnd w:id="2652"/>
      <w:bookmarkEnd w:id="2653"/>
      <w:bookmarkEnd w:id="2654"/>
      <w:bookmarkEnd w:id="2655"/>
    </w:p>
    <w:p w14:paraId="7418B313" w14:textId="77777777" w:rsidR="00D471AD" w:rsidRPr="001729A3" w:rsidRDefault="00D471AD" w:rsidP="00D471AD">
      <w:pPr>
        <w:pStyle w:val="Note"/>
        <w:rPr>
          <w:lang w:val="en-AU"/>
        </w:rPr>
      </w:pPr>
      <w:r w:rsidRPr="000D502B">
        <w:rPr>
          <w:noProof/>
          <w:lang w:val="en-AU" w:eastAsia="en-AU"/>
        </w:rPr>
        <w:drawing>
          <wp:inline distT="0" distB="0" distL="0" distR="0" wp14:anchorId="7418C67B" wp14:editId="7418C67C">
            <wp:extent cx="6340475" cy="2883535"/>
            <wp:effectExtent l="0" t="0" r="3175" b="0"/>
            <wp:docPr id="72" name="Picture 72" descr="Figure 5.3 analyses Employee Share Scheme (ESS) for Australia. The figure shows ESS activity has been steadily rising in Australia, albeit from a very low base. ESS payments grew to just over $2 billion in 2014-15, and accounted for approximately 0.4 per cent of total wages and salaries in Australia" title="Figure 5.3: Total share based employee share payments by business size and age class, 2006-07 to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340475" cy="2883535"/>
                    </a:xfrm>
                    <a:prstGeom prst="rect">
                      <a:avLst/>
                    </a:prstGeom>
                    <a:noFill/>
                  </pic:spPr>
                </pic:pic>
              </a:graphicData>
            </a:graphic>
          </wp:inline>
        </w:drawing>
      </w:r>
    </w:p>
    <w:p w14:paraId="7418B314" w14:textId="77777777" w:rsidR="00D471AD" w:rsidRPr="001729A3" w:rsidRDefault="00D471AD" w:rsidP="00D471AD">
      <w:pPr>
        <w:pStyle w:val="Note"/>
        <w:rPr>
          <w:lang w:val="en-AU"/>
        </w:rPr>
      </w:pPr>
      <w:r w:rsidRPr="001729A3">
        <w:rPr>
          <w:lang w:val="en-AU"/>
        </w:rPr>
        <w:t>Notes: Data is the weighted sum of employee share</w:t>
      </w:r>
      <w:r>
        <w:rPr>
          <w:lang w:val="en-AU"/>
        </w:rPr>
        <w:t>-</w:t>
      </w:r>
      <w:r w:rsidRPr="001729A3">
        <w:rPr>
          <w:lang w:val="en-AU"/>
        </w:rPr>
        <w:t xml:space="preserve">based payments and stock options, expensed to businesses/organisations for remunerating employees accrued over each financial year. Small businesses have 1-19 employees, medium businesses have 20-199 employees and large businesses have 200+ businesses. Young businesses are less than </w:t>
      </w:r>
      <w:r>
        <w:rPr>
          <w:lang w:val="en-AU"/>
        </w:rPr>
        <w:t>six</w:t>
      </w:r>
      <w:r w:rsidRPr="00660104">
        <w:rPr>
          <w:lang w:val="en-AU"/>
        </w:rPr>
        <w:t xml:space="preserve"> </w:t>
      </w:r>
      <w:r w:rsidRPr="001729A3">
        <w:rPr>
          <w:lang w:val="en-AU"/>
        </w:rPr>
        <w:t>years old. Mature businesses are 6+ years old. Averages incorporate all industry classes.</w:t>
      </w:r>
    </w:p>
    <w:p w14:paraId="7418B315" w14:textId="77777777" w:rsidR="00D471AD" w:rsidRPr="001729A3" w:rsidRDefault="00D471AD" w:rsidP="00D471AD">
      <w:pPr>
        <w:pStyle w:val="Source"/>
        <w:rPr>
          <w:lang w:val="en-AU"/>
        </w:rPr>
      </w:pPr>
      <w:r w:rsidRPr="001729A3">
        <w:rPr>
          <w:lang w:val="en-AU"/>
        </w:rPr>
        <w:t>Source: ABS (2016) Economic Activity Survey, 2006–07 to 2014-15</w:t>
      </w:r>
    </w:p>
    <w:p w14:paraId="7418B316" w14:textId="77777777" w:rsidR="00D471AD" w:rsidRPr="001729A3" w:rsidRDefault="00D471AD" w:rsidP="00D471AD">
      <w:pPr>
        <w:pStyle w:val="BodyText"/>
        <w:sectPr w:rsidR="00D471AD" w:rsidRPr="001729A3" w:rsidSect="004A31A9">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317" w14:textId="77777777" w:rsidR="00D471AD" w:rsidRPr="000D502B" w:rsidRDefault="00D471AD" w:rsidP="00D471AD">
      <w:pPr>
        <w:pStyle w:val="Caption"/>
        <w:spacing w:before="120"/>
      </w:pPr>
      <w:bookmarkStart w:id="2656" w:name="_Ref462136019"/>
      <w:bookmarkStart w:id="2657" w:name="_Toc463013912"/>
      <w:bookmarkStart w:id="2658" w:name="_Toc463014021"/>
      <w:bookmarkStart w:id="2659" w:name="_Toc463014455"/>
      <w:bookmarkStart w:id="2660" w:name="_Toc463877095"/>
      <w:bookmarkStart w:id="2661" w:name="_Toc465864607"/>
      <w:r w:rsidRPr="000D502B">
        <w:t xml:space="preserve">Figure </w:t>
      </w:r>
      <w:fldSimple w:instr=" STYLEREF 1 \s ">
        <w:r>
          <w:rPr>
            <w:noProof/>
          </w:rPr>
          <w:t>5</w:t>
        </w:r>
      </w:fldSimple>
      <w:r w:rsidRPr="000D502B">
        <w:t>.</w:t>
      </w:r>
      <w:fldSimple w:instr=" SEQ Figure \* ARABIC \s 1 ">
        <w:r>
          <w:rPr>
            <w:noProof/>
          </w:rPr>
          <w:t>4</w:t>
        </w:r>
      </w:fldSimple>
      <w:bookmarkEnd w:id="2656"/>
      <w:r w:rsidRPr="000D502B">
        <w:t xml:space="preserve">: Mean difference of value added per employee between ESS and Non-ESS </w:t>
      </w:r>
      <w:r>
        <w:t>businesses</w:t>
      </w:r>
      <w:r w:rsidRPr="000D502B">
        <w:t>, by size and age class, 2006-07 to 2014-15</w:t>
      </w:r>
      <w:bookmarkEnd w:id="2657"/>
      <w:bookmarkEnd w:id="2658"/>
      <w:bookmarkEnd w:id="2659"/>
      <w:bookmarkEnd w:id="2660"/>
      <w:bookmarkEnd w:id="2661"/>
    </w:p>
    <w:p w14:paraId="7418B318" w14:textId="77777777" w:rsidR="00D471AD" w:rsidRPr="001729A3" w:rsidRDefault="00D471AD" w:rsidP="00D471AD">
      <w:pPr>
        <w:pStyle w:val="Note"/>
        <w:rPr>
          <w:lang w:val="en-AU"/>
        </w:rPr>
      </w:pPr>
      <w:r>
        <w:rPr>
          <w:noProof/>
          <w:lang w:val="en-AU" w:eastAsia="en-AU"/>
        </w:rPr>
        <w:drawing>
          <wp:inline distT="0" distB="0" distL="0" distR="0" wp14:anchorId="7418C67D" wp14:editId="7418C67E">
            <wp:extent cx="6303645" cy="2889885"/>
            <wp:effectExtent l="0" t="0" r="1905" b="5715"/>
            <wp:docPr id="63" name="Picture 63" descr="Figure 5.4 shows that ESS payments had on average a lower level of employee churn, higher wages per employee, and higher labour productivity, compared to other businesses of a similar size or age. This productivity difference was strongest for SMEs." title="Figure 5.4: Mean difference of value added per employee between ESS and Non-ESS businesses, by size and age class, 2006-07 to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303645" cy="2889885"/>
                    </a:xfrm>
                    <a:prstGeom prst="rect">
                      <a:avLst/>
                    </a:prstGeom>
                    <a:noFill/>
                  </pic:spPr>
                </pic:pic>
              </a:graphicData>
            </a:graphic>
          </wp:inline>
        </w:drawing>
      </w:r>
    </w:p>
    <w:p w14:paraId="7418B319" w14:textId="77777777" w:rsidR="00D471AD" w:rsidRPr="001729A3" w:rsidRDefault="00D471AD" w:rsidP="00D471AD">
      <w:pPr>
        <w:pStyle w:val="Note"/>
        <w:rPr>
          <w:lang w:val="en-AU"/>
        </w:rPr>
      </w:pPr>
      <w:r w:rsidRPr="001729A3">
        <w:rPr>
          <w:lang w:val="en-AU"/>
        </w:rPr>
        <w:t xml:space="preserve">Notes: This figure shows the differences between means (ESS minus non-ESS) in percentage terms. For example small, young businesses with ESS had almost five times greater labour productivity than their non-ESS counterparts. Small businesses have 1-19 employees, medium businesses have 20-199 employees and large businesses have 200+ businesses. Young businesses are less than </w:t>
      </w:r>
      <w:r>
        <w:rPr>
          <w:lang w:val="en-AU"/>
        </w:rPr>
        <w:t>six</w:t>
      </w:r>
      <w:r w:rsidRPr="00660104">
        <w:rPr>
          <w:lang w:val="en-AU"/>
        </w:rPr>
        <w:t xml:space="preserve"> </w:t>
      </w:r>
      <w:r w:rsidRPr="001729A3">
        <w:rPr>
          <w:lang w:val="en-AU"/>
        </w:rPr>
        <w:t>years old. Mature businesses are 6+ years old. Averages incorporate all industry classes.</w:t>
      </w:r>
    </w:p>
    <w:p w14:paraId="7418B31A" w14:textId="77777777" w:rsidR="00D471AD" w:rsidRPr="001729A3" w:rsidRDefault="00D471AD" w:rsidP="00D471AD">
      <w:pPr>
        <w:pStyle w:val="Source"/>
        <w:rPr>
          <w:lang w:val="en-AU"/>
        </w:rPr>
      </w:pPr>
      <w:r w:rsidRPr="001729A3">
        <w:rPr>
          <w:lang w:val="en-AU"/>
        </w:rPr>
        <w:t>Source: ABS (2016) Economic Activity Survey 2006–07 to 2014-15</w:t>
      </w:r>
    </w:p>
    <w:p w14:paraId="7418B31B" w14:textId="77777777" w:rsidR="00D471AD" w:rsidRPr="001729A3" w:rsidRDefault="00D471AD" w:rsidP="00D471AD">
      <w:pPr>
        <w:pStyle w:val="BodyText"/>
        <w:sectPr w:rsidR="00D471AD" w:rsidRPr="001729A3" w:rsidSect="004A31A9">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31C" w14:textId="77777777" w:rsidR="00D471AD" w:rsidRPr="001729A3" w:rsidRDefault="00D471AD" w:rsidP="00D471AD">
      <w:pPr>
        <w:pStyle w:val="BodyText"/>
      </w:pPr>
      <w:r w:rsidRPr="001729A3">
        <w:t>ESS programmes can be either narrow-based (e.g. targeting the CEO and executives) or broad</w:t>
      </w:r>
      <w:r>
        <w:t>-based</w:t>
      </w:r>
      <w:r w:rsidRPr="001729A3">
        <w:t xml:space="preserve"> (targeting most or all employees). The international evidence is mounting that broad-based ESSs generate greater benefits to business performance if regularly offered to employees than narrow</w:t>
      </w:r>
      <w:r>
        <w:t>-based</w:t>
      </w:r>
      <w:r w:rsidRPr="001729A3">
        <w:t xml:space="preserve"> schemes do. Our data suggests that the greatest impact of ESS is seen in Australian SMEs. The data may suggest that ESS tax policy in Australia should generally exclude narrow-based ESS schemes (executive remuneration) for large businesses where any productivity dividend from public support would be expected to be the lowest. </w:t>
      </w:r>
    </w:p>
    <w:p w14:paraId="7418B31D" w14:textId="77777777" w:rsidR="00D471AD" w:rsidRPr="001729A3" w:rsidRDefault="00D471AD" w:rsidP="00D471AD">
      <w:pPr>
        <w:pStyle w:val="BodyText"/>
      </w:pPr>
      <w:r w:rsidRPr="001729A3">
        <w:t>Future work</w:t>
      </w:r>
      <w:r w:rsidRPr="001729A3" w:rsidDel="00F06B19">
        <w:t xml:space="preserve"> </w:t>
      </w:r>
      <w:r w:rsidRPr="001729A3">
        <w:t>could examine the impact of broad</w:t>
      </w:r>
      <w:r>
        <w:t>-based</w:t>
      </w:r>
      <w:r w:rsidRPr="001729A3">
        <w:t xml:space="preserve"> versus narrow</w:t>
      </w:r>
      <w:r>
        <w:t>-based</w:t>
      </w:r>
      <w:r w:rsidRPr="001729A3">
        <w:t xml:space="preserve"> ESS schemes on financial performance of SMEs and large businesses in Australia. Such analysis would be possible if the ABS and the ATO collaborate to clean and connect ATO ESS data to the </w:t>
      </w:r>
      <w:r>
        <w:t>BLADE</w:t>
      </w:r>
      <w:r w:rsidRPr="001729A3">
        <w:t>. The Economic Activity Survey could also be refined to differentiate between narrow</w:t>
      </w:r>
      <w:r>
        <w:t>-</w:t>
      </w:r>
      <w:r w:rsidRPr="001729A3">
        <w:t xml:space="preserve"> and broad-based schemes using a dummy variable.</w:t>
      </w:r>
      <w:r w:rsidRPr="001729A3">
        <w:rPr>
          <w:rStyle w:val="EndnoteReference"/>
        </w:rPr>
        <w:endnoteReference w:id="78"/>
      </w:r>
    </w:p>
    <w:p w14:paraId="7418B31E" w14:textId="77777777" w:rsidR="00D471AD" w:rsidRPr="001729A3" w:rsidRDefault="00D471AD" w:rsidP="00D471AD">
      <w:pPr>
        <w:pStyle w:val="BodyText"/>
      </w:pPr>
      <w:r w:rsidRPr="001729A3">
        <w:t>To find out more about this research</w:t>
      </w:r>
      <w:r>
        <w:t>,</w:t>
      </w:r>
      <w:r w:rsidRPr="001729A3">
        <w:t xml:space="preserve"> click </w:t>
      </w:r>
      <w:hyperlink r:id="rId171" w:history="1">
        <w:r w:rsidRPr="001729A3">
          <w:rPr>
            <w:rStyle w:val="Hyperlink"/>
          </w:rPr>
          <w:t>here</w:t>
        </w:r>
      </w:hyperlink>
      <w:r w:rsidRPr="001729A3">
        <w:t>.</w:t>
      </w:r>
      <w:r w:rsidRPr="001729A3">
        <w:rPr>
          <w:rStyle w:val="EndnoteReference"/>
        </w:rPr>
        <w:endnoteReference w:id="79"/>
      </w:r>
    </w:p>
    <w:p w14:paraId="7418B31F" w14:textId="77777777" w:rsidR="00D471AD" w:rsidRPr="000D502B" w:rsidRDefault="00D471AD" w:rsidP="00D471AD">
      <w:pPr>
        <w:pStyle w:val="Heading2"/>
      </w:pPr>
      <w:bookmarkStart w:id="2662" w:name="_Toc462230108"/>
      <w:bookmarkStart w:id="2663" w:name="_Toc462231469"/>
      <w:bookmarkStart w:id="2664" w:name="_Toc463013969"/>
      <w:bookmarkStart w:id="2665" w:name="_Toc463014185"/>
      <w:bookmarkStart w:id="2666" w:name="_Toc463014512"/>
      <w:bookmarkStart w:id="2667" w:name="_Toc463877045"/>
      <w:bookmarkStart w:id="2668" w:name="_Toc465862839"/>
      <w:r w:rsidRPr="000D502B">
        <w:t>Australia’s skills base</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r>
        <w:t xml:space="preserve"> is growing</w:t>
      </w:r>
      <w:bookmarkEnd w:id="2662"/>
      <w:bookmarkEnd w:id="2663"/>
      <w:bookmarkEnd w:id="2664"/>
      <w:bookmarkEnd w:id="2665"/>
      <w:bookmarkEnd w:id="2666"/>
      <w:bookmarkEnd w:id="2667"/>
      <w:bookmarkEnd w:id="2668"/>
    </w:p>
    <w:p w14:paraId="7418B320" w14:textId="77777777" w:rsidR="00D471AD" w:rsidRPr="001729A3" w:rsidRDefault="00D471AD" w:rsidP="00D471AD">
      <w:pPr>
        <w:pStyle w:val="BodyText"/>
      </w:pPr>
      <w:r w:rsidRPr="001729A3">
        <w:t>Innovation-active businesses report high usage and shortages/deficiencies in all skill types, not just science, engineering and technology skills (</w:t>
      </w:r>
      <w:r w:rsidRPr="001729A3">
        <w:fldChar w:fldCharType="begin"/>
      </w:r>
      <w:r w:rsidRPr="001729A3">
        <w:instrText xml:space="preserve"> REF _Ref461114260 \h </w:instrText>
      </w:r>
      <w:r w:rsidRPr="001729A3">
        <w:fldChar w:fldCharType="separate"/>
      </w:r>
      <w:r w:rsidRPr="000D502B">
        <w:t xml:space="preserve">Figure </w:t>
      </w:r>
      <w:r>
        <w:rPr>
          <w:noProof/>
        </w:rPr>
        <w:t>5</w:t>
      </w:r>
      <w:r w:rsidRPr="000D502B">
        <w:t>.</w:t>
      </w:r>
      <w:r>
        <w:rPr>
          <w:noProof/>
        </w:rPr>
        <w:t>5</w:t>
      </w:r>
      <w:r w:rsidRPr="001729A3">
        <w:fldChar w:fldCharType="end"/>
      </w:r>
      <w:r w:rsidRPr="001729A3">
        <w:t>).</w:t>
      </w:r>
      <w:r w:rsidRPr="001729A3">
        <w:rPr>
          <w:rStyle w:val="EndnoteReference"/>
        </w:rPr>
        <w:endnoteReference w:id="80"/>
      </w:r>
      <w:r w:rsidRPr="001729A3">
        <w:t xml:space="preserve"> Lack of access to skills was the second</w:t>
      </w:r>
      <w:r>
        <w:t>-</w:t>
      </w:r>
      <w:r w:rsidRPr="001729A3">
        <w:t xml:space="preserve">highest barrier to innovation in 2014-15, but this percentage has been steadily declining over the </w:t>
      </w:r>
      <w:r>
        <w:t>p</w:t>
      </w:r>
      <w:r w:rsidRPr="001729A3">
        <w:t xml:space="preserve">ast decade. </w:t>
      </w:r>
    </w:p>
    <w:p w14:paraId="7418B321" w14:textId="77777777" w:rsidR="00D471AD" w:rsidRPr="001729A3" w:rsidRDefault="004A31A9" w:rsidP="00D471AD">
      <w:pPr>
        <w:pStyle w:val="BodyText"/>
      </w:pPr>
      <w:hyperlink r:id="rId172" w:history="1">
        <w:r w:rsidR="00D471AD" w:rsidRPr="001729A3">
          <w:rPr>
            <w:rStyle w:val="Hyperlink"/>
          </w:rPr>
          <w:t>Table A6</w:t>
        </w:r>
      </w:hyperlink>
      <w:r w:rsidR="00D471AD" w:rsidRPr="001729A3">
        <w:t xml:space="preserve"> shows a range of indicators that measure the performance of Australia’s skills and education system. Australia’s adult literacy rates and problem</w:t>
      </w:r>
      <w:r w:rsidR="00D471AD">
        <w:t>-</w:t>
      </w:r>
      <w:r w:rsidR="00D471AD" w:rsidRPr="001729A3">
        <w:t>solving skills rank relatively highly in the OECD</w:t>
      </w:r>
      <w:r w:rsidR="00D471AD">
        <w:t>,</w:t>
      </w:r>
      <w:r w:rsidR="00D471AD" w:rsidRPr="001729A3">
        <w:t xml:space="preserve"> and Australians are highly educated overall, with the proportion of the adult population (aged 25</w:t>
      </w:r>
      <w:r w:rsidR="00D471AD" w:rsidRPr="00660104">
        <w:t>–</w:t>
      </w:r>
      <w:r w:rsidR="00D471AD" w:rsidRPr="001729A3">
        <w:t>64) attaining tertiary education reaching 4</w:t>
      </w:r>
      <w:r w:rsidR="00D471AD">
        <w:t>3</w:t>
      </w:r>
      <w:r w:rsidR="00D471AD" w:rsidRPr="001729A3">
        <w:t xml:space="preserve"> per cent in 201</w:t>
      </w:r>
      <w:r w:rsidR="00D471AD">
        <w:t>5</w:t>
      </w:r>
      <w:r w:rsidR="00D471AD" w:rsidRPr="001729A3">
        <w:t xml:space="preserve">. The number of qualifications completed in the vocational education and training sector has almost doubled over the </w:t>
      </w:r>
      <w:r w:rsidR="00D471AD">
        <w:t>p</w:t>
      </w:r>
      <w:r w:rsidR="00D471AD" w:rsidRPr="001729A3">
        <w:t xml:space="preserve">ast decade. However, it is worth noting that Australia is ranked 7th </w:t>
      </w:r>
      <w:r w:rsidR="00D471AD">
        <w:t xml:space="preserve">out </w:t>
      </w:r>
      <w:r w:rsidR="00D471AD" w:rsidRPr="001729A3">
        <w:t>of 22 OECD countries on skills mismatch, which is consistent with business sentiment reflected in business surveys regarding access to skills.</w:t>
      </w:r>
    </w:p>
    <w:p w14:paraId="7418B322" w14:textId="77777777" w:rsidR="00D471AD" w:rsidRPr="001729A3" w:rsidRDefault="00D471AD" w:rsidP="00D471AD">
      <w:pPr>
        <w:pStyle w:val="BodyText"/>
      </w:pPr>
      <w:r w:rsidRPr="001729A3">
        <w:t>The proportion of the population aged 25–34 with a bachelor degree or higher was 37 per cent in 201</w:t>
      </w:r>
      <w:r>
        <w:t>5</w:t>
      </w:r>
      <w:r w:rsidRPr="001729A3">
        <w:t>, so university graduates make up the bulk of the 48 per cent of this particular age cohort who attained some form of tertiary education (</w:t>
      </w:r>
      <w:hyperlink r:id="rId173" w:history="1">
        <w:r w:rsidRPr="001729A3">
          <w:rPr>
            <w:rStyle w:val="Hyperlink"/>
          </w:rPr>
          <w:t>Table A6</w:t>
        </w:r>
      </w:hyperlink>
      <w:r w:rsidRPr="001729A3">
        <w:t>). The rapid rise in university qualifications has been remarkable: a greater percentage of people aged 25–34 graduated with a bachelor degree or higher in 2015 than with any form of tertiary qualification in 2000.</w:t>
      </w:r>
    </w:p>
    <w:p w14:paraId="7418B323" w14:textId="77777777" w:rsidR="00D471AD" w:rsidRPr="001729A3" w:rsidRDefault="00D471AD" w:rsidP="00D471AD">
      <w:pPr>
        <w:pStyle w:val="BodyText"/>
      </w:pPr>
      <w:r w:rsidRPr="001729A3">
        <w:t>Australia competes globally on attracting skilled migration to the country. In 201</w:t>
      </w:r>
      <w:r>
        <w:t>3</w:t>
      </w:r>
      <w:r w:rsidRPr="001729A3">
        <w:t xml:space="preserve">, Australia had a net inflow of around </w:t>
      </w:r>
      <w:r>
        <w:t>75,710</w:t>
      </w:r>
      <w:r w:rsidRPr="001729A3">
        <w:t xml:space="preserve"> permanent migrants</w:t>
      </w:r>
      <w:r>
        <w:t xml:space="preserve">, </w:t>
      </w:r>
      <w:r w:rsidRPr="00A3039D">
        <w:t>of which 41 per cent were skilled migrants.</w:t>
      </w:r>
      <w:r w:rsidRPr="001729A3">
        <w:t xml:space="preserve"> DHL’s Global Connectedness Index ranked Australia </w:t>
      </w:r>
      <w:r>
        <w:t>26</w:t>
      </w:r>
      <w:r w:rsidRPr="000C3F40">
        <w:t>th</w:t>
      </w:r>
      <w:r>
        <w:rPr>
          <w:vertAlign w:val="superscript"/>
        </w:rPr>
        <w:t xml:space="preserve"> </w:t>
      </w:r>
      <w:r>
        <w:t xml:space="preserve">of 37 OECD+ </w:t>
      </w:r>
      <w:r w:rsidRPr="001729A3">
        <w:t>countries on its global connectedness of people flows index</w:t>
      </w:r>
      <w:r>
        <w:t>,</w:t>
      </w:r>
      <w:r w:rsidRPr="001729A3">
        <w:t xml:space="preserve"> due to a combination of migration and international student numbers (</w:t>
      </w:r>
      <w:hyperlink r:id="rId174" w:history="1">
        <w:r w:rsidRPr="001729A3">
          <w:rPr>
            <w:rStyle w:val="Hyperlink"/>
          </w:rPr>
          <w:t>Table A3</w:t>
        </w:r>
      </w:hyperlink>
      <w:r w:rsidRPr="001729A3">
        <w:t>). Australia also has a high share (22 per cent) of university students in Australia coming from abroad,</w:t>
      </w:r>
      <w:r w:rsidRPr="001729A3">
        <w:rPr>
          <w:rStyle w:val="EndnoteReference"/>
        </w:rPr>
        <w:endnoteReference w:id="81"/>
      </w:r>
      <w:r w:rsidRPr="001729A3">
        <w:t xml:space="preserve"> and was ranked 3rd </w:t>
      </w:r>
      <w:r>
        <w:t xml:space="preserve">out </w:t>
      </w:r>
      <w:r w:rsidRPr="001729A3">
        <w:t>of 3</w:t>
      </w:r>
      <w:r>
        <w:t>6</w:t>
      </w:r>
      <w:r w:rsidRPr="001729A3">
        <w:t xml:space="preserve"> OECD</w:t>
      </w:r>
      <w:r>
        <w:t>+</w:t>
      </w:r>
      <w:r w:rsidRPr="001729A3">
        <w:t xml:space="preserve"> countries on its share of the international education market. </w:t>
      </w:r>
    </w:p>
    <w:p w14:paraId="7418B324" w14:textId="77777777" w:rsidR="00D471AD" w:rsidRPr="001729A3" w:rsidRDefault="00D471AD" w:rsidP="00D471AD">
      <w:pPr>
        <w:pStyle w:val="BodyText"/>
        <w:sectPr w:rsidR="00D471AD" w:rsidRPr="001729A3" w:rsidSect="00D471AD">
          <w:footnotePr>
            <w:numFmt w:val="upperRoman"/>
          </w:footnotePr>
          <w:endnotePr>
            <w:numFmt w:val="decimal"/>
          </w:endnotePr>
          <w:pgSz w:w="11906" w:h="16838" w:code="9"/>
          <w:pgMar w:top="1440" w:right="992" w:bottom="1440" w:left="992" w:header="709" w:footer="709" w:gutter="0"/>
          <w:cols w:num="2" w:space="708"/>
          <w:docGrid w:linePitch="360"/>
        </w:sectPr>
      </w:pPr>
    </w:p>
    <w:p w14:paraId="7418B325" w14:textId="77777777" w:rsidR="00D471AD" w:rsidRPr="001729A3" w:rsidRDefault="00D471AD" w:rsidP="00D471AD">
      <w:pPr>
        <w:pStyle w:val="BodyText"/>
      </w:pPr>
    </w:p>
    <w:p w14:paraId="7418B326" w14:textId="77777777" w:rsidR="00D471AD" w:rsidRPr="001729A3" w:rsidRDefault="00D471AD" w:rsidP="00D471AD">
      <w:pPr>
        <w:pStyle w:val="BodyText"/>
        <w:sectPr w:rsidR="00D471AD" w:rsidRPr="001729A3" w:rsidSect="00D471AD">
          <w:footnotePr>
            <w:numFmt w:val="upperRoman"/>
          </w:footnotePr>
          <w:endnotePr>
            <w:numFmt w:val="decimal"/>
          </w:endnotePr>
          <w:type w:val="continuous"/>
          <w:pgSz w:w="11906" w:h="16838" w:code="9"/>
          <w:pgMar w:top="1440" w:right="1440" w:bottom="1440" w:left="1440" w:header="709" w:footer="709" w:gutter="0"/>
          <w:cols w:space="708"/>
          <w:docGrid w:linePitch="360"/>
        </w:sectPr>
      </w:pPr>
    </w:p>
    <w:p w14:paraId="7418B327" w14:textId="77777777" w:rsidR="00D471AD" w:rsidRPr="000D502B" w:rsidRDefault="00D471AD" w:rsidP="00D471AD">
      <w:pPr>
        <w:pStyle w:val="Caption"/>
      </w:pPr>
      <w:bookmarkStart w:id="2669" w:name="_Ref461114260"/>
      <w:bookmarkStart w:id="2670" w:name="_Toc461198259"/>
      <w:bookmarkStart w:id="2671" w:name="_Toc461198801"/>
      <w:bookmarkStart w:id="2672" w:name="_Toc461204089"/>
      <w:bookmarkStart w:id="2673" w:name="_Toc461527529"/>
      <w:bookmarkStart w:id="2674" w:name="_Toc461539564"/>
      <w:bookmarkStart w:id="2675" w:name="_Toc461541681"/>
      <w:bookmarkStart w:id="2676" w:name="_Toc461545436"/>
      <w:bookmarkStart w:id="2677" w:name="_Toc461624432"/>
      <w:bookmarkStart w:id="2678" w:name="_Toc461629657"/>
      <w:bookmarkStart w:id="2679" w:name="_Toc461632987"/>
      <w:bookmarkStart w:id="2680" w:name="_Toc461634257"/>
      <w:bookmarkStart w:id="2681" w:name="_Toc463013913"/>
      <w:bookmarkStart w:id="2682" w:name="_Toc463014022"/>
      <w:bookmarkStart w:id="2683" w:name="_Toc463014456"/>
      <w:bookmarkStart w:id="2684" w:name="_Toc463877096"/>
      <w:bookmarkStart w:id="2685" w:name="_Toc465864608"/>
      <w:r w:rsidRPr="000D502B">
        <w:t xml:space="preserve">Figure </w:t>
      </w:r>
      <w:fldSimple w:instr=" STYLEREF 1 \s ">
        <w:r>
          <w:rPr>
            <w:noProof/>
          </w:rPr>
          <w:t>5</w:t>
        </w:r>
      </w:fldSimple>
      <w:r w:rsidRPr="000D502B">
        <w:t>.</w:t>
      </w:r>
      <w:fldSimple w:instr=" SEQ Figure \* ARABIC \s 1 ">
        <w:r>
          <w:rPr>
            <w:noProof/>
          </w:rPr>
          <w:t>5</w:t>
        </w:r>
      </w:fldSimple>
      <w:bookmarkEnd w:id="2669"/>
      <w:r w:rsidRPr="000D502B">
        <w:t xml:space="preserve">: Skill shortages or deficiencies reported by all </w:t>
      </w:r>
      <w:r>
        <w:t>businesses</w:t>
      </w:r>
      <w:r w:rsidRPr="000D502B">
        <w:t>, by skill type, by innovation status, 2014-15</w:t>
      </w:r>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14:paraId="7418B328" w14:textId="77777777" w:rsidR="00D471AD" w:rsidRPr="001729A3" w:rsidRDefault="00D471AD" w:rsidP="00D471AD">
      <w:pPr>
        <w:pStyle w:val="Note"/>
        <w:rPr>
          <w:lang w:val="en-AU"/>
        </w:rPr>
      </w:pPr>
      <w:r>
        <w:rPr>
          <w:noProof/>
          <w:lang w:val="en-AU" w:eastAsia="en-AU"/>
        </w:rPr>
        <w:drawing>
          <wp:inline distT="0" distB="0" distL="0" distR="0" wp14:anchorId="7418C67F" wp14:editId="7418C680">
            <wp:extent cx="6315710" cy="5005070"/>
            <wp:effectExtent l="0" t="0" r="8890" b="5080"/>
            <wp:docPr id="70" name="Picture 70" descr="Figure 5.5 is a clustered bar chart that shows the skills shortage or deficiency in undertaking core business activity by innovation status in 2014–15. Innovation-active businesses reported higher levels of skills shortages or deficiencies than non-innovative-active businesses. Innovation-active businesses report the following percentages of skills shortages or deficiencies from highest to lowest: trades (12.7 per cent); marketing (9 per cent); financial (7.2 per cent); business management (5.3 per cent); IT technical support (5.2 per cent); IT professionals (4.9 per cent); Transport, plant and machinery operation (3.7 per cent); project management (2.7 per cent); engineering (2.6 per cent); and scientific and research (1.5 per cent). &#10;Non-innovation-active businesses report the following percentages of skills shortages or deficiencies from highest to lowest: trades (6.7 per cent); financial (2.5 per cent); marketing (1.7 per cent); business management; transport, plant and machinery operation; engineering (all 1.3 per cent); IT technical support (1.2 per cent); It professional (0.8 per cent); project management (0.5 per cent); and scientific and research (0.3 per cent). " title="Figure 5.5: Skill shortages or deficiencies reported by all businesses, by skill type, by innovation status,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315710" cy="5005070"/>
                    </a:xfrm>
                    <a:prstGeom prst="rect">
                      <a:avLst/>
                    </a:prstGeom>
                    <a:noFill/>
                  </pic:spPr>
                </pic:pic>
              </a:graphicData>
            </a:graphic>
          </wp:inline>
        </w:drawing>
      </w:r>
    </w:p>
    <w:p w14:paraId="7418B329" w14:textId="77777777" w:rsidR="00D471AD" w:rsidRPr="001729A3" w:rsidRDefault="00D471AD" w:rsidP="00D471AD">
      <w:pPr>
        <w:pStyle w:val="Source"/>
        <w:rPr>
          <w:lang w:val="en-AU"/>
        </w:rPr>
      </w:pPr>
      <w:r w:rsidRPr="001729A3">
        <w:rPr>
          <w:lang w:val="en-AU"/>
        </w:rPr>
        <w:t xml:space="preserve">Source: ABS (2015) </w:t>
      </w:r>
      <w:r w:rsidRPr="001729A3">
        <w:rPr>
          <w:i/>
          <w:lang w:val="en-AU"/>
        </w:rPr>
        <w:t>Selected Characteristics of Australian Business, 2013-14</w:t>
      </w:r>
      <w:r w:rsidRPr="001729A3">
        <w:rPr>
          <w:lang w:val="en-AU"/>
        </w:rPr>
        <w:t>, cat. no. 8167.0</w:t>
      </w:r>
    </w:p>
    <w:p w14:paraId="7418B32A" w14:textId="77777777" w:rsidR="00D471AD" w:rsidRPr="001729A3" w:rsidRDefault="00D471AD" w:rsidP="00D471AD">
      <w:pPr>
        <w:pStyle w:val="BodyText"/>
      </w:pPr>
    </w:p>
    <w:p w14:paraId="7418B32B" w14:textId="77777777" w:rsidR="00D471AD" w:rsidRPr="001729A3" w:rsidRDefault="00D471AD" w:rsidP="00D471AD">
      <w:pPr>
        <w:pStyle w:val="BodyText"/>
        <w:sectPr w:rsidR="00D471AD" w:rsidRPr="001729A3" w:rsidSect="00D471AD">
          <w:footnotePr>
            <w:numFmt w:val="upperRoman"/>
          </w:footnotePr>
          <w:endnotePr>
            <w:numFmt w:val="decimal"/>
          </w:endnotePr>
          <w:type w:val="continuous"/>
          <w:pgSz w:w="11906" w:h="16838" w:code="9"/>
          <w:pgMar w:top="1440" w:right="1020" w:bottom="1440" w:left="992" w:header="709" w:footer="709" w:gutter="0"/>
          <w:cols w:space="708"/>
          <w:docGrid w:linePitch="360"/>
        </w:sectPr>
      </w:pPr>
    </w:p>
    <w:p w14:paraId="7418B32C" w14:textId="77777777" w:rsidR="00D471AD" w:rsidRPr="000D502B" w:rsidRDefault="00D471AD" w:rsidP="00D471AD">
      <w:pPr>
        <w:pStyle w:val="Caption"/>
        <w:pBdr>
          <w:top w:val="single" w:sz="6" w:space="15" w:color="595A5B"/>
        </w:pBdr>
      </w:pPr>
      <w:r w:rsidRPr="000D502B">
        <w:t xml:space="preserve">Methodology </w:t>
      </w:r>
      <w:fldSimple w:instr=" STYLEREF 1 \s ">
        <w:r>
          <w:rPr>
            <w:noProof/>
          </w:rPr>
          <w:t>5</w:t>
        </w:r>
      </w:fldSimple>
      <w:r w:rsidRPr="000D502B">
        <w:t>.</w:t>
      </w:r>
      <w:fldSimple w:instr=" SEQ Methodology \* ARABIC \s 1 ">
        <w:r>
          <w:rPr>
            <w:noProof/>
          </w:rPr>
          <w:t>3</w:t>
        </w:r>
      </w:fldSimple>
      <w:r>
        <w:t xml:space="preserve"> Employee Earnings and Jobs (EEJ)</w:t>
      </w:r>
      <w:r w:rsidRPr="000D502B">
        <w:t xml:space="preserve"> Data</w:t>
      </w:r>
      <w:r>
        <w:t>set</w:t>
      </w:r>
    </w:p>
    <w:tbl>
      <w:tblPr>
        <w:tblStyle w:val="OCETable"/>
        <w:tblW w:w="4706" w:type="dxa"/>
        <w:tblInd w:w="57" w:type="dxa"/>
        <w:shd w:val="clear" w:color="auto" w:fill="292B67"/>
        <w:tblLayout w:type="fixed"/>
        <w:tblLook w:val="04A0" w:firstRow="1" w:lastRow="0" w:firstColumn="1" w:lastColumn="0" w:noHBand="0" w:noVBand="1"/>
        <w:tblCaption w:val="Methodology 5.3: Employee Earnings and Jobs (EEJ) Dataset"/>
        <w:tblDescription w:val="The ABS has developed an experimental Employee Earnings and Jobs (EEJ) dataset containing Personal Income Tax and Business Tax data from the Australian Tax Office for 2011-12. This dataset can provide detailed and accurate information on employees such as earnings and its components, occupation levels, and the dynamics of jobs in regions and by industries. It also contains limited business financial information. The dataset is part of the ABS’ move towards developing a longitudinal Linked Employer-Employee Database (LEED).&#10;Without a longitudinal dimension, the potential for the EEJ dataset to contribute to business dynamics research is currently limited. &#10;With a longitudinal aspect, the LEED would assist industry policy development by helping us understand the impact of organic versus acquisitive entrepreneurship on aggregate employment and economic growth. Further integrating the LEED with the BLADE will provide rich data about employers as well as employees.&#10;With an expanded data coverage and integration with the BLADE, the LEED would allow us to more accurately measure the contribution of different skills or occupations to business innovation and growth.&#10;"/>
      </w:tblPr>
      <w:tblGrid>
        <w:gridCol w:w="4706"/>
      </w:tblGrid>
      <w:tr w:rsidR="00D471AD" w:rsidRPr="000D502B" w14:paraId="7418B331"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92B67"/>
          </w:tcPr>
          <w:p w14:paraId="7418B32D" w14:textId="77777777" w:rsidR="00D471AD" w:rsidRPr="00A53774" w:rsidRDefault="00D471AD" w:rsidP="004A31A9">
            <w:pPr>
              <w:pStyle w:val="Methodologytext"/>
              <w:spacing w:before="160"/>
              <w:rPr>
                <w:i w:val="0"/>
              </w:rPr>
            </w:pPr>
            <w:r w:rsidRPr="00A53774">
              <w:rPr>
                <w:i w:val="0"/>
              </w:rPr>
              <w:t xml:space="preserve">The ABS has developed an experimental </w:t>
            </w:r>
            <w:r>
              <w:rPr>
                <w:sz w:val="20"/>
                <w:szCs w:val="20"/>
              </w:rPr>
              <w:t xml:space="preserve">Employee Earnings and Jobs (EEJ) dataset </w:t>
            </w:r>
            <w:r w:rsidRPr="00A53774">
              <w:rPr>
                <w:i w:val="0"/>
              </w:rPr>
              <w:t xml:space="preserve">containing Personal Income Tax and Business Tax data from the Australian Tax Office for 2011-12. This </w:t>
            </w:r>
            <w:r>
              <w:rPr>
                <w:i w:val="0"/>
              </w:rPr>
              <w:t>dataset</w:t>
            </w:r>
            <w:r w:rsidRPr="00A53774">
              <w:rPr>
                <w:i w:val="0"/>
              </w:rPr>
              <w:t xml:space="preserve"> can provide detailed and accurate information on employees such as earnings and its components, occupation levels</w:t>
            </w:r>
            <w:r>
              <w:rPr>
                <w:i w:val="0"/>
              </w:rPr>
              <w:t>,</w:t>
            </w:r>
            <w:r w:rsidRPr="00A53774">
              <w:rPr>
                <w:i w:val="0"/>
              </w:rPr>
              <w:t xml:space="preserve"> and the dynamics of jobs in regions and by industries. It also contains limited </w:t>
            </w:r>
            <w:r>
              <w:rPr>
                <w:i w:val="0"/>
              </w:rPr>
              <w:t xml:space="preserve">business </w:t>
            </w:r>
            <w:r w:rsidRPr="00A53774">
              <w:rPr>
                <w:i w:val="0"/>
              </w:rPr>
              <w:t xml:space="preserve">financial information. </w:t>
            </w:r>
            <w:r>
              <w:rPr>
                <w:i w:val="0"/>
              </w:rPr>
              <w:t>The dataset is part of the ABS’ move towards developing a longitudinal Linked Employer-Employee Database (LEED).</w:t>
            </w:r>
          </w:p>
          <w:p w14:paraId="7418B32E" w14:textId="77777777" w:rsidR="00D471AD" w:rsidRPr="00A53774" w:rsidRDefault="00D471AD" w:rsidP="004A31A9">
            <w:pPr>
              <w:pStyle w:val="Methodologytext"/>
              <w:spacing w:before="160"/>
              <w:rPr>
                <w:i w:val="0"/>
              </w:rPr>
            </w:pPr>
            <w:r>
              <w:rPr>
                <w:i w:val="0"/>
              </w:rPr>
              <w:t>Without a longitudinal dimension, t</w:t>
            </w:r>
            <w:r w:rsidRPr="00A53774">
              <w:rPr>
                <w:i w:val="0"/>
              </w:rPr>
              <w:t xml:space="preserve">he potential for the </w:t>
            </w:r>
            <w:r>
              <w:rPr>
                <w:i w:val="0"/>
              </w:rPr>
              <w:t>EEJ dataset</w:t>
            </w:r>
            <w:r w:rsidRPr="00A53774">
              <w:rPr>
                <w:i w:val="0"/>
              </w:rPr>
              <w:t xml:space="preserve"> to contribute to </w:t>
            </w:r>
            <w:r>
              <w:rPr>
                <w:i w:val="0"/>
              </w:rPr>
              <w:t xml:space="preserve">business </w:t>
            </w:r>
            <w:r w:rsidRPr="00A53774">
              <w:rPr>
                <w:i w:val="0"/>
              </w:rPr>
              <w:t xml:space="preserve">dynamics research is currently limited. </w:t>
            </w:r>
          </w:p>
          <w:p w14:paraId="7418B32F" w14:textId="77777777" w:rsidR="00D471AD" w:rsidRPr="00A53774" w:rsidRDefault="00D471AD" w:rsidP="004A31A9">
            <w:pPr>
              <w:pStyle w:val="Methodologytext"/>
              <w:spacing w:before="160"/>
              <w:rPr>
                <w:i w:val="0"/>
              </w:rPr>
            </w:pPr>
            <w:r w:rsidRPr="00A53774">
              <w:rPr>
                <w:i w:val="0"/>
              </w:rPr>
              <w:t xml:space="preserve">With a longitudinal aspect, the LEED would assist industry policy development by helping us understand the impact of organic versus acquisitive entrepreneurship on aggregate employment and economic growth. </w:t>
            </w:r>
            <w:r>
              <w:rPr>
                <w:i w:val="0"/>
              </w:rPr>
              <w:t>Further integrating the LEED with the BLADE will provide rich data about employers as well as employees.</w:t>
            </w:r>
          </w:p>
          <w:p w14:paraId="7418B330" w14:textId="77777777" w:rsidR="00D471AD" w:rsidRPr="000D502B" w:rsidRDefault="00D471AD" w:rsidP="004A31A9">
            <w:pPr>
              <w:pStyle w:val="Methodologyboxtext"/>
              <w:spacing w:before="160"/>
            </w:pPr>
            <w:r w:rsidRPr="00A53774">
              <w:rPr>
                <w:i w:val="0"/>
              </w:rPr>
              <w:t>With an expanded data coverage</w:t>
            </w:r>
            <w:r>
              <w:rPr>
                <w:i w:val="0"/>
              </w:rPr>
              <w:t xml:space="preserve"> and integration with the BLADE</w:t>
            </w:r>
            <w:r w:rsidRPr="00A53774">
              <w:rPr>
                <w:i w:val="0"/>
              </w:rPr>
              <w:t xml:space="preserve">, the LEED would allow us to more accurately measure the contribution of different skills or occupations to </w:t>
            </w:r>
            <w:r>
              <w:rPr>
                <w:i w:val="0"/>
              </w:rPr>
              <w:t xml:space="preserve">business </w:t>
            </w:r>
            <w:r w:rsidRPr="00A53774">
              <w:rPr>
                <w:i w:val="0"/>
              </w:rPr>
              <w:t>innovation and growth.</w:t>
            </w:r>
          </w:p>
        </w:tc>
      </w:tr>
    </w:tbl>
    <w:p w14:paraId="7418B332" w14:textId="77777777" w:rsidR="00D471AD" w:rsidRPr="009B3A82" w:rsidRDefault="00D471AD" w:rsidP="00D471AD">
      <w:pPr>
        <w:pStyle w:val="Heading2"/>
      </w:pPr>
      <w:bookmarkStart w:id="2686" w:name="_Toc462229773"/>
      <w:bookmarkStart w:id="2687" w:name="_Toc462229876"/>
      <w:bookmarkStart w:id="2688" w:name="_Toc462230111"/>
      <w:bookmarkStart w:id="2689" w:name="_Toc462231472"/>
      <w:bookmarkStart w:id="2690" w:name="_Toc462231574"/>
      <w:bookmarkStart w:id="2691" w:name="_Toc462232433"/>
      <w:bookmarkStart w:id="2692" w:name="_Toc462232585"/>
      <w:bookmarkStart w:id="2693" w:name="_Toc462229774"/>
      <w:bookmarkStart w:id="2694" w:name="_Toc462229877"/>
      <w:bookmarkStart w:id="2695" w:name="_Toc462230112"/>
      <w:bookmarkStart w:id="2696" w:name="_Toc462231473"/>
      <w:bookmarkStart w:id="2697" w:name="_Toc462231575"/>
      <w:bookmarkStart w:id="2698" w:name="_Toc462232434"/>
      <w:bookmarkStart w:id="2699" w:name="_Toc462232586"/>
      <w:bookmarkStart w:id="2700" w:name="_Toc462229777"/>
      <w:bookmarkStart w:id="2701" w:name="_Toc462229880"/>
      <w:bookmarkStart w:id="2702" w:name="_Toc462230115"/>
      <w:bookmarkStart w:id="2703" w:name="_Toc462231476"/>
      <w:bookmarkStart w:id="2704" w:name="_Toc462231578"/>
      <w:bookmarkStart w:id="2705" w:name="_Toc462232437"/>
      <w:bookmarkStart w:id="2706" w:name="_Toc462232589"/>
      <w:bookmarkStart w:id="2707" w:name="_Toc462229809"/>
      <w:bookmarkStart w:id="2708" w:name="_Toc462229912"/>
      <w:bookmarkStart w:id="2709" w:name="_Toc462230147"/>
      <w:bookmarkStart w:id="2710" w:name="_Toc462231508"/>
      <w:bookmarkStart w:id="2711" w:name="_Toc462231610"/>
      <w:bookmarkStart w:id="2712" w:name="_Toc462232469"/>
      <w:bookmarkStart w:id="2713" w:name="_Toc462232621"/>
      <w:bookmarkStart w:id="2714" w:name="_Toc462229812"/>
      <w:bookmarkStart w:id="2715" w:name="_Toc462229915"/>
      <w:bookmarkStart w:id="2716" w:name="_Toc462230150"/>
      <w:bookmarkStart w:id="2717" w:name="_Toc462231511"/>
      <w:bookmarkStart w:id="2718" w:name="_Toc462231613"/>
      <w:bookmarkStart w:id="2719" w:name="_Toc462232472"/>
      <w:bookmarkStart w:id="2720" w:name="_Toc462232624"/>
      <w:bookmarkStart w:id="2721" w:name="_Toc462229814"/>
      <w:bookmarkStart w:id="2722" w:name="_Toc462229917"/>
      <w:bookmarkStart w:id="2723" w:name="_Toc462230152"/>
      <w:bookmarkStart w:id="2724" w:name="_Toc462231513"/>
      <w:bookmarkStart w:id="2725" w:name="_Toc462231615"/>
      <w:bookmarkStart w:id="2726" w:name="_Toc462232474"/>
      <w:bookmarkStart w:id="2727" w:name="_Toc462232626"/>
      <w:bookmarkStart w:id="2728" w:name="_Toc462230153"/>
      <w:bookmarkStart w:id="2729" w:name="_Toc462231514"/>
      <w:bookmarkStart w:id="2730" w:name="_Toc463013970"/>
      <w:bookmarkStart w:id="2731" w:name="_Toc463014186"/>
      <w:bookmarkStart w:id="2732" w:name="_Toc463014513"/>
      <w:bookmarkStart w:id="2733" w:name="_Toc463877046"/>
      <w:bookmarkStart w:id="2734" w:name="_Toc465862840"/>
      <w:bookmarkStart w:id="2735" w:name="_Toc461174607"/>
      <w:bookmarkStart w:id="2736" w:name="_Toc461180161"/>
      <w:bookmarkStart w:id="2737" w:name="_Toc461180257"/>
      <w:bookmarkStart w:id="2738" w:name="_Toc461180549"/>
      <w:bookmarkStart w:id="2739" w:name="_Toc461180599"/>
      <w:bookmarkStart w:id="2740" w:name="_Toc461180648"/>
      <w:bookmarkStart w:id="2741" w:name="_Toc461183256"/>
      <w:bookmarkStart w:id="2742" w:name="_Toc461183308"/>
      <w:bookmarkStart w:id="2743" w:name="_Toc461183209"/>
      <w:bookmarkStart w:id="2744" w:name="_Toc461183417"/>
      <w:bookmarkStart w:id="2745" w:name="_Toc461183851"/>
      <w:bookmarkStart w:id="2746" w:name="_Toc461184488"/>
      <w:bookmarkStart w:id="2747" w:name="_Toc461184593"/>
      <w:bookmarkStart w:id="2748" w:name="_Toc461186631"/>
      <w:bookmarkStart w:id="2749" w:name="_Toc461186948"/>
      <w:bookmarkStart w:id="2750" w:name="_Toc461187053"/>
      <w:bookmarkStart w:id="2751" w:name="_Toc461187281"/>
      <w:bookmarkStart w:id="2752" w:name="_Toc461198309"/>
      <w:bookmarkStart w:id="2753" w:name="_Toc461198851"/>
      <w:bookmarkStart w:id="2754" w:name="_Toc461204139"/>
      <w:bookmarkStart w:id="2755" w:name="_Toc461527594"/>
      <w:bookmarkStart w:id="2756" w:name="_Toc461624501"/>
      <w:bookmarkStart w:id="2757" w:name="_Toc461629726"/>
      <w:bookmarkStart w:id="2758" w:name="_Toc461633056"/>
      <w:bookmarkStart w:id="2759" w:name="_Toc461634326"/>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r w:rsidRPr="009B3A82">
        <w:t>Academic research trends</w:t>
      </w:r>
      <w:bookmarkEnd w:id="2728"/>
      <w:bookmarkEnd w:id="2729"/>
      <w:bookmarkEnd w:id="2730"/>
      <w:bookmarkEnd w:id="2731"/>
      <w:bookmarkEnd w:id="2732"/>
      <w:bookmarkEnd w:id="2733"/>
      <w:bookmarkEnd w:id="2734"/>
    </w:p>
    <w:p w14:paraId="7418B333" w14:textId="77777777" w:rsidR="00D471AD" w:rsidRPr="001729A3" w:rsidRDefault="00D471AD" w:rsidP="00D471AD">
      <w:pPr>
        <w:pStyle w:val="BodyText"/>
      </w:pPr>
      <w:r w:rsidRPr="001729A3">
        <w:t xml:space="preserve">Tables </w:t>
      </w:r>
      <w:hyperlink r:id="rId176" w:history="1">
        <w:r w:rsidRPr="001729A3">
          <w:rPr>
            <w:rStyle w:val="Hyperlink"/>
          </w:rPr>
          <w:t>A8</w:t>
        </w:r>
      </w:hyperlink>
      <w:r w:rsidRPr="001729A3">
        <w:t xml:space="preserve"> to </w:t>
      </w:r>
      <w:hyperlink r:id="rId177" w:history="1">
        <w:r w:rsidRPr="001729A3">
          <w:rPr>
            <w:rStyle w:val="Hyperlink"/>
          </w:rPr>
          <w:t>A10</w:t>
        </w:r>
      </w:hyperlink>
      <w:r w:rsidRPr="001729A3">
        <w:t xml:space="preserve"> provide performance indicators of Australia’s research system. While R&amp;D expenditure can be volatile, Australia’s research workforce and research outputs (measured by publications) have been steadily rising. Overall, research in Australia is relatively strong</w:t>
      </w:r>
      <w:r>
        <w:t>,</w:t>
      </w:r>
      <w:r w:rsidRPr="001729A3">
        <w:t xml:space="preserve"> and Australian universities have risen in global rankings over the past decade. According to the Academic Ranking of World Universities, Australia has increased the number of </w:t>
      </w:r>
      <w:r>
        <w:t xml:space="preserve">its </w:t>
      </w:r>
      <w:r w:rsidRPr="001729A3">
        <w:t>top 500 universities from 13 to 23 since 2003.</w:t>
      </w:r>
      <w:r w:rsidRPr="001729A3">
        <w:rPr>
          <w:rStyle w:val="EndnoteReference"/>
        </w:rPr>
        <w:endnoteReference w:id="82"/>
      </w:r>
    </w:p>
    <w:p w14:paraId="7418B334" w14:textId="77777777" w:rsidR="00D471AD" w:rsidRPr="00924CA6" w:rsidRDefault="00D471AD" w:rsidP="00D471AD">
      <w:pPr>
        <w:pStyle w:val="heading3new"/>
      </w:pPr>
      <w:bookmarkStart w:id="2760" w:name="_Toc462230154"/>
      <w:bookmarkStart w:id="2761" w:name="_Toc462231515"/>
      <w:bookmarkStart w:id="2762" w:name="_Toc462231623"/>
      <w:bookmarkStart w:id="2763" w:name="_Toc463013971"/>
      <w:bookmarkStart w:id="2764" w:name="_Toc463014187"/>
      <w:bookmarkStart w:id="2765" w:name="_Toc463014514"/>
      <w:bookmarkStart w:id="2766" w:name="_Toc463877047"/>
      <w:bookmarkStart w:id="2767" w:name="_Toc465862841"/>
      <w:r w:rsidRPr="00924CA6">
        <w:t>Outputs: academic publications</w:t>
      </w:r>
      <w:bookmarkEnd w:id="2760"/>
      <w:bookmarkEnd w:id="2761"/>
      <w:bookmarkEnd w:id="2762"/>
      <w:bookmarkEnd w:id="2763"/>
      <w:bookmarkEnd w:id="2764"/>
      <w:bookmarkEnd w:id="2765"/>
      <w:bookmarkEnd w:id="2766"/>
      <w:bookmarkEnd w:id="2767"/>
    </w:p>
    <w:p w14:paraId="7418B335" w14:textId="77777777" w:rsidR="00D471AD" w:rsidRPr="001729A3" w:rsidRDefault="00D471AD" w:rsidP="00D471AD">
      <w:pPr>
        <w:pStyle w:val="BodyText"/>
      </w:pPr>
      <w:r w:rsidRPr="001729A3">
        <w:t>The volume of academic publications serves as a proxy measure for the stock of knowledge being generated and diffused, with the number of associated citations demonstrating their value. Australian academic publications accounted for 3.9 per cent of global market share in 2015 (</w:t>
      </w:r>
      <w:hyperlink r:id="rId178" w:history="1">
        <w:r w:rsidRPr="001729A3">
          <w:rPr>
            <w:rStyle w:val="Hyperlink"/>
          </w:rPr>
          <w:t>Table A9).</w:t>
        </w:r>
      </w:hyperlink>
      <w:r w:rsidRPr="001729A3">
        <w:t xml:space="preserve"> This proportion has increased steadily over the past decade, and Australia now ranks 9th out of 37 OECD+ countries. However, in terms of relative citation impact, which measures the impact of national research compared to the impact of global research, Australia’s rank is lower but still above the OECD+ average at 14 out of 37 OECD+ countries. </w:t>
      </w:r>
    </w:p>
    <w:p w14:paraId="7418B336" w14:textId="77777777" w:rsidR="00D471AD" w:rsidRPr="001729A3" w:rsidRDefault="00D471AD" w:rsidP="00D471AD">
      <w:pPr>
        <w:pStyle w:val="BodyText"/>
      </w:pPr>
      <w:r w:rsidRPr="001729A3">
        <w:t xml:space="preserve">The different ranking between publication volume and citation impact may reflect the different topics and subjects being published across countries, or that Australian universities value (and are rewarded for) publication volumes rather than necessarily their quality or commercial application. </w:t>
      </w:r>
    </w:p>
    <w:p w14:paraId="7418B337" w14:textId="77777777" w:rsidR="00D471AD" w:rsidRPr="001729A3" w:rsidRDefault="00D471AD" w:rsidP="00D471AD">
      <w:pPr>
        <w:pStyle w:val="BodyText"/>
      </w:pPr>
      <w:r w:rsidRPr="001729A3">
        <w:t xml:space="preserve">Nonetheless, Australian research publications comprise over </w:t>
      </w:r>
      <w:r>
        <w:t>seven</w:t>
      </w:r>
      <w:r w:rsidRPr="00660104">
        <w:t xml:space="preserve"> </w:t>
      </w:r>
      <w:r w:rsidRPr="001729A3">
        <w:t xml:space="preserve">per cent of the world’s top </w:t>
      </w:r>
      <w:r>
        <w:t>one</w:t>
      </w:r>
      <w:r w:rsidRPr="001729A3">
        <w:t xml:space="preserve"> per cent highly cited publications across all disciplines (</w:t>
      </w:r>
      <w:hyperlink r:id="rId179" w:history="1">
        <w:r w:rsidRPr="001729A3">
          <w:rPr>
            <w:rStyle w:val="Hyperlink"/>
          </w:rPr>
          <w:t>Table A9).</w:t>
        </w:r>
      </w:hyperlink>
      <w:r w:rsidRPr="001729A3">
        <w:t xml:space="preserve"> Of Australia’s most highly cited publications, three-quarters were attributed to international collaboration</w:t>
      </w:r>
      <w:r>
        <w:t>.</w:t>
      </w:r>
      <w:r w:rsidRPr="001729A3">
        <w:t xml:space="preserve"> Australia’s engineering and natural science publications take a greater share of the top </w:t>
      </w:r>
      <w:r>
        <w:t>one</w:t>
      </w:r>
      <w:r w:rsidRPr="001729A3">
        <w:t> per cent of highly cited publications than the OECD+ average. They account for less than those related to social sciences and humanities.</w:t>
      </w:r>
    </w:p>
    <w:p w14:paraId="7418B338" w14:textId="77777777" w:rsidR="00D471AD" w:rsidRPr="00924CA6" w:rsidRDefault="00D471AD" w:rsidP="00D471AD">
      <w:pPr>
        <w:pStyle w:val="heading3new"/>
      </w:pPr>
      <w:bookmarkStart w:id="2768" w:name="_Toc462230155"/>
      <w:bookmarkStart w:id="2769" w:name="_Toc462231516"/>
      <w:bookmarkStart w:id="2770" w:name="_Toc462231624"/>
      <w:bookmarkStart w:id="2771" w:name="_Toc463013972"/>
      <w:bookmarkStart w:id="2772" w:name="_Toc463014188"/>
      <w:bookmarkStart w:id="2773" w:name="_Toc463014515"/>
      <w:bookmarkStart w:id="2774" w:name="_Toc463877048"/>
      <w:bookmarkStart w:id="2775" w:name="_Toc465862842"/>
      <w:r w:rsidRPr="00924CA6">
        <w:t>Outputs: graduating students</w:t>
      </w:r>
      <w:bookmarkEnd w:id="2768"/>
      <w:bookmarkEnd w:id="2769"/>
      <w:bookmarkEnd w:id="2770"/>
      <w:bookmarkEnd w:id="2771"/>
      <w:bookmarkEnd w:id="2772"/>
      <w:bookmarkEnd w:id="2773"/>
      <w:bookmarkEnd w:id="2774"/>
      <w:bookmarkEnd w:id="2775"/>
    </w:p>
    <w:p w14:paraId="7418B339" w14:textId="77777777" w:rsidR="00D471AD" w:rsidRPr="001729A3" w:rsidRDefault="00D471AD" w:rsidP="00D471AD">
      <w:pPr>
        <w:pStyle w:val="BodyText"/>
      </w:pPr>
      <w:r w:rsidRPr="001729A3">
        <w:t>The number of students completing higher degrees by research in Australia has grown slowly but consistently in recent years, almost doubling between 2000 and 2014 (</w:t>
      </w:r>
      <w:hyperlink r:id="rId180" w:history="1">
        <w:r w:rsidRPr="001729A3">
          <w:rPr>
            <w:rStyle w:val="Hyperlink"/>
          </w:rPr>
          <w:t>Table A8</w:t>
        </w:r>
      </w:hyperlink>
      <w:r w:rsidRPr="001729A3">
        <w:t>). International students have been responsible for much of the observed growth in the completion of research degrees. Indeed, from 2010 to 2014 the number of international students increased at an average rate of 1.74 per cent per annum, compared to an average of only 0.34 per cent for domestic students.</w:t>
      </w:r>
    </w:p>
    <w:p w14:paraId="7418B33A" w14:textId="77777777" w:rsidR="00D471AD" w:rsidRPr="001729A3" w:rsidRDefault="00D471AD" w:rsidP="00D471AD">
      <w:pPr>
        <w:pStyle w:val="BodyText"/>
      </w:pPr>
      <w:bookmarkStart w:id="2776" w:name="_Toc461183479"/>
      <w:bookmarkStart w:id="2777" w:name="_Toc461183584"/>
      <w:bookmarkStart w:id="2778" w:name="_Toc461183689"/>
      <w:bookmarkStart w:id="2779" w:name="_Toc461183794"/>
      <w:bookmarkStart w:id="2780" w:name="_Toc461183953"/>
      <w:bookmarkStart w:id="2781" w:name="_Toc461184058"/>
      <w:bookmarkStart w:id="2782" w:name="_Toc461184165"/>
      <w:bookmarkStart w:id="2783" w:name="_Toc461184270"/>
      <w:bookmarkStart w:id="2784" w:name="_Toc461184069"/>
      <w:bookmarkStart w:id="2785" w:name="_Toc461184384"/>
      <w:bookmarkStart w:id="2786" w:name="_Toc461184490"/>
      <w:bookmarkStart w:id="2787" w:name="_Toc461184595"/>
      <w:bookmarkStart w:id="2788" w:name="_Toc461184806"/>
      <w:bookmarkStart w:id="2789" w:name="_Toc461184911"/>
      <w:bookmarkStart w:id="2790" w:name="_Toc461185092"/>
      <w:bookmarkStart w:id="2791" w:name="_Toc461185197"/>
      <w:bookmarkStart w:id="2792" w:name="_Toc461185467"/>
      <w:bookmarkStart w:id="2793" w:name="_Toc461185572"/>
      <w:bookmarkStart w:id="2794" w:name="_Toc461185998"/>
      <w:bookmarkStart w:id="2795" w:name="_Toc461186210"/>
      <w:bookmarkStart w:id="2796" w:name="_Toc461186317"/>
      <w:bookmarkStart w:id="2797" w:name="_Toc461186422"/>
      <w:bookmarkStart w:id="2798" w:name="_Toc461186633"/>
      <w:bookmarkStart w:id="2799" w:name="_Toc461186738"/>
      <w:bookmarkStart w:id="2800" w:name="_Toc461186843"/>
      <w:bookmarkStart w:id="2801" w:name="_Toc461186950"/>
      <w:bookmarkStart w:id="2802" w:name="_Toc461187055"/>
      <w:bookmarkStart w:id="2803" w:name="_Toc461183480"/>
      <w:bookmarkStart w:id="2804" w:name="_Toc461183585"/>
      <w:bookmarkStart w:id="2805" w:name="_Toc461183690"/>
      <w:bookmarkStart w:id="2806" w:name="_Toc461183795"/>
      <w:bookmarkStart w:id="2807" w:name="_Toc461183954"/>
      <w:bookmarkStart w:id="2808" w:name="_Toc461184059"/>
      <w:bookmarkStart w:id="2809" w:name="_Toc461184166"/>
      <w:bookmarkStart w:id="2810" w:name="_Toc461184271"/>
      <w:bookmarkStart w:id="2811" w:name="_Toc461184070"/>
      <w:bookmarkStart w:id="2812" w:name="_Toc461184385"/>
      <w:bookmarkStart w:id="2813" w:name="_Toc461184491"/>
      <w:bookmarkStart w:id="2814" w:name="_Toc461184596"/>
      <w:bookmarkStart w:id="2815" w:name="_Toc461184807"/>
      <w:bookmarkStart w:id="2816" w:name="_Toc461184912"/>
      <w:bookmarkStart w:id="2817" w:name="_Toc461185093"/>
      <w:bookmarkStart w:id="2818" w:name="_Toc461185198"/>
      <w:bookmarkStart w:id="2819" w:name="_Toc461185468"/>
      <w:bookmarkStart w:id="2820" w:name="_Toc461185573"/>
      <w:bookmarkStart w:id="2821" w:name="_Toc461186211"/>
      <w:bookmarkStart w:id="2822" w:name="_Toc461186318"/>
      <w:bookmarkStart w:id="2823" w:name="_Toc461186423"/>
      <w:bookmarkStart w:id="2824" w:name="_Toc461186634"/>
      <w:bookmarkStart w:id="2825" w:name="_Toc461186739"/>
      <w:bookmarkStart w:id="2826" w:name="_Toc461186844"/>
      <w:bookmarkStart w:id="2827" w:name="_Toc461186951"/>
      <w:bookmarkStart w:id="2828" w:name="_Toc461187056"/>
      <w:bookmarkStart w:id="2829" w:name="_Toc461183481"/>
      <w:bookmarkStart w:id="2830" w:name="_Toc461183586"/>
      <w:bookmarkStart w:id="2831" w:name="_Toc461183691"/>
      <w:bookmarkStart w:id="2832" w:name="_Toc461183796"/>
      <w:bookmarkStart w:id="2833" w:name="_Toc461183955"/>
      <w:bookmarkStart w:id="2834" w:name="_Toc461184060"/>
      <w:bookmarkStart w:id="2835" w:name="_Toc461184167"/>
      <w:bookmarkStart w:id="2836" w:name="_Toc461184272"/>
      <w:bookmarkStart w:id="2837" w:name="_Toc461184152"/>
      <w:bookmarkStart w:id="2838" w:name="_Toc461184386"/>
      <w:bookmarkStart w:id="2839" w:name="_Toc461184492"/>
      <w:bookmarkStart w:id="2840" w:name="_Toc461184597"/>
      <w:bookmarkStart w:id="2841" w:name="_Toc461184808"/>
      <w:bookmarkStart w:id="2842" w:name="_Toc461184913"/>
      <w:bookmarkStart w:id="2843" w:name="_Toc461185094"/>
      <w:bookmarkStart w:id="2844" w:name="_Toc461185199"/>
      <w:bookmarkStart w:id="2845" w:name="_Toc461185469"/>
      <w:bookmarkStart w:id="2846" w:name="_Toc461185574"/>
      <w:bookmarkStart w:id="2847" w:name="_Toc461186212"/>
      <w:bookmarkStart w:id="2848" w:name="_Toc461186319"/>
      <w:bookmarkStart w:id="2849" w:name="_Toc461186424"/>
      <w:bookmarkStart w:id="2850" w:name="_Toc461186635"/>
      <w:bookmarkStart w:id="2851" w:name="_Toc461186740"/>
      <w:bookmarkStart w:id="2852" w:name="_Toc461186845"/>
      <w:bookmarkStart w:id="2853" w:name="_Toc461186952"/>
      <w:bookmarkStart w:id="2854" w:name="_Toc461187057"/>
      <w:bookmarkStart w:id="2855" w:name="_Toc461183317"/>
      <w:bookmarkStart w:id="2856" w:name="_Toc461183419"/>
      <w:bookmarkStart w:id="2857" w:name="_Toc461183482"/>
      <w:bookmarkStart w:id="2858" w:name="_Toc461183587"/>
      <w:bookmarkStart w:id="2859" w:name="_Toc461183692"/>
      <w:bookmarkStart w:id="2860" w:name="_Toc461183797"/>
      <w:bookmarkStart w:id="2861" w:name="_Toc461183956"/>
      <w:bookmarkStart w:id="2862" w:name="_Toc461184061"/>
      <w:bookmarkStart w:id="2863" w:name="_Toc461184168"/>
      <w:bookmarkStart w:id="2864" w:name="_Toc461184273"/>
      <w:bookmarkStart w:id="2865" w:name="_Toc461184257"/>
      <w:bookmarkStart w:id="2866" w:name="_Toc461184387"/>
      <w:bookmarkStart w:id="2867" w:name="_Toc461184493"/>
      <w:bookmarkStart w:id="2868" w:name="_Toc461184598"/>
      <w:bookmarkStart w:id="2869" w:name="_Toc461184809"/>
      <w:bookmarkStart w:id="2870" w:name="_Toc461184914"/>
      <w:bookmarkStart w:id="2871" w:name="_Toc461185095"/>
      <w:bookmarkStart w:id="2872" w:name="_Toc461185200"/>
      <w:bookmarkStart w:id="2873" w:name="_Toc461185470"/>
      <w:bookmarkStart w:id="2874" w:name="_Toc461185575"/>
      <w:bookmarkStart w:id="2875" w:name="_Toc461186213"/>
      <w:bookmarkStart w:id="2876" w:name="_Toc461186320"/>
      <w:bookmarkStart w:id="2877" w:name="_Toc461186425"/>
      <w:bookmarkStart w:id="2878" w:name="_Toc461186636"/>
      <w:bookmarkStart w:id="2879" w:name="_Toc461186741"/>
      <w:bookmarkStart w:id="2880" w:name="_Toc461186846"/>
      <w:bookmarkStart w:id="2881" w:name="_Toc461186953"/>
      <w:bookmarkStart w:id="2882" w:name="_Toc461187058"/>
      <w:bookmarkStart w:id="2883" w:name="_Toc461183318"/>
      <w:bookmarkStart w:id="2884" w:name="_Toc461183420"/>
      <w:bookmarkStart w:id="2885" w:name="_Toc461183483"/>
      <w:bookmarkStart w:id="2886" w:name="_Toc461183588"/>
      <w:bookmarkStart w:id="2887" w:name="_Toc461183693"/>
      <w:bookmarkStart w:id="2888" w:name="_Toc461183798"/>
      <w:bookmarkStart w:id="2889" w:name="_Toc461183957"/>
      <w:bookmarkStart w:id="2890" w:name="_Toc461184062"/>
      <w:bookmarkStart w:id="2891" w:name="_Toc461184169"/>
      <w:bookmarkStart w:id="2892" w:name="_Toc461184274"/>
      <w:bookmarkStart w:id="2893" w:name="_Toc461184283"/>
      <w:bookmarkStart w:id="2894" w:name="_Toc461184388"/>
      <w:bookmarkStart w:id="2895" w:name="_Toc461184494"/>
      <w:bookmarkStart w:id="2896" w:name="_Toc461184599"/>
      <w:bookmarkStart w:id="2897" w:name="_Toc461184810"/>
      <w:bookmarkStart w:id="2898" w:name="_Toc461184915"/>
      <w:bookmarkStart w:id="2899" w:name="_Toc461185096"/>
      <w:bookmarkStart w:id="2900" w:name="_Toc461185201"/>
      <w:bookmarkStart w:id="2901" w:name="_Toc461185471"/>
      <w:bookmarkStart w:id="2902" w:name="_Toc461185576"/>
      <w:bookmarkStart w:id="2903" w:name="_Toc461186214"/>
      <w:bookmarkStart w:id="2904" w:name="_Toc461186321"/>
      <w:bookmarkStart w:id="2905" w:name="_Toc461186426"/>
      <w:bookmarkStart w:id="2906" w:name="_Toc461186637"/>
      <w:bookmarkStart w:id="2907" w:name="_Toc461186742"/>
      <w:bookmarkStart w:id="2908" w:name="_Toc461186847"/>
      <w:bookmarkStart w:id="2909" w:name="_Toc461186954"/>
      <w:bookmarkStart w:id="2910" w:name="_Toc461187059"/>
      <w:bookmarkStart w:id="2911" w:name="_Toc461183319"/>
      <w:bookmarkStart w:id="2912" w:name="_Toc461183421"/>
      <w:bookmarkStart w:id="2913" w:name="_Toc461183484"/>
      <w:bookmarkStart w:id="2914" w:name="_Toc461183589"/>
      <w:bookmarkStart w:id="2915" w:name="_Toc461183694"/>
      <w:bookmarkStart w:id="2916" w:name="_Toc461183799"/>
      <w:bookmarkStart w:id="2917" w:name="_Toc461183958"/>
      <w:bookmarkStart w:id="2918" w:name="_Toc461184063"/>
      <w:bookmarkStart w:id="2919" w:name="_Toc461184170"/>
      <w:bookmarkStart w:id="2920" w:name="_Toc461184275"/>
      <w:bookmarkStart w:id="2921" w:name="_Toc461184284"/>
      <w:bookmarkStart w:id="2922" w:name="_Toc461184389"/>
      <w:bookmarkStart w:id="2923" w:name="_Toc461184495"/>
      <w:bookmarkStart w:id="2924" w:name="_Toc461184600"/>
      <w:bookmarkStart w:id="2925" w:name="_Toc461184811"/>
      <w:bookmarkStart w:id="2926" w:name="_Toc461184916"/>
      <w:bookmarkStart w:id="2927" w:name="_Toc461185097"/>
      <w:bookmarkStart w:id="2928" w:name="_Toc461185202"/>
      <w:bookmarkStart w:id="2929" w:name="_Toc461185472"/>
      <w:bookmarkStart w:id="2930" w:name="_Toc461185577"/>
      <w:bookmarkStart w:id="2931" w:name="_Toc461186215"/>
      <w:bookmarkStart w:id="2932" w:name="_Toc461186322"/>
      <w:bookmarkStart w:id="2933" w:name="_Toc461186427"/>
      <w:bookmarkStart w:id="2934" w:name="_Toc461186638"/>
      <w:bookmarkStart w:id="2935" w:name="_Toc461186743"/>
      <w:bookmarkStart w:id="2936" w:name="_Toc461186848"/>
      <w:bookmarkStart w:id="2937" w:name="_Toc461186955"/>
      <w:bookmarkStart w:id="2938" w:name="_Toc461187060"/>
      <w:bookmarkStart w:id="2939" w:name="_Toc461183320"/>
      <w:bookmarkStart w:id="2940" w:name="_Toc461183422"/>
      <w:bookmarkStart w:id="2941" w:name="_Toc461183485"/>
      <w:bookmarkStart w:id="2942" w:name="_Toc461183590"/>
      <w:bookmarkStart w:id="2943" w:name="_Toc461183695"/>
      <w:bookmarkStart w:id="2944" w:name="_Toc461183800"/>
      <w:bookmarkStart w:id="2945" w:name="_Toc461183959"/>
      <w:bookmarkStart w:id="2946" w:name="_Toc461184064"/>
      <w:bookmarkStart w:id="2947" w:name="_Toc461184171"/>
      <w:bookmarkStart w:id="2948" w:name="_Toc461184276"/>
      <w:bookmarkStart w:id="2949" w:name="_Toc461184285"/>
      <w:bookmarkStart w:id="2950" w:name="_Toc461184390"/>
      <w:bookmarkStart w:id="2951" w:name="_Toc461184496"/>
      <w:bookmarkStart w:id="2952" w:name="_Toc461184601"/>
      <w:bookmarkStart w:id="2953" w:name="_Toc461184812"/>
      <w:bookmarkStart w:id="2954" w:name="_Toc461184917"/>
      <w:bookmarkStart w:id="2955" w:name="_Toc461185098"/>
      <w:bookmarkStart w:id="2956" w:name="_Toc461185203"/>
      <w:bookmarkStart w:id="2957" w:name="_Toc461185473"/>
      <w:bookmarkStart w:id="2958" w:name="_Toc461185578"/>
      <w:bookmarkStart w:id="2959" w:name="_Toc461186216"/>
      <w:bookmarkStart w:id="2960" w:name="_Toc461186323"/>
      <w:bookmarkStart w:id="2961" w:name="_Toc461186428"/>
      <w:bookmarkStart w:id="2962" w:name="_Toc461186639"/>
      <w:bookmarkStart w:id="2963" w:name="_Toc461186744"/>
      <w:bookmarkStart w:id="2964" w:name="_Toc461186849"/>
      <w:bookmarkStart w:id="2965" w:name="_Toc461186956"/>
      <w:bookmarkStart w:id="2966" w:name="_Toc461187061"/>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p>
    <w:p w14:paraId="7418B33B" w14:textId="77777777" w:rsidR="00D471AD" w:rsidRPr="001729A3" w:rsidRDefault="00D471AD" w:rsidP="00D471AD">
      <w:pPr>
        <w:pStyle w:val="BodyText"/>
        <w:sectPr w:rsidR="00D471AD" w:rsidRPr="001729A3" w:rsidSect="00D471AD">
          <w:footnotePr>
            <w:numFmt w:val="upperRoman"/>
          </w:footnotePr>
          <w:endnotePr>
            <w:numFmt w:val="decimal"/>
          </w:endnotePr>
          <w:type w:val="continuous"/>
          <w:pgSz w:w="11906" w:h="16838" w:code="9"/>
          <w:pgMar w:top="1440" w:right="1021" w:bottom="1440" w:left="1004" w:header="709" w:footer="709" w:gutter="0"/>
          <w:cols w:num="2" w:space="708"/>
          <w:docGrid w:linePitch="360"/>
        </w:sectPr>
      </w:pPr>
    </w:p>
    <w:p w14:paraId="7418B33C" w14:textId="77777777" w:rsidR="00D471AD" w:rsidRPr="001729A3" w:rsidRDefault="00D471AD" w:rsidP="00D471AD">
      <w:pPr>
        <w:pStyle w:val="Heading"/>
      </w:pPr>
      <w:r w:rsidRPr="001729A3">
        <w:br w:type="page"/>
      </w:r>
    </w:p>
    <w:p w14:paraId="7418B33D" w14:textId="77777777" w:rsidR="00D471AD" w:rsidRPr="001729A3" w:rsidRDefault="00D471AD" w:rsidP="00D471AD">
      <w:pPr>
        <w:pStyle w:val="FACSheading"/>
        <w:rPr>
          <w:lang w:val="en-AU"/>
        </w:rPr>
      </w:pPr>
      <w:bookmarkStart w:id="2967" w:name="_Toc462230156"/>
      <w:bookmarkStart w:id="2968" w:name="_Toc462231517"/>
      <w:bookmarkStart w:id="2969" w:name="_Toc461624504"/>
      <w:bookmarkStart w:id="2970" w:name="_Toc461629729"/>
      <w:bookmarkStart w:id="2971" w:name="_Toc461633059"/>
      <w:bookmarkStart w:id="2972" w:name="_Toc461634329"/>
      <w:bookmarkStart w:id="2973" w:name="_Toc462231625"/>
      <w:bookmarkStart w:id="2974" w:name="_Toc463013973"/>
      <w:bookmarkStart w:id="2975" w:name="_Toc463014189"/>
      <w:bookmarkStart w:id="2976" w:name="_Toc463014516"/>
      <w:bookmarkStart w:id="2977" w:name="_Toc463877049"/>
      <w:bookmarkStart w:id="2978" w:name="_Toc465862843"/>
      <w:r w:rsidRPr="001729A3">
        <w:rPr>
          <w:lang w:val="en-AU"/>
        </w:rPr>
        <w:t>Appen: A case study of an innovative, high</w:t>
      </w:r>
      <w:r>
        <w:rPr>
          <w:lang w:val="en-AU"/>
        </w:rPr>
        <w:t>-</w:t>
      </w:r>
      <w:r w:rsidRPr="001729A3">
        <w:rPr>
          <w:lang w:val="en-AU"/>
        </w:rPr>
        <w:t>growth firm</w:t>
      </w:r>
      <w:bookmarkEnd w:id="2967"/>
      <w:bookmarkEnd w:id="2968"/>
      <w:bookmarkEnd w:id="2969"/>
      <w:bookmarkEnd w:id="2970"/>
      <w:bookmarkEnd w:id="2971"/>
      <w:bookmarkEnd w:id="2972"/>
      <w:bookmarkEnd w:id="2973"/>
      <w:bookmarkEnd w:id="2974"/>
      <w:bookmarkEnd w:id="2975"/>
      <w:bookmarkEnd w:id="2976"/>
      <w:bookmarkEnd w:id="2977"/>
      <w:bookmarkEnd w:id="2978"/>
    </w:p>
    <w:p w14:paraId="7418B33E" w14:textId="77777777" w:rsidR="00D471AD" w:rsidRPr="001729A3" w:rsidRDefault="00D471AD" w:rsidP="00D471AD">
      <w:pPr>
        <w:pStyle w:val="CellSpaceBefore"/>
      </w:pPr>
    </w:p>
    <w:tbl>
      <w:tblPr>
        <w:tblStyle w:val="OCETable"/>
        <w:tblW w:w="4706" w:type="dxa"/>
        <w:tblLayout w:type="fixed"/>
        <w:tblCellMar>
          <w:left w:w="0" w:type="dxa"/>
          <w:right w:w="0" w:type="dxa"/>
        </w:tblCellMar>
        <w:tblLook w:val="04A0" w:firstRow="1" w:lastRow="0" w:firstColumn="1" w:lastColumn="0" w:noHBand="0" w:noVBand="1"/>
        <w:tblCaption w:val="Placeholder table"/>
      </w:tblPr>
      <w:tblGrid>
        <w:gridCol w:w="4706"/>
      </w:tblGrid>
      <w:tr w:rsidR="00D471AD" w:rsidRPr="000D502B" w14:paraId="7418B340" w14:textId="77777777" w:rsidTr="004A31A9">
        <w:trPr>
          <w:cnfStyle w:val="100000000000" w:firstRow="1" w:lastRow="0" w:firstColumn="0" w:lastColumn="0" w:oddVBand="0" w:evenVBand="0" w:oddHBand="0" w:evenHBand="0" w:firstRowFirstColumn="0" w:firstRowLastColumn="0" w:lastRowFirstColumn="0" w:lastRowLastColumn="0"/>
          <w:cantSplit/>
          <w:trHeight w:hRule="exact" w:val="3402"/>
          <w:tblHeader/>
        </w:trPr>
        <w:tc>
          <w:tcPr>
            <w:tcW w:w="4706" w:type="dxa"/>
            <w:shd w:val="clear" w:color="auto" w:fill="auto"/>
          </w:tcPr>
          <w:p w14:paraId="7418B33F" w14:textId="77777777" w:rsidR="00D471AD" w:rsidRPr="000D502B" w:rsidRDefault="00D471AD" w:rsidP="004A31A9">
            <w:pPr>
              <w:pStyle w:val="Placeholder"/>
              <w:rPr>
                <w:i w:val="0"/>
              </w:rPr>
            </w:pPr>
            <w:r w:rsidRPr="000D502B">
              <w:rPr>
                <w:noProof/>
                <w:lang w:eastAsia="en-AU"/>
              </w:rPr>
              <w:drawing>
                <wp:inline distT="0" distB="0" distL="0" distR="0" wp14:anchorId="7418C681" wp14:editId="7418C682">
                  <wp:extent cx="2988310" cy="2137410"/>
                  <wp:effectExtent l="0" t="0" r="2540" b="0"/>
                  <wp:docPr id="54" name="Picture 54" descr="Appen sound booth" title="Appen sound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en_sound booth.jpg"/>
                          <pic:cNvPicPr/>
                        </pic:nvPicPr>
                        <pic:blipFill>
                          <a:blip r:embed="rId181" cstate="print">
                            <a:extLst>
                              <a:ext uri="{28A0092B-C50C-407E-A947-70E740481C1C}">
                                <a14:useLocalDpi xmlns:a14="http://schemas.microsoft.com/office/drawing/2010/main"/>
                              </a:ext>
                            </a:extLst>
                          </a:blip>
                          <a:stretch>
                            <a:fillRect/>
                          </a:stretch>
                        </pic:blipFill>
                        <pic:spPr>
                          <a:xfrm>
                            <a:off x="0" y="0"/>
                            <a:ext cx="2988310" cy="2137410"/>
                          </a:xfrm>
                          <a:prstGeom prst="rect">
                            <a:avLst/>
                          </a:prstGeom>
                        </pic:spPr>
                      </pic:pic>
                    </a:graphicData>
                  </a:graphic>
                </wp:inline>
              </w:drawing>
            </w:r>
          </w:p>
        </w:tc>
      </w:tr>
    </w:tbl>
    <w:p w14:paraId="7418B341" w14:textId="77777777" w:rsidR="00D471AD" w:rsidRPr="001729A3" w:rsidRDefault="00D471AD" w:rsidP="00D471AD">
      <w:pPr>
        <w:pStyle w:val="BodyText"/>
      </w:pPr>
      <w:r w:rsidRPr="001729A3">
        <w:t xml:space="preserve"> </w:t>
      </w:r>
    </w:p>
    <w:tbl>
      <w:tblPr>
        <w:tblStyle w:val="OCETable"/>
        <w:tblW w:w="4706" w:type="dxa"/>
        <w:tblLayout w:type="fixed"/>
        <w:tblCellMar>
          <w:left w:w="0" w:type="dxa"/>
          <w:right w:w="0" w:type="dxa"/>
        </w:tblCellMar>
        <w:tblLook w:val="04A0" w:firstRow="1" w:lastRow="0" w:firstColumn="1" w:lastColumn="0" w:noHBand="0" w:noVBand="1"/>
        <w:tblCaption w:val="Appen: A case study of an innovative, high-growth firm"/>
        <w:tblDescription w:val="How do people and machines ‘talk’ to one another? For example, search engines, e-commerce sites and navigation systems all need to be able to communicate accurately in an increasingly wide range of natural languages. Appen is a world-leading provider of high-end speech, text and language technology services. Using its expertise in speech, search and linguistics, Appen assists clients with applications in devices and technology that interact with humans across the globe. &#10;Many innovative companies start with a specific customer demand that leads to a custom ‘solution’, which in turn offers a glimpse at a wider opportunity. The starting point here happened in the 1990s, when US technology company Nuance approached Dr Julie Vonwiller. As a linguistic expert at the University of Sydney, her assistance was required to improve the voice recognition functionality of Nuance’s systems. Appen’s co-founder and current Chair, Chris Vonwiller, who had been an engineer and senior manager in Telstra, brought corporate experience and an awareness of the opportunity of the increasing role of natural language in the human-machine interface. Their combined expertise, and the dual market-technology insight that it shaped, led to the formation of Appen. Through periods of fast and slow growth, Appen’s turnover grew to over $82 million. From the outset Appen was managed by executives with extensive prior industry experience. It listed in 2015. &#10;Appen had to develop a unique business model for a rapidly evolving business. The combination of linguistic and technological expertise is its key asset, but in the early years it was difficult to find skilled human resources to keep up with growth. Appen used networks among academic and professional linguists, and tried different forms of contracting before developing its global network.&#10;While Appen now has a core staff of over 230, it has built a global network of over 350 000 individuals to whom it can outsource specific language tasks—its selective ‘crowd’. It has also developed the capability to grow, select and manage this diffuse asset, combining competition among suppliers with strong internal quality control. The capacity to recruit individuals with language skills and then mobilise its crowd enables Appen to respond rapidly and flexibly to customer demand. Australia’s multicultural and multilinguistic population is a strong locational asset for Appen.&#10;Appen’s founders saw the market was clearly global, and at an early stage looked for entry to the US economy. Finding a US customer was the first step to establishing a US presence. Although the US is still the major market, Appen has customers in Europe and supports its international network of independent contractors from an operation in the Philippines. &#10;In 2009 the private equity group Anacacia invested in Appen and began facilitating international acquisitions. In 2011, Appen acquired a complementary US business, Butler Hill, which focused on the application of linguistics to internet-based search and text analytics. In 2012 Appen acquired the business Wilkman Remer. Butler Hill, and its major client Microsoft, strengthened Appen’s position in the US market, although it also led to a high level of dependence on a single customer. &#10;‘We have very little revenue derived locally,’ CEO Mark Brayan says. ‘A third of our resources are local and the other two-thirds are around the world. The success of Australian tech businesses often depends on how effectively and quickly they can go offshore to reach bigger markets’. Even for web-based businesses, proximity to customers "/>
      </w:tblPr>
      <w:tblGrid>
        <w:gridCol w:w="4706"/>
      </w:tblGrid>
      <w:tr w:rsidR="00D471AD" w:rsidRPr="000D502B" w14:paraId="7418B343" w14:textId="77777777" w:rsidTr="00875D8B">
        <w:trPr>
          <w:cnfStyle w:val="100000000000" w:firstRow="1" w:lastRow="0" w:firstColumn="0" w:lastColumn="0" w:oddVBand="0" w:evenVBand="0" w:oddHBand="0" w:evenHBand="0" w:firstRowFirstColumn="0" w:firstRowLastColumn="0" w:lastRowFirstColumn="0" w:lastRowLastColumn="0"/>
          <w:cantSplit/>
          <w:trHeight w:hRule="exact" w:val="1657"/>
          <w:tblHeader/>
        </w:trPr>
        <w:tc>
          <w:tcPr>
            <w:tcW w:w="4706" w:type="dxa"/>
            <w:shd w:val="clear" w:color="auto" w:fill="auto"/>
          </w:tcPr>
          <w:p w14:paraId="7418B342" w14:textId="77777777" w:rsidR="00D471AD" w:rsidRPr="000D502B" w:rsidRDefault="00D471AD" w:rsidP="004A31A9">
            <w:pPr>
              <w:pStyle w:val="Placeholder"/>
            </w:pPr>
            <w:r w:rsidRPr="000D502B">
              <w:rPr>
                <w:noProof/>
                <w:lang w:eastAsia="en-AU"/>
              </w:rPr>
              <w:drawing>
                <wp:inline distT="0" distB="0" distL="0" distR="0" wp14:anchorId="7418C683" wp14:editId="7418C684">
                  <wp:extent cx="2857500" cy="952500"/>
                  <wp:effectExtent l="0" t="0" r="0" b="0"/>
                  <wp:docPr id="55" name="Picture 55" descr="Logo says 'A global leader in language, search and social technologies'" title="App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en_Logo.jpg"/>
                          <pic:cNvPicPr/>
                        </pic:nvPicPr>
                        <pic:blipFill>
                          <a:blip r:embed="rId182">
                            <a:extLst>
                              <a:ext uri="{28A0092B-C50C-407E-A947-70E740481C1C}">
                                <a14:useLocalDpi xmlns:a14="http://schemas.microsoft.com/office/drawing/2010/main" val="0"/>
                              </a:ext>
                            </a:extLst>
                          </a:blip>
                          <a:stretch>
                            <a:fillRect/>
                          </a:stretch>
                        </pic:blipFill>
                        <pic:spPr>
                          <a:xfrm>
                            <a:off x="0" y="0"/>
                            <a:ext cx="2857500" cy="952500"/>
                          </a:xfrm>
                          <a:prstGeom prst="rect">
                            <a:avLst/>
                          </a:prstGeom>
                        </pic:spPr>
                      </pic:pic>
                    </a:graphicData>
                  </a:graphic>
                </wp:inline>
              </w:drawing>
            </w:r>
          </w:p>
        </w:tc>
      </w:tr>
      <w:tr w:rsidR="00D471AD" w:rsidRPr="000D502B" w14:paraId="7418B352" w14:textId="77777777" w:rsidTr="004A31A9">
        <w:tc>
          <w:tcPr>
            <w:tcW w:w="4706" w:type="dxa"/>
            <w:shd w:val="clear" w:color="auto" w:fill="auto"/>
          </w:tcPr>
          <w:p w14:paraId="7418B344" w14:textId="77777777" w:rsidR="00D471AD" w:rsidRPr="001729A3" w:rsidRDefault="00D471AD" w:rsidP="004A31A9">
            <w:pPr>
              <w:pStyle w:val="CaseStudytext"/>
              <w:ind w:right="311"/>
              <w:rPr>
                <w:i w:val="0"/>
              </w:rPr>
            </w:pPr>
            <w:r w:rsidRPr="001729A3">
              <w:rPr>
                <w:i w:val="0"/>
              </w:rPr>
              <w:t>How do people and machines ‘talk’ to one another? For example, search engines, e-commerce sites and navigation systems all need to be able to communicate accurately in an increasingly wide range of natural languages. Appen is a world-leading provider of high-end speech, text and language technology services. Using its expertise in speech, search and linguistics</w:t>
            </w:r>
            <w:r>
              <w:rPr>
                <w:i w:val="0"/>
              </w:rPr>
              <w:t>,</w:t>
            </w:r>
            <w:r w:rsidRPr="001729A3">
              <w:rPr>
                <w:i w:val="0"/>
              </w:rPr>
              <w:t xml:space="preserve"> Appen assists clients with applications in devices and technology that interact with humans across the globe. </w:t>
            </w:r>
          </w:p>
          <w:p w14:paraId="7418B345" w14:textId="77777777" w:rsidR="00D471AD" w:rsidRPr="001729A3" w:rsidRDefault="00D471AD" w:rsidP="004A31A9">
            <w:pPr>
              <w:pStyle w:val="CaseStudytext"/>
              <w:ind w:right="311"/>
              <w:rPr>
                <w:i w:val="0"/>
              </w:rPr>
            </w:pPr>
            <w:r w:rsidRPr="001729A3">
              <w:rPr>
                <w:i w:val="0"/>
              </w:rPr>
              <w:t>Many innovative companies start with a specific customer demand that leads to a custom ‘solution’, which in turn offers a glimpse at a wider opportunity. The starting point here happened in the 1990s</w:t>
            </w:r>
            <w:r>
              <w:rPr>
                <w:i w:val="0"/>
              </w:rPr>
              <w:t>,</w:t>
            </w:r>
            <w:r w:rsidRPr="001729A3">
              <w:rPr>
                <w:i w:val="0"/>
              </w:rPr>
              <w:t xml:space="preserve"> when US technology company Nuance approached Dr Julie Vonwiller. As a linguistic expert at the University of Sydney, her assistance was required to improve the voice recognition functionality of Nuance’s systems. Appen’s co-founder and current Chair, Chris Vonwiller, who had been an engineer and senior manager in Telstra, brought corporate experience and an awareness of the opportunity of the increasing role of natural language in the human-machine interface. Their combined expertise, and the dual market-technology insight that it shaped, led to the formation of Appen. Through periods of fast and slow growth, Appen’s turnover grew to over $82 million. From the outset Appen was managed by executives with extensive prior industry experience. It listed in 2015. </w:t>
            </w:r>
          </w:p>
          <w:p w14:paraId="7418B346" w14:textId="77777777" w:rsidR="00D471AD" w:rsidRPr="001729A3" w:rsidRDefault="00D471AD" w:rsidP="004A31A9">
            <w:pPr>
              <w:pStyle w:val="CaseStudytext"/>
              <w:ind w:right="311"/>
              <w:rPr>
                <w:i w:val="0"/>
              </w:rPr>
            </w:pPr>
            <w:r w:rsidRPr="001729A3">
              <w:rPr>
                <w:i w:val="0"/>
              </w:rPr>
              <w:t>Appen had to develop a unique business model for a rapidly evolving business. The combination of linguistic and technological expertise is its key asset, but in the early years it was difficult to find skilled human resources to keep up with growth. Appen used networks among academic and professional linguists</w:t>
            </w:r>
            <w:r>
              <w:rPr>
                <w:i w:val="0"/>
              </w:rPr>
              <w:t>,</w:t>
            </w:r>
            <w:r w:rsidRPr="001729A3">
              <w:rPr>
                <w:i w:val="0"/>
              </w:rPr>
              <w:t xml:space="preserve"> and tried different forms of contracting before developing its global network.</w:t>
            </w:r>
          </w:p>
          <w:p w14:paraId="7418B347" w14:textId="77777777" w:rsidR="00D471AD" w:rsidRPr="001729A3" w:rsidRDefault="00D471AD" w:rsidP="004A31A9">
            <w:pPr>
              <w:pStyle w:val="CaseStudytext"/>
              <w:ind w:right="311"/>
              <w:rPr>
                <w:i w:val="0"/>
              </w:rPr>
            </w:pPr>
            <w:r w:rsidRPr="001729A3">
              <w:rPr>
                <w:i w:val="0"/>
              </w:rPr>
              <w:t>While Appen now has a core staff of over 230, it has built a global network of over 350 000 individuals to whom it can outsource specific language tasks—its selective ‘crowd’. It has also developed the capability to grow, select and manage this diffuse asset, combining competition among suppliers with strong internal quality control. The capacity to recruit individuals with language skills and then mobilise its crowd enables Appen to respond rapidly and flexibly to customer demand. Australia’s multicultural and multilinguistic population is a strong locational asset for Appen.</w:t>
            </w:r>
          </w:p>
          <w:p w14:paraId="7418B348" w14:textId="77777777" w:rsidR="00D471AD" w:rsidRPr="001729A3" w:rsidRDefault="00D471AD" w:rsidP="004A31A9">
            <w:pPr>
              <w:pStyle w:val="CaseStudytext"/>
              <w:ind w:right="311"/>
              <w:rPr>
                <w:i w:val="0"/>
              </w:rPr>
            </w:pPr>
            <w:r w:rsidRPr="001729A3">
              <w:rPr>
                <w:i w:val="0"/>
              </w:rPr>
              <w:t>Appen’s founders saw the market was clearly global</w:t>
            </w:r>
            <w:r>
              <w:rPr>
                <w:i w:val="0"/>
              </w:rPr>
              <w:t>,</w:t>
            </w:r>
            <w:r w:rsidRPr="001729A3">
              <w:rPr>
                <w:i w:val="0"/>
              </w:rPr>
              <w:t xml:space="preserve"> and at an early stage looked for entry to the US economy. Finding a US customer was the first step to establishing a US presence. Although the US is still the major market, Appen has customers in Europe and supports its international network of independent contractors from an operation in the Philippines. </w:t>
            </w:r>
          </w:p>
          <w:p w14:paraId="7418B349" w14:textId="77777777" w:rsidR="00D471AD" w:rsidRPr="001729A3" w:rsidRDefault="00D471AD" w:rsidP="004A31A9">
            <w:pPr>
              <w:pStyle w:val="CaseStudytext"/>
              <w:ind w:right="311"/>
              <w:rPr>
                <w:i w:val="0"/>
              </w:rPr>
            </w:pPr>
            <w:r w:rsidRPr="001729A3">
              <w:rPr>
                <w:i w:val="0"/>
              </w:rPr>
              <w:t>In 2009 the private equity group Anacacia invested in Appen and began facilitating international acquisitions. In 2011, Appen acquired a complementary US business, Butler Hill, which focused on the application of linguistics to internet-based search and text analytics. In 2012 Appen acquired the business Wilkman Remer. Butler Hill</w:t>
            </w:r>
            <w:r>
              <w:rPr>
                <w:i w:val="0"/>
              </w:rPr>
              <w:t>,</w:t>
            </w:r>
            <w:r w:rsidRPr="001729A3">
              <w:rPr>
                <w:i w:val="0"/>
              </w:rPr>
              <w:t xml:space="preserve"> and its major client Microsoft</w:t>
            </w:r>
            <w:r>
              <w:rPr>
                <w:i w:val="0"/>
              </w:rPr>
              <w:t>,</w:t>
            </w:r>
            <w:r w:rsidRPr="001729A3">
              <w:rPr>
                <w:i w:val="0"/>
              </w:rPr>
              <w:t xml:space="preserve"> strengthened Appen’s position in the US market, although it also led to a high level of dependence on a single customer. </w:t>
            </w:r>
          </w:p>
          <w:p w14:paraId="7418B34A" w14:textId="77777777" w:rsidR="00D471AD" w:rsidRPr="001729A3" w:rsidRDefault="00D471AD" w:rsidP="004A31A9">
            <w:pPr>
              <w:pStyle w:val="CaseStudytext"/>
              <w:ind w:right="311"/>
              <w:rPr>
                <w:i w:val="0"/>
              </w:rPr>
            </w:pPr>
            <w:r w:rsidRPr="001729A3">
              <w:rPr>
                <w:i w:val="0"/>
              </w:rPr>
              <w:t>‘We have very little revenue derived locally,’ CEO Mark Brayan says</w:t>
            </w:r>
            <w:r>
              <w:rPr>
                <w:i w:val="0"/>
              </w:rPr>
              <w:t>.</w:t>
            </w:r>
            <w:r w:rsidRPr="00660104">
              <w:rPr>
                <w:i w:val="0"/>
              </w:rPr>
              <w:t xml:space="preserve"> ‘</w:t>
            </w:r>
            <w:r>
              <w:rPr>
                <w:i w:val="0"/>
              </w:rPr>
              <w:t>A</w:t>
            </w:r>
            <w:r w:rsidRPr="001729A3">
              <w:rPr>
                <w:i w:val="0"/>
              </w:rPr>
              <w:t xml:space="preserve"> third of our resources are local and the other two-thirds are around the world. The success of Australian tech businesses often depends on how effectively and quickly they can go offshore to reach bigger </w:t>
            </w:r>
            <w:r w:rsidRPr="0061710B">
              <w:rPr>
                <w:i w:val="0"/>
                <w:lang w:val="en-GB"/>
              </w:rPr>
              <w:t>markets’</w:t>
            </w:r>
            <w:r w:rsidRPr="001729A3">
              <w:rPr>
                <w:i w:val="0"/>
              </w:rPr>
              <w:t xml:space="preserve">. Even for web-based businesses, proximity to customers is important, particularly to generate sales. </w:t>
            </w:r>
          </w:p>
          <w:p w14:paraId="7418B34B" w14:textId="77777777" w:rsidR="00D471AD" w:rsidRPr="001729A3" w:rsidRDefault="00D471AD" w:rsidP="004A31A9">
            <w:pPr>
              <w:pStyle w:val="CaseStudytext"/>
              <w:ind w:right="311"/>
              <w:rPr>
                <w:i w:val="0"/>
              </w:rPr>
            </w:pPr>
            <w:r w:rsidRPr="001729A3">
              <w:rPr>
                <w:i w:val="0"/>
              </w:rPr>
              <w:t>Mark sees three foundations for sustained high growth at Appen:</w:t>
            </w:r>
          </w:p>
          <w:p w14:paraId="7418B34C" w14:textId="77777777" w:rsidR="00D471AD" w:rsidRPr="001729A3" w:rsidRDefault="00D471AD" w:rsidP="00D471AD">
            <w:pPr>
              <w:pStyle w:val="CaseStudytext"/>
              <w:numPr>
                <w:ilvl w:val="0"/>
                <w:numId w:val="13"/>
              </w:numPr>
              <w:ind w:right="311"/>
              <w:rPr>
                <w:i w:val="0"/>
              </w:rPr>
            </w:pPr>
            <w:r>
              <w:rPr>
                <w:i w:val="0"/>
              </w:rPr>
              <w:t>H</w:t>
            </w:r>
            <w:r w:rsidRPr="001729A3">
              <w:rPr>
                <w:i w:val="0"/>
              </w:rPr>
              <w:t>igh demand: ‘</w:t>
            </w:r>
            <w:r>
              <w:rPr>
                <w:i w:val="0"/>
              </w:rPr>
              <w:t>O</w:t>
            </w:r>
            <w:r w:rsidRPr="001729A3">
              <w:rPr>
                <w:i w:val="0"/>
              </w:rPr>
              <w:t>ur services have been in high demand due to the growth in interaction between people and technology</w:t>
            </w:r>
            <w:r>
              <w:rPr>
                <w:i w:val="0"/>
              </w:rPr>
              <w:t>,</w:t>
            </w:r>
            <w:r w:rsidRPr="001729A3">
              <w:rPr>
                <w:i w:val="0"/>
              </w:rPr>
              <w:t xml:space="preserve"> and the need to extend accurate language interpretation to include more and more languages’. </w:t>
            </w:r>
          </w:p>
          <w:p w14:paraId="7418B34D" w14:textId="77777777" w:rsidR="00D471AD" w:rsidRPr="001729A3" w:rsidRDefault="00D471AD" w:rsidP="00D471AD">
            <w:pPr>
              <w:pStyle w:val="CaseStudytext"/>
              <w:numPr>
                <w:ilvl w:val="0"/>
                <w:numId w:val="13"/>
              </w:numPr>
              <w:ind w:right="311"/>
              <w:rPr>
                <w:i w:val="0"/>
              </w:rPr>
            </w:pPr>
            <w:r>
              <w:rPr>
                <w:i w:val="0"/>
              </w:rPr>
              <w:t>C</w:t>
            </w:r>
            <w:r w:rsidRPr="001729A3">
              <w:rPr>
                <w:i w:val="0"/>
              </w:rPr>
              <w:t>apability and flexibility: ‘</w:t>
            </w:r>
            <w:r>
              <w:rPr>
                <w:i w:val="0"/>
              </w:rPr>
              <w:t>W</w:t>
            </w:r>
            <w:r w:rsidRPr="001729A3">
              <w:rPr>
                <w:i w:val="0"/>
              </w:rPr>
              <w:t>e have built</w:t>
            </w:r>
            <w:r>
              <w:rPr>
                <w:i w:val="0"/>
              </w:rPr>
              <w:t>,</w:t>
            </w:r>
            <w:r w:rsidRPr="001729A3">
              <w:rPr>
                <w:i w:val="0"/>
              </w:rPr>
              <w:t xml:space="preserve"> and continue to strengthen</w:t>
            </w:r>
            <w:r>
              <w:rPr>
                <w:i w:val="0"/>
              </w:rPr>
              <w:t>,</w:t>
            </w:r>
            <w:r w:rsidRPr="001729A3">
              <w:rPr>
                <w:i w:val="0"/>
              </w:rPr>
              <w:t xml:space="preserve"> a capability base that provides both a high level of expertise across all relevant languages—and the application of our linguistic capability to information technology applications—and a high level of flexibility, through the use of “managed crowd-sourcing”’.</w:t>
            </w:r>
          </w:p>
          <w:p w14:paraId="7418B34E" w14:textId="77777777" w:rsidR="00D471AD" w:rsidRPr="001729A3" w:rsidRDefault="00D471AD" w:rsidP="00D471AD">
            <w:pPr>
              <w:pStyle w:val="CaseStudytext"/>
              <w:numPr>
                <w:ilvl w:val="0"/>
                <w:numId w:val="13"/>
              </w:numPr>
              <w:ind w:right="311"/>
              <w:rPr>
                <w:i w:val="0"/>
              </w:rPr>
            </w:pPr>
            <w:r>
              <w:rPr>
                <w:i w:val="0"/>
              </w:rPr>
              <w:t>S</w:t>
            </w:r>
            <w:r w:rsidRPr="00660104">
              <w:rPr>
                <w:i w:val="0"/>
              </w:rPr>
              <w:t>cale</w:t>
            </w:r>
            <w:r w:rsidRPr="001729A3">
              <w:rPr>
                <w:i w:val="0"/>
              </w:rPr>
              <w:t xml:space="preserve">: ‘And our business model is scalable’. </w:t>
            </w:r>
          </w:p>
          <w:p w14:paraId="7418B34F" w14:textId="77777777" w:rsidR="00D471AD" w:rsidRPr="001729A3" w:rsidRDefault="00D471AD" w:rsidP="004A31A9">
            <w:pPr>
              <w:pStyle w:val="CaseStudytext"/>
              <w:ind w:right="311"/>
              <w:rPr>
                <w:i w:val="0"/>
              </w:rPr>
            </w:pPr>
            <w:r w:rsidRPr="001729A3">
              <w:rPr>
                <w:i w:val="0"/>
              </w:rPr>
              <w:t>Growth, particularly the transformation into a public company, led to the need to formalise corporate management. In 2015 Mark Brayan was appointed CEO, bringing extensive experience in leading IT businesses. Mark notes: ‘more recently a CFO, Head of HR and Recruiting and Head of IT were recruited. Since listing, our culture is very results</w:t>
            </w:r>
            <w:r>
              <w:rPr>
                <w:i w:val="0"/>
              </w:rPr>
              <w:t xml:space="preserve"> </w:t>
            </w:r>
            <w:r w:rsidRPr="001729A3">
              <w:rPr>
                <w:i w:val="0"/>
              </w:rPr>
              <w:t xml:space="preserve">oriented’. Nevertheless, for an organisation dependent on the specialist expertise of its staff, Appen consciously seeks to maintain a ‘happy ship’: staff engagement is assessed, individuals have performance plans and management incentives in the form of shares. </w:t>
            </w:r>
          </w:p>
          <w:p w14:paraId="7418B350" w14:textId="77777777" w:rsidR="00D471AD" w:rsidRPr="001729A3" w:rsidRDefault="00D471AD" w:rsidP="004A31A9">
            <w:pPr>
              <w:pStyle w:val="CaseStudytext"/>
              <w:ind w:right="311"/>
              <w:rPr>
                <w:i w:val="0"/>
              </w:rPr>
            </w:pPr>
            <w:r w:rsidRPr="001729A3">
              <w:rPr>
                <w:i w:val="0"/>
              </w:rPr>
              <w:t>Appen aims to maintain its high growth by entering and increasing its position in more international markets, finding markets in other applications in the IT industry, expanding into government markets</w:t>
            </w:r>
            <w:r>
              <w:rPr>
                <w:i w:val="0"/>
              </w:rPr>
              <w:t>,</w:t>
            </w:r>
            <w:r w:rsidRPr="001729A3">
              <w:rPr>
                <w:i w:val="0"/>
              </w:rPr>
              <w:t xml:space="preserve"> and making further acquisitions. However, Appen faces competition in its two main markets. In the ‘speech’ market, its competitors are either university consortia or smaller, regional businesses that focus on a specific language or group of languages. In the ‘search’ market, the main competitors are the large localisation businesses. Nevertheless, Mark is confident that Appen’s strong technical capabilities and global network are up to the challenge: ‘</w:t>
            </w:r>
            <w:r>
              <w:rPr>
                <w:i w:val="0"/>
              </w:rPr>
              <w:t>O</w:t>
            </w:r>
            <w:r w:rsidRPr="00660104">
              <w:rPr>
                <w:i w:val="0"/>
              </w:rPr>
              <w:t xml:space="preserve">ur </w:t>
            </w:r>
            <w:r w:rsidRPr="001729A3">
              <w:rPr>
                <w:i w:val="0"/>
              </w:rPr>
              <w:t xml:space="preserve">breadth of linguistic capability and our high level of quality assurance are critical to maintaining our competitiveness’. Disruption is always possible, if not inevitable, in the IT sector, and in the longer run improvements in machine learning may impact the market. </w:t>
            </w:r>
          </w:p>
          <w:p w14:paraId="7418B351" w14:textId="77777777" w:rsidR="00D471AD" w:rsidRPr="001729A3" w:rsidRDefault="00D471AD" w:rsidP="004A31A9">
            <w:pPr>
              <w:pStyle w:val="CaseStudytext"/>
              <w:ind w:right="311"/>
            </w:pPr>
          </w:p>
        </w:tc>
      </w:tr>
    </w:tbl>
    <w:p w14:paraId="7418B353" w14:textId="77777777" w:rsidR="00D471AD" w:rsidRPr="000D502B" w:rsidRDefault="00D471AD" w:rsidP="00D471AD">
      <w:pPr>
        <w:pStyle w:val="Caption"/>
      </w:pPr>
      <w:bookmarkStart w:id="2979" w:name="_Toc461198263"/>
      <w:bookmarkStart w:id="2980" w:name="_Toc461198805"/>
      <w:bookmarkStart w:id="2981" w:name="_Toc461204093"/>
      <w:bookmarkStart w:id="2982" w:name="_Toc461527533"/>
      <w:bookmarkStart w:id="2983" w:name="_Toc461539568"/>
      <w:bookmarkStart w:id="2984" w:name="_Toc461541685"/>
      <w:bookmarkStart w:id="2985" w:name="_Toc461545440"/>
      <w:bookmarkStart w:id="2986" w:name="_Toc461624436"/>
      <w:bookmarkStart w:id="2987" w:name="_Toc461629661"/>
      <w:bookmarkStart w:id="2988" w:name="_Toc461632991"/>
      <w:bookmarkStart w:id="2989" w:name="_Toc461634261"/>
      <w:bookmarkStart w:id="2990" w:name="_Toc463013914"/>
      <w:bookmarkStart w:id="2991" w:name="_Toc463014023"/>
      <w:bookmarkStart w:id="2992" w:name="_Toc463014457"/>
      <w:bookmarkStart w:id="2993" w:name="_Toc463877097"/>
      <w:bookmarkStart w:id="2994" w:name="_Toc465864609"/>
      <w:r w:rsidRPr="000D502B">
        <w:t xml:space="preserve">Figure </w:t>
      </w:r>
      <w:fldSimple w:instr=" STYLEREF 1 \s ">
        <w:r>
          <w:rPr>
            <w:noProof/>
          </w:rPr>
          <w:t>5</w:t>
        </w:r>
      </w:fldSimple>
      <w:r w:rsidRPr="000D502B">
        <w:t>.</w:t>
      </w:r>
      <w:fldSimple w:instr=" SEQ Figure \* ARABIC \s 1 ">
        <w:r>
          <w:rPr>
            <w:noProof/>
          </w:rPr>
          <w:t>6</w:t>
        </w:r>
      </w:fldSimple>
      <w:r w:rsidRPr="000D502B">
        <w:t>: Appen’s turnover growth, indexed, 2011–12 to 2015–16</w:t>
      </w:r>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p>
    <w:p w14:paraId="7418B354" w14:textId="77777777" w:rsidR="00D471AD" w:rsidRPr="000D502B" w:rsidRDefault="00D471AD" w:rsidP="00D471AD">
      <w:r w:rsidRPr="000D502B">
        <w:rPr>
          <w:noProof/>
          <w:lang w:eastAsia="en-AU"/>
        </w:rPr>
        <w:drawing>
          <wp:inline distT="0" distB="0" distL="0" distR="0" wp14:anchorId="7418C685" wp14:editId="7418C686">
            <wp:extent cx="2987040" cy="2164080"/>
            <wp:effectExtent l="0" t="0" r="3810" b="7620"/>
            <wp:docPr id="2" name="Picture 2" descr="Figure 5.6 shows Appen’s remarkable turnover growth over the period 2011-12-2015-16. The figures have been indexed to 2011-12 as the base period. The turnover growth line has been smoothed." title="Figure 5.6: Appen’s turnover growth, indexed, 2011–12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87040" cy="2164080"/>
                    </a:xfrm>
                    <a:prstGeom prst="rect">
                      <a:avLst/>
                    </a:prstGeom>
                    <a:noFill/>
                  </pic:spPr>
                </pic:pic>
              </a:graphicData>
            </a:graphic>
          </wp:inline>
        </w:drawing>
      </w:r>
    </w:p>
    <w:p w14:paraId="7418B355" w14:textId="77777777" w:rsidR="00D471AD" w:rsidRPr="001729A3" w:rsidRDefault="00D471AD" w:rsidP="00D471AD">
      <w:pPr>
        <w:pStyle w:val="Note"/>
        <w:rPr>
          <w:lang w:val="en-AU"/>
        </w:rPr>
      </w:pPr>
      <w:r w:rsidRPr="001729A3">
        <w:rPr>
          <w:lang w:val="en-AU"/>
        </w:rPr>
        <w:t>Notes: Turnover is indexed from 2011–</w:t>
      </w:r>
      <w:r w:rsidRPr="001729A3">
        <w:rPr>
          <w:lang w:val="en-AU"/>
        </w:rPr>
        <w:softHyphen/>
        <w:t xml:space="preserve">12. 2011–12 is 100. The line has been smoothed. </w:t>
      </w:r>
    </w:p>
    <w:p w14:paraId="7418B356" w14:textId="77777777" w:rsidR="00D471AD" w:rsidRPr="001729A3" w:rsidRDefault="00D471AD" w:rsidP="00D471AD">
      <w:pPr>
        <w:pStyle w:val="Source"/>
        <w:rPr>
          <w:lang w:val="en-AU"/>
        </w:rPr>
      </w:pPr>
      <w:r w:rsidRPr="001729A3">
        <w:rPr>
          <w:lang w:val="en-AU"/>
        </w:rPr>
        <w:t xml:space="preserve">Source: Appen Ltd (2015) </w:t>
      </w:r>
      <w:r w:rsidRPr="001729A3">
        <w:rPr>
          <w:i/>
          <w:lang w:val="en-AU"/>
        </w:rPr>
        <w:t>Annual Report 2015</w:t>
      </w:r>
      <w:r w:rsidRPr="001729A3">
        <w:rPr>
          <w:lang w:val="en-AU"/>
        </w:rPr>
        <w:t xml:space="preserve">, Appen Ltd; Appen Ltd (2014) </w:t>
      </w:r>
      <w:r w:rsidRPr="001729A3">
        <w:rPr>
          <w:i/>
          <w:lang w:val="en-AU"/>
        </w:rPr>
        <w:t>Prospectus</w:t>
      </w:r>
      <w:r w:rsidRPr="001729A3">
        <w:rPr>
          <w:lang w:val="en-AU"/>
        </w:rPr>
        <w:t>, Appen Ltd.</w:t>
      </w:r>
    </w:p>
    <w:p w14:paraId="7418B357" w14:textId="77777777" w:rsidR="00D471AD" w:rsidRPr="001729A3" w:rsidRDefault="00D471AD" w:rsidP="00D471AD">
      <w:pPr>
        <w:pStyle w:val="BodyText"/>
      </w:pPr>
      <w:r w:rsidRPr="001729A3">
        <w:t>Authors: UTS Business School MCS Research Team and Abasi Latcham.</w:t>
      </w:r>
    </w:p>
    <w:p w14:paraId="7418B358" w14:textId="77777777" w:rsidR="00D471AD" w:rsidRPr="000D502B" w:rsidRDefault="00D471AD" w:rsidP="00D471AD">
      <w:pPr>
        <w:pStyle w:val="Heading2"/>
      </w:pPr>
      <w:r>
        <w:br w:type="column"/>
      </w:r>
      <w:bookmarkStart w:id="2995" w:name="_Toc461174543"/>
      <w:bookmarkStart w:id="2996" w:name="_Toc461180097"/>
      <w:bookmarkStart w:id="2997" w:name="_Toc461180193"/>
      <w:bookmarkStart w:id="2998" w:name="_Toc461180485"/>
      <w:bookmarkStart w:id="2999" w:name="_Toc461180565"/>
      <w:bookmarkStart w:id="3000" w:name="_Toc461180614"/>
      <w:bookmarkStart w:id="3001" w:name="_Toc461183222"/>
      <w:bookmarkStart w:id="3002" w:name="_Toc461183274"/>
      <w:bookmarkStart w:id="3003" w:name="_Toc461183352"/>
      <w:bookmarkStart w:id="3004" w:name="_Toc461183817"/>
      <w:bookmarkStart w:id="3005" w:name="_Toc461184423"/>
      <w:bookmarkStart w:id="3006" w:name="_Toc461184528"/>
      <w:bookmarkStart w:id="3007" w:name="_Toc461186566"/>
      <w:bookmarkStart w:id="3008" w:name="_Toc461186883"/>
      <w:bookmarkStart w:id="3009" w:name="_Toc461186988"/>
      <w:bookmarkStart w:id="3010" w:name="_Toc461187247"/>
      <w:bookmarkStart w:id="3011" w:name="_Toc461198274"/>
      <w:bookmarkStart w:id="3012" w:name="_Toc461198816"/>
      <w:bookmarkStart w:id="3013" w:name="_Toc461204104"/>
      <w:bookmarkStart w:id="3014" w:name="_Toc461527599"/>
      <w:bookmarkStart w:id="3015" w:name="_Toc461624507"/>
      <w:bookmarkStart w:id="3016" w:name="_Toc461629731"/>
      <w:bookmarkStart w:id="3017" w:name="_Toc461633061"/>
      <w:bookmarkStart w:id="3018" w:name="_Toc461634331"/>
      <w:bookmarkStart w:id="3019" w:name="_Toc462230157"/>
      <w:bookmarkStart w:id="3020" w:name="_Toc462231518"/>
      <w:bookmarkStart w:id="3021" w:name="_Toc462231626"/>
      <w:bookmarkStart w:id="3022" w:name="_Toc463013974"/>
      <w:bookmarkStart w:id="3023" w:name="_Toc463014190"/>
      <w:bookmarkStart w:id="3024" w:name="_Toc463014517"/>
      <w:bookmarkStart w:id="3025" w:name="_Toc463877050"/>
      <w:bookmarkStart w:id="3026" w:name="_Toc465862844"/>
      <w:r w:rsidRPr="000D502B">
        <w:t>The role of government in the innovation system</w:t>
      </w:r>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p>
    <w:p w14:paraId="7418B359" w14:textId="77777777" w:rsidR="00D471AD" w:rsidRPr="001729A3" w:rsidRDefault="00D471AD" w:rsidP="00D471AD">
      <w:pPr>
        <w:pStyle w:val="BodyText"/>
      </w:pPr>
      <w:r w:rsidRPr="001729A3">
        <w:t>Governments across Australia play an important role in supporting innovation (</w:t>
      </w:r>
      <w:r w:rsidRPr="001729A3">
        <w:fldChar w:fldCharType="begin"/>
      </w:r>
      <w:r w:rsidRPr="001729A3">
        <w:instrText xml:space="preserve"> REF _Ref461113648 \h </w:instrText>
      </w:r>
      <w:r w:rsidRPr="001729A3">
        <w:fldChar w:fldCharType="separate"/>
      </w:r>
      <w:r w:rsidRPr="000D502B">
        <w:t xml:space="preserve">Figure </w:t>
      </w:r>
      <w:r>
        <w:rPr>
          <w:noProof/>
        </w:rPr>
        <w:t>5</w:t>
      </w:r>
      <w:r w:rsidRPr="000D502B">
        <w:t>.</w:t>
      </w:r>
      <w:r>
        <w:rPr>
          <w:noProof/>
        </w:rPr>
        <w:t>8</w:t>
      </w:r>
      <w:r w:rsidRPr="001729A3">
        <w:fldChar w:fldCharType="end"/>
      </w:r>
      <w:r w:rsidRPr="001729A3">
        <w:t>). People typically think of innovation policy as direct grant support for R&amp;D or commercialisation projects</w:t>
      </w:r>
      <w:r>
        <w:t>,</w:t>
      </w:r>
      <w:r w:rsidRPr="001729A3">
        <w:t xml:space="preserve"> but this is a simplistic view. </w:t>
      </w:r>
    </w:p>
    <w:p w14:paraId="7418B35A" w14:textId="77777777" w:rsidR="00D471AD" w:rsidRPr="001729A3" w:rsidRDefault="00D471AD" w:rsidP="00D471AD">
      <w:pPr>
        <w:pStyle w:val="BodyText"/>
      </w:pPr>
      <w:r w:rsidRPr="001729A3">
        <w:t xml:space="preserve">Governments’ abilities to influence rates of innovation through direct financing of innovation projects is limited. The percentage of Australian businesses receiving public support for innovation is low and, at </w:t>
      </w:r>
      <w:r>
        <w:t>seven</w:t>
      </w:r>
      <w:r w:rsidRPr="00660104">
        <w:t> </w:t>
      </w:r>
      <w:r w:rsidRPr="001729A3">
        <w:t>per cent, is currently the lowest in the OECD (</w:t>
      </w:r>
      <w:r w:rsidRPr="001729A3">
        <w:fldChar w:fldCharType="begin"/>
      </w:r>
      <w:r w:rsidRPr="001729A3">
        <w:instrText xml:space="preserve"> REF _Ref461441377 \h </w:instrText>
      </w:r>
      <w:r w:rsidRPr="001729A3">
        <w:fldChar w:fldCharType="separate"/>
      </w:r>
      <w:r w:rsidRPr="000D502B">
        <w:t xml:space="preserve">Figure </w:t>
      </w:r>
      <w:r>
        <w:rPr>
          <w:noProof/>
        </w:rPr>
        <w:t>5</w:t>
      </w:r>
      <w:r w:rsidRPr="000D502B">
        <w:t>.</w:t>
      </w:r>
      <w:r>
        <w:rPr>
          <w:noProof/>
        </w:rPr>
        <w:t>7</w:t>
      </w:r>
      <w:r w:rsidRPr="001729A3">
        <w:fldChar w:fldCharType="end"/>
      </w:r>
      <w:r w:rsidRPr="001729A3">
        <w:t>).</w:t>
      </w:r>
      <w:r w:rsidRPr="001729A3">
        <w:rPr>
          <w:vertAlign w:val="superscript"/>
        </w:rPr>
        <w:endnoteReference w:id="83"/>
      </w:r>
      <w:r w:rsidRPr="001729A3">
        <w:t xml:space="preserve"> </w:t>
      </w:r>
    </w:p>
    <w:p w14:paraId="7418B35B" w14:textId="77777777" w:rsidR="00D471AD" w:rsidRPr="001729A3" w:rsidRDefault="00D471AD" w:rsidP="00D471AD">
      <w:pPr>
        <w:pStyle w:val="BodyText"/>
      </w:pPr>
      <w:r w:rsidRPr="001729A3">
        <w:t>Innovation policy encompasses many elements of research, industry, social inclusion, education, competition</w:t>
      </w:r>
      <w:r>
        <w:t>,</w:t>
      </w:r>
      <w:r w:rsidRPr="001729A3">
        <w:t xml:space="preserve"> and trade policy that have an impact on the innovation system. The Australian Government’s recently announced </w:t>
      </w:r>
      <w:r>
        <w:t>NISA</w:t>
      </w:r>
      <w:r w:rsidRPr="001729A3">
        <w:t xml:space="preserve"> is an example of broader, co-ordinated innovation system policy.</w:t>
      </w:r>
      <w:r w:rsidRPr="001729A3">
        <w:rPr>
          <w:rStyle w:val="EndnoteReference"/>
        </w:rPr>
        <w:endnoteReference w:id="84"/>
      </w:r>
    </w:p>
    <w:p w14:paraId="7418B35C" w14:textId="77777777" w:rsidR="00D471AD" w:rsidRPr="001729A3" w:rsidRDefault="00D471AD" w:rsidP="00D471AD">
      <w:pPr>
        <w:pStyle w:val="BodyText"/>
      </w:pPr>
      <w:r w:rsidRPr="001729A3">
        <w:t>Currently, the Australian Government’s most significant influence on the innovation system is indirect, through policy and regulatory settings or through investments in infrastructure, health, education and research. Most of the direct investments made by the government are in research and education. Historically, the government has directly supported innovation activity in cases where the private or community sectors do not have sufficient economic incentives to invest, for example through the provision of early</w:t>
      </w:r>
      <w:r>
        <w:t>-</w:t>
      </w:r>
      <w:r w:rsidRPr="001729A3">
        <w:t>stage venture capital and tax incentives for R&amp;D. Other aspects of the innovation system have increasingly been supported, for example by building SME management capability and through the procurement of innovative goods and services.</w:t>
      </w:r>
    </w:p>
    <w:p w14:paraId="7418B35D" w14:textId="77777777" w:rsidR="00D471AD" w:rsidRPr="001729A3" w:rsidRDefault="00D471AD" w:rsidP="00D471AD">
      <w:pPr>
        <w:pStyle w:val="BodyText"/>
      </w:pPr>
      <w:r w:rsidRPr="001729A3">
        <w:t xml:space="preserve">The government sets an example of innovative entrepreneurship by investing in high-risk, high-reward research and transformative approaches. The government creates a stream of new insights and technological breakthroughs through its R&amp;D </w:t>
      </w:r>
      <w:r w:rsidRPr="001729A3">
        <w:br w:type="column"/>
        <w:t>investment, many of which will be commercialised by the private or community sectors. Education policy creates a skilled workforce, crucial for innovation, and government-built physical and digital infrastructure is not only fundamental to economic activity but also enables new goods, services and business models to develop.</w:t>
      </w:r>
    </w:p>
    <w:p w14:paraId="7418B35E" w14:textId="77777777" w:rsidR="00D471AD" w:rsidRPr="001729A3" w:rsidRDefault="00D471AD" w:rsidP="00D471AD">
      <w:pPr>
        <w:pStyle w:val="BodyText"/>
      </w:pPr>
      <w:r w:rsidRPr="001729A3">
        <w:t>Previous AIS reports have shown that businesses are the major investors in innovation for economic development by using R&amp;D expenditure as an imperfect proxy for investment in innovation (see further below). Nonetheless, governments make complementary R&amp;D investments in areas that are high risk, for basic research</w:t>
      </w:r>
      <w:r>
        <w:t>,</w:t>
      </w:r>
      <w:r w:rsidRPr="001729A3">
        <w:t xml:space="preserve"> or where business R&amp;D investment is relatively limited, for example, in defence, health and environmental protection.</w:t>
      </w:r>
      <w:r w:rsidRPr="001729A3">
        <w:rPr>
          <w:rStyle w:val="EndnoteReference"/>
        </w:rPr>
        <w:endnoteReference w:id="85"/>
      </w:r>
      <w:r w:rsidRPr="001729A3">
        <w:t xml:space="preserve"> </w:t>
      </w:r>
    </w:p>
    <w:p w14:paraId="7418B35F" w14:textId="77777777" w:rsidR="00D471AD" w:rsidRPr="000D502B" w:rsidRDefault="00D471AD" w:rsidP="00D471AD">
      <w:pPr>
        <w:pStyle w:val="Caption"/>
        <w:spacing w:before="120"/>
      </w:pPr>
      <w:bookmarkStart w:id="3027" w:name="_Ref461441377"/>
      <w:bookmarkStart w:id="3028" w:name="_Toc461198220"/>
      <w:bookmarkStart w:id="3029" w:name="_Toc461198762"/>
      <w:bookmarkStart w:id="3030" w:name="_Toc461204050"/>
      <w:bookmarkStart w:id="3031" w:name="_Toc461527535"/>
      <w:bookmarkStart w:id="3032" w:name="_Toc461539570"/>
      <w:bookmarkStart w:id="3033" w:name="_Toc461541687"/>
      <w:bookmarkStart w:id="3034" w:name="_Toc461545442"/>
      <w:bookmarkStart w:id="3035" w:name="_Toc461624438"/>
      <w:bookmarkStart w:id="3036" w:name="_Toc461629663"/>
      <w:bookmarkStart w:id="3037" w:name="_Toc461632993"/>
      <w:bookmarkStart w:id="3038" w:name="_Toc461634263"/>
      <w:bookmarkStart w:id="3039" w:name="_Toc463013915"/>
      <w:bookmarkStart w:id="3040" w:name="_Toc463014024"/>
      <w:bookmarkStart w:id="3041" w:name="_Toc463014458"/>
      <w:bookmarkStart w:id="3042" w:name="_Toc463877098"/>
      <w:bookmarkStart w:id="3043" w:name="_Toc465864610"/>
      <w:r w:rsidRPr="000D502B">
        <w:t xml:space="preserve">Figure </w:t>
      </w:r>
      <w:fldSimple w:instr=" STYLEREF 1 \s ">
        <w:r>
          <w:rPr>
            <w:noProof/>
          </w:rPr>
          <w:t>5</w:t>
        </w:r>
      </w:fldSimple>
      <w:r w:rsidRPr="000D502B">
        <w:t>.</w:t>
      </w:r>
      <w:fldSimple w:instr=" SEQ Figure \* ARABIC \s 1 ">
        <w:r>
          <w:rPr>
            <w:noProof/>
          </w:rPr>
          <w:t>7</w:t>
        </w:r>
      </w:fldSimple>
      <w:bookmarkEnd w:id="3027"/>
      <w:r w:rsidRPr="000D502B">
        <w:t>: International ranking on public support for innovation, 2010–12</w:t>
      </w:r>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p>
    <w:p w14:paraId="7418B360" w14:textId="77777777" w:rsidR="00D471AD" w:rsidRPr="001729A3" w:rsidRDefault="00D471AD" w:rsidP="00D471AD">
      <w:pPr>
        <w:pStyle w:val="Note"/>
        <w:rPr>
          <w:lang w:val="en-AU"/>
        </w:rPr>
      </w:pPr>
      <w:r>
        <w:rPr>
          <w:noProof/>
          <w:lang w:val="en-AU" w:eastAsia="en-AU"/>
        </w:rPr>
        <w:drawing>
          <wp:inline distT="0" distB="0" distL="0" distR="0" wp14:anchorId="7418C687" wp14:editId="7418C688">
            <wp:extent cx="2987040" cy="2164080"/>
            <wp:effectExtent l="0" t="0" r="3810" b="7620"/>
            <wp:docPr id="9" name="Picture 9" descr="Figure 5.7 shows international comparisons of the percentage of product/process innovators receiving public support for innovation, for 2010–12. Australia’s proportion is 6 per cent, compared to an OECD average of 28 per cent and an OECD top five average of 55 per cent. " title="Figure 5.7: International ranking on public support for innovation, 20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987040" cy="2164080"/>
                    </a:xfrm>
                    <a:prstGeom prst="rect">
                      <a:avLst/>
                    </a:prstGeom>
                    <a:noFill/>
                  </pic:spPr>
                </pic:pic>
              </a:graphicData>
            </a:graphic>
          </wp:inline>
        </w:drawing>
      </w:r>
    </w:p>
    <w:p w14:paraId="7418B361" w14:textId="77777777" w:rsidR="00D471AD" w:rsidRPr="001729A3" w:rsidRDefault="00D471AD" w:rsidP="00D471AD">
      <w:pPr>
        <w:pStyle w:val="Note"/>
        <w:rPr>
          <w:lang w:val="en-AU"/>
        </w:rPr>
      </w:pPr>
      <w:r w:rsidRPr="001729A3">
        <w:rPr>
          <w:lang w:val="en-AU"/>
        </w:rPr>
        <w:t xml:space="preserve">Notes: OECD comparisons exclude businesses with </w:t>
      </w:r>
      <w:r>
        <w:rPr>
          <w:lang w:val="en-AU"/>
        </w:rPr>
        <w:t>fewer</w:t>
      </w:r>
      <w:r w:rsidRPr="00660104">
        <w:rPr>
          <w:lang w:val="en-AU"/>
        </w:rPr>
        <w:t xml:space="preserve"> </w:t>
      </w:r>
      <w:r w:rsidRPr="001729A3">
        <w:rPr>
          <w:lang w:val="en-AU"/>
        </w:rPr>
        <w:t>than ten employees. Industry core coverage includes ISIC Rev. 4 Sections and Divisions B, C, D, E, G46, H, J, K, M71-72 and 73. Only enterprises with 10 or more employees are covered.</w:t>
      </w:r>
      <w:r>
        <w:rPr>
          <w:lang w:val="en-GB"/>
        </w:rPr>
        <w:t xml:space="preserve"> The OECD top five countries are Canada, Korea, France, Netherlands and Hungary.</w:t>
      </w:r>
    </w:p>
    <w:p w14:paraId="7418B362" w14:textId="77777777" w:rsidR="00D471AD" w:rsidRPr="001729A3" w:rsidRDefault="00D471AD" w:rsidP="00D471AD">
      <w:pPr>
        <w:pStyle w:val="Source"/>
        <w:rPr>
          <w:lang w:val="en-AU"/>
        </w:rPr>
      </w:pPr>
      <w:r w:rsidRPr="001729A3">
        <w:rPr>
          <w:lang w:val="en-AU"/>
        </w:rPr>
        <w:t xml:space="preserve">Source: OECD (2015) </w:t>
      </w:r>
      <w:r w:rsidRPr="00A3532A">
        <w:rPr>
          <w:i/>
          <w:lang w:val="en-AU"/>
        </w:rPr>
        <w:t>OECD Innovation Indicators Database</w:t>
      </w:r>
      <w:r>
        <w:rPr>
          <w:i/>
          <w:lang w:val="en-AU"/>
        </w:rPr>
        <w:t xml:space="preserve">, </w:t>
      </w:r>
      <w:hyperlink r:id="rId185" w:tooltip="www.oecd.org/innovation/inno/inno-stats.htm" w:history="1">
        <w:r w:rsidRPr="001729A3">
          <w:rPr>
            <w:rStyle w:val="Hyperlink"/>
            <w:lang w:val="en-AU"/>
          </w:rPr>
          <w:t>www.oecd.org/innovation/inno/inno-stats.htm</w:t>
        </w:r>
      </w:hyperlink>
    </w:p>
    <w:p w14:paraId="7418B363" w14:textId="77777777" w:rsidR="00D471AD" w:rsidRPr="001729A3" w:rsidRDefault="00D471AD" w:rsidP="00D471AD">
      <w:pPr>
        <w:pStyle w:val="BodyText"/>
      </w:pPr>
    </w:p>
    <w:p w14:paraId="7418B364" w14:textId="77777777" w:rsidR="00D471AD" w:rsidRPr="001729A3" w:rsidRDefault="00D471AD" w:rsidP="00D471AD">
      <w:pPr>
        <w:pStyle w:val="BodyText"/>
        <w:sectPr w:rsidR="00D471AD" w:rsidRPr="001729A3" w:rsidSect="00D471AD">
          <w:footnotePr>
            <w:numFmt w:val="upperRoman"/>
          </w:footnotePr>
          <w:endnotePr>
            <w:numFmt w:val="decimal"/>
          </w:endnotePr>
          <w:type w:val="continuous"/>
          <w:pgSz w:w="11906" w:h="16838" w:code="9"/>
          <w:pgMar w:top="1440" w:right="1020" w:bottom="1440" w:left="992" w:header="709" w:footer="709" w:gutter="0"/>
          <w:cols w:num="2" w:space="708"/>
          <w:docGrid w:linePitch="360"/>
        </w:sectPr>
      </w:pPr>
    </w:p>
    <w:p w14:paraId="7418B365" w14:textId="77777777" w:rsidR="00D471AD" w:rsidRPr="000D502B" w:rsidRDefault="00D471AD" w:rsidP="00D471AD">
      <w:pPr>
        <w:pStyle w:val="Caption"/>
      </w:pPr>
      <w:bookmarkStart w:id="3044" w:name="_Ref461113648"/>
      <w:bookmarkStart w:id="3045" w:name="_Toc461198221"/>
      <w:bookmarkStart w:id="3046" w:name="_Toc461198763"/>
      <w:bookmarkStart w:id="3047" w:name="_Toc461204051"/>
      <w:bookmarkStart w:id="3048" w:name="_Toc461527536"/>
      <w:bookmarkStart w:id="3049" w:name="_Toc461539571"/>
      <w:bookmarkStart w:id="3050" w:name="_Toc461541688"/>
      <w:bookmarkStart w:id="3051" w:name="_Toc461545443"/>
      <w:bookmarkStart w:id="3052" w:name="_Toc461624439"/>
      <w:bookmarkStart w:id="3053" w:name="_Toc461629664"/>
      <w:bookmarkStart w:id="3054" w:name="_Toc461632994"/>
      <w:bookmarkStart w:id="3055" w:name="_Toc461634264"/>
      <w:bookmarkStart w:id="3056" w:name="_Toc463013916"/>
      <w:bookmarkStart w:id="3057" w:name="_Toc463014025"/>
      <w:bookmarkStart w:id="3058" w:name="_Toc463014459"/>
      <w:bookmarkStart w:id="3059" w:name="_Toc463877099"/>
      <w:bookmarkStart w:id="3060" w:name="_Toc465864611"/>
      <w:r w:rsidRPr="000D502B">
        <w:t xml:space="preserve">Figure </w:t>
      </w:r>
      <w:fldSimple w:instr=" STYLEREF 1 \s ">
        <w:r>
          <w:rPr>
            <w:noProof/>
          </w:rPr>
          <w:t>5</w:t>
        </w:r>
      </w:fldSimple>
      <w:r w:rsidRPr="000D502B">
        <w:t>.</w:t>
      </w:r>
      <w:fldSimple w:instr=" SEQ Figure \* ARABIC \s 1 ">
        <w:r>
          <w:rPr>
            <w:noProof/>
          </w:rPr>
          <w:t>8</w:t>
        </w:r>
      </w:fldSimple>
      <w:bookmarkEnd w:id="3044"/>
      <w:r w:rsidRPr="000D502B">
        <w:t>: The innovation cycle and the role of government</w:t>
      </w:r>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14:paraId="7418B366" w14:textId="77777777" w:rsidR="00D471AD" w:rsidRPr="000D502B" w:rsidRDefault="00D471AD" w:rsidP="00D471AD">
      <w:r w:rsidRPr="000D502B">
        <w:rPr>
          <w:noProof/>
          <w:lang w:eastAsia="en-AU"/>
        </w:rPr>
        <w:drawing>
          <wp:inline distT="0" distB="0" distL="0" distR="0" wp14:anchorId="7418C689" wp14:editId="7418C68A">
            <wp:extent cx="6283113" cy="4712335"/>
            <wp:effectExtent l="0" t="0" r="3810" b="0"/>
            <wp:docPr id="27" name="Picture 27" descr="Figure 5.8 shows the innovation cycle (Figure 1.1) and the role of government. Government impacts the innovation cycle by overcoming knowledge and network externalities, facilitating demonstration effects, regulating the market ecosystem, stimulating demand, supporting a culture of innovative entrepreneurship, investing in public good infrastructure, creating opportunities for research and trade and by coordinating the national economic agenda." title="Figure 5.8: The innovation cycle and the role of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6">
                      <a:extLst>
                        <a:ext uri="{28A0092B-C50C-407E-A947-70E740481C1C}">
                          <a14:useLocalDpi xmlns:a14="http://schemas.microsoft.com/office/drawing/2010/main" val="0"/>
                        </a:ext>
                      </a:extLst>
                    </a:blip>
                    <a:stretch>
                      <a:fillRect/>
                    </a:stretch>
                  </pic:blipFill>
                  <pic:spPr bwMode="auto">
                    <a:xfrm>
                      <a:off x="0" y="0"/>
                      <a:ext cx="6283113" cy="4712335"/>
                    </a:xfrm>
                    <a:prstGeom prst="rect">
                      <a:avLst/>
                    </a:prstGeom>
                    <a:noFill/>
                  </pic:spPr>
                </pic:pic>
              </a:graphicData>
            </a:graphic>
          </wp:inline>
        </w:drawing>
      </w:r>
    </w:p>
    <w:p w14:paraId="7418B367" w14:textId="77777777" w:rsidR="00D471AD" w:rsidRPr="000D502B" w:rsidRDefault="00D471AD" w:rsidP="00D471AD"/>
    <w:p w14:paraId="7418B368" w14:textId="77777777" w:rsidR="00D471AD" w:rsidRPr="000D502B" w:rsidRDefault="00D471AD" w:rsidP="00D471AD"/>
    <w:p w14:paraId="7418B369" w14:textId="77777777" w:rsidR="00D471AD" w:rsidRPr="000D502B" w:rsidRDefault="00D471AD" w:rsidP="00D471AD">
      <w:pPr>
        <w:sectPr w:rsidR="00D471AD" w:rsidRPr="000D502B" w:rsidSect="00D471AD">
          <w:footnotePr>
            <w:numFmt w:val="upperRoman"/>
          </w:footnotePr>
          <w:endnotePr>
            <w:numFmt w:val="decimal"/>
          </w:endnotePr>
          <w:pgSz w:w="11906" w:h="16838" w:code="9"/>
          <w:pgMar w:top="1440" w:right="1020" w:bottom="1440" w:left="992" w:header="709" w:footer="709" w:gutter="0"/>
          <w:cols w:space="708"/>
          <w:docGrid w:linePitch="360"/>
        </w:sectPr>
      </w:pPr>
    </w:p>
    <w:p w14:paraId="7418B36A" w14:textId="77777777" w:rsidR="00D471AD" w:rsidRPr="001729A3" w:rsidRDefault="00D471AD" w:rsidP="00D471AD">
      <w:pPr>
        <w:pStyle w:val="BodyText"/>
      </w:pPr>
    </w:p>
    <w:p w14:paraId="7418B36B" w14:textId="77777777" w:rsidR="00D471AD" w:rsidRPr="001729A3" w:rsidRDefault="00D471AD" w:rsidP="00D471AD">
      <w:pPr>
        <w:pStyle w:val="BodyText"/>
        <w:sectPr w:rsidR="00D471AD" w:rsidRPr="001729A3" w:rsidSect="00D471AD">
          <w:footnotePr>
            <w:numFmt w:val="upperRoman"/>
          </w:footnotePr>
          <w:endnotePr>
            <w:numFmt w:val="decimal"/>
          </w:endnotePr>
          <w:type w:val="continuous"/>
          <w:pgSz w:w="11906" w:h="16838" w:code="9"/>
          <w:pgMar w:top="1440" w:right="1440" w:bottom="1440" w:left="1440" w:header="709" w:footer="709" w:gutter="0"/>
          <w:cols w:num="2" w:space="708"/>
          <w:docGrid w:linePitch="360"/>
        </w:sectPr>
      </w:pPr>
    </w:p>
    <w:p w14:paraId="7418B36C" w14:textId="77777777" w:rsidR="00D471AD" w:rsidRPr="00924CA6" w:rsidRDefault="00D471AD" w:rsidP="00D471AD">
      <w:pPr>
        <w:pStyle w:val="heading3new"/>
      </w:pPr>
      <w:bookmarkStart w:id="3061" w:name="_Toc461174575"/>
      <w:bookmarkStart w:id="3062" w:name="_Toc461180129"/>
      <w:bookmarkStart w:id="3063" w:name="_Toc461180225"/>
      <w:bookmarkStart w:id="3064" w:name="_Toc461180517"/>
      <w:bookmarkStart w:id="3065" w:name="_Toc461183384"/>
      <w:bookmarkStart w:id="3066" w:name="_Toc461184455"/>
      <w:bookmarkStart w:id="3067" w:name="_Toc461184560"/>
      <w:bookmarkStart w:id="3068" w:name="_Toc461186598"/>
      <w:bookmarkStart w:id="3069" w:name="_Toc461186915"/>
      <w:bookmarkStart w:id="3070" w:name="_Toc461187020"/>
      <w:bookmarkStart w:id="3071" w:name="_Toc461198298"/>
      <w:bookmarkStart w:id="3072" w:name="_Toc461198840"/>
      <w:bookmarkStart w:id="3073" w:name="_Toc461204128"/>
      <w:bookmarkStart w:id="3074" w:name="_Toc461527600"/>
      <w:bookmarkStart w:id="3075" w:name="_Toc461624508"/>
      <w:bookmarkStart w:id="3076" w:name="_Toc461629732"/>
      <w:bookmarkStart w:id="3077" w:name="_Toc461633062"/>
      <w:bookmarkStart w:id="3078" w:name="_Toc461634332"/>
      <w:bookmarkStart w:id="3079" w:name="_Toc462230158"/>
      <w:bookmarkStart w:id="3080" w:name="_Toc462231519"/>
      <w:bookmarkStart w:id="3081" w:name="_Toc462231627"/>
      <w:bookmarkStart w:id="3082" w:name="_Toc463013975"/>
      <w:bookmarkStart w:id="3083" w:name="_Toc463014191"/>
      <w:bookmarkStart w:id="3084" w:name="_Toc463014518"/>
      <w:bookmarkStart w:id="3085" w:name="_Toc463877051"/>
      <w:bookmarkStart w:id="3086" w:name="_Toc465862845"/>
      <w:bookmarkStart w:id="3087" w:name="_Toc461180589"/>
      <w:bookmarkStart w:id="3088" w:name="_Toc461180638"/>
      <w:bookmarkStart w:id="3089" w:name="_Toc461183246"/>
      <w:bookmarkStart w:id="3090" w:name="_Toc461183298"/>
      <w:bookmarkStart w:id="3091" w:name="_Toc461183841"/>
      <w:bookmarkStart w:id="3092" w:name="_Toc461187271"/>
      <w:r w:rsidRPr="00924CA6">
        <w:t xml:space="preserve">The Australian Government’s role in supporting </w:t>
      </w:r>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r>
        <w:t>R&amp;D</w:t>
      </w:r>
      <w:bookmarkEnd w:id="3086"/>
      <w:r w:rsidRPr="00924CA6">
        <w:t xml:space="preserve"> </w:t>
      </w:r>
      <w:bookmarkStart w:id="3093" w:name="_Toc461174576"/>
      <w:bookmarkStart w:id="3094" w:name="_Toc461180130"/>
      <w:bookmarkStart w:id="3095" w:name="_Toc461180226"/>
      <w:bookmarkStart w:id="3096" w:name="_Toc461180518"/>
      <w:bookmarkStart w:id="3097" w:name="_Toc461180590"/>
      <w:bookmarkStart w:id="3098" w:name="_Toc461180639"/>
      <w:bookmarkStart w:id="3099" w:name="_Toc461183247"/>
      <w:bookmarkStart w:id="3100" w:name="_Toc461183299"/>
      <w:bookmarkStart w:id="3101" w:name="_Toc461183385"/>
      <w:bookmarkStart w:id="3102" w:name="_Toc461183842"/>
      <w:bookmarkStart w:id="3103" w:name="_Toc461184456"/>
      <w:bookmarkStart w:id="3104" w:name="_Toc461184561"/>
      <w:bookmarkStart w:id="3105" w:name="_Toc461186599"/>
      <w:bookmarkStart w:id="3106" w:name="_Toc461186916"/>
      <w:bookmarkStart w:id="3107" w:name="_Toc461187021"/>
      <w:bookmarkStart w:id="3108" w:name="_Toc461187272"/>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p>
    <w:p w14:paraId="7418B36D" w14:textId="77777777" w:rsidR="00D471AD" w:rsidRPr="001729A3" w:rsidRDefault="00D471AD" w:rsidP="00D471AD">
      <w:pPr>
        <w:pStyle w:val="BodyText"/>
      </w:pPr>
      <w:r w:rsidRPr="001729A3">
        <w:t>The Australian Government supports R&amp;D in a number of ways</w:t>
      </w:r>
      <w:r>
        <w:t>,</w:t>
      </w:r>
      <w:r w:rsidRPr="001729A3">
        <w:t xml:space="preserve"> both directly and indirectly. The government expects to spend $10.1 billion on R&amp;D in 2015–16, including $3.2 billion through the R&amp;D Tax Incentive. This is spread across multiple sectors of the economy and multiple policy portfolios. Australia is ranked 11th out of 33 OECD countries on its government funding of R&amp;D (</w:t>
      </w:r>
      <w:r w:rsidRPr="001729A3">
        <w:fldChar w:fldCharType="begin"/>
      </w:r>
      <w:r w:rsidRPr="001729A3">
        <w:instrText xml:space="preserve"> REF _Ref461118949 \h </w:instrText>
      </w:r>
      <w:r w:rsidRPr="001729A3">
        <w:fldChar w:fldCharType="separate"/>
      </w:r>
      <w:r w:rsidRPr="000D502B">
        <w:t xml:space="preserve">Figure </w:t>
      </w:r>
      <w:r>
        <w:rPr>
          <w:noProof/>
        </w:rPr>
        <w:t>5</w:t>
      </w:r>
      <w:r w:rsidRPr="000D502B">
        <w:t>.</w:t>
      </w:r>
      <w:r>
        <w:rPr>
          <w:noProof/>
        </w:rPr>
        <w:t>9</w:t>
      </w:r>
      <w:r w:rsidRPr="001729A3">
        <w:fldChar w:fldCharType="end"/>
      </w:r>
      <w:r w:rsidRPr="001729A3">
        <w:t xml:space="preserve">). </w:t>
      </w:r>
    </w:p>
    <w:p w14:paraId="7418B36E" w14:textId="77777777" w:rsidR="00D471AD" w:rsidRPr="001729A3" w:rsidRDefault="00D471AD" w:rsidP="00D471AD">
      <w:pPr>
        <w:pStyle w:val="BodyText"/>
      </w:pPr>
      <w:r w:rsidRPr="001729A3">
        <w:t>Historically, publicly-funded research has been essential to a range of significant innovations that turned out to have large economic returns. Notable examples include aviation, nuclear energy, the internet, pharmaceuticals, GPS navigation, biotechnology, artificial intelligence and robotics. In recognition of the crucial role of public funding, the OECD emphasises that a long-term and stable approach to public research funding is essential to future innovation.</w:t>
      </w:r>
    </w:p>
    <w:p w14:paraId="7418B36F" w14:textId="77777777" w:rsidR="00D471AD" w:rsidRPr="001729A3" w:rsidRDefault="00D471AD" w:rsidP="00D471AD">
      <w:pPr>
        <w:pStyle w:val="BodyText"/>
      </w:pPr>
      <w:r w:rsidRPr="001729A3">
        <w:t xml:space="preserve">The main rationale for government support of R&amp;D is the large gap between private and social returns to R&amp;D investment. Private returns to R&amp;D refers to benefits generated by R&amp;D that are fully captured by the business undertaking the R&amp;D. Social returns happen when the R&amp;D performed by the business </w:t>
      </w:r>
      <w:r w:rsidRPr="00660104">
        <w:t>spill</w:t>
      </w:r>
      <w:r>
        <w:t xml:space="preserve"> </w:t>
      </w:r>
      <w:r w:rsidRPr="00660104">
        <w:t>over</w:t>
      </w:r>
      <w:r w:rsidRPr="001729A3">
        <w:t xml:space="preserve"> to individuals and other businesses (Definition 5.</w:t>
      </w:r>
      <w:r w:rsidRPr="00660104">
        <w:t>2</w:t>
      </w:r>
      <w:r w:rsidRPr="001729A3">
        <w:t>).</w:t>
      </w:r>
    </w:p>
    <w:p w14:paraId="7418B370" w14:textId="77777777" w:rsidR="00D471AD" w:rsidRPr="001729A3" w:rsidRDefault="00D471AD" w:rsidP="00D471AD">
      <w:pPr>
        <w:pStyle w:val="BodyText"/>
      </w:pPr>
      <w:r w:rsidRPr="001729A3">
        <w:t>Research has found a statistically significant and positive association between government assistance and business innovation.</w:t>
      </w:r>
      <w:r w:rsidRPr="001729A3">
        <w:rPr>
          <w:rStyle w:val="EndnoteReference"/>
        </w:rPr>
        <w:endnoteReference w:id="86"/>
      </w:r>
      <w:r w:rsidRPr="001729A3">
        <w:t xml:space="preserve"> The challenge for public policy is to support private R&amp;D investments that would not otherwise have been made</w:t>
      </w:r>
      <w:r>
        <w:t>,</w:t>
      </w:r>
      <w:r w:rsidRPr="001729A3">
        <w:t xml:space="preserve"> and that generate total private and social returns that sufficiently exceed the costs.</w:t>
      </w:r>
    </w:p>
    <w:p w14:paraId="7418B371" w14:textId="77777777" w:rsidR="00D471AD" w:rsidRPr="000D502B" w:rsidRDefault="00D471AD" w:rsidP="00D471AD">
      <w:pPr>
        <w:pStyle w:val="Caption"/>
        <w:spacing w:before="114"/>
      </w:pPr>
      <w:r w:rsidRPr="000D502B">
        <w:t xml:space="preserve">Definition </w:t>
      </w:r>
      <w:fldSimple w:instr=" STYLEREF 1 \s ">
        <w:r>
          <w:rPr>
            <w:noProof/>
          </w:rPr>
          <w:t>5</w:t>
        </w:r>
      </w:fldSimple>
      <w:r w:rsidRPr="000D502B">
        <w:t>.</w:t>
      </w:r>
      <w:fldSimple w:instr=" SEQ Definition \* ARABIC \s 1 ">
        <w:r>
          <w:rPr>
            <w:noProof/>
          </w:rPr>
          <w:t>2</w:t>
        </w:r>
      </w:fldSimple>
      <w:r w:rsidRPr="000D502B">
        <w:t>: Identifying R&amp;D spillovers</w:t>
      </w:r>
    </w:p>
    <w:tbl>
      <w:tblPr>
        <w:tblStyle w:val="OCETable"/>
        <w:tblW w:w="5000" w:type="pct"/>
        <w:tblInd w:w="57" w:type="dxa"/>
        <w:tblLayout w:type="fixed"/>
        <w:tblLook w:val="04A0" w:firstRow="1" w:lastRow="0" w:firstColumn="1" w:lastColumn="0" w:noHBand="0" w:noVBand="1"/>
        <w:tblCaption w:val="Definition 5.2: Indentifying R&amp;D spillovers"/>
        <w:tblDescription w:val="R&amp;D activities of private businesses generate widespread benefits enjoyed by competitors, suppliers, consumers and society at large. As a result, the overall economic value to society often exceeds the economic benefits that innovating businesses enjoy as a result of their R&amp;D activities. The difference between the social rate of return that the society enjoys and the private rate of return captured by R&amp;D performing businesses is described by economists as a positive externality or spillover of R&amp;D. These spillovers imply that private businesses will invest less than is socially desirable in research, with the result that some desirable research projects will not be undertaken, and others will be undertaken on a smaller scale than the socially optimal level.&#10;Studies of US, French and Japanese businesses have found private returns on R&amp;D investment may be as high as 30 per cent and social returns are higher than 70 per cent.  &#10;"/>
      </w:tblPr>
      <w:tblGrid>
        <w:gridCol w:w="4593"/>
      </w:tblGrid>
      <w:tr w:rsidR="00D471AD" w:rsidRPr="000D502B" w14:paraId="7418B374" w14:textId="77777777" w:rsidTr="004A31A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BE5F1"/>
            <w:tcMar>
              <w:left w:w="0" w:type="dxa"/>
              <w:right w:w="0" w:type="dxa"/>
            </w:tcMar>
          </w:tcPr>
          <w:p w14:paraId="7418B372" w14:textId="77777777" w:rsidR="00D471AD" w:rsidRPr="00882E31" w:rsidRDefault="00D471AD" w:rsidP="004A31A9">
            <w:pPr>
              <w:pStyle w:val="Definitiontext"/>
              <w:rPr>
                <w:lang w:val="en-AU"/>
              </w:rPr>
            </w:pPr>
            <w:r w:rsidRPr="00882E31">
              <w:rPr>
                <w:lang w:val="en-AU"/>
              </w:rPr>
              <w:t>R&amp;D activities of private businesses generate widespread benefits enjoyed by competitors, suppliers, consumers and society at large. As a result, the overall economic value to society often exceeds the economic benefits that innovating businesses enjoy as a result of their R&amp;D activities. The difference between the social rate of return that the society enjoys and the private rate of return captured by R&amp;D performing businesses is described by economists as a positive externality or spillover of R&amp;D. These spillovers imply that private businesses will invest less than is socially desirable in research, with the result that some desirable research projects will not be undertaken, and others will be undertaken on a smaller scale than the socially optimal level.</w:t>
            </w:r>
          </w:p>
          <w:p w14:paraId="7418B373" w14:textId="77777777" w:rsidR="00D471AD" w:rsidRPr="001729A3" w:rsidRDefault="00D471AD" w:rsidP="004A31A9">
            <w:pPr>
              <w:pStyle w:val="Definitiontext"/>
              <w:spacing w:after="114"/>
              <w:rPr>
                <w:lang w:val="en-AU"/>
              </w:rPr>
            </w:pPr>
            <w:r w:rsidRPr="00882E31">
              <w:rPr>
                <w:lang w:val="en-AU"/>
              </w:rPr>
              <w:t>Studies of US, French and Japanese businesses have found private returns on R&amp;D investment may be as high as 30 per cent and social returns are higher than 70 per cent.</w:t>
            </w:r>
            <w:r w:rsidRPr="00882E31">
              <w:rPr>
                <w:rStyle w:val="EndnoteReference"/>
                <w:sz w:val="18"/>
                <w:lang w:val="en-AU"/>
              </w:rPr>
              <w:t xml:space="preserve"> </w:t>
            </w:r>
            <w:r w:rsidRPr="00882E31">
              <w:rPr>
                <w:rStyle w:val="EndnoteReference"/>
                <w:sz w:val="18"/>
                <w:lang w:val="en-AU"/>
              </w:rPr>
              <w:endnoteReference w:id="87"/>
            </w:r>
          </w:p>
        </w:tc>
      </w:tr>
    </w:tbl>
    <w:p w14:paraId="7418B375" w14:textId="77777777" w:rsidR="00D471AD" w:rsidRPr="001729A3" w:rsidRDefault="00D471AD" w:rsidP="00D471AD">
      <w:pPr>
        <w:pStyle w:val="BodyText"/>
      </w:pPr>
      <w:r w:rsidRPr="001729A3">
        <w:t>For public R&amp;D, the social returns appear to be highest in basic research.</w:t>
      </w:r>
      <w:r w:rsidRPr="001729A3">
        <w:rPr>
          <w:rStyle w:val="EndnoteReference"/>
        </w:rPr>
        <w:endnoteReference w:id="88"/>
      </w:r>
      <w:r w:rsidRPr="001729A3">
        <w:t xml:space="preserve"> Public R&amp;D spending includes higher education R&amp;D (HERD) and government agencies R&amp;D (GOVERD) as a proportion of GDP</w:t>
      </w:r>
      <w:r>
        <w:t>,</w:t>
      </w:r>
      <w:r w:rsidRPr="001729A3">
        <w:t xml:space="preserve"> and remained stable for a decade until 2004. Since then it has increased, driven by HERD, to reach 0.8</w:t>
      </w:r>
      <w:r>
        <w:t>7</w:t>
      </w:r>
      <w:r>
        <w:rPr>
          <w:rStyle w:val="FootnoteReference"/>
        </w:rPr>
        <w:footnoteReference w:id="12"/>
      </w:r>
      <w:r w:rsidRPr="001729A3">
        <w:t xml:space="preserve"> per cent of GDP in 2013</w:t>
      </w:r>
      <w:r>
        <w:t xml:space="preserve"> </w:t>
      </w:r>
      <w:r w:rsidRPr="001729A3">
        <w:t>(</w:t>
      </w:r>
      <w:hyperlink r:id="rId187" w:history="1">
        <w:r w:rsidRPr="001729A3">
          <w:rPr>
            <w:rStyle w:val="Hyperlink"/>
          </w:rPr>
          <w:t>Table A7</w:t>
        </w:r>
      </w:hyperlink>
      <w:r w:rsidRPr="001729A3">
        <w:t>). However, private R&amp;D spending (including business BERD and non-profit R&amp;D) as a percentage of GDP has decreased since 2008 to reach a value of 1.25 per cent of GDP in 2013 after sustained growth for 15 years.</w:t>
      </w:r>
    </w:p>
    <w:p w14:paraId="7418B376" w14:textId="77777777" w:rsidR="00D471AD" w:rsidRPr="00924CA6" w:rsidRDefault="00D471AD" w:rsidP="00D471AD">
      <w:pPr>
        <w:pStyle w:val="heading3new"/>
      </w:pPr>
      <w:bookmarkStart w:id="3109" w:name="_Toc461527601"/>
      <w:bookmarkStart w:id="3110" w:name="_Toc461624509"/>
      <w:bookmarkStart w:id="3111" w:name="_Toc461629733"/>
      <w:bookmarkStart w:id="3112" w:name="_Toc461633063"/>
      <w:bookmarkStart w:id="3113" w:name="_Toc461634333"/>
      <w:bookmarkStart w:id="3114" w:name="_Toc462230159"/>
      <w:bookmarkStart w:id="3115" w:name="_Toc462231520"/>
      <w:bookmarkStart w:id="3116" w:name="_Toc462231628"/>
      <w:bookmarkStart w:id="3117" w:name="_Toc463013976"/>
      <w:bookmarkStart w:id="3118" w:name="_Toc463014192"/>
      <w:bookmarkStart w:id="3119" w:name="_Toc463014519"/>
      <w:bookmarkStart w:id="3120" w:name="_Toc463877052"/>
      <w:bookmarkStart w:id="3121" w:name="_Toc465862846"/>
      <w:r w:rsidRPr="00924CA6">
        <w:t>Tax incentives and subsidies</w:t>
      </w:r>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14:paraId="7418B377" w14:textId="77777777" w:rsidR="00D471AD" w:rsidRPr="001729A3" w:rsidRDefault="00D471AD" w:rsidP="00D471AD">
      <w:pPr>
        <w:pStyle w:val="BodyText"/>
      </w:pPr>
      <w:r w:rsidRPr="001729A3">
        <w:t>The public sector can play a major role in stimulating R&amp;D. Tax credits and direct subsidies for R&amp;D have been found to have positive effects on business’ R&amp;D investment</w:t>
      </w:r>
      <w:r>
        <w:t>.</w:t>
      </w:r>
      <w:r w:rsidRPr="00660104">
        <w:t xml:space="preserve"> </w:t>
      </w:r>
      <w:r>
        <w:t>H</w:t>
      </w:r>
      <w:r w:rsidRPr="001729A3">
        <w:t xml:space="preserve">owever, care should be taken in using tax credits and R&amp;D subsidies because they can sometimes introduce risks of crowding-out and </w:t>
      </w:r>
      <w:r>
        <w:t xml:space="preserve">can </w:t>
      </w:r>
      <w:r w:rsidRPr="001729A3">
        <w:t>disproportionately support incumbent businesses.</w:t>
      </w:r>
      <w:r w:rsidRPr="001729A3">
        <w:rPr>
          <w:rStyle w:val="EndnoteReference"/>
        </w:rPr>
        <w:endnoteReference w:id="89"/>
      </w:r>
      <w:r w:rsidRPr="001729A3">
        <w:t xml:space="preserve"> Australia has a relatively high share of indirect funding in terms of tax incentives compared to other countries. For 2011, Australia was ranked 3rd out </w:t>
      </w:r>
      <w:r>
        <w:t>of 31</w:t>
      </w:r>
      <w:r w:rsidRPr="001729A3">
        <w:t xml:space="preserve"> OECD countries in terms of tax incentives given to the industry sector as a percentage of GDP (</w:t>
      </w:r>
      <w:r w:rsidRPr="001729A3">
        <w:fldChar w:fldCharType="begin"/>
      </w:r>
      <w:r w:rsidRPr="001729A3">
        <w:instrText xml:space="preserve"> REF _Ref461119031 \h </w:instrText>
      </w:r>
      <w:r w:rsidRPr="001729A3">
        <w:fldChar w:fldCharType="separate"/>
      </w:r>
      <w:r w:rsidRPr="000D502B">
        <w:t xml:space="preserve">Figure </w:t>
      </w:r>
      <w:r>
        <w:rPr>
          <w:noProof/>
        </w:rPr>
        <w:t>5</w:t>
      </w:r>
      <w:r w:rsidRPr="000D502B">
        <w:t>.</w:t>
      </w:r>
      <w:r>
        <w:rPr>
          <w:noProof/>
        </w:rPr>
        <w:t>10</w:t>
      </w:r>
      <w:r w:rsidRPr="001729A3">
        <w:fldChar w:fldCharType="end"/>
      </w:r>
      <w:r w:rsidRPr="001729A3">
        <w:t xml:space="preserve">). </w:t>
      </w:r>
    </w:p>
    <w:p w14:paraId="7418B378" w14:textId="77777777" w:rsidR="00D471AD" w:rsidRPr="001729A3" w:rsidRDefault="00D471AD" w:rsidP="00D471AD">
      <w:pPr>
        <w:pStyle w:val="BodyText"/>
      </w:pPr>
      <w:r w:rsidRPr="001729A3">
        <w:t>Many developed countries have set</w:t>
      </w:r>
      <w:r>
        <w:t>,</w:t>
      </w:r>
      <w:r w:rsidRPr="001729A3">
        <w:t xml:space="preserve"> or are considering</w:t>
      </w:r>
      <w:r>
        <w:t>,</w:t>
      </w:r>
      <w:r w:rsidRPr="001729A3">
        <w:t xml:space="preserve"> ambitious GERD over GDP ratio targets as national goals. However, evidence to date shows that only a few countries have successfully achieved their self-imposed GERD targets.</w:t>
      </w:r>
      <w:r w:rsidRPr="001729A3">
        <w:rPr>
          <w:rStyle w:val="EndnoteReference"/>
        </w:rPr>
        <w:endnoteReference w:id="90"/>
      </w:r>
      <w:r w:rsidRPr="001729A3">
        <w:t xml:space="preserve"> Australia currently does not have a R&amp;D target.</w:t>
      </w:r>
    </w:p>
    <w:p w14:paraId="7418B379" w14:textId="77777777" w:rsidR="00D471AD" w:rsidRPr="000D502B" w:rsidRDefault="00D471AD" w:rsidP="00D471AD">
      <w:pPr>
        <w:pStyle w:val="Caption"/>
        <w:spacing w:before="120"/>
      </w:pPr>
      <w:bookmarkStart w:id="3122" w:name="_Ref461118949"/>
      <w:bookmarkStart w:id="3123" w:name="_Toc461198248"/>
      <w:bookmarkStart w:id="3124" w:name="_Toc461198790"/>
      <w:bookmarkStart w:id="3125" w:name="_Toc461204078"/>
      <w:bookmarkStart w:id="3126" w:name="_Toc461527537"/>
      <w:bookmarkStart w:id="3127" w:name="_Toc461539572"/>
      <w:bookmarkStart w:id="3128" w:name="_Toc461541689"/>
      <w:bookmarkStart w:id="3129" w:name="_Toc461545444"/>
      <w:bookmarkStart w:id="3130" w:name="_Toc461624440"/>
      <w:bookmarkStart w:id="3131" w:name="_Toc461629665"/>
      <w:bookmarkStart w:id="3132" w:name="_Toc461632995"/>
      <w:bookmarkStart w:id="3133" w:name="_Toc461634265"/>
      <w:bookmarkStart w:id="3134" w:name="_Toc463013917"/>
      <w:bookmarkStart w:id="3135" w:name="_Toc463014026"/>
      <w:bookmarkStart w:id="3136" w:name="_Toc463014460"/>
      <w:bookmarkStart w:id="3137" w:name="_Toc463877100"/>
      <w:bookmarkStart w:id="3138" w:name="_Toc465864612"/>
      <w:r w:rsidRPr="000D502B">
        <w:t xml:space="preserve">Figure </w:t>
      </w:r>
      <w:fldSimple w:instr=" STYLEREF 1 \s ">
        <w:r>
          <w:rPr>
            <w:noProof/>
          </w:rPr>
          <w:t>5</w:t>
        </w:r>
      </w:fldSimple>
      <w:r w:rsidRPr="000D502B">
        <w:t>.</w:t>
      </w:r>
      <w:fldSimple w:instr=" SEQ Figure \* ARABIC \s 1 ">
        <w:r>
          <w:rPr>
            <w:noProof/>
          </w:rPr>
          <w:t>9</w:t>
        </w:r>
      </w:fldSimple>
      <w:bookmarkEnd w:id="3122"/>
      <w:r w:rsidRPr="000D502B">
        <w:t>: Government-financed GERD as a percentage of GDP, 2011 or latest year</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p>
    <w:p w14:paraId="7418B37A" w14:textId="77777777" w:rsidR="00D471AD" w:rsidRPr="001729A3" w:rsidRDefault="00D471AD" w:rsidP="00D471AD">
      <w:pPr>
        <w:pStyle w:val="Note"/>
        <w:rPr>
          <w:lang w:val="en-AU"/>
        </w:rPr>
      </w:pPr>
      <w:r>
        <w:rPr>
          <w:noProof/>
          <w:lang w:val="en-AU" w:eastAsia="en-AU"/>
        </w:rPr>
        <w:drawing>
          <wp:inline distT="0" distB="0" distL="0" distR="0" wp14:anchorId="7418C68B" wp14:editId="7418C68C">
            <wp:extent cx="2993390" cy="2182495"/>
            <wp:effectExtent l="0" t="0" r="0" b="8255"/>
            <wp:docPr id="64" name="Picture 64" descr="Figure 5.9 shows international comparisons of government-financed GERD as a percentage of GDP, for 2011. Australia’s proportion is 0.47 per cent, compared to an OECD average of 0.62 per cent and an OECD top five average of 0.94 per cent." title="Figure 5.9: Government-financed GERD as a percentage of GDP, 2011 or late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993390" cy="2182495"/>
                    </a:xfrm>
                    <a:prstGeom prst="rect">
                      <a:avLst/>
                    </a:prstGeom>
                    <a:noFill/>
                  </pic:spPr>
                </pic:pic>
              </a:graphicData>
            </a:graphic>
          </wp:inline>
        </w:drawing>
      </w:r>
    </w:p>
    <w:p w14:paraId="7418B37B" w14:textId="77777777" w:rsidR="00D471AD" w:rsidRPr="001729A3" w:rsidRDefault="00D471AD" w:rsidP="00D471AD">
      <w:pPr>
        <w:pStyle w:val="Note"/>
        <w:rPr>
          <w:lang w:val="en-AU"/>
        </w:rPr>
      </w:pPr>
      <w:r w:rsidRPr="001729A3">
        <w:rPr>
          <w:lang w:val="en-AU"/>
        </w:rPr>
        <w:t xml:space="preserve">Notes: The OECD top five countries are Iceland, Austria, Korea, Finland </w:t>
      </w:r>
      <w:r>
        <w:rPr>
          <w:lang w:val="en-AU"/>
        </w:rPr>
        <w:t>and</w:t>
      </w:r>
      <w:r w:rsidRPr="001729A3">
        <w:rPr>
          <w:lang w:val="en-AU"/>
        </w:rPr>
        <w:t xml:space="preserve"> Sweden.</w:t>
      </w:r>
    </w:p>
    <w:p w14:paraId="7418B37C" w14:textId="77777777" w:rsidR="00D471AD" w:rsidRPr="001729A3" w:rsidRDefault="00D471AD" w:rsidP="00D471AD">
      <w:pPr>
        <w:pStyle w:val="Source"/>
        <w:rPr>
          <w:lang w:val="en-AU"/>
        </w:rPr>
      </w:pPr>
      <w:r w:rsidRPr="001729A3">
        <w:rPr>
          <w:lang w:val="en-AU"/>
        </w:rPr>
        <w:t>Source: OECD Main Science and Technology Indicators 2015</w:t>
      </w:r>
    </w:p>
    <w:p w14:paraId="7418B37D" w14:textId="77777777" w:rsidR="00D471AD" w:rsidRPr="000D502B" w:rsidRDefault="00D471AD" w:rsidP="00D471AD">
      <w:pPr>
        <w:pStyle w:val="Caption"/>
        <w:spacing w:before="120"/>
      </w:pPr>
      <w:bookmarkStart w:id="3139" w:name="_Ref461119031"/>
      <w:bookmarkStart w:id="3140" w:name="_Toc461198249"/>
      <w:bookmarkStart w:id="3141" w:name="_Toc461198791"/>
      <w:bookmarkStart w:id="3142" w:name="_Toc461204079"/>
      <w:bookmarkStart w:id="3143" w:name="_Toc461527538"/>
      <w:bookmarkStart w:id="3144" w:name="_Toc461539573"/>
      <w:bookmarkStart w:id="3145" w:name="_Toc461541690"/>
      <w:bookmarkStart w:id="3146" w:name="_Toc461545445"/>
      <w:bookmarkStart w:id="3147" w:name="_Toc461624441"/>
      <w:bookmarkStart w:id="3148" w:name="_Toc461629666"/>
      <w:bookmarkStart w:id="3149" w:name="_Toc461632996"/>
      <w:bookmarkStart w:id="3150" w:name="_Toc461634266"/>
      <w:bookmarkStart w:id="3151" w:name="_Toc463013918"/>
      <w:bookmarkStart w:id="3152" w:name="_Toc463014027"/>
      <w:bookmarkStart w:id="3153" w:name="_Toc463014461"/>
      <w:bookmarkStart w:id="3154" w:name="_Toc463877101"/>
      <w:bookmarkStart w:id="3155" w:name="_Toc465864613"/>
      <w:r w:rsidRPr="000D502B">
        <w:t xml:space="preserve">Figure </w:t>
      </w:r>
      <w:fldSimple w:instr=" STYLEREF 1 \s ">
        <w:r>
          <w:rPr>
            <w:noProof/>
          </w:rPr>
          <w:t>5</w:t>
        </w:r>
      </w:fldSimple>
      <w:r w:rsidRPr="000D502B">
        <w:t>.</w:t>
      </w:r>
      <w:fldSimple w:instr=" SEQ Figure \* ARABIC \s 1 ">
        <w:r>
          <w:rPr>
            <w:noProof/>
          </w:rPr>
          <w:t>10</w:t>
        </w:r>
      </w:fldSimple>
      <w:bookmarkEnd w:id="3139"/>
      <w:r w:rsidRPr="000D502B">
        <w:t>: Indirect funding, R&amp;D tax incentives, 2011</w:t>
      </w:r>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p>
    <w:p w14:paraId="7418B37E" w14:textId="77777777" w:rsidR="00D471AD" w:rsidRPr="001729A3" w:rsidRDefault="00D471AD" w:rsidP="00D471AD">
      <w:pPr>
        <w:pStyle w:val="Note"/>
        <w:rPr>
          <w:lang w:val="en-AU"/>
        </w:rPr>
      </w:pPr>
      <w:r w:rsidRPr="001729A3">
        <w:rPr>
          <w:lang w:val="en-AU"/>
        </w:rPr>
        <w:t xml:space="preserve"> </w:t>
      </w:r>
      <w:r>
        <w:rPr>
          <w:noProof/>
          <w:lang w:val="en-AU" w:eastAsia="en-AU"/>
        </w:rPr>
        <w:drawing>
          <wp:inline distT="0" distB="0" distL="0" distR="0" wp14:anchorId="7418C68D" wp14:editId="7418C68E">
            <wp:extent cx="2987040" cy="2170430"/>
            <wp:effectExtent l="0" t="0" r="3810" b="1270"/>
            <wp:docPr id="34" name="Picture 34" descr="Figure 5.10 shows international comparisons of indirect funding, including R&amp;D tax incentives, for 2011. Australia’s proportion is 0.20 per cent, compared to an OECD average of 0.07 per cent and an OECD top five average of 0.21 per cent." title="Figure 5.10: Indirect funding, R&amp;D tax incentive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987040" cy="2170430"/>
                    </a:xfrm>
                    <a:prstGeom prst="rect">
                      <a:avLst/>
                    </a:prstGeom>
                    <a:noFill/>
                  </pic:spPr>
                </pic:pic>
              </a:graphicData>
            </a:graphic>
          </wp:inline>
        </w:drawing>
      </w:r>
    </w:p>
    <w:p w14:paraId="7418B37F" w14:textId="77777777" w:rsidR="00D471AD" w:rsidRPr="001729A3" w:rsidRDefault="00D471AD" w:rsidP="00D471AD">
      <w:pPr>
        <w:pStyle w:val="Note"/>
        <w:rPr>
          <w:lang w:val="en-AU"/>
        </w:rPr>
      </w:pPr>
      <w:r w:rsidRPr="001729A3">
        <w:rPr>
          <w:lang w:val="en-AU"/>
        </w:rPr>
        <w:t xml:space="preserve">Notes: The OECD top five countries are France, Canada, Australia, Korea </w:t>
      </w:r>
      <w:r>
        <w:rPr>
          <w:lang w:val="en-AU"/>
        </w:rPr>
        <w:t>and</w:t>
      </w:r>
      <w:r w:rsidRPr="001729A3">
        <w:rPr>
          <w:lang w:val="en-AU"/>
        </w:rPr>
        <w:t xml:space="preserve"> Belgium.</w:t>
      </w:r>
    </w:p>
    <w:p w14:paraId="7418B380" w14:textId="77777777" w:rsidR="00D471AD" w:rsidRPr="001729A3" w:rsidRDefault="00D471AD" w:rsidP="00D471AD">
      <w:pPr>
        <w:pStyle w:val="Source"/>
        <w:rPr>
          <w:lang w:val="en-AU"/>
        </w:rPr>
      </w:pPr>
      <w:r w:rsidRPr="001729A3">
        <w:rPr>
          <w:lang w:val="en-AU"/>
        </w:rPr>
        <w:t>Source: OECD Main Science and Technology Indicators 2015</w:t>
      </w:r>
    </w:p>
    <w:p w14:paraId="7418B381" w14:textId="77777777" w:rsidR="00D471AD" w:rsidRPr="001729A3" w:rsidRDefault="00D471AD" w:rsidP="00D471AD">
      <w:pPr>
        <w:pStyle w:val="Heading"/>
        <w:sectPr w:rsidR="00D471AD" w:rsidRPr="001729A3" w:rsidSect="00D471AD">
          <w:footnotePr>
            <w:numFmt w:val="upperRoman"/>
          </w:footnotePr>
          <w:endnotePr>
            <w:numFmt w:val="decimal"/>
          </w:endnotePr>
          <w:type w:val="continuous"/>
          <w:pgSz w:w="11906" w:h="16838" w:code="9"/>
          <w:pgMar w:top="1440" w:right="1020" w:bottom="1440" w:left="992" w:header="709" w:footer="709" w:gutter="0"/>
          <w:cols w:num="2" w:space="708"/>
          <w:docGrid w:linePitch="360"/>
        </w:sectPr>
      </w:pPr>
    </w:p>
    <w:p w14:paraId="7418B382" w14:textId="77777777" w:rsidR="00D471AD" w:rsidRPr="001729A3" w:rsidRDefault="00D471AD" w:rsidP="00D471AD">
      <w:pPr>
        <w:pStyle w:val="BodyText"/>
      </w:pPr>
    </w:p>
    <w:p w14:paraId="7418B383" w14:textId="77777777" w:rsidR="00D471AD" w:rsidRPr="001729A3" w:rsidRDefault="00D471AD" w:rsidP="00D471AD">
      <w:pPr>
        <w:pStyle w:val="BodyText"/>
        <w:sectPr w:rsidR="00D471AD" w:rsidRPr="001729A3" w:rsidSect="00D471AD">
          <w:footnotePr>
            <w:numFmt w:val="upperRoman"/>
          </w:footnotePr>
          <w:endnotePr>
            <w:numFmt w:val="decimal"/>
          </w:endnotePr>
          <w:type w:val="continuous"/>
          <w:pgSz w:w="11906" w:h="16838" w:code="9"/>
          <w:pgMar w:top="1440" w:right="1440" w:bottom="1440" w:left="1440" w:header="709" w:footer="709" w:gutter="0"/>
          <w:cols w:num="2" w:space="708"/>
          <w:docGrid w:linePitch="360"/>
        </w:sectPr>
      </w:pPr>
    </w:p>
    <w:p w14:paraId="7418B384" w14:textId="77777777" w:rsidR="00D471AD" w:rsidRPr="001729A3" w:rsidRDefault="00D471AD" w:rsidP="00D471AD">
      <w:pPr>
        <w:pStyle w:val="Heading1"/>
        <w:numPr>
          <w:ilvl w:val="0"/>
          <w:numId w:val="0"/>
        </w:numPr>
        <w:ind w:left="709" w:hanging="709"/>
      </w:pPr>
      <w:bookmarkStart w:id="3156" w:name="_Toc465862847"/>
      <w:r w:rsidRPr="0061710B">
        <w:t>Appendix</w:t>
      </w:r>
      <w:r w:rsidRPr="001729A3">
        <w:t xml:space="preserve"> A</w:t>
      </w:r>
      <w:r>
        <w:t xml:space="preserve"> </w:t>
      </w:r>
      <w:r w:rsidRPr="00D7236E">
        <w:t>Data</w:t>
      </w:r>
      <w:r>
        <w:t xml:space="preserve"> tables</w:t>
      </w:r>
      <w:bookmarkEnd w:id="3156"/>
    </w:p>
    <w:tbl>
      <w:tblPr>
        <w:tblW w:w="5000" w:type="pct"/>
        <w:tblBorders>
          <w:bottom w:val="single" w:sz="4" w:space="0" w:color="auto"/>
        </w:tblBorders>
        <w:tblLook w:val="04A0" w:firstRow="1" w:lastRow="0" w:firstColumn="1" w:lastColumn="0" w:noHBand="0" w:noVBand="1"/>
      </w:tblPr>
      <w:tblGrid>
        <w:gridCol w:w="4312"/>
        <w:gridCol w:w="700"/>
        <w:gridCol w:w="700"/>
        <w:gridCol w:w="700"/>
        <w:gridCol w:w="701"/>
        <w:gridCol w:w="701"/>
        <w:gridCol w:w="701"/>
        <w:gridCol w:w="701"/>
        <w:gridCol w:w="701"/>
        <w:gridCol w:w="701"/>
        <w:gridCol w:w="701"/>
        <w:gridCol w:w="701"/>
        <w:gridCol w:w="701"/>
        <w:gridCol w:w="617"/>
        <w:gridCol w:w="620"/>
      </w:tblGrid>
      <w:tr w:rsidR="00D471AD" w:rsidRPr="005E2284" w14:paraId="7418B386" w14:textId="77777777" w:rsidTr="004A31A9">
        <w:trPr>
          <w:trHeight w:val="300"/>
          <w:tblHeader/>
        </w:trPr>
        <w:tc>
          <w:tcPr>
            <w:tcW w:w="5000" w:type="pct"/>
            <w:gridSpan w:val="15"/>
            <w:tcBorders>
              <w:top w:val="single" w:sz="8" w:space="0" w:color="22789A"/>
              <w:bottom w:val="nil"/>
            </w:tcBorders>
            <w:shd w:val="clear" w:color="auto" w:fill="auto"/>
            <w:vAlign w:val="center"/>
          </w:tcPr>
          <w:p w14:paraId="7418B385" w14:textId="77777777" w:rsidR="00D471AD" w:rsidRPr="005E2284" w:rsidRDefault="00D471AD" w:rsidP="004A31A9">
            <w:pPr>
              <w:widowControl w:val="0"/>
              <w:spacing w:before="42" w:after="0" w:line="240" w:lineRule="auto"/>
              <w:ind w:left="-108"/>
              <w:rPr>
                <w:rFonts w:eastAsia="Calibri" w:hAnsi="Calibri" w:cs="Times New Roman"/>
                <w:i/>
                <w:color w:val="22789A"/>
                <w:spacing w:val="3"/>
                <w:sz w:val="18"/>
                <w:lang w:val="en-US"/>
              </w:rPr>
            </w:pPr>
            <w:r w:rsidRPr="005E2284">
              <w:rPr>
                <w:rFonts w:eastAsia="Calibri" w:hAnsi="Calibri" w:cs="Times New Roman"/>
                <w:i/>
                <w:color w:val="22789A"/>
                <w:spacing w:val="3"/>
                <w:sz w:val="18"/>
                <w:lang w:val="en-US"/>
              </w:rPr>
              <w:t>Table A1(a): Outcome indicators</w:t>
            </w:r>
          </w:p>
        </w:tc>
      </w:tr>
      <w:tr w:rsidR="00D471AD" w:rsidRPr="005E2284" w14:paraId="7418B388" w14:textId="77777777" w:rsidTr="004A31A9">
        <w:trPr>
          <w:trHeight w:val="300"/>
          <w:tblHeader/>
        </w:trPr>
        <w:tc>
          <w:tcPr>
            <w:tcW w:w="5000" w:type="pct"/>
            <w:gridSpan w:val="15"/>
            <w:shd w:val="clear" w:color="292B67" w:fill="22789A"/>
            <w:vAlign w:val="center"/>
            <w:hideMark/>
          </w:tcPr>
          <w:p w14:paraId="7418B387" w14:textId="77777777" w:rsidR="00D471AD" w:rsidRPr="005E2284" w:rsidRDefault="00D471AD" w:rsidP="004A31A9">
            <w:pPr>
              <w:widowControl w:val="0"/>
              <w:spacing w:before="42" w:after="0" w:line="240" w:lineRule="auto"/>
              <w:ind w:left="79"/>
              <w:rPr>
                <w:rFonts w:eastAsia="Calibri" w:hAnsi="Calibri" w:cs="Times New Roman"/>
                <w:i/>
                <w:color w:val="FFFFFF"/>
                <w:spacing w:val="3"/>
                <w:sz w:val="18"/>
                <w:lang w:val="en-US"/>
              </w:rPr>
            </w:pPr>
            <w:r w:rsidRPr="005E2284">
              <w:rPr>
                <w:rFonts w:eastAsia="Calibri" w:hAnsi="Calibri" w:cs="Times New Roman"/>
                <w:i/>
                <w:color w:val="FFFFFF"/>
                <w:spacing w:val="3"/>
                <w:sz w:val="18"/>
                <w:lang w:val="en-US"/>
              </w:rPr>
              <w:t>Australian Trend Data (i)</w:t>
            </w:r>
          </w:p>
        </w:tc>
      </w:tr>
      <w:tr w:rsidR="00D471AD" w:rsidRPr="005E2284" w14:paraId="7418B398" w14:textId="77777777" w:rsidTr="004A31A9">
        <w:trPr>
          <w:trHeight w:val="300"/>
          <w:tblHeader/>
        </w:trPr>
        <w:tc>
          <w:tcPr>
            <w:tcW w:w="1545" w:type="pct"/>
            <w:shd w:val="clear" w:color="auto" w:fill="E4F3F9"/>
            <w:vAlign w:val="center"/>
            <w:hideMark/>
          </w:tcPr>
          <w:p w14:paraId="7418B389" w14:textId="77777777" w:rsidR="00D471AD" w:rsidRPr="005E2284" w:rsidRDefault="00D471AD" w:rsidP="004A31A9">
            <w:pPr>
              <w:spacing w:after="0" w:line="240" w:lineRule="auto"/>
              <w:rPr>
                <w:rFonts w:eastAsia="Times New Roman" w:cs="Arial"/>
                <w:b/>
                <w:bCs/>
                <w:i/>
                <w:color w:val="7A7B7C"/>
                <w:sz w:val="14"/>
                <w:szCs w:val="14"/>
                <w:lang w:eastAsia="en-AU"/>
              </w:rPr>
            </w:pPr>
            <w:r w:rsidRPr="005E2284">
              <w:rPr>
                <w:rFonts w:eastAsia="Times New Roman" w:cs="Arial"/>
                <w:b/>
                <w:bCs/>
                <w:i/>
                <w:color w:val="7A7B7C"/>
                <w:sz w:val="14"/>
                <w:szCs w:val="14"/>
                <w:lang w:eastAsia="en-AU"/>
              </w:rPr>
              <w:t>Indicators</w:t>
            </w:r>
          </w:p>
        </w:tc>
        <w:tc>
          <w:tcPr>
            <w:tcW w:w="251" w:type="pct"/>
            <w:shd w:val="clear" w:color="auto" w:fill="E4F3F9"/>
            <w:vAlign w:val="center"/>
            <w:hideMark/>
          </w:tcPr>
          <w:p w14:paraId="7418B38A" w14:textId="77777777" w:rsidR="00D471AD" w:rsidRPr="005E2284" w:rsidRDefault="00D471AD" w:rsidP="004A31A9">
            <w:pPr>
              <w:spacing w:after="0" w:line="240" w:lineRule="auto"/>
              <w:jc w:val="right"/>
              <w:rPr>
                <w:rFonts w:eastAsia="Times New Roman" w:cs="Arial"/>
                <w:b/>
                <w:bCs/>
                <w:i/>
                <w:color w:val="7A7B7C"/>
                <w:sz w:val="14"/>
                <w:szCs w:val="14"/>
                <w:lang w:eastAsia="en-AU"/>
              </w:rPr>
            </w:pPr>
            <w:r w:rsidRPr="005E2284">
              <w:rPr>
                <w:rFonts w:eastAsia="Times New Roman" w:cs="Arial"/>
                <w:b/>
                <w:bCs/>
                <w:i/>
                <w:color w:val="7A7B7C"/>
                <w:sz w:val="14"/>
                <w:szCs w:val="14"/>
                <w:lang w:eastAsia="en-AU"/>
              </w:rPr>
              <w:t>1995</w:t>
            </w:r>
          </w:p>
        </w:tc>
        <w:tc>
          <w:tcPr>
            <w:tcW w:w="251" w:type="pct"/>
            <w:shd w:val="clear" w:color="auto" w:fill="E4F3F9"/>
            <w:vAlign w:val="center"/>
            <w:hideMark/>
          </w:tcPr>
          <w:p w14:paraId="7418B38B" w14:textId="77777777" w:rsidR="00D471AD" w:rsidRPr="005E2284" w:rsidRDefault="00D471AD" w:rsidP="004A31A9">
            <w:pPr>
              <w:spacing w:after="0" w:line="240" w:lineRule="auto"/>
              <w:jc w:val="right"/>
              <w:rPr>
                <w:rFonts w:eastAsia="Times New Roman" w:cs="Arial"/>
                <w:b/>
                <w:bCs/>
                <w:i/>
                <w:color w:val="7A7B7C"/>
                <w:sz w:val="14"/>
                <w:szCs w:val="14"/>
                <w:lang w:eastAsia="en-AU"/>
              </w:rPr>
            </w:pPr>
            <w:r w:rsidRPr="005E2284">
              <w:rPr>
                <w:rFonts w:eastAsia="Times New Roman" w:cs="Arial"/>
                <w:b/>
                <w:bCs/>
                <w:i/>
                <w:color w:val="7A7B7C"/>
                <w:sz w:val="14"/>
                <w:szCs w:val="14"/>
                <w:lang w:eastAsia="en-AU"/>
              </w:rPr>
              <w:t>2000</w:t>
            </w:r>
          </w:p>
        </w:tc>
        <w:tc>
          <w:tcPr>
            <w:tcW w:w="251" w:type="pct"/>
            <w:shd w:val="clear" w:color="auto" w:fill="E4F3F9"/>
            <w:vAlign w:val="center"/>
            <w:hideMark/>
          </w:tcPr>
          <w:p w14:paraId="7418B38C" w14:textId="77777777" w:rsidR="00D471AD" w:rsidRPr="005E2284" w:rsidRDefault="00D471AD" w:rsidP="004A31A9">
            <w:pPr>
              <w:spacing w:after="0" w:line="240" w:lineRule="auto"/>
              <w:jc w:val="right"/>
              <w:rPr>
                <w:rFonts w:eastAsia="Times New Roman" w:cs="Arial"/>
                <w:b/>
                <w:bCs/>
                <w:i/>
                <w:color w:val="7A7B7C"/>
                <w:sz w:val="14"/>
                <w:szCs w:val="14"/>
                <w:lang w:eastAsia="en-AU"/>
              </w:rPr>
            </w:pPr>
            <w:r w:rsidRPr="005E2284">
              <w:rPr>
                <w:rFonts w:eastAsia="Times New Roman" w:cs="Arial"/>
                <w:b/>
                <w:bCs/>
                <w:i/>
                <w:color w:val="7A7B7C"/>
                <w:sz w:val="14"/>
                <w:szCs w:val="14"/>
                <w:lang w:eastAsia="en-AU"/>
              </w:rPr>
              <w:t>2005</w:t>
            </w:r>
          </w:p>
        </w:tc>
        <w:tc>
          <w:tcPr>
            <w:tcW w:w="251" w:type="pct"/>
            <w:shd w:val="clear" w:color="auto" w:fill="E4F3F9"/>
            <w:vAlign w:val="center"/>
            <w:hideMark/>
          </w:tcPr>
          <w:p w14:paraId="7418B38D" w14:textId="77777777" w:rsidR="00D471AD" w:rsidRPr="005E2284" w:rsidRDefault="00D471AD" w:rsidP="004A31A9">
            <w:pPr>
              <w:spacing w:after="0" w:line="240" w:lineRule="auto"/>
              <w:jc w:val="right"/>
              <w:rPr>
                <w:rFonts w:eastAsia="Times New Roman" w:cs="Arial"/>
                <w:b/>
                <w:bCs/>
                <w:i/>
                <w:color w:val="7A7B7C"/>
                <w:sz w:val="14"/>
                <w:szCs w:val="14"/>
                <w:lang w:eastAsia="en-AU"/>
              </w:rPr>
            </w:pPr>
            <w:r w:rsidRPr="005E2284">
              <w:rPr>
                <w:rFonts w:eastAsia="Times New Roman" w:cs="Arial"/>
                <w:b/>
                <w:bCs/>
                <w:i/>
                <w:color w:val="7A7B7C"/>
                <w:sz w:val="14"/>
                <w:szCs w:val="14"/>
                <w:lang w:eastAsia="en-AU"/>
              </w:rPr>
              <w:t>2006</w:t>
            </w:r>
          </w:p>
        </w:tc>
        <w:tc>
          <w:tcPr>
            <w:tcW w:w="251" w:type="pct"/>
            <w:shd w:val="clear" w:color="auto" w:fill="E4F3F9"/>
            <w:vAlign w:val="center"/>
            <w:hideMark/>
          </w:tcPr>
          <w:p w14:paraId="7418B38E" w14:textId="77777777" w:rsidR="00D471AD" w:rsidRPr="005E2284" w:rsidRDefault="00D471AD" w:rsidP="004A31A9">
            <w:pPr>
              <w:spacing w:after="0" w:line="240" w:lineRule="auto"/>
              <w:jc w:val="right"/>
              <w:rPr>
                <w:rFonts w:eastAsia="Times New Roman" w:cs="Arial"/>
                <w:b/>
                <w:bCs/>
                <w:i/>
                <w:color w:val="7A7B7C"/>
                <w:sz w:val="14"/>
                <w:szCs w:val="14"/>
                <w:lang w:eastAsia="en-AU"/>
              </w:rPr>
            </w:pPr>
            <w:r w:rsidRPr="005E2284">
              <w:rPr>
                <w:rFonts w:eastAsia="Times New Roman" w:cs="Arial"/>
                <w:b/>
                <w:bCs/>
                <w:i/>
                <w:color w:val="7A7B7C"/>
                <w:sz w:val="14"/>
                <w:szCs w:val="14"/>
                <w:lang w:eastAsia="en-AU"/>
              </w:rPr>
              <w:t>2007</w:t>
            </w:r>
          </w:p>
        </w:tc>
        <w:tc>
          <w:tcPr>
            <w:tcW w:w="251" w:type="pct"/>
            <w:shd w:val="clear" w:color="auto" w:fill="E4F3F9"/>
            <w:vAlign w:val="center"/>
            <w:hideMark/>
          </w:tcPr>
          <w:p w14:paraId="7418B38F" w14:textId="77777777" w:rsidR="00D471AD" w:rsidRPr="005E2284" w:rsidRDefault="00D471AD" w:rsidP="004A31A9">
            <w:pPr>
              <w:spacing w:after="0" w:line="240" w:lineRule="auto"/>
              <w:jc w:val="right"/>
              <w:rPr>
                <w:rFonts w:eastAsia="Times New Roman" w:cs="Arial"/>
                <w:b/>
                <w:bCs/>
                <w:i/>
                <w:color w:val="7A7B7C"/>
                <w:sz w:val="14"/>
                <w:szCs w:val="14"/>
                <w:lang w:eastAsia="en-AU"/>
              </w:rPr>
            </w:pPr>
            <w:r w:rsidRPr="005E2284">
              <w:rPr>
                <w:rFonts w:eastAsia="Times New Roman" w:cs="Arial"/>
                <w:b/>
                <w:bCs/>
                <w:i/>
                <w:color w:val="7A7B7C"/>
                <w:sz w:val="14"/>
                <w:szCs w:val="14"/>
                <w:lang w:eastAsia="en-AU"/>
              </w:rPr>
              <w:t>2008</w:t>
            </w:r>
          </w:p>
        </w:tc>
        <w:tc>
          <w:tcPr>
            <w:tcW w:w="251" w:type="pct"/>
            <w:shd w:val="clear" w:color="auto" w:fill="E4F3F9"/>
            <w:vAlign w:val="center"/>
            <w:hideMark/>
          </w:tcPr>
          <w:p w14:paraId="7418B390" w14:textId="77777777" w:rsidR="00D471AD" w:rsidRPr="005E2284" w:rsidRDefault="00D471AD" w:rsidP="004A31A9">
            <w:pPr>
              <w:spacing w:after="0" w:line="240" w:lineRule="auto"/>
              <w:jc w:val="right"/>
              <w:rPr>
                <w:rFonts w:eastAsia="Times New Roman" w:cs="Arial"/>
                <w:b/>
                <w:bCs/>
                <w:i/>
                <w:color w:val="7A7B7C"/>
                <w:sz w:val="14"/>
                <w:szCs w:val="14"/>
                <w:lang w:eastAsia="en-AU"/>
              </w:rPr>
            </w:pPr>
            <w:r w:rsidRPr="005E2284">
              <w:rPr>
                <w:rFonts w:eastAsia="Times New Roman" w:cs="Arial"/>
                <w:b/>
                <w:bCs/>
                <w:i/>
                <w:color w:val="7A7B7C"/>
                <w:sz w:val="14"/>
                <w:szCs w:val="14"/>
                <w:lang w:eastAsia="en-AU"/>
              </w:rPr>
              <w:t>2009</w:t>
            </w:r>
          </w:p>
        </w:tc>
        <w:tc>
          <w:tcPr>
            <w:tcW w:w="251" w:type="pct"/>
            <w:shd w:val="clear" w:color="auto" w:fill="E4F3F9"/>
            <w:vAlign w:val="center"/>
            <w:hideMark/>
          </w:tcPr>
          <w:p w14:paraId="7418B391" w14:textId="77777777" w:rsidR="00D471AD" w:rsidRPr="005E2284" w:rsidRDefault="00D471AD" w:rsidP="004A31A9">
            <w:pPr>
              <w:spacing w:after="0" w:line="240" w:lineRule="auto"/>
              <w:jc w:val="right"/>
              <w:rPr>
                <w:rFonts w:eastAsia="Times New Roman" w:cs="Arial"/>
                <w:b/>
                <w:bCs/>
                <w:i/>
                <w:color w:val="7A7B7C"/>
                <w:sz w:val="14"/>
                <w:szCs w:val="14"/>
                <w:lang w:eastAsia="en-AU"/>
              </w:rPr>
            </w:pPr>
            <w:r w:rsidRPr="005E2284">
              <w:rPr>
                <w:rFonts w:eastAsia="Times New Roman" w:cs="Arial"/>
                <w:b/>
                <w:bCs/>
                <w:i/>
                <w:color w:val="7A7B7C"/>
                <w:sz w:val="14"/>
                <w:szCs w:val="14"/>
                <w:lang w:eastAsia="en-AU"/>
              </w:rPr>
              <w:t>2010</w:t>
            </w:r>
          </w:p>
        </w:tc>
        <w:tc>
          <w:tcPr>
            <w:tcW w:w="251" w:type="pct"/>
            <w:shd w:val="clear" w:color="auto" w:fill="E4F3F9"/>
            <w:vAlign w:val="center"/>
            <w:hideMark/>
          </w:tcPr>
          <w:p w14:paraId="7418B392" w14:textId="77777777" w:rsidR="00D471AD" w:rsidRPr="005E2284" w:rsidRDefault="00D471AD" w:rsidP="004A31A9">
            <w:pPr>
              <w:spacing w:after="0" w:line="240" w:lineRule="auto"/>
              <w:jc w:val="right"/>
              <w:rPr>
                <w:rFonts w:eastAsia="Times New Roman" w:cs="Arial"/>
                <w:b/>
                <w:bCs/>
                <w:i/>
                <w:color w:val="7A7B7C"/>
                <w:sz w:val="14"/>
                <w:szCs w:val="14"/>
                <w:lang w:eastAsia="en-AU"/>
              </w:rPr>
            </w:pPr>
            <w:r w:rsidRPr="005E2284">
              <w:rPr>
                <w:rFonts w:eastAsia="Times New Roman" w:cs="Arial"/>
                <w:b/>
                <w:bCs/>
                <w:i/>
                <w:color w:val="7A7B7C"/>
                <w:sz w:val="14"/>
                <w:szCs w:val="14"/>
                <w:lang w:eastAsia="en-AU"/>
              </w:rPr>
              <w:t>2011</w:t>
            </w:r>
          </w:p>
        </w:tc>
        <w:tc>
          <w:tcPr>
            <w:tcW w:w="251" w:type="pct"/>
            <w:shd w:val="clear" w:color="auto" w:fill="E4F3F9"/>
            <w:vAlign w:val="center"/>
            <w:hideMark/>
          </w:tcPr>
          <w:p w14:paraId="7418B393" w14:textId="77777777" w:rsidR="00D471AD" w:rsidRPr="005E2284" w:rsidRDefault="00D471AD" w:rsidP="004A31A9">
            <w:pPr>
              <w:spacing w:after="0" w:line="240" w:lineRule="auto"/>
              <w:jc w:val="right"/>
              <w:rPr>
                <w:rFonts w:eastAsia="Times New Roman" w:cs="Arial"/>
                <w:b/>
                <w:bCs/>
                <w:i/>
                <w:color w:val="7A7B7C"/>
                <w:sz w:val="14"/>
                <w:szCs w:val="14"/>
                <w:lang w:eastAsia="en-AU"/>
              </w:rPr>
            </w:pPr>
            <w:r w:rsidRPr="005E2284">
              <w:rPr>
                <w:rFonts w:eastAsia="Times New Roman" w:cs="Arial"/>
                <w:b/>
                <w:bCs/>
                <w:i/>
                <w:color w:val="7A7B7C"/>
                <w:sz w:val="14"/>
                <w:szCs w:val="14"/>
                <w:lang w:eastAsia="en-AU"/>
              </w:rPr>
              <w:t>2012</w:t>
            </w:r>
          </w:p>
        </w:tc>
        <w:tc>
          <w:tcPr>
            <w:tcW w:w="251" w:type="pct"/>
            <w:shd w:val="clear" w:color="auto" w:fill="E4F3F9"/>
            <w:vAlign w:val="center"/>
            <w:hideMark/>
          </w:tcPr>
          <w:p w14:paraId="7418B394" w14:textId="77777777" w:rsidR="00D471AD" w:rsidRPr="005E2284" w:rsidRDefault="00D471AD" w:rsidP="004A31A9">
            <w:pPr>
              <w:spacing w:after="0" w:line="240" w:lineRule="auto"/>
              <w:jc w:val="right"/>
              <w:rPr>
                <w:rFonts w:eastAsia="Times New Roman" w:cs="Arial"/>
                <w:b/>
                <w:bCs/>
                <w:i/>
                <w:color w:val="7A7B7C"/>
                <w:sz w:val="14"/>
                <w:szCs w:val="14"/>
                <w:lang w:eastAsia="en-AU"/>
              </w:rPr>
            </w:pPr>
            <w:r w:rsidRPr="005E2284">
              <w:rPr>
                <w:rFonts w:eastAsia="Times New Roman" w:cs="Arial"/>
                <w:b/>
                <w:bCs/>
                <w:i/>
                <w:color w:val="7A7B7C"/>
                <w:sz w:val="14"/>
                <w:szCs w:val="14"/>
                <w:lang w:eastAsia="en-AU"/>
              </w:rPr>
              <w:t>2013</w:t>
            </w:r>
          </w:p>
        </w:tc>
        <w:tc>
          <w:tcPr>
            <w:tcW w:w="251" w:type="pct"/>
            <w:shd w:val="clear" w:color="auto" w:fill="E4F3F9"/>
            <w:vAlign w:val="center"/>
            <w:hideMark/>
          </w:tcPr>
          <w:p w14:paraId="7418B395" w14:textId="77777777" w:rsidR="00D471AD" w:rsidRPr="005E2284" w:rsidRDefault="00D471AD" w:rsidP="004A31A9">
            <w:pPr>
              <w:spacing w:after="0" w:line="240" w:lineRule="auto"/>
              <w:jc w:val="right"/>
              <w:rPr>
                <w:rFonts w:eastAsia="Times New Roman" w:cs="Arial"/>
                <w:b/>
                <w:bCs/>
                <w:i/>
                <w:color w:val="7A7B7C"/>
                <w:sz w:val="14"/>
                <w:szCs w:val="14"/>
                <w:lang w:eastAsia="en-AU"/>
              </w:rPr>
            </w:pPr>
            <w:r w:rsidRPr="005E2284">
              <w:rPr>
                <w:rFonts w:eastAsia="Times New Roman" w:cs="Arial"/>
                <w:b/>
                <w:bCs/>
                <w:i/>
                <w:color w:val="7A7B7C"/>
                <w:sz w:val="14"/>
                <w:szCs w:val="14"/>
                <w:lang w:eastAsia="en-AU"/>
              </w:rPr>
              <w:t>2014</w:t>
            </w:r>
          </w:p>
        </w:tc>
        <w:tc>
          <w:tcPr>
            <w:tcW w:w="221" w:type="pct"/>
            <w:shd w:val="clear" w:color="auto" w:fill="E4F3F9"/>
            <w:vAlign w:val="center"/>
            <w:hideMark/>
          </w:tcPr>
          <w:p w14:paraId="7418B396" w14:textId="77777777" w:rsidR="00D471AD" w:rsidRPr="005E2284" w:rsidRDefault="00D471AD" w:rsidP="004A31A9">
            <w:pPr>
              <w:spacing w:after="0" w:line="240" w:lineRule="auto"/>
              <w:jc w:val="right"/>
              <w:rPr>
                <w:rFonts w:eastAsia="Times New Roman" w:cs="Arial"/>
                <w:b/>
                <w:bCs/>
                <w:i/>
                <w:color w:val="7A7B7C"/>
                <w:sz w:val="14"/>
                <w:szCs w:val="14"/>
                <w:lang w:eastAsia="en-AU"/>
              </w:rPr>
            </w:pPr>
            <w:r w:rsidRPr="005E2284">
              <w:rPr>
                <w:rFonts w:eastAsia="Times New Roman" w:cs="Arial"/>
                <w:b/>
                <w:bCs/>
                <w:i/>
                <w:color w:val="7A7B7C"/>
                <w:sz w:val="14"/>
                <w:szCs w:val="14"/>
                <w:lang w:eastAsia="en-AU"/>
              </w:rPr>
              <w:t>2015</w:t>
            </w:r>
          </w:p>
        </w:tc>
        <w:tc>
          <w:tcPr>
            <w:tcW w:w="222" w:type="pct"/>
            <w:shd w:val="clear" w:color="auto" w:fill="E4F3F9"/>
            <w:vAlign w:val="center"/>
            <w:hideMark/>
          </w:tcPr>
          <w:p w14:paraId="7418B397" w14:textId="77777777" w:rsidR="00D471AD" w:rsidRPr="005E2284" w:rsidRDefault="00D471AD" w:rsidP="004A31A9">
            <w:pPr>
              <w:spacing w:after="0" w:line="240" w:lineRule="auto"/>
              <w:jc w:val="right"/>
              <w:rPr>
                <w:rFonts w:eastAsia="Times New Roman" w:cs="Arial"/>
                <w:b/>
                <w:bCs/>
                <w:i/>
                <w:color w:val="7A7B7C"/>
                <w:sz w:val="14"/>
                <w:szCs w:val="14"/>
                <w:lang w:eastAsia="en-AU"/>
              </w:rPr>
            </w:pPr>
            <w:r w:rsidRPr="005E2284">
              <w:rPr>
                <w:rFonts w:eastAsia="Times New Roman" w:cs="Arial"/>
                <w:b/>
                <w:bCs/>
                <w:i/>
                <w:color w:val="7A7B7C"/>
                <w:sz w:val="14"/>
                <w:szCs w:val="14"/>
                <w:lang w:eastAsia="en-AU"/>
              </w:rPr>
              <w:t>2016</w:t>
            </w:r>
          </w:p>
        </w:tc>
      </w:tr>
      <w:tr w:rsidR="00D471AD" w:rsidRPr="005E2284" w14:paraId="7418B3A8" w14:textId="77777777" w:rsidTr="004A31A9">
        <w:trPr>
          <w:trHeight w:val="283"/>
        </w:trPr>
        <w:tc>
          <w:tcPr>
            <w:tcW w:w="1545" w:type="pct"/>
            <w:shd w:val="clear" w:color="auto" w:fill="D5ECF5"/>
            <w:vAlign w:val="center"/>
            <w:hideMark/>
          </w:tcPr>
          <w:p w14:paraId="7418B39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GDP per capita relative to the USA (USA = 100), index</w:t>
            </w:r>
            <w:r w:rsidRPr="005E2284">
              <w:rPr>
                <w:rFonts w:ascii="Arial Unicode MS" w:eastAsia="Arial Unicode MS" w:hAnsi="Arial Unicode MS" w:cs="Arial Unicode MS"/>
                <w:color w:val="7A7B7C"/>
                <w:sz w:val="14"/>
                <w:szCs w:val="14"/>
                <w:lang w:eastAsia="en-AU"/>
              </w:rPr>
              <w:t>¹</w:t>
            </w:r>
          </w:p>
        </w:tc>
        <w:tc>
          <w:tcPr>
            <w:tcW w:w="251" w:type="pct"/>
            <w:shd w:val="clear" w:color="auto" w:fill="D5ECF5"/>
            <w:vAlign w:val="center"/>
            <w:hideMark/>
          </w:tcPr>
          <w:p w14:paraId="7418B39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78</w:t>
            </w:r>
          </w:p>
        </w:tc>
        <w:tc>
          <w:tcPr>
            <w:tcW w:w="251" w:type="pct"/>
            <w:shd w:val="clear" w:color="auto" w:fill="D5ECF5"/>
            <w:vAlign w:val="center"/>
            <w:hideMark/>
          </w:tcPr>
          <w:p w14:paraId="7418B39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77</w:t>
            </w:r>
          </w:p>
        </w:tc>
        <w:tc>
          <w:tcPr>
            <w:tcW w:w="251" w:type="pct"/>
            <w:shd w:val="clear" w:color="auto" w:fill="D5ECF5"/>
            <w:vAlign w:val="center"/>
            <w:hideMark/>
          </w:tcPr>
          <w:p w14:paraId="7418B39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80</w:t>
            </w:r>
          </w:p>
        </w:tc>
        <w:tc>
          <w:tcPr>
            <w:tcW w:w="251" w:type="pct"/>
            <w:shd w:val="clear" w:color="auto" w:fill="D5ECF5"/>
            <w:vAlign w:val="center"/>
            <w:hideMark/>
          </w:tcPr>
          <w:p w14:paraId="7418B39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81</w:t>
            </w:r>
          </w:p>
        </w:tc>
        <w:tc>
          <w:tcPr>
            <w:tcW w:w="251" w:type="pct"/>
            <w:shd w:val="clear" w:color="auto" w:fill="D5ECF5"/>
            <w:vAlign w:val="center"/>
            <w:hideMark/>
          </w:tcPr>
          <w:p w14:paraId="7418B39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82</w:t>
            </w:r>
          </w:p>
        </w:tc>
        <w:tc>
          <w:tcPr>
            <w:tcW w:w="251" w:type="pct"/>
            <w:shd w:val="clear" w:color="auto" w:fill="D5ECF5"/>
            <w:vAlign w:val="center"/>
            <w:hideMark/>
          </w:tcPr>
          <w:p w14:paraId="7418B39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82</w:t>
            </w:r>
          </w:p>
        </w:tc>
        <w:tc>
          <w:tcPr>
            <w:tcW w:w="251" w:type="pct"/>
            <w:shd w:val="clear" w:color="auto" w:fill="D5ECF5"/>
            <w:vAlign w:val="center"/>
            <w:hideMark/>
          </w:tcPr>
          <w:p w14:paraId="7418B3A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88</w:t>
            </w:r>
          </w:p>
        </w:tc>
        <w:tc>
          <w:tcPr>
            <w:tcW w:w="251" w:type="pct"/>
            <w:shd w:val="clear" w:color="auto" w:fill="D5ECF5"/>
            <w:vAlign w:val="center"/>
            <w:hideMark/>
          </w:tcPr>
          <w:p w14:paraId="7418B3A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87</w:t>
            </w:r>
          </w:p>
        </w:tc>
        <w:tc>
          <w:tcPr>
            <w:tcW w:w="251" w:type="pct"/>
            <w:shd w:val="clear" w:color="auto" w:fill="D5ECF5"/>
            <w:vAlign w:val="center"/>
            <w:hideMark/>
          </w:tcPr>
          <w:p w14:paraId="7418B3A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88</w:t>
            </w:r>
          </w:p>
        </w:tc>
        <w:tc>
          <w:tcPr>
            <w:tcW w:w="251" w:type="pct"/>
            <w:shd w:val="clear" w:color="auto" w:fill="D5ECF5"/>
            <w:vAlign w:val="center"/>
            <w:hideMark/>
          </w:tcPr>
          <w:p w14:paraId="7418B3A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84</w:t>
            </w:r>
          </w:p>
        </w:tc>
        <w:tc>
          <w:tcPr>
            <w:tcW w:w="251" w:type="pct"/>
            <w:shd w:val="clear" w:color="auto" w:fill="D5ECF5"/>
            <w:vAlign w:val="center"/>
            <w:hideMark/>
          </w:tcPr>
          <w:p w14:paraId="7418B3A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89</w:t>
            </w:r>
          </w:p>
        </w:tc>
        <w:tc>
          <w:tcPr>
            <w:tcW w:w="251" w:type="pct"/>
            <w:shd w:val="clear" w:color="auto" w:fill="D5ECF5"/>
            <w:vAlign w:val="center"/>
            <w:hideMark/>
          </w:tcPr>
          <w:p w14:paraId="7418B3A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85</w:t>
            </w:r>
          </w:p>
        </w:tc>
        <w:tc>
          <w:tcPr>
            <w:tcW w:w="221" w:type="pct"/>
            <w:shd w:val="clear" w:color="auto" w:fill="D5ECF5"/>
            <w:vAlign w:val="center"/>
            <w:hideMark/>
          </w:tcPr>
          <w:p w14:paraId="7418B3A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82</w:t>
            </w:r>
          </w:p>
        </w:tc>
        <w:tc>
          <w:tcPr>
            <w:tcW w:w="222" w:type="pct"/>
            <w:shd w:val="clear" w:color="auto" w:fill="D5ECF5"/>
            <w:vAlign w:val="center"/>
            <w:hideMark/>
          </w:tcPr>
          <w:p w14:paraId="7418B3A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r>
      <w:tr w:rsidR="00D471AD" w:rsidRPr="005E2284" w14:paraId="7418B3B8" w14:textId="77777777" w:rsidTr="004A31A9">
        <w:trPr>
          <w:trHeight w:val="283"/>
        </w:trPr>
        <w:tc>
          <w:tcPr>
            <w:tcW w:w="1545" w:type="pct"/>
            <w:shd w:val="clear" w:color="auto" w:fill="E4F3F9"/>
            <w:vAlign w:val="center"/>
            <w:hideMark/>
          </w:tcPr>
          <w:p w14:paraId="7418B3A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GDP per hour worked (USA = 100), index</w:t>
            </w:r>
            <w:r w:rsidRPr="005E2284">
              <w:rPr>
                <w:rFonts w:ascii="Arial Unicode MS" w:eastAsia="Arial Unicode MS" w:hAnsi="Arial Unicode MS" w:cs="Arial Unicode MS"/>
                <w:color w:val="7A7B7C"/>
                <w:sz w:val="14"/>
                <w:szCs w:val="14"/>
                <w:lang w:eastAsia="en-AU"/>
              </w:rPr>
              <w:t>¹</w:t>
            </w:r>
          </w:p>
        </w:tc>
        <w:tc>
          <w:tcPr>
            <w:tcW w:w="251" w:type="pct"/>
            <w:shd w:val="clear" w:color="auto" w:fill="E4F3F9"/>
            <w:vAlign w:val="center"/>
            <w:hideMark/>
          </w:tcPr>
          <w:p w14:paraId="7418B3A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81</w:t>
            </w:r>
          </w:p>
        </w:tc>
        <w:tc>
          <w:tcPr>
            <w:tcW w:w="251" w:type="pct"/>
            <w:shd w:val="clear" w:color="auto" w:fill="E4F3F9"/>
            <w:vAlign w:val="center"/>
            <w:hideMark/>
          </w:tcPr>
          <w:p w14:paraId="7418B3A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83</w:t>
            </w:r>
          </w:p>
        </w:tc>
        <w:tc>
          <w:tcPr>
            <w:tcW w:w="251" w:type="pct"/>
            <w:shd w:val="clear" w:color="auto" w:fill="E4F3F9"/>
            <w:vAlign w:val="center"/>
            <w:hideMark/>
          </w:tcPr>
          <w:p w14:paraId="7418B3A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79</w:t>
            </w:r>
          </w:p>
        </w:tc>
        <w:tc>
          <w:tcPr>
            <w:tcW w:w="251" w:type="pct"/>
            <w:shd w:val="clear" w:color="auto" w:fill="E4F3F9"/>
            <w:vAlign w:val="center"/>
            <w:hideMark/>
          </w:tcPr>
          <w:p w14:paraId="7418B3A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80</w:t>
            </w:r>
          </w:p>
        </w:tc>
        <w:tc>
          <w:tcPr>
            <w:tcW w:w="251" w:type="pct"/>
            <w:shd w:val="clear" w:color="auto" w:fill="E4F3F9"/>
            <w:vAlign w:val="center"/>
            <w:hideMark/>
          </w:tcPr>
          <w:p w14:paraId="7418B3A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80</w:t>
            </w:r>
          </w:p>
        </w:tc>
        <w:tc>
          <w:tcPr>
            <w:tcW w:w="251" w:type="pct"/>
            <w:shd w:val="clear" w:color="auto" w:fill="E4F3F9"/>
            <w:vAlign w:val="center"/>
            <w:hideMark/>
          </w:tcPr>
          <w:p w14:paraId="7418B3A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79</w:t>
            </w:r>
          </w:p>
        </w:tc>
        <w:tc>
          <w:tcPr>
            <w:tcW w:w="251" w:type="pct"/>
            <w:shd w:val="clear" w:color="auto" w:fill="E4F3F9"/>
            <w:vAlign w:val="center"/>
            <w:hideMark/>
          </w:tcPr>
          <w:p w14:paraId="7418B3B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81</w:t>
            </w:r>
          </w:p>
        </w:tc>
        <w:tc>
          <w:tcPr>
            <w:tcW w:w="251" w:type="pct"/>
            <w:shd w:val="clear" w:color="auto" w:fill="E4F3F9"/>
            <w:vAlign w:val="center"/>
            <w:hideMark/>
          </w:tcPr>
          <w:p w14:paraId="7418B3B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79</w:t>
            </w:r>
          </w:p>
        </w:tc>
        <w:tc>
          <w:tcPr>
            <w:tcW w:w="251" w:type="pct"/>
            <w:shd w:val="clear" w:color="auto" w:fill="E4F3F9"/>
            <w:vAlign w:val="center"/>
            <w:hideMark/>
          </w:tcPr>
          <w:p w14:paraId="7418B3B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80</w:t>
            </w:r>
          </w:p>
        </w:tc>
        <w:tc>
          <w:tcPr>
            <w:tcW w:w="251" w:type="pct"/>
            <w:shd w:val="clear" w:color="auto" w:fill="E4F3F9"/>
            <w:vAlign w:val="center"/>
            <w:hideMark/>
          </w:tcPr>
          <w:p w14:paraId="7418B3B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79</w:t>
            </w:r>
          </w:p>
        </w:tc>
        <w:tc>
          <w:tcPr>
            <w:tcW w:w="251" w:type="pct"/>
            <w:shd w:val="clear" w:color="auto" w:fill="E4F3F9"/>
            <w:vAlign w:val="center"/>
            <w:hideMark/>
          </w:tcPr>
          <w:p w14:paraId="7418B3B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85</w:t>
            </w:r>
          </w:p>
        </w:tc>
        <w:tc>
          <w:tcPr>
            <w:tcW w:w="251" w:type="pct"/>
            <w:shd w:val="clear" w:color="auto" w:fill="E4F3F9"/>
            <w:vAlign w:val="center"/>
            <w:hideMark/>
          </w:tcPr>
          <w:p w14:paraId="7418B3B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83</w:t>
            </w:r>
          </w:p>
        </w:tc>
        <w:tc>
          <w:tcPr>
            <w:tcW w:w="221" w:type="pct"/>
            <w:shd w:val="clear" w:color="auto" w:fill="E4F3F9"/>
            <w:vAlign w:val="center"/>
            <w:hideMark/>
          </w:tcPr>
          <w:p w14:paraId="7418B3B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22" w:type="pct"/>
            <w:shd w:val="clear" w:color="auto" w:fill="E4F3F9"/>
            <w:vAlign w:val="center"/>
            <w:hideMark/>
          </w:tcPr>
          <w:p w14:paraId="7418B3B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r>
      <w:tr w:rsidR="00D471AD" w:rsidRPr="005E2284" w14:paraId="7418B3C8" w14:textId="77777777" w:rsidTr="004A31A9">
        <w:trPr>
          <w:trHeight w:val="397"/>
        </w:trPr>
        <w:tc>
          <w:tcPr>
            <w:tcW w:w="1545" w:type="pct"/>
            <w:shd w:val="clear" w:color="auto" w:fill="D5ECF5"/>
            <w:vAlign w:val="center"/>
            <w:hideMark/>
          </w:tcPr>
          <w:p w14:paraId="7418B3B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Real Gross Domestic Product (GDP) (chain volume measures), billions A$</w:t>
            </w:r>
            <w:r w:rsidRPr="005E2284">
              <w:rPr>
                <w:rFonts w:ascii="Arial Unicode MS" w:eastAsia="Arial Unicode MS" w:hAnsi="Arial Unicode MS" w:cs="Arial Unicode MS"/>
                <w:color w:val="7A7B7C"/>
                <w:sz w:val="14"/>
                <w:szCs w:val="14"/>
                <w:lang w:eastAsia="en-AU"/>
              </w:rPr>
              <w:t>² ¹⁸</w:t>
            </w:r>
          </w:p>
        </w:tc>
        <w:tc>
          <w:tcPr>
            <w:tcW w:w="251" w:type="pct"/>
            <w:shd w:val="clear" w:color="auto" w:fill="D5ECF5"/>
            <w:vAlign w:val="center"/>
            <w:hideMark/>
          </w:tcPr>
          <w:p w14:paraId="7418B3B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890</w:t>
            </w:r>
          </w:p>
        </w:tc>
        <w:tc>
          <w:tcPr>
            <w:tcW w:w="251" w:type="pct"/>
            <w:shd w:val="clear" w:color="auto" w:fill="D5ECF5"/>
            <w:vAlign w:val="center"/>
            <w:hideMark/>
          </w:tcPr>
          <w:p w14:paraId="7418B3B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1,074</w:t>
            </w:r>
          </w:p>
        </w:tc>
        <w:tc>
          <w:tcPr>
            <w:tcW w:w="251" w:type="pct"/>
            <w:shd w:val="clear" w:color="auto" w:fill="D5ECF5"/>
            <w:vAlign w:val="center"/>
            <w:hideMark/>
          </w:tcPr>
          <w:p w14:paraId="7418B3B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1,273</w:t>
            </w:r>
          </w:p>
        </w:tc>
        <w:tc>
          <w:tcPr>
            <w:tcW w:w="251" w:type="pct"/>
            <w:shd w:val="clear" w:color="auto" w:fill="D5ECF5"/>
            <w:vAlign w:val="center"/>
            <w:hideMark/>
          </w:tcPr>
          <w:p w14:paraId="7418B3B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1,320</w:t>
            </w:r>
          </w:p>
        </w:tc>
        <w:tc>
          <w:tcPr>
            <w:tcW w:w="251" w:type="pct"/>
            <w:shd w:val="clear" w:color="auto" w:fill="D5ECF5"/>
            <w:vAlign w:val="center"/>
            <w:hideMark/>
          </w:tcPr>
          <w:p w14:paraId="7418B3B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1,369</w:t>
            </w:r>
          </w:p>
        </w:tc>
        <w:tc>
          <w:tcPr>
            <w:tcW w:w="251" w:type="pct"/>
            <w:shd w:val="clear" w:color="auto" w:fill="D5ECF5"/>
            <w:vAlign w:val="center"/>
            <w:hideMark/>
          </w:tcPr>
          <w:p w14:paraId="7418B3B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1,394</w:t>
            </w:r>
          </w:p>
        </w:tc>
        <w:tc>
          <w:tcPr>
            <w:tcW w:w="251" w:type="pct"/>
            <w:shd w:val="clear" w:color="auto" w:fill="D5ECF5"/>
            <w:vAlign w:val="center"/>
            <w:hideMark/>
          </w:tcPr>
          <w:p w14:paraId="7418B3C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1,422</w:t>
            </w:r>
          </w:p>
        </w:tc>
        <w:tc>
          <w:tcPr>
            <w:tcW w:w="251" w:type="pct"/>
            <w:shd w:val="clear" w:color="auto" w:fill="D5ECF5"/>
            <w:vAlign w:val="center"/>
            <w:hideMark/>
          </w:tcPr>
          <w:p w14:paraId="7418B3C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1,456</w:t>
            </w:r>
          </w:p>
        </w:tc>
        <w:tc>
          <w:tcPr>
            <w:tcW w:w="251" w:type="pct"/>
            <w:shd w:val="clear" w:color="auto" w:fill="D5ECF5"/>
            <w:vAlign w:val="center"/>
            <w:hideMark/>
          </w:tcPr>
          <w:p w14:paraId="7418B3C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1,509</w:t>
            </w:r>
          </w:p>
        </w:tc>
        <w:tc>
          <w:tcPr>
            <w:tcW w:w="251" w:type="pct"/>
            <w:shd w:val="clear" w:color="auto" w:fill="D5ECF5"/>
            <w:vAlign w:val="center"/>
            <w:hideMark/>
          </w:tcPr>
          <w:p w14:paraId="7418B3C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1,546</w:t>
            </w:r>
          </w:p>
        </w:tc>
        <w:tc>
          <w:tcPr>
            <w:tcW w:w="251" w:type="pct"/>
            <w:shd w:val="clear" w:color="auto" w:fill="D5ECF5"/>
            <w:vAlign w:val="center"/>
            <w:hideMark/>
          </w:tcPr>
          <w:p w14:paraId="7418B3C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1,585</w:t>
            </w:r>
          </w:p>
        </w:tc>
        <w:tc>
          <w:tcPr>
            <w:tcW w:w="251" w:type="pct"/>
            <w:shd w:val="clear" w:color="auto" w:fill="D5ECF5"/>
            <w:vAlign w:val="center"/>
            <w:hideMark/>
          </w:tcPr>
          <w:p w14:paraId="7418B3C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1,620</w:t>
            </w:r>
          </w:p>
        </w:tc>
        <w:tc>
          <w:tcPr>
            <w:tcW w:w="221" w:type="pct"/>
            <w:shd w:val="clear" w:color="auto" w:fill="D5ECF5"/>
            <w:vAlign w:val="center"/>
            <w:hideMark/>
          </w:tcPr>
          <w:p w14:paraId="7418B3C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22" w:type="pct"/>
            <w:shd w:val="clear" w:color="auto" w:fill="D5ECF5"/>
            <w:vAlign w:val="center"/>
            <w:hideMark/>
          </w:tcPr>
          <w:p w14:paraId="7418B3C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r>
      <w:tr w:rsidR="00D471AD" w:rsidRPr="005E2284" w14:paraId="7418B3D8" w14:textId="77777777" w:rsidTr="004A31A9">
        <w:trPr>
          <w:trHeight w:val="397"/>
        </w:trPr>
        <w:tc>
          <w:tcPr>
            <w:tcW w:w="1545" w:type="pct"/>
            <w:shd w:val="clear" w:color="auto" w:fill="E4F3F9"/>
            <w:vAlign w:val="center"/>
            <w:hideMark/>
          </w:tcPr>
          <w:p w14:paraId="7418B3C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 xml:space="preserve">Real Gross Domestic Product (GDP) growth from previous </w:t>
            </w:r>
            <w:r w:rsidRPr="005E2284">
              <w:rPr>
                <w:rFonts w:eastAsia="Arial Unicode MS" w:cs="Arial"/>
                <w:color w:val="7A7B7C"/>
                <w:sz w:val="14"/>
                <w:szCs w:val="14"/>
                <w:lang w:eastAsia="en-AU"/>
              </w:rPr>
              <w:br/>
              <w:t>year, %</w:t>
            </w:r>
            <w:r w:rsidRPr="005E2284">
              <w:rPr>
                <w:rFonts w:ascii="Arial Unicode MS" w:eastAsia="Arial Unicode MS" w:hAnsi="Arial Unicode MS" w:cs="Arial Unicode MS"/>
                <w:color w:val="7A7B7C"/>
                <w:sz w:val="14"/>
                <w:szCs w:val="14"/>
                <w:lang w:eastAsia="en-AU"/>
              </w:rPr>
              <w:t>²</w:t>
            </w:r>
          </w:p>
        </w:tc>
        <w:tc>
          <w:tcPr>
            <w:tcW w:w="251" w:type="pct"/>
            <w:shd w:val="clear" w:color="auto" w:fill="E4F3F9"/>
            <w:vAlign w:val="center"/>
            <w:hideMark/>
          </w:tcPr>
          <w:p w14:paraId="7418B3C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3.9</w:t>
            </w:r>
          </w:p>
        </w:tc>
        <w:tc>
          <w:tcPr>
            <w:tcW w:w="251" w:type="pct"/>
            <w:shd w:val="clear" w:color="auto" w:fill="E4F3F9"/>
            <w:vAlign w:val="center"/>
            <w:hideMark/>
          </w:tcPr>
          <w:p w14:paraId="7418B3C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1.9</w:t>
            </w:r>
          </w:p>
        </w:tc>
        <w:tc>
          <w:tcPr>
            <w:tcW w:w="251" w:type="pct"/>
            <w:shd w:val="clear" w:color="auto" w:fill="E4F3F9"/>
            <w:vAlign w:val="center"/>
            <w:hideMark/>
          </w:tcPr>
          <w:p w14:paraId="7418B3C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3.0</w:t>
            </w:r>
          </w:p>
        </w:tc>
        <w:tc>
          <w:tcPr>
            <w:tcW w:w="251" w:type="pct"/>
            <w:shd w:val="clear" w:color="auto" w:fill="E4F3F9"/>
            <w:vAlign w:val="center"/>
            <w:hideMark/>
          </w:tcPr>
          <w:p w14:paraId="7418B3C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3.8</w:t>
            </w:r>
          </w:p>
        </w:tc>
        <w:tc>
          <w:tcPr>
            <w:tcW w:w="251" w:type="pct"/>
            <w:shd w:val="clear" w:color="auto" w:fill="E4F3F9"/>
            <w:vAlign w:val="center"/>
            <w:hideMark/>
          </w:tcPr>
          <w:p w14:paraId="7418B3C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3.7</w:t>
            </w:r>
          </w:p>
        </w:tc>
        <w:tc>
          <w:tcPr>
            <w:tcW w:w="251" w:type="pct"/>
            <w:shd w:val="clear" w:color="auto" w:fill="E4F3F9"/>
            <w:vAlign w:val="center"/>
            <w:hideMark/>
          </w:tcPr>
          <w:p w14:paraId="7418B3C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1.8</w:t>
            </w:r>
          </w:p>
        </w:tc>
        <w:tc>
          <w:tcPr>
            <w:tcW w:w="251" w:type="pct"/>
            <w:shd w:val="clear" w:color="auto" w:fill="E4F3F9"/>
            <w:vAlign w:val="center"/>
            <w:hideMark/>
          </w:tcPr>
          <w:p w14:paraId="7418B3D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2.0</w:t>
            </w:r>
          </w:p>
        </w:tc>
        <w:tc>
          <w:tcPr>
            <w:tcW w:w="251" w:type="pct"/>
            <w:shd w:val="clear" w:color="auto" w:fill="E4F3F9"/>
            <w:vAlign w:val="center"/>
            <w:hideMark/>
          </w:tcPr>
          <w:p w14:paraId="7418B3D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2.4</w:t>
            </w:r>
          </w:p>
        </w:tc>
        <w:tc>
          <w:tcPr>
            <w:tcW w:w="251" w:type="pct"/>
            <w:shd w:val="clear" w:color="auto" w:fill="E4F3F9"/>
            <w:vAlign w:val="center"/>
            <w:hideMark/>
          </w:tcPr>
          <w:p w14:paraId="7418B3D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3.6</w:t>
            </w:r>
          </w:p>
        </w:tc>
        <w:tc>
          <w:tcPr>
            <w:tcW w:w="251" w:type="pct"/>
            <w:shd w:val="clear" w:color="auto" w:fill="E4F3F9"/>
            <w:vAlign w:val="center"/>
            <w:hideMark/>
          </w:tcPr>
          <w:p w14:paraId="7418B3D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2.4</w:t>
            </w:r>
          </w:p>
        </w:tc>
        <w:tc>
          <w:tcPr>
            <w:tcW w:w="251" w:type="pct"/>
            <w:shd w:val="clear" w:color="auto" w:fill="E4F3F9"/>
            <w:vAlign w:val="center"/>
            <w:hideMark/>
          </w:tcPr>
          <w:p w14:paraId="7418B3D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2.5</w:t>
            </w:r>
          </w:p>
        </w:tc>
        <w:tc>
          <w:tcPr>
            <w:tcW w:w="251" w:type="pct"/>
            <w:shd w:val="clear" w:color="auto" w:fill="E4F3F9"/>
            <w:vAlign w:val="center"/>
            <w:hideMark/>
          </w:tcPr>
          <w:p w14:paraId="7418B3D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2.3</w:t>
            </w:r>
          </w:p>
        </w:tc>
        <w:tc>
          <w:tcPr>
            <w:tcW w:w="221" w:type="pct"/>
            <w:shd w:val="clear" w:color="auto" w:fill="E4F3F9"/>
            <w:vAlign w:val="center"/>
            <w:hideMark/>
          </w:tcPr>
          <w:p w14:paraId="7418B3D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22" w:type="pct"/>
            <w:shd w:val="clear" w:color="auto" w:fill="E4F3F9"/>
            <w:vAlign w:val="center"/>
            <w:hideMark/>
          </w:tcPr>
          <w:p w14:paraId="7418B3D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r>
      <w:tr w:rsidR="00D471AD" w:rsidRPr="005E2284" w14:paraId="7418B3E8" w14:textId="77777777" w:rsidTr="004A31A9">
        <w:trPr>
          <w:trHeight w:val="283"/>
        </w:trPr>
        <w:tc>
          <w:tcPr>
            <w:tcW w:w="1545" w:type="pct"/>
            <w:shd w:val="clear" w:color="auto" w:fill="D5ECF5"/>
            <w:vAlign w:val="center"/>
            <w:hideMark/>
          </w:tcPr>
          <w:p w14:paraId="7418B3D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Gross national income, US$ per capita</w:t>
            </w:r>
            <w:r w:rsidRPr="005E2284">
              <w:rPr>
                <w:rFonts w:ascii="Arial Unicode MS" w:eastAsia="Arial Unicode MS" w:hAnsi="Arial Unicode MS" w:cs="Arial Unicode MS"/>
                <w:color w:val="7A7B7C"/>
                <w:sz w:val="14"/>
                <w:szCs w:val="14"/>
                <w:lang w:eastAsia="en-AU"/>
              </w:rPr>
              <w:t>³</w:t>
            </w:r>
          </w:p>
        </w:tc>
        <w:tc>
          <w:tcPr>
            <w:tcW w:w="251" w:type="pct"/>
            <w:shd w:val="clear" w:color="auto" w:fill="D5ECF5"/>
            <w:vAlign w:val="center"/>
            <w:hideMark/>
          </w:tcPr>
          <w:p w14:paraId="7418B3D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21,516</w:t>
            </w:r>
          </w:p>
        </w:tc>
        <w:tc>
          <w:tcPr>
            <w:tcW w:w="251" w:type="pct"/>
            <w:shd w:val="clear" w:color="auto" w:fill="D5ECF5"/>
            <w:vAlign w:val="center"/>
            <w:hideMark/>
          </w:tcPr>
          <w:p w14:paraId="7418B3D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27,319</w:t>
            </w:r>
          </w:p>
        </w:tc>
        <w:tc>
          <w:tcPr>
            <w:tcW w:w="251" w:type="pct"/>
            <w:shd w:val="clear" w:color="auto" w:fill="D5ECF5"/>
            <w:vAlign w:val="center"/>
            <w:hideMark/>
          </w:tcPr>
          <w:p w14:paraId="7418B3D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33,931</w:t>
            </w:r>
          </w:p>
        </w:tc>
        <w:tc>
          <w:tcPr>
            <w:tcW w:w="251" w:type="pct"/>
            <w:shd w:val="clear" w:color="auto" w:fill="D5ECF5"/>
            <w:vAlign w:val="center"/>
            <w:hideMark/>
          </w:tcPr>
          <w:p w14:paraId="7418B3D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35,739</w:t>
            </w:r>
          </w:p>
        </w:tc>
        <w:tc>
          <w:tcPr>
            <w:tcW w:w="251" w:type="pct"/>
            <w:shd w:val="clear" w:color="auto" w:fill="D5ECF5"/>
            <w:vAlign w:val="center"/>
            <w:hideMark/>
          </w:tcPr>
          <w:p w14:paraId="7418B3D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37,557</w:t>
            </w:r>
          </w:p>
        </w:tc>
        <w:tc>
          <w:tcPr>
            <w:tcW w:w="251" w:type="pct"/>
            <w:shd w:val="clear" w:color="auto" w:fill="D5ECF5"/>
            <w:vAlign w:val="center"/>
            <w:hideMark/>
          </w:tcPr>
          <w:p w14:paraId="7418B3D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38,132</w:t>
            </w:r>
          </w:p>
        </w:tc>
        <w:tc>
          <w:tcPr>
            <w:tcW w:w="251" w:type="pct"/>
            <w:shd w:val="clear" w:color="auto" w:fill="D5ECF5"/>
            <w:vAlign w:val="center"/>
            <w:hideMark/>
          </w:tcPr>
          <w:p w14:paraId="7418B3E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39,471</w:t>
            </w:r>
          </w:p>
        </w:tc>
        <w:tc>
          <w:tcPr>
            <w:tcW w:w="251" w:type="pct"/>
            <w:shd w:val="clear" w:color="auto" w:fill="D5ECF5"/>
            <w:vAlign w:val="center"/>
            <w:hideMark/>
          </w:tcPr>
          <w:p w14:paraId="7418B3E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40,522</w:t>
            </w:r>
          </w:p>
        </w:tc>
        <w:tc>
          <w:tcPr>
            <w:tcW w:w="251" w:type="pct"/>
            <w:shd w:val="clear" w:color="auto" w:fill="D5ECF5"/>
            <w:vAlign w:val="center"/>
            <w:hideMark/>
          </w:tcPr>
          <w:p w14:paraId="7418B3E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42,371</w:t>
            </w:r>
          </w:p>
        </w:tc>
        <w:tc>
          <w:tcPr>
            <w:tcW w:w="251" w:type="pct"/>
            <w:shd w:val="clear" w:color="auto" w:fill="D5ECF5"/>
            <w:vAlign w:val="center"/>
            <w:hideMark/>
          </w:tcPr>
          <w:p w14:paraId="7418B3E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41,996</w:t>
            </w:r>
          </w:p>
        </w:tc>
        <w:tc>
          <w:tcPr>
            <w:tcW w:w="251" w:type="pct"/>
            <w:shd w:val="clear" w:color="auto" w:fill="D5ECF5"/>
            <w:vAlign w:val="center"/>
            <w:hideMark/>
          </w:tcPr>
          <w:p w14:paraId="7418B3E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45,575</w:t>
            </w:r>
          </w:p>
        </w:tc>
        <w:tc>
          <w:tcPr>
            <w:tcW w:w="251" w:type="pct"/>
            <w:shd w:val="clear" w:color="auto" w:fill="D5ECF5"/>
            <w:vAlign w:val="center"/>
            <w:hideMark/>
          </w:tcPr>
          <w:p w14:paraId="7418B3E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45,324</w:t>
            </w:r>
          </w:p>
        </w:tc>
        <w:tc>
          <w:tcPr>
            <w:tcW w:w="221" w:type="pct"/>
            <w:shd w:val="clear" w:color="auto" w:fill="D5ECF5"/>
            <w:vAlign w:val="center"/>
            <w:hideMark/>
          </w:tcPr>
          <w:p w14:paraId="7418B3E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22" w:type="pct"/>
            <w:shd w:val="clear" w:color="auto" w:fill="D5ECF5"/>
            <w:vAlign w:val="center"/>
            <w:hideMark/>
          </w:tcPr>
          <w:p w14:paraId="7418B3E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r>
      <w:tr w:rsidR="00D471AD" w:rsidRPr="005E2284" w14:paraId="7418B3F8" w14:textId="77777777" w:rsidTr="004A31A9">
        <w:trPr>
          <w:trHeight w:val="283"/>
        </w:trPr>
        <w:tc>
          <w:tcPr>
            <w:tcW w:w="1545" w:type="pct"/>
            <w:shd w:val="clear" w:color="auto" w:fill="E4F3F9"/>
            <w:vAlign w:val="center"/>
            <w:hideMark/>
          </w:tcPr>
          <w:p w14:paraId="7418B3E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Multifactor productivity annual growth/change, %</w:t>
            </w:r>
            <w:r w:rsidRPr="005E2284">
              <w:rPr>
                <w:rFonts w:ascii="Arial Unicode MS" w:eastAsia="Arial Unicode MS" w:hAnsi="Arial Unicode MS" w:cs="Arial Unicode MS"/>
                <w:color w:val="7A7B7C"/>
                <w:sz w:val="14"/>
                <w:szCs w:val="14"/>
                <w:lang w:eastAsia="en-AU"/>
              </w:rPr>
              <w:t>⁴</w:t>
            </w:r>
          </w:p>
        </w:tc>
        <w:tc>
          <w:tcPr>
            <w:tcW w:w="251" w:type="pct"/>
            <w:shd w:val="clear" w:color="auto" w:fill="E4F3F9"/>
            <w:vAlign w:val="center"/>
            <w:hideMark/>
          </w:tcPr>
          <w:p w14:paraId="7418B3E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1.212</w:t>
            </w:r>
          </w:p>
        </w:tc>
        <w:tc>
          <w:tcPr>
            <w:tcW w:w="251" w:type="pct"/>
            <w:shd w:val="clear" w:color="auto" w:fill="E4F3F9"/>
            <w:vAlign w:val="center"/>
            <w:hideMark/>
          </w:tcPr>
          <w:p w14:paraId="7418B3E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0.633</w:t>
            </w:r>
          </w:p>
        </w:tc>
        <w:tc>
          <w:tcPr>
            <w:tcW w:w="251" w:type="pct"/>
            <w:shd w:val="clear" w:color="auto" w:fill="E4F3F9"/>
            <w:vAlign w:val="center"/>
            <w:hideMark/>
          </w:tcPr>
          <w:p w14:paraId="7418B3E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-0.065</w:t>
            </w:r>
          </w:p>
        </w:tc>
        <w:tc>
          <w:tcPr>
            <w:tcW w:w="251" w:type="pct"/>
            <w:shd w:val="clear" w:color="auto" w:fill="E4F3F9"/>
            <w:vAlign w:val="center"/>
            <w:hideMark/>
          </w:tcPr>
          <w:p w14:paraId="7418B3E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0.193</w:t>
            </w:r>
          </w:p>
        </w:tc>
        <w:tc>
          <w:tcPr>
            <w:tcW w:w="251" w:type="pct"/>
            <w:shd w:val="clear" w:color="auto" w:fill="E4F3F9"/>
            <w:vAlign w:val="center"/>
            <w:hideMark/>
          </w:tcPr>
          <w:p w14:paraId="7418B3E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-0.144</w:t>
            </w:r>
          </w:p>
        </w:tc>
        <w:tc>
          <w:tcPr>
            <w:tcW w:w="251" w:type="pct"/>
            <w:shd w:val="clear" w:color="auto" w:fill="E4F3F9"/>
            <w:vAlign w:val="center"/>
            <w:hideMark/>
          </w:tcPr>
          <w:p w14:paraId="7418B3E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-0.463</w:t>
            </w:r>
          </w:p>
        </w:tc>
        <w:tc>
          <w:tcPr>
            <w:tcW w:w="251" w:type="pct"/>
            <w:shd w:val="clear" w:color="auto" w:fill="E4F3F9"/>
            <w:vAlign w:val="center"/>
            <w:hideMark/>
          </w:tcPr>
          <w:p w14:paraId="7418B3F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0.529</w:t>
            </w:r>
          </w:p>
        </w:tc>
        <w:tc>
          <w:tcPr>
            <w:tcW w:w="251" w:type="pct"/>
            <w:shd w:val="clear" w:color="auto" w:fill="E4F3F9"/>
            <w:vAlign w:val="center"/>
            <w:hideMark/>
          </w:tcPr>
          <w:p w14:paraId="7418B3F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-0.874</w:t>
            </w:r>
          </w:p>
        </w:tc>
        <w:tc>
          <w:tcPr>
            <w:tcW w:w="251" w:type="pct"/>
            <w:shd w:val="clear" w:color="auto" w:fill="E4F3F9"/>
            <w:vAlign w:val="center"/>
            <w:hideMark/>
          </w:tcPr>
          <w:p w14:paraId="7418B3F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0.809</w:t>
            </w:r>
          </w:p>
        </w:tc>
        <w:tc>
          <w:tcPr>
            <w:tcW w:w="251" w:type="pct"/>
            <w:shd w:val="clear" w:color="auto" w:fill="E4F3F9"/>
            <w:vAlign w:val="center"/>
            <w:hideMark/>
          </w:tcPr>
          <w:p w14:paraId="7418B3F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1.514</w:t>
            </w:r>
          </w:p>
        </w:tc>
        <w:tc>
          <w:tcPr>
            <w:tcW w:w="251" w:type="pct"/>
            <w:shd w:val="clear" w:color="auto" w:fill="E4F3F9"/>
            <w:vAlign w:val="center"/>
            <w:hideMark/>
          </w:tcPr>
          <w:p w14:paraId="7418B3F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0.693</w:t>
            </w:r>
          </w:p>
        </w:tc>
        <w:tc>
          <w:tcPr>
            <w:tcW w:w="251" w:type="pct"/>
            <w:shd w:val="clear" w:color="auto" w:fill="E4F3F9"/>
            <w:vAlign w:val="center"/>
            <w:hideMark/>
          </w:tcPr>
          <w:p w14:paraId="7418B3F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0.583</w:t>
            </w:r>
          </w:p>
        </w:tc>
        <w:tc>
          <w:tcPr>
            <w:tcW w:w="221" w:type="pct"/>
            <w:shd w:val="clear" w:color="auto" w:fill="E4F3F9"/>
            <w:vAlign w:val="center"/>
            <w:hideMark/>
          </w:tcPr>
          <w:p w14:paraId="7418B3F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22" w:type="pct"/>
            <w:shd w:val="clear" w:color="auto" w:fill="E4F3F9"/>
            <w:vAlign w:val="center"/>
            <w:hideMark/>
          </w:tcPr>
          <w:p w14:paraId="7418B3F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r>
      <w:tr w:rsidR="00D471AD" w:rsidRPr="005E2284" w14:paraId="7418B408" w14:textId="77777777" w:rsidTr="004A31A9">
        <w:trPr>
          <w:trHeight w:val="283"/>
        </w:trPr>
        <w:tc>
          <w:tcPr>
            <w:tcW w:w="1545" w:type="pct"/>
            <w:shd w:val="clear" w:color="auto" w:fill="D5ECF5"/>
            <w:vAlign w:val="center"/>
            <w:hideMark/>
          </w:tcPr>
          <w:p w14:paraId="7418B3F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Index of Economic Freedom</w:t>
            </w:r>
            <w:r w:rsidRPr="005E2284">
              <w:rPr>
                <w:rFonts w:ascii="Arial Unicode MS" w:eastAsia="Arial Unicode MS" w:hAnsi="Arial Unicode MS" w:cs="Arial Unicode MS"/>
                <w:color w:val="7A7B7C"/>
                <w:sz w:val="14"/>
                <w:szCs w:val="14"/>
                <w:lang w:eastAsia="en-AU"/>
              </w:rPr>
              <w:t>⁵</w:t>
            </w:r>
          </w:p>
        </w:tc>
        <w:tc>
          <w:tcPr>
            <w:tcW w:w="251" w:type="pct"/>
            <w:shd w:val="clear" w:color="auto" w:fill="D5ECF5"/>
            <w:vAlign w:val="center"/>
            <w:hideMark/>
          </w:tcPr>
          <w:p w14:paraId="7418B3F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74</w:t>
            </w:r>
          </w:p>
        </w:tc>
        <w:tc>
          <w:tcPr>
            <w:tcW w:w="251" w:type="pct"/>
            <w:shd w:val="clear" w:color="auto" w:fill="D5ECF5"/>
            <w:vAlign w:val="center"/>
            <w:hideMark/>
          </w:tcPr>
          <w:p w14:paraId="7418B3F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77</w:t>
            </w:r>
          </w:p>
        </w:tc>
        <w:tc>
          <w:tcPr>
            <w:tcW w:w="251" w:type="pct"/>
            <w:shd w:val="clear" w:color="auto" w:fill="D5ECF5"/>
            <w:vAlign w:val="center"/>
            <w:hideMark/>
          </w:tcPr>
          <w:p w14:paraId="7418B3F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79</w:t>
            </w:r>
          </w:p>
        </w:tc>
        <w:tc>
          <w:tcPr>
            <w:tcW w:w="251" w:type="pct"/>
            <w:shd w:val="clear" w:color="auto" w:fill="D5ECF5"/>
            <w:vAlign w:val="center"/>
            <w:hideMark/>
          </w:tcPr>
          <w:p w14:paraId="7418B3F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80</w:t>
            </w:r>
          </w:p>
        </w:tc>
        <w:tc>
          <w:tcPr>
            <w:tcW w:w="251" w:type="pct"/>
            <w:shd w:val="clear" w:color="auto" w:fill="D5ECF5"/>
            <w:vAlign w:val="center"/>
            <w:hideMark/>
          </w:tcPr>
          <w:p w14:paraId="7418B3F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81</w:t>
            </w:r>
          </w:p>
        </w:tc>
        <w:tc>
          <w:tcPr>
            <w:tcW w:w="251" w:type="pct"/>
            <w:shd w:val="clear" w:color="auto" w:fill="D5ECF5"/>
            <w:vAlign w:val="center"/>
            <w:hideMark/>
          </w:tcPr>
          <w:p w14:paraId="7418B3F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82</w:t>
            </w:r>
          </w:p>
        </w:tc>
        <w:tc>
          <w:tcPr>
            <w:tcW w:w="251" w:type="pct"/>
            <w:shd w:val="clear" w:color="auto" w:fill="D5ECF5"/>
            <w:vAlign w:val="center"/>
            <w:hideMark/>
          </w:tcPr>
          <w:p w14:paraId="7418B40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83</w:t>
            </w:r>
          </w:p>
        </w:tc>
        <w:tc>
          <w:tcPr>
            <w:tcW w:w="251" w:type="pct"/>
            <w:shd w:val="clear" w:color="auto" w:fill="D5ECF5"/>
            <w:vAlign w:val="center"/>
            <w:hideMark/>
          </w:tcPr>
          <w:p w14:paraId="7418B40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83</w:t>
            </w:r>
          </w:p>
        </w:tc>
        <w:tc>
          <w:tcPr>
            <w:tcW w:w="251" w:type="pct"/>
            <w:shd w:val="clear" w:color="auto" w:fill="D5ECF5"/>
            <w:vAlign w:val="center"/>
            <w:hideMark/>
          </w:tcPr>
          <w:p w14:paraId="7418B40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83</w:t>
            </w:r>
          </w:p>
        </w:tc>
        <w:tc>
          <w:tcPr>
            <w:tcW w:w="251" w:type="pct"/>
            <w:shd w:val="clear" w:color="auto" w:fill="D5ECF5"/>
            <w:vAlign w:val="center"/>
            <w:hideMark/>
          </w:tcPr>
          <w:p w14:paraId="7418B40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83</w:t>
            </w:r>
          </w:p>
        </w:tc>
        <w:tc>
          <w:tcPr>
            <w:tcW w:w="251" w:type="pct"/>
            <w:shd w:val="clear" w:color="auto" w:fill="D5ECF5"/>
            <w:vAlign w:val="center"/>
            <w:hideMark/>
          </w:tcPr>
          <w:p w14:paraId="7418B40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83</w:t>
            </w:r>
          </w:p>
        </w:tc>
        <w:tc>
          <w:tcPr>
            <w:tcW w:w="251" w:type="pct"/>
            <w:shd w:val="clear" w:color="auto" w:fill="D5ECF5"/>
            <w:vAlign w:val="center"/>
            <w:hideMark/>
          </w:tcPr>
          <w:p w14:paraId="7418B40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82</w:t>
            </w:r>
          </w:p>
        </w:tc>
        <w:tc>
          <w:tcPr>
            <w:tcW w:w="221" w:type="pct"/>
            <w:shd w:val="clear" w:color="auto" w:fill="D5ECF5"/>
            <w:vAlign w:val="center"/>
            <w:hideMark/>
          </w:tcPr>
          <w:p w14:paraId="7418B40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81</w:t>
            </w:r>
          </w:p>
        </w:tc>
        <w:tc>
          <w:tcPr>
            <w:tcW w:w="222" w:type="pct"/>
            <w:shd w:val="clear" w:color="auto" w:fill="D5ECF5"/>
            <w:vAlign w:val="center"/>
            <w:hideMark/>
          </w:tcPr>
          <w:p w14:paraId="7418B40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80</w:t>
            </w:r>
          </w:p>
        </w:tc>
      </w:tr>
      <w:tr w:rsidR="00D471AD" w:rsidRPr="005E2284" w14:paraId="7418B418" w14:textId="77777777" w:rsidTr="004A31A9">
        <w:trPr>
          <w:trHeight w:val="283"/>
        </w:trPr>
        <w:tc>
          <w:tcPr>
            <w:tcW w:w="1545" w:type="pct"/>
            <w:shd w:val="clear" w:color="auto" w:fill="E4F3F9"/>
            <w:vAlign w:val="center"/>
            <w:hideMark/>
          </w:tcPr>
          <w:p w14:paraId="7418B40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Resilience of the economy, score</w:t>
            </w:r>
            <w:r w:rsidRPr="005E2284">
              <w:rPr>
                <w:rFonts w:ascii="Arial Unicode MS" w:eastAsia="Arial Unicode MS" w:hAnsi="Arial Unicode MS" w:cs="Arial Unicode MS"/>
                <w:color w:val="7A7B7C"/>
                <w:sz w:val="14"/>
                <w:szCs w:val="14"/>
                <w:lang w:eastAsia="en-AU"/>
              </w:rPr>
              <w:t>⁶</w:t>
            </w:r>
          </w:p>
        </w:tc>
        <w:tc>
          <w:tcPr>
            <w:tcW w:w="251" w:type="pct"/>
            <w:shd w:val="clear" w:color="auto" w:fill="E4F3F9"/>
            <w:vAlign w:val="center"/>
            <w:hideMark/>
          </w:tcPr>
          <w:p w14:paraId="7418B40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0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0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7.6</w:t>
            </w:r>
          </w:p>
        </w:tc>
        <w:tc>
          <w:tcPr>
            <w:tcW w:w="251" w:type="pct"/>
            <w:shd w:val="clear" w:color="auto" w:fill="E4F3F9"/>
            <w:vAlign w:val="center"/>
            <w:hideMark/>
          </w:tcPr>
          <w:p w14:paraId="7418B40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7.4</w:t>
            </w:r>
          </w:p>
        </w:tc>
        <w:tc>
          <w:tcPr>
            <w:tcW w:w="251" w:type="pct"/>
            <w:shd w:val="clear" w:color="auto" w:fill="E4F3F9"/>
            <w:vAlign w:val="center"/>
            <w:hideMark/>
          </w:tcPr>
          <w:p w14:paraId="7418B40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6.4</w:t>
            </w:r>
          </w:p>
        </w:tc>
        <w:tc>
          <w:tcPr>
            <w:tcW w:w="251" w:type="pct"/>
            <w:shd w:val="clear" w:color="auto" w:fill="E4F3F9"/>
            <w:vAlign w:val="center"/>
            <w:hideMark/>
          </w:tcPr>
          <w:p w14:paraId="7418B40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6.8</w:t>
            </w:r>
          </w:p>
        </w:tc>
        <w:tc>
          <w:tcPr>
            <w:tcW w:w="251" w:type="pct"/>
            <w:shd w:val="clear" w:color="auto" w:fill="E4F3F9"/>
            <w:vAlign w:val="center"/>
            <w:hideMark/>
          </w:tcPr>
          <w:p w14:paraId="7418B41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5.8</w:t>
            </w:r>
          </w:p>
        </w:tc>
        <w:tc>
          <w:tcPr>
            <w:tcW w:w="251" w:type="pct"/>
            <w:shd w:val="clear" w:color="auto" w:fill="E4F3F9"/>
            <w:vAlign w:val="center"/>
            <w:hideMark/>
          </w:tcPr>
          <w:p w14:paraId="7418B41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7.0</w:t>
            </w:r>
          </w:p>
        </w:tc>
        <w:tc>
          <w:tcPr>
            <w:tcW w:w="251" w:type="pct"/>
            <w:shd w:val="clear" w:color="auto" w:fill="E4F3F9"/>
            <w:vAlign w:val="center"/>
            <w:hideMark/>
          </w:tcPr>
          <w:p w14:paraId="7418B41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7.7</w:t>
            </w:r>
          </w:p>
        </w:tc>
        <w:tc>
          <w:tcPr>
            <w:tcW w:w="251" w:type="pct"/>
            <w:shd w:val="clear" w:color="auto" w:fill="E4F3F9"/>
            <w:vAlign w:val="center"/>
            <w:hideMark/>
          </w:tcPr>
          <w:p w14:paraId="7418B41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7.3</w:t>
            </w:r>
          </w:p>
        </w:tc>
        <w:tc>
          <w:tcPr>
            <w:tcW w:w="251" w:type="pct"/>
            <w:shd w:val="clear" w:color="auto" w:fill="E4F3F9"/>
            <w:vAlign w:val="center"/>
            <w:hideMark/>
          </w:tcPr>
          <w:p w14:paraId="7418B41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6.5</w:t>
            </w:r>
          </w:p>
        </w:tc>
        <w:tc>
          <w:tcPr>
            <w:tcW w:w="251" w:type="pct"/>
            <w:shd w:val="clear" w:color="auto" w:fill="E4F3F9"/>
            <w:vAlign w:val="center"/>
            <w:hideMark/>
          </w:tcPr>
          <w:p w14:paraId="7418B41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6.8</w:t>
            </w:r>
          </w:p>
        </w:tc>
        <w:tc>
          <w:tcPr>
            <w:tcW w:w="221" w:type="pct"/>
            <w:shd w:val="clear" w:color="auto" w:fill="E4F3F9"/>
            <w:vAlign w:val="center"/>
            <w:hideMark/>
          </w:tcPr>
          <w:p w14:paraId="7418B41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5.3</w:t>
            </w:r>
          </w:p>
        </w:tc>
        <w:tc>
          <w:tcPr>
            <w:tcW w:w="222" w:type="pct"/>
            <w:shd w:val="clear" w:color="auto" w:fill="E4F3F9"/>
            <w:vAlign w:val="center"/>
            <w:hideMark/>
          </w:tcPr>
          <w:p w14:paraId="7418B41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6.2</w:t>
            </w:r>
          </w:p>
        </w:tc>
      </w:tr>
      <w:tr w:rsidR="00D471AD" w:rsidRPr="005E2284" w14:paraId="7418B428" w14:textId="77777777" w:rsidTr="004A31A9">
        <w:trPr>
          <w:trHeight w:val="283"/>
        </w:trPr>
        <w:tc>
          <w:tcPr>
            <w:tcW w:w="1545" w:type="pct"/>
            <w:shd w:val="clear" w:color="auto" w:fill="D5ECF5"/>
            <w:vAlign w:val="center"/>
            <w:hideMark/>
          </w:tcPr>
          <w:p w14:paraId="7418B41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Economic Complexity Index</w:t>
            </w:r>
            <w:r w:rsidRPr="005E2284">
              <w:rPr>
                <w:rFonts w:ascii="Arial Unicode MS" w:eastAsia="Arial Unicode MS" w:hAnsi="Arial Unicode MS" w:cs="Arial Unicode MS"/>
                <w:color w:val="7A7B7C"/>
                <w:sz w:val="14"/>
                <w:szCs w:val="14"/>
                <w:lang w:eastAsia="en-AU"/>
              </w:rPr>
              <w:t>⁷</w:t>
            </w:r>
          </w:p>
        </w:tc>
        <w:tc>
          <w:tcPr>
            <w:tcW w:w="251" w:type="pct"/>
            <w:shd w:val="clear" w:color="auto" w:fill="D5ECF5"/>
            <w:vAlign w:val="center"/>
            <w:hideMark/>
          </w:tcPr>
          <w:p w14:paraId="7418B41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D5ECF5"/>
            <w:vAlign w:val="center"/>
            <w:hideMark/>
          </w:tcPr>
          <w:p w14:paraId="7418B41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-0.17</w:t>
            </w:r>
          </w:p>
        </w:tc>
        <w:tc>
          <w:tcPr>
            <w:tcW w:w="251" w:type="pct"/>
            <w:shd w:val="clear" w:color="auto" w:fill="D5ECF5"/>
            <w:vAlign w:val="center"/>
            <w:hideMark/>
          </w:tcPr>
          <w:p w14:paraId="7418B41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-0.24</w:t>
            </w:r>
          </w:p>
        </w:tc>
        <w:tc>
          <w:tcPr>
            <w:tcW w:w="251" w:type="pct"/>
            <w:shd w:val="clear" w:color="auto" w:fill="D5ECF5"/>
            <w:vAlign w:val="center"/>
            <w:hideMark/>
          </w:tcPr>
          <w:p w14:paraId="7418B41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-0.22</w:t>
            </w:r>
          </w:p>
        </w:tc>
        <w:tc>
          <w:tcPr>
            <w:tcW w:w="251" w:type="pct"/>
            <w:shd w:val="clear" w:color="auto" w:fill="D5ECF5"/>
            <w:vAlign w:val="center"/>
            <w:hideMark/>
          </w:tcPr>
          <w:p w14:paraId="7418B41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-0.30</w:t>
            </w:r>
          </w:p>
        </w:tc>
        <w:tc>
          <w:tcPr>
            <w:tcW w:w="251" w:type="pct"/>
            <w:shd w:val="clear" w:color="auto" w:fill="D5ECF5"/>
            <w:vAlign w:val="center"/>
            <w:hideMark/>
          </w:tcPr>
          <w:p w14:paraId="7418B41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-0.48</w:t>
            </w:r>
          </w:p>
        </w:tc>
        <w:tc>
          <w:tcPr>
            <w:tcW w:w="251" w:type="pct"/>
            <w:shd w:val="clear" w:color="auto" w:fill="D5ECF5"/>
            <w:vAlign w:val="center"/>
            <w:hideMark/>
          </w:tcPr>
          <w:p w14:paraId="7418B42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-0.57</w:t>
            </w:r>
          </w:p>
        </w:tc>
        <w:tc>
          <w:tcPr>
            <w:tcW w:w="251" w:type="pct"/>
            <w:shd w:val="clear" w:color="auto" w:fill="D5ECF5"/>
            <w:vAlign w:val="center"/>
            <w:hideMark/>
          </w:tcPr>
          <w:p w14:paraId="7418B42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-0.46</w:t>
            </w:r>
          </w:p>
        </w:tc>
        <w:tc>
          <w:tcPr>
            <w:tcW w:w="251" w:type="pct"/>
            <w:shd w:val="clear" w:color="auto" w:fill="D5ECF5"/>
            <w:vAlign w:val="center"/>
            <w:hideMark/>
          </w:tcPr>
          <w:p w14:paraId="7418B42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-0.55</w:t>
            </w:r>
          </w:p>
        </w:tc>
        <w:tc>
          <w:tcPr>
            <w:tcW w:w="251" w:type="pct"/>
            <w:shd w:val="clear" w:color="auto" w:fill="D5ECF5"/>
            <w:vAlign w:val="center"/>
            <w:hideMark/>
          </w:tcPr>
          <w:p w14:paraId="7418B42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-0.57</w:t>
            </w:r>
          </w:p>
        </w:tc>
        <w:tc>
          <w:tcPr>
            <w:tcW w:w="251" w:type="pct"/>
            <w:shd w:val="clear" w:color="auto" w:fill="D5ECF5"/>
            <w:vAlign w:val="center"/>
            <w:hideMark/>
          </w:tcPr>
          <w:p w14:paraId="7418B42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-0.52</w:t>
            </w:r>
          </w:p>
        </w:tc>
        <w:tc>
          <w:tcPr>
            <w:tcW w:w="251" w:type="pct"/>
            <w:shd w:val="clear" w:color="auto" w:fill="D5ECF5"/>
            <w:vAlign w:val="center"/>
            <w:hideMark/>
          </w:tcPr>
          <w:p w14:paraId="7418B42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-0.63</w:t>
            </w:r>
          </w:p>
        </w:tc>
        <w:tc>
          <w:tcPr>
            <w:tcW w:w="221" w:type="pct"/>
            <w:shd w:val="clear" w:color="auto" w:fill="D5ECF5"/>
            <w:vAlign w:val="center"/>
            <w:hideMark/>
          </w:tcPr>
          <w:p w14:paraId="7418B42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22" w:type="pct"/>
            <w:shd w:val="clear" w:color="auto" w:fill="D5ECF5"/>
            <w:vAlign w:val="center"/>
            <w:hideMark/>
          </w:tcPr>
          <w:p w14:paraId="7418B42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r>
      <w:tr w:rsidR="00D471AD" w:rsidRPr="005E2284" w14:paraId="7418B438" w14:textId="77777777" w:rsidTr="004A31A9">
        <w:trPr>
          <w:trHeight w:val="283"/>
        </w:trPr>
        <w:tc>
          <w:tcPr>
            <w:tcW w:w="1545" w:type="pct"/>
            <w:shd w:val="clear" w:color="auto" w:fill="E4F3F9"/>
            <w:vAlign w:val="center"/>
            <w:hideMark/>
          </w:tcPr>
          <w:p w14:paraId="7418B42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Hannah-Kay index of industrial specialisation</w:t>
            </w:r>
            <w:r w:rsidRPr="005E2284">
              <w:rPr>
                <w:rFonts w:ascii="Arial Unicode MS" w:eastAsia="Arial Unicode MS" w:hAnsi="Arial Unicode MS" w:cs="Arial Unicode MS"/>
                <w:color w:val="7A7B7C"/>
                <w:sz w:val="14"/>
                <w:szCs w:val="14"/>
                <w:lang w:eastAsia="en-AU"/>
              </w:rPr>
              <w:t>⁸</w:t>
            </w:r>
          </w:p>
        </w:tc>
        <w:tc>
          <w:tcPr>
            <w:tcW w:w="251" w:type="pct"/>
            <w:shd w:val="clear" w:color="auto" w:fill="E4F3F9"/>
            <w:vAlign w:val="center"/>
            <w:hideMark/>
          </w:tcPr>
          <w:p w14:paraId="7418B42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2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2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2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2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2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3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3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0.55</w:t>
            </w:r>
          </w:p>
        </w:tc>
        <w:tc>
          <w:tcPr>
            <w:tcW w:w="251" w:type="pct"/>
            <w:shd w:val="clear" w:color="auto" w:fill="E4F3F9"/>
            <w:vAlign w:val="center"/>
            <w:hideMark/>
          </w:tcPr>
          <w:p w14:paraId="7418B43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3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3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3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21" w:type="pct"/>
            <w:shd w:val="clear" w:color="auto" w:fill="E4F3F9"/>
            <w:vAlign w:val="center"/>
            <w:hideMark/>
          </w:tcPr>
          <w:p w14:paraId="7418B43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22" w:type="pct"/>
            <w:shd w:val="clear" w:color="auto" w:fill="E4F3F9"/>
            <w:vAlign w:val="center"/>
            <w:hideMark/>
          </w:tcPr>
          <w:p w14:paraId="7418B43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r>
      <w:tr w:rsidR="00D471AD" w:rsidRPr="005E2284" w14:paraId="7418B448" w14:textId="77777777" w:rsidTr="004A31A9">
        <w:trPr>
          <w:trHeight w:val="283"/>
        </w:trPr>
        <w:tc>
          <w:tcPr>
            <w:tcW w:w="1545" w:type="pct"/>
            <w:shd w:val="clear" w:color="auto" w:fill="D5ECF5"/>
            <w:vAlign w:val="center"/>
            <w:hideMark/>
          </w:tcPr>
          <w:p w14:paraId="7418B43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Global Competitiveness Index, score ranges from 1-7 (best)</w:t>
            </w:r>
            <w:r w:rsidRPr="005E2284">
              <w:rPr>
                <w:rFonts w:ascii="Arial Unicode MS" w:eastAsia="Arial Unicode MS" w:hAnsi="Arial Unicode MS" w:cs="Arial Unicode MS"/>
                <w:color w:val="7A7B7C"/>
                <w:sz w:val="14"/>
                <w:szCs w:val="14"/>
                <w:lang w:eastAsia="en-AU"/>
              </w:rPr>
              <w:t>⁹</w:t>
            </w:r>
          </w:p>
        </w:tc>
        <w:tc>
          <w:tcPr>
            <w:tcW w:w="251" w:type="pct"/>
            <w:shd w:val="clear" w:color="auto" w:fill="D5ECF5"/>
            <w:vAlign w:val="center"/>
            <w:hideMark/>
          </w:tcPr>
          <w:p w14:paraId="7418B43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D5ECF5"/>
            <w:vAlign w:val="center"/>
            <w:hideMark/>
          </w:tcPr>
          <w:p w14:paraId="7418B43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D5ECF5"/>
            <w:vAlign w:val="center"/>
            <w:hideMark/>
          </w:tcPr>
          <w:p w14:paraId="7418B43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D5ECF5"/>
            <w:vAlign w:val="center"/>
            <w:hideMark/>
          </w:tcPr>
          <w:p w14:paraId="7418B43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5.2</w:t>
            </w:r>
          </w:p>
        </w:tc>
        <w:tc>
          <w:tcPr>
            <w:tcW w:w="251" w:type="pct"/>
            <w:shd w:val="clear" w:color="auto" w:fill="D5ECF5"/>
            <w:vAlign w:val="center"/>
            <w:hideMark/>
          </w:tcPr>
          <w:p w14:paraId="7418B43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5.2</w:t>
            </w:r>
          </w:p>
        </w:tc>
        <w:tc>
          <w:tcPr>
            <w:tcW w:w="251" w:type="pct"/>
            <w:shd w:val="clear" w:color="auto" w:fill="D5ECF5"/>
            <w:vAlign w:val="center"/>
            <w:hideMark/>
          </w:tcPr>
          <w:p w14:paraId="7418B43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5.2</w:t>
            </w:r>
          </w:p>
        </w:tc>
        <w:tc>
          <w:tcPr>
            <w:tcW w:w="251" w:type="pct"/>
            <w:shd w:val="clear" w:color="auto" w:fill="D5ECF5"/>
            <w:vAlign w:val="center"/>
            <w:hideMark/>
          </w:tcPr>
          <w:p w14:paraId="7418B44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5.2</w:t>
            </w:r>
          </w:p>
        </w:tc>
        <w:tc>
          <w:tcPr>
            <w:tcW w:w="251" w:type="pct"/>
            <w:shd w:val="clear" w:color="auto" w:fill="D5ECF5"/>
            <w:vAlign w:val="center"/>
            <w:hideMark/>
          </w:tcPr>
          <w:p w14:paraId="7418B44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5.1</w:t>
            </w:r>
          </w:p>
        </w:tc>
        <w:tc>
          <w:tcPr>
            <w:tcW w:w="251" w:type="pct"/>
            <w:shd w:val="clear" w:color="auto" w:fill="D5ECF5"/>
            <w:vAlign w:val="center"/>
            <w:hideMark/>
          </w:tcPr>
          <w:p w14:paraId="7418B44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5.1</w:t>
            </w:r>
          </w:p>
        </w:tc>
        <w:tc>
          <w:tcPr>
            <w:tcW w:w="251" w:type="pct"/>
            <w:shd w:val="clear" w:color="auto" w:fill="D5ECF5"/>
            <w:vAlign w:val="center"/>
            <w:hideMark/>
          </w:tcPr>
          <w:p w14:paraId="7418B44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5.1</w:t>
            </w:r>
          </w:p>
        </w:tc>
        <w:tc>
          <w:tcPr>
            <w:tcW w:w="251" w:type="pct"/>
            <w:shd w:val="clear" w:color="auto" w:fill="D5ECF5"/>
            <w:vAlign w:val="center"/>
            <w:hideMark/>
          </w:tcPr>
          <w:p w14:paraId="7418B44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5.1</w:t>
            </w:r>
          </w:p>
        </w:tc>
        <w:tc>
          <w:tcPr>
            <w:tcW w:w="251" w:type="pct"/>
            <w:shd w:val="clear" w:color="auto" w:fill="D5ECF5"/>
            <w:vAlign w:val="center"/>
            <w:hideMark/>
          </w:tcPr>
          <w:p w14:paraId="7418B44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5.1</w:t>
            </w:r>
          </w:p>
        </w:tc>
        <w:tc>
          <w:tcPr>
            <w:tcW w:w="221" w:type="pct"/>
            <w:shd w:val="clear" w:color="auto" w:fill="D5ECF5"/>
            <w:vAlign w:val="center"/>
            <w:hideMark/>
          </w:tcPr>
          <w:p w14:paraId="7418B44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5.1</w:t>
            </w:r>
          </w:p>
        </w:tc>
        <w:tc>
          <w:tcPr>
            <w:tcW w:w="222" w:type="pct"/>
            <w:shd w:val="clear" w:color="auto" w:fill="D5ECF5"/>
            <w:vAlign w:val="center"/>
            <w:hideMark/>
          </w:tcPr>
          <w:p w14:paraId="7418B44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5.2</w:t>
            </w:r>
          </w:p>
        </w:tc>
      </w:tr>
      <w:tr w:rsidR="00D471AD" w:rsidRPr="005E2284" w14:paraId="7418B458" w14:textId="77777777" w:rsidTr="004A31A9">
        <w:trPr>
          <w:trHeight w:val="283"/>
        </w:trPr>
        <w:tc>
          <w:tcPr>
            <w:tcW w:w="1545" w:type="pct"/>
            <w:shd w:val="clear" w:color="auto" w:fill="E4F3F9"/>
            <w:vAlign w:val="center"/>
            <w:hideMark/>
          </w:tcPr>
          <w:p w14:paraId="7418B44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Global Innovation Index</w:t>
            </w:r>
            <w:r w:rsidRPr="005E2284">
              <w:rPr>
                <w:rFonts w:ascii="Arial Unicode MS" w:eastAsia="Arial Unicode MS" w:hAnsi="Arial Unicode MS" w:cs="Arial Unicode MS"/>
                <w:color w:val="7A7B7C"/>
                <w:sz w:val="14"/>
                <w:szCs w:val="14"/>
                <w:lang w:eastAsia="en-AU"/>
              </w:rPr>
              <w:t>¹⁰</w:t>
            </w:r>
          </w:p>
        </w:tc>
        <w:tc>
          <w:tcPr>
            <w:tcW w:w="251" w:type="pct"/>
            <w:shd w:val="clear" w:color="auto" w:fill="E4F3F9"/>
            <w:vAlign w:val="center"/>
            <w:hideMark/>
          </w:tcPr>
          <w:p w14:paraId="7418B44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4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4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4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4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4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5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5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5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49.9</w:t>
            </w:r>
          </w:p>
        </w:tc>
        <w:tc>
          <w:tcPr>
            <w:tcW w:w="251" w:type="pct"/>
            <w:shd w:val="clear" w:color="auto" w:fill="E4F3F9"/>
            <w:vAlign w:val="center"/>
            <w:hideMark/>
          </w:tcPr>
          <w:p w14:paraId="7418B45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51.9</w:t>
            </w:r>
          </w:p>
        </w:tc>
        <w:tc>
          <w:tcPr>
            <w:tcW w:w="251" w:type="pct"/>
            <w:shd w:val="clear" w:color="auto" w:fill="E4F3F9"/>
            <w:vAlign w:val="center"/>
            <w:hideMark/>
          </w:tcPr>
          <w:p w14:paraId="7418B45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53.1</w:t>
            </w:r>
          </w:p>
        </w:tc>
        <w:tc>
          <w:tcPr>
            <w:tcW w:w="251" w:type="pct"/>
            <w:shd w:val="clear" w:color="auto" w:fill="E4F3F9"/>
            <w:vAlign w:val="center"/>
            <w:hideMark/>
          </w:tcPr>
          <w:p w14:paraId="7418B45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55.0</w:t>
            </w:r>
          </w:p>
        </w:tc>
        <w:tc>
          <w:tcPr>
            <w:tcW w:w="221" w:type="pct"/>
            <w:shd w:val="clear" w:color="auto" w:fill="E4F3F9"/>
            <w:vAlign w:val="center"/>
            <w:hideMark/>
          </w:tcPr>
          <w:p w14:paraId="7418B45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55.2</w:t>
            </w:r>
          </w:p>
        </w:tc>
        <w:tc>
          <w:tcPr>
            <w:tcW w:w="222" w:type="pct"/>
            <w:shd w:val="clear" w:color="auto" w:fill="E4F3F9"/>
            <w:vAlign w:val="center"/>
            <w:hideMark/>
          </w:tcPr>
          <w:p w14:paraId="7418B45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53.1</w:t>
            </w:r>
          </w:p>
        </w:tc>
      </w:tr>
      <w:tr w:rsidR="00D471AD" w:rsidRPr="005E2284" w14:paraId="7418B468" w14:textId="77777777" w:rsidTr="004A31A9">
        <w:trPr>
          <w:trHeight w:val="283"/>
        </w:trPr>
        <w:tc>
          <w:tcPr>
            <w:tcW w:w="1545" w:type="pct"/>
            <w:shd w:val="clear" w:color="auto" w:fill="D5ECF5"/>
            <w:vAlign w:val="center"/>
            <w:hideMark/>
          </w:tcPr>
          <w:p w14:paraId="7418B45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Non-energy material productivity, GDP per unit of  domestic material consumption (DMC), US$/kg</w:t>
            </w:r>
            <w:r w:rsidRPr="005E2284">
              <w:rPr>
                <w:rFonts w:ascii="Arial Unicode MS" w:eastAsia="Arial Unicode MS" w:hAnsi="Arial Unicode MS" w:cs="Arial Unicode MS"/>
                <w:color w:val="7A7B7C"/>
                <w:sz w:val="14"/>
                <w:szCs w:val="14"/>
                <w:lang w:eastAsia="en-AU"/>
              </w:rPr>
              <w:t>¹¹ ¹⁹</w:t>
            </w:r>
          </w:p>
        </w:tc>
        <w:tc>
          <w:tcPr>
            <w:tcW w:w="251" w:type="pct"/>
            <w:shd w:val="clear" w:color="auto" w:fill="D5ECF5"/>
            <w:vAlign w:val="center"/>
            <w:hideMark/>
          </w:tcPr>
          <w:p w14:paraId="7418B45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0.97</w:t>
            </w:r>
          </w:p>
        </w:tc>
        <w:tc>
          <w:tcPr>
            <w:tcW w:w="251" w:type="pct"/>
            <w:shd w:val="clear" w:color="auto" w:fill="D5ECF5"/>
            <w:vAlign w:val="center"/>
            <w:hideMark/>
          </w:tcPr>
          <w:p w14:paraId="7418B45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1.02</w:t>
            </w:r>
          </w:p>
        </w:tc>
        <w:tc>
          <w:tcPr>
            <w:tcW w:w="251" w:type="pct"/>
            <w:shd w:val="clear" w:color="auto" w:fill="D5ECF5"/>
            <w:vAlign w:val="center"/>
            <w:hideMark/>
          </w:tcPr>
          <w:p w14:paraId="7418B45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1.15</w:t>
            </w:r>
          </w:p>
        </w:tc>
        <w:tc>
          <w:tcPr>
            <w:tcW w:w="251" w:type="pct"/>
            <w:shd w:val="clear" w:color="auto" w:fill="D5ECF5"/>
            <w:vAlign w:val="center"/>
            <w:hideMark/>
          </w:tcPr>
          <w:p w14:paraId="7418B45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1.23</w:t>
            </w:r>
          </w:p>
        </w:tc>
        <w:tc>
          <w:tcPr>
            <w:tcW w:w="251" w:type="pct"/>
            <w:shd w:val="clear" w:color="auto" w:fill="D5ECF5"/>
            <w:vAlign w:val="center"/>
            <w:hideMark/>
          </w:tcPr>
          <w:p w14:paraId="7418B45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1.20</w:t>
            </w:r>
          </w:p>
        </w:tc>
        <w:tc>
          <w:tcPr>
            <w:tcW w:w="251" w:type="pct"/>
            <w:shd w:val="clear" w:color="auto" w:fill="D5ECF5"/>
            <w:vAlign w:val="center"/>
            <w:hideMark/>
          </w:tcPr>
          <w:p w14:paraId="7418B45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1.11</w:t>
            </w:r>
          </w:p>
        </w:tc>
        <w:tc>
          <w:tcPr>
            <w:tcW w:w="251" w:type="pct"/>
            <w:shd w:val="clear" w:color="auto" w:fill="D5ECF5"/>
            <w:vAlign w:val="center"/>
            <w:hideMark/>
          </w:tcPr>
          <w:p w14:paraId="7418B46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1.05</w:t>
            </w:r>
          </w:p>
        </w:tc>
        <w:tc>
          <w:tcPr>
            <w:tcW w:w="251" w:type="pct"/>
            <w:shd w:val="clear" w:color="auto" w:fill="D5ECF5"/>
            <w:vAlign w:val="center"/>
            <w:hideMark/>
          </w:tcPr>
          <w:p w14:paraId="7418B46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1.30</w:t>
            </w:r>
          </w:p>
        </w:tc>
        <w:tc>
          <w:tcPr>
            <w:tcW w:w="251" w:type="pct"/>
            <w:shd w:val="clear" w:color="auto" w:fill="D5ECF5"/>
            <w:vAlign w:val="center"/>
            <w:hideMark/>
          </w:tcPr>
          <w:p w14:paraId="7418B46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1.32</w:t>
            </w:r>
          </w:p>
        </w:tc>
        <w:tc>
          <w:tcPr>
            <w:tcW w:w="251" w:type="pct"/>
            <w:shd w:val="clear" w:color="auto" w:fill="D5ECF5"/>
            <w:vAlign w:val="center"/>
            <w:hideMark/>
          </w:tcPr>
          <w:p w14:paraId="7418B46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D5ECF5"/>
            <w:vAlign w:val="center"/>
            <w:hideMark/>
          </w:tcPr>
          <w:p w14:paraId="7418B46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D5ECF5"/>
            <w:vAlign w:val="center"/>
            <w:hideMark/>
          </w:tcPr>
          <w:p w14:paraId="7418B46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21" w:type="pct"/>
            <w:shd w:val="clear" w:color="auto" w:fill="D5ECF5"/>
            <w:vAlign w:val="center"/>
            <w:hideMark/>
          </w:tcPr>
          <w:p w14:paraId="7418B46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22" w:type="pct"/>
            <w:shd w:val="clear" w:color="auto" w:fill="D5ECF5"/>
            <w:vAlign w:val="center"/>
            <w:hideMark/>
          </w:tcPr>
          <w:p w14:paraId="7418B46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r>
      <w:tr w:rsidR="00D471AD" w:rsidRPr="005E2284" w14:paraId="7418B478" w14:textId="77777777" w:rsidTr="004A31A9">
        <w:trPr>
          <w:trHeight w:val="283"/>
        </w:trPr>
        <w:tc>
          <w:tcPr>
            <w:tcW w:w="1545" w:type="pct"/>
            <w:shd w:val="clear" w:color="auto" w:fill="E4F3F9"/>
            <w:vAlign w:val="center"/>
            <w:hideMark/>
          </w:tcPr>
          <w:p w14:paraId="7418B46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Renewable electricity, % total electricity generation</w:t>
            </w:r>
            <w:r w:rsidRPr="005E2284">
              <w:rPr>
                <w:rFonts w:ascii="Arial Unicode MS" w:eastAsia="Arial Unicode MS" w:hAnsi="Arial Unicode MS" w:cs="Arial Unicode MS"/>
                <w:color w:val="7A7B7C"/>
                <w:sz w:val="14"/>
                <w:szCs w:val="14"/>
                <w:lang w:eastAsia="en-AU"/>
              </w:rPr>
              <w:t>¹¹</w:t>
            </w:r>
          </w:p>
        </w:tc>
        <w:tc>
          <w:tcPr>
            <w:tcW w:w="251" w:type="pct"/>
            <w:shd w:val="clear" w:color="auto" w:fill="E4F3F9"/>
            <w:vAlign w:val="center"/>
            <w:hideMark/>
          </w:tcPr>
          <w:p w14:paraId="7418B46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9.6</w:t>
            </w:r>
          </w:p>
        </w:tc>
        <w:tc>
          <w:tcPr>
            <w:tcW w:w="251" w:type="pct"/>
            <w:shd w:val="clear" w:color="auto" w:fill="E4F3F9"/>
            <w:vAlign w:val="center"/>
            <w:hideMark/>
          </w:tcPr>
          <w:p w14:paraId="7418B46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8.4</w:t>
            </w:r>
          </w:p>
        </w:tc>
        <w:tc>
          <w:tcPr>
            <w:tcW w:w="251" w:type="pct"/>
            <w:shd w:val="clear" w:color="auto" w:fill="E4F3F9"/>
            <w:vAlign w:val="center"/>
            <w:hideMark/>
          </w:tcPr>
          <w:p w14:paraId="7418B46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8.8</w:t>
            </w:r>
          </w:p>
        </w:tc>
        <w:tc>
          <w:tcPr>
            <w:tcW w:w="251" w:type="pct"/>
            <w:shd w:val="clear" w:color="auto" w:fill="E4F3F9"/>
            <w:vAlign w:val="center"/>
            <w:hideMark/>
          </w:tcPr>
          <w:p w14:paraId="7418B46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9.3</w:t>
            </w:r>
          </w:p>
        </w:tc>
        <w:tc>
          <w:tcPr>
            <w:tcW w:w="251" w:type="pct"/>
            <w:shd w:val="clear" w:color="auto" w:fill="E4F3F9"/>
            <w:vAlign w:val="center"/>
            <w:hideMark/>
          </w:tcPr>
          <w:p w14:paraId="7418B46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8.6</w:t>
            </w:r>
          </w:p>
        </w:tc>
        <w:tc>
          <w:tcPr>
            <w:tcW w:w="251" w:type="pct"/>
            <w:shd w:val="clear" w:color="auto" w:fill="E4F3F9"/>
            <w:vAlign w:val="center"/>
            <w:hideMark/>
          </w:tcPr>
          <w:p w14:paraId="7418B46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8.1</w:t>
            </w:r>
          </w:p>
        </w:tc>
        <w:tc>
          <w:tcPr>
            <w:tcW w:w="251" w:type="pct"/>
            <w:shd w:val="clear" w:color="auto" w:fill="E4F3F9"/>
            <w:vAlign w:val="center"/>
            <w:hideMark/>
          </w:tcPr>
          <w:p w14:paraId="7418B47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7.5</w:t>
            </w:r>
          </w:p>
        </w:tc>
        <w:tc>
          <w:tcPr>
            <w:tcW w:w="251" w:type="pct"/>
            <w:shd w:val="clear" w:color="auto" w:fill="E4F3F9"/>
            <w:vAlign w:val="center"/>
            <w:hideMark/>
          </w:tcPr>
          <w:p w14:paraId="7418B47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8.6</w:t>
            </w:r>
          </w:p>
        </w:tc>
        <w:tc>
          <w:tcPr>
            <w:tcW w:w="251" w:type="pct"/>
            <w:shd w:val="clear" w:color="auto" w:fill="E4F3F9"/>
            <w:vAlign w:val="center"/>
            <w:hideMark/>
          </w:tcPr>
          <w:p w14:paraId="7418B47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10.3</w:t>
            </w:r>
          </w:p>
        </w:tc>
        <w:tc>
          <w:tcPr>
            <w:tcW w:w="251" w:type="pct"/>
            <w:shd w:val="clear" w:color="auto" w:fill="E4F3F9"/>
            <w:vAlign w:val="center"/>
            <w:hideMark/>
          </w:tcPr>
          <w:p w14:paraId="7418B47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10.0</w:t>
            </w:r>
          </w:p>
        </w:tc>
        <w:tc>
          <w:tcPr>
            <w:tcW w:w="251" w:type="pct"/>
            <w:shd w:val="clear" w:color="auto" w:fill="E4F3F9"/>
            <w:vAlign w:val="center"/>
            <w:hideMark/>
          </w:tcPr>
          <w:p w14:paraId="7418B47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12.6</w:t>
            </w:r>
          </w:p>
        </w:tc>
        <w:tc>
          <w:tcPr>
            <w:tcW w:w="251" w:type="pct"/>
            <w:shd w:val="clear" w:color="auto" w:fill="E4F3F9"/>
            <w:vAlign w:val="center"/>
            <w:hideMark/>
          </w:tcPr>
          <w:p w14:paraId="7418B47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14.9</w:t>
            </w:r>
          </w:p>
        </w:tc>
        <w:tc>
          <w:tcPr>
            <w:tcW w:w="221" w:type="pct"/>
            <w:shd w:val="clear" w:color="auto" w:fill="E4F3F9"/>
            <w:vAlign w:val="center"/>
            <w:hideMark/>
          </w:tcPr>
          <w:p w14:paraId="7418B47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22" w:type="pct"/>
            <w:shd w:val="clear" w:color="auto" w:fill="E4F3F9"/>
            <w:vAlign w:val="center"/>
            <w:hideMark/>
          </w:tcPr>
          <w:p w14:paraId="7418B47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r>
      <w:tr w:rsidR="00D471AD" w:rsidRPr="005E2284" w14:paraId="7418B488" w14:textId="77777777" w:rsidTr="004A31A9">
        <w:trPr>
          <w:trHeight w:val="283"/>
        </w:trPr>
        <w:tc>
          <w:tcPr>
            <w:tcW w:w="1545" w:type="pct"/>
            <w:shd w:val="clear" w:color="auto" w:fill="D5ECF5"/>
            <w:vAlign w:val="center"/>
            <w:hideMark/>
          </w:tcPr>
          <w:p w14:paraId="7418B47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Water productivity, total (constant 2010 US$ GDP per cubic meter of total freshwater withdrawal)</w:t>
            </w:r>
            <w:r w:rsidRPr="005E2284">
              <w:rPr>
                <w:rFonts w:ascii="Arial Unicode MS" w:eastAsia="Arial Unicode MS" w:hAnsi="Arial Unicode MS" w:cs="Arial Unicode MS"/>
                <w:color w:val="7A7B7C"/>
                <w:sz w:val="14"/>
                <w:szCs w:val="14"/>
                <w:lang w:eastAsia="en-AU"/>
              </w:rPr>
              <w:t>¹² ²⁰ ²¹</w:t>
            </w:r>
          </w:p>
        </w:tc>
        <w:tc>
          <w:tcPr>
            <w:tcW w:w="251" w:type="pct"/>
            <w:shd w:val="clear" w:color="auto" w:fill="D5ECF5"/>
            <w:vAlign w:val="center"/>
            <w:hideMark/>
          </w:tcPr>
          <w:p w14:paraId="7418B47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33.5</w:t>
            </w:r>
          </w:p>
        </w:tc>
        <w:tc>
          <w:tcPr>
            <w:tcW w:w="251" w:type="pct"/>
            <w:shd w:val="clear" w:color="auto" w:fill="D5ECF5"/>
            <w:vAlign w:val="center"/>
            <w:hideMark/>
          </w:tcPr>
          <w:p w14:paraId="7418B47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41.3</w:t>
            </w:r>
          </w:p>
        </w:tc>
        <w:tc>
          <w:tcPr>
            <w:tcW w:w="251" w:type="pct"/>
            <w:shd w:val="clear" w:color="auto" w:fill="D5ECF5"/>
            <w:vAlign w:val="center"/>
            <w:hideMark/>
          </w:tcPr>
          <w:p w14:paraId="7418B47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D5ECF5"/>
            <w:vAlign w:val="center"/>
            <w:hideMark/>
          </w:tcPr>
          <w:p w14:paraId="7418B47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D5ECF5"/>
            <w:vAlign w:val="center"/>
            <w:hideMark/>
          </w:tcPr>
          <w:p w14:paraId="7418B47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56.5</w:t>
            </w:r>
          </w:p>
        </w:tc>
        <w:tc>
          <w:tcPr>
            <w:tcW w:w="251" w:type="pct"/>
            <w:shd w:val="clear" w:color="auto" w:fill="D5ECF5"/>
            <w:vAlign w:val="center"/>
            <w:hideMark/>
          </w:tcPr>
          <w:p w14:paraId="7418B47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D5ECF5"/>
            <w:vAlign w:val="center"/>
            <w:hideMark/>
          </w:tcPr>
          <w:p w14:paraId="7418B48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D5ECF5"/>
            <w:vAlign w:val="center"/>
            <w:hideMark/>
          </w:tcPr>
          <w:p w14:paraId="7418B48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D5ECF5"/>
            <w:vAlign w:val="center"/>
            <w:hideMark/>
          </w:tcPr>
          <w:p w14:paraId="7418B48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36.1</w:t>
            </w:r>
          </w:p>
        </w:tc>
        <w:tc>
          <w:tcPr>
            <w:tcW w:w="251" w:type="pct"/>
            <w:shd w:val="clear" w:color="auto" w:fill="D5ECF5"/>
            <w:vAlign w:val="center"/>
            <w:hideMark/>
          </w:tcPr>
          <w:p w14:paraId="7418B48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75.7</w:t>
            </w:r>
          </w:p>
        </w:tc>
        <w:tc>
          <w:tcPr>
            <w:tcW w:w="251" w:type="pct"/>
            <w:shd w:val="clear" w:color="auto" w:fill="D5ECF5"/>
            <w:vAlign w:val="center"/>
            <w:hideMark/>
          </w:tcPr>
          <w:p w14:paraId="7418B48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38.4</w:t>
            </w:r>
          </w:p>
        </w:tc>
        <w:tc>
          <w:tcPr>
            <w:tcW w:w="251" w:type="pct"/>
            <w:shd w:val="clear" w:color="auto" w:fill="D5ECF5"/>
            <w:vAlign w:val="center"/>
            <w:hideMark/>
          </w:tcPr>
          <w:p w14:paraId="7418B48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64.4</w:t>
            </w:r>
          </w:p>
        </w:tc>
        <w:tc>
          <w:tcPr>
            <w:tcW w:w="221" w:type="pct"/>
            <w:shd w:val="clear" w:color="auto" w:fill="D5ECF5"/>
            <w:vAlign w:val="center"/>
            <w:hideMark/>
          </w:tcPr>
          <w:p w14:paraId="7418B48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22" w:type="pct"/>
            <w:shd w:val="clear" w:color="auto" w:fill="D5ECF5"/>
            <w:vAlign w:val="center"/>
            <w:hideMark/>
          </w:tcPr>
          <w:p w14:paraId="7418B48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r>
      <w:tr w:rsidR="00D471AD" w:rsidRPr="005E2284" w14:paraId="7418B498" w14:textId="77777777" w:rsidTr="004A31A9">
        <w:trPr>
          <w:trHeight w:val="283"/>
        </w:trPr>
        <w:tc>
          <w:tcPr>
            <w:tcW w:w="1545" w:type="pct"/>
            <w:shd w:val="clear" w:color="auto" w:fill="E4F3F9"/>
            <w:vAlign w:val="center"/>
            <w:hideMark/>
          </w:tcPr>
          <w:p w14:paraId="7418B48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UNDP Human Development Index</w:t>
            </w:r>
            <w:r w:rsidRPr="005E2284">
              <w:rPr>
                <w:rFonts w:ascii="Arial Unicode MS" w:eastAsia="Arial Unicode MS" w:hAnsi="Arial Unicode MS" w:cs="Arial Unicode MS"/>
                <w:color w:val="7A7B7C"/>
                <w:sz w:val="14"/>
                <w:szCs w:val="14"/>
                <w:lang w:eastAsia="en-AU"/>
              </w:rPr>
              <w:t>¹³ ¹⁴ ²² ²³</w:t>
            </w:r>
          </w:p>
        </w:tc>
        <w:tc>
          <w:tcPr>
            <w:tcW w:w="251" w:type="pct"/>
            <w:shd w:val="clear" w:color="auto" w:fill="E4F3F9"/>
            <w:vAlign w:val="center"/>
            <w:hideMark/>
          </w:tcPr>
          <w:p w14:paraId="7418B48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0.87</w:t>
            </w:r>
          </w:p>
        </w:tc>
        <w:tc>
          <w:tcPr>
            <w:tcW w:w="251" w:type="pct"/>
            <w:shd w:val="clear" w:color="auto" w:fill="E4F3F9"/>
            <w:vAlign w:val="center"/>
            <w:hideMark/>
          </w:tcPr>
          <w:p w14:paraId="7418B48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0.90</w:t>
            </w:r>
          </w:p>
        </w:tc>
        <w:tc>
          <w:tcPr>
            <w:tcW w:w="251" w:type="pct"/>
            <w:shd w:val="clear" w:color="auto" w:fill="E4F3F9"/>
            <w:vAlign w:val="center"/>
            <w:hideMark/>
          </w:tcPr>
          <w:p w14:paraId="7418B48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0.91</w:t>
            </w:r>
          </w:p>
        </w:tc>
        <w:tc>
          <w:tcPr>
            <w:tcW w:w="251" w:type="pct"/>
            <w:shd w:val="clear" w:color="auto" w:fill="E4F3F9"/>
            <w:vAlign w:val="center"/>
            <w:hideMark/>
          </w:tcPr>
          <w:p w14:paraId="7418B48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8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8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0.92</w:t>
            </w:r>
          </w:p>
        </w:tc>
        <w:tc>
          <w:tcPr>
            <w:tcW w:w="251" w:type="pct"/>
            <w:shd w:val="clear" w:color="auto" w:fill="E4F3F9"/>
            <w:vAlign w:val="center"/>
            <w:hideMark/>
          </w:tcPr>
          <w:p w14:paraId="7418B49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9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0.93</w:t>
            </w:r>
          </w:p>
        </w:tc>
        <w:tc>
          <w:tcPr>
            <w:tcW w:w="251" w:type="pct"/>
            <w:shd w:val="clear" w:color="auto" w:fill="E4F3F9"/>
            <w:vAlign w:val="center"/>
            <w:hideMark/>
          </w:tcPr>
          <w:p w14:paraId="7418B49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0.93</w:t>
            </w:r>
          </w:p>
        </w:tc>
        <w:tc>
          <w:tcPr>
            <w:tcW w:w="251" w:type="pct"/>
            <w:shd w:val="clear" w:color="auto" w:fill="E4F3F9"/>
            <w:vAlign w:val="center"/>
            <w:hideMark/>
          </w:tcPr>
          <w:p w14:paraId="7418B49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0.93</w:t>
            </w:r>
          </w:p>
        </w:tc>
        <w:tc>
          <w:tcPr>
            <w:tcW w:w="251" w:type="pct"/>
            <w:shd w:val="clear" w:color="auto" w:fill="E4F3F9"/>
            <w:vAlign w:val="center"/>
            <w:hideMark/>
          </w:tcPr>
          <w:p w14:paraId="7418B49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0.93</w:t>
            </w:r>
          </w:p>
        </w:tc>
        <w:tc>
          <w:tcPr>
            <w:tcW w:w="251" w:type="pct"/>
            <w:shd w:val="clear" w:color="auto" w:fill="E4F3F9"/>
            <w:vAlign w:val="center"/>
            <w:hideMark/>
          </w:tcPr>
          <w:p w14:paraId="7418B49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0.94</w:t>
            </w:r>
          </w:p>
        </w:tc>
        <w:tc>
          <w:tcPr>
            <w:tcW w:w="221" w:type="pct"/>
            <w:shd w:val="clear" w:color="auto" w:fill="E4F3F9"/>
            <w:vAlign w:val="center"/>
            <w:hideMark/>
          </w:tcPr>
          <w:p w14:paraId="7418B49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22" w:type="pct"/>
            <w:shd w:val="clear" w:color="auto" w:fill="E4F3F9"/>
            <w:vAlign w:val="center"/>
            <w:hideMark/>
          </w:tcPr>
          <w:p w14:paraId="7418B49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r>
      <w:tr w:rsidR="00D471AD" w:rsidRPr="005E2284" w14:paraId="7418B4A8" w14:textId="77777777" w:rsidTr="004A31A9">
        <w:trPr>
          <w:trHeight w:val="283"/>
        </w:trPr>
        <w:tc>
          <w:tcPr>
            <w:tcW w:w="1545" w:type="pct"/>
            <w:shd w:val="clear" w:color="auto" w:fill="D5ECF5"/>
            <w:vAlign w:val="center"/>
            <w:hideMark/>
          </w:tcPr>
          <w:p w14:paraId="7418B49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Environmental Performance Index</w:t>
            </w:r>
            <w:r w:rsidRPr="005E2284">
              <w:rPr>
                <w:rFonts w:ascii="Arial Unicode MS" w:eastAsia="Arial Unicode MS" w:hAnsi="Arial Unicode MS" w:cs="Arial Unicode MS"/>
                <w:color w:val="7A7B7C"/>
                <w:sz w:val="14"/>
                <w:szCs w:val="14"/>
                <w:lang w:eastAsia="en-AU"/>
              </w:rPr>
              <w:t>¹⁵ ²¹</w:t>
            </w:r>
          </w:p>
        </w:tc>
        <w:tc>
          <w:tcPr>
            <w:tcW w:w="251" w:type="pct"/>
            <w:shd w:val="clear" w:color="auto" w:fill="D5ECF5"/>
            <w:vAlign w:val="center"/>
            <w:hideMark/>
          </w:tcPr>
          <w:p w14:paraId="7418B49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D5ECF5"/>
            <w:vAlign w:val="center"/>
            <w:hideMark/>
          </w:tcPr>
          <w:p w14:paraId="7418B49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80.5</w:t>
            </w:r>
          </w:p>
        </w:tc>
        <w:tc>
          <w:tcPr>
            <w:tcW w:w="251" w:type="pct"/>
            <w:shd w:val="clear" w:color="auto" w:fill="D5ECF5"/>
            <w:vAlign w:val="center"/>
            <w:hideMark/>
          </w:tcPr>
          <w:p w14:paraId="7418B49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81.2</w:t>
            </w:r>
          </w:p>
        </w:tc>
        <w:tc>
          <w:tcPr>
            <w:tcW w:w="251" w:type="pct"/>
            <w:shd w:val="clear" w:color="auto" w:fill="D5ECF5"/>
            <w:vAlign w:val="center"/>
            <w:hideMark/>
          </w:tcPr>
          <w:p w14:paraId="7418B49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81.2</w:t>
            </w:r>
          </w:p>
        </w:tc>
        <w:tc>
          <w:tcPr>
            <w:tcW w:w="251" w:type="pct"/>
            <w:shd w:val="clear" w:color="auto" w:fill="D5ECF5"/>
            <w:vAlign w:val="center"/>
            <w:hideMark/>
          </w:tcPr>
          <w:p w14:paraId="7418B49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81.5</w:t>
            </w:r>
          </w:p>
        </w:tc>
        <w:tc>
          <w:tcPr>
            <w:tcW w:w="251" w:type="pct"/>
            <w:shd w:val="clear" w:color="auto" w:fill="D5ECF5"/>
            <w:vAlign w:val="center"/>
            <w:hideMark/>
          </w:tcPr>
          <w:p w14:paraId="7418B49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81.7</w:t>
            </w:r>
          </w:p>
        </w:tc>
        <w:tc>
          <w:tcPr>
            <w:tcW w:w="251" w:type="pct"/>
            <w:shd w:val="clear" w:color="auto" w:fill="D5ECF5"/>
            <w:vAlign w:val="center"/>
            <w:hideMark/>
          </w:tcPr>
          <w:p w14:paraId="7418B4A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81.9</w:t>
            </w:r>
          </w:p>
        </w:tc>
        <w:tc>
          <w:tcPr>
            <w:tcW w:w="251" w:type="pct"/>
            <w:shd w:val="clear" w:color="auto" w:fill="D5ECF5"/>
            <w:vAlign w:val="center"/>
            <w:hideMark/>
          </w:tcPr>
          <w:p w14:paraId="7418B4A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82.2</w:t>
            </w:r>
          </w:p>
        </w:tc>
        <w:tc>
          <w:tcPr>
            <w:tcW w:w="251" w:type="pct"/>
            <w:shd w:val="clear" w:color="auto" w:fill="D5ECF5"/>
            <w:vAlign w:val="center"/>
            <w:hideMark/>
          </w:tcPr>
          <w:p w14:paraId="7418B4A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82.4</w:t>
            </w:r>
          </w:p>
        </w:tc>
        <w:tc>
          <w:tcPr>
            <w:tcW w:w="251" w:type="pct"/>
            <w:shd w:val="clear" w:color="auto" w:fill="D5ECF5"/>
            <w:vAlign w:val="center"/>
            <w:hideMark/>
          </w:tcPr>
          <w:p w14:paraId="7418B4A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82.4</w:t>
            </w:r>
          </w:p>
        </w:tc>
        <w:tc>
          <w:tcPr>
            <w:tcW w:w="251" w:type="pct"/>
            <w:shd w:val="clear" w:color="auto" w:fill="D5ECF5"/>
            <w:vAlign w:val="center"/>
            <w:hideMark/>
          </w:tcPr>
          <w:p w14:paraId="7418B4A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D5ECF5"/>
            <w:vAlign w:val="center"/>
            <w:hideMark/>
          </w:tcPr>
          <w:p w14:paraId="7418B4A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21" w:type="pct"/>
            <w:shd w:val="clear" w:color="auto" w:fill="D5ECF5"/>
            <w:vAlign w:val="center"/>
            <w:hideMark/>
          </w:tcPr>
          <w:p w14:paraId="7418B4A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22" w:type="pct"/>
            <w:shd w:val="clear" w:color="auto" w:fill="D5ECF5"/>
            <w:vAlign w:val="center"/>
            <w:hideMark/>
          </w:tcPr>
          <w:p w14:paraId="7418B4A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87.2</w:t>
            </w:r>
          </w:p>
        </w:tc>
      </w:tr>
      <w:tr w:rsidR="00D471AD" w:rsidRPr="005E2284" w14:paraId="7418B4B8" w14:textId="77777777" w:rsidTr="004A31A9">
        <w:trPr>
          <w:trHeight w:val="283"/>
        </w:trPr>
        <w:tc>
          <w:tcPr>
            <w:tcW w:w="1545" w:type="pct"/>
            <w:shd w:val="clear" w:color="auto" w:fill="E4F3F9"/>
            <w:vAlign w:val="center"/>
            <w:hideMark/>
          </w:tcPr>
          <w:p w14:paraId="7418B4A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Social Progress Index</w:t>
            </w:r>
            <w:r w:rsidRPr="005E2284">
              <w:rPr>
                <w:rFonts w:ascii="Arial Unicode MS" w:eastAsia="Arial Unicode MS" w:hAnsi="Arial Unicode MS" w:cs="Arial Unicode MS"/>
                <w:color w:val="7A7B7C"/>
                <w:sz w:val="14"/>
                <w:szCs w:val="14"/>
                <w:lang w:eastAsia="en-AU"/>
              </w:rPr>
              <w:t>¹⁶</w:t>
            </w:r>
          </w:p>
        </w:tc>
        <w:tc>
          <w:tcPr>
            <w:tcW w:w="251" w:type="pct"/>
            <w:shd w:val="clear" w:color="auto" w:fill="E4F3F9"/>
            <w:vAlign w:val="center"/>
            <w:hideMark/>
          </w:tcPr>
          <w:p w14:paraId="7418B4A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A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A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A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A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A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B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B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B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B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B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shd w:val="clear" w:color="auto" w:fill="E4F3F9"/>
            <w:vAlign w:val="center"/>
            <w:hideMark/>
          </w:tcPr>
          <w:p w14:paraId="7418B4B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86.1</w:t>
            </w:r>
          </w:p>
        </w:tc>
        <w:tc>
          <w:tcPr>
            <w:tcW w:w="221" w:type="pct"/>
            <w:shd w:val="clear" w:color="auto" w:fill="E4F3F9"/>
            <w:vAlign w:val="center"/>
            <w:hideMark/>
          </w:tcPr>
          <w:p w14:paraId="7418B4B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86.4</w:t>
            </w:r>
          </w:p>
        </w:tc>
        <w:tc>
          <w:tcPr>
            <w:tcW w:w="222" w:type="pct"/>
            <w:shd w:val="clear" w:color="auto" w:fill="E4F3F9"/>
            <w:vAlign w:val="center"/>
            <w:hideMark/>
          </w:tcPr>
          <w:p w14:paraId="7418B4B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89.1</w:t>
            </w:r>
          </w:p>
        </w:tc>
      </w:tr>
      <w:tr w:rsidR="00D471AD" w:rsidRPr="005E2284" w14:paraId="7418B4C8" w14:textId="77777777" w:rsidTr="004A31A9">
        <w:trPr>
          <w:trHeight w:val="283"/>
        </w:trPr>
        <w:tc>
          <w:tcPr>
            <w:tcW w:w="1545" w:type="pct"/>
            <w:tcBorders>
              <w:bottom w:val="single" w:sz="4" w:space="0" w:color="22789A"/>
            </w:tcBorders>
            <w:shd w:val="clear" w:color="auto" w:fill="D5ECF5"/>
            <w:vAlign w:val="center"/>
            <w:hideMark/>
          </w:tcPr>
          <w:p w14:paraId="7418B4B9" w14:textId="77777777" w:rsidR="00D471AD" w:rsidRPr="005E2284" w:rsidRDefault="00D471AD" w:rsidP="004A31A9">
            <w:pPr>
              <w:spacing w:after="0" w:line="240" w:lineRule="auto"/>
              <w:rPr>
                <w:rFonts w:eastAsia="Arial Unicode MS" w:cs="Arial"/>
                <w:color w:val="7A7B7C"/>
                <w:sz w:val="14"/>
                <w:szCs w:val="14"/>
                <w:lang w:eastAsia="en-AU"/>
              </w:rPr>
            </w:pPr>
            <w:r w:rsidRPr="005E2284">
              <w:rPr>
                <w:rFonts w:eastAsia="Arial Unicode MS" w:cs="Arial"/>
                <w:color w:val="7A7B7C"/>
                <w:sz w:val="14"/>
                <w:szCs w:val="14"/>
                <w:lang w:eastAsia="en-AU"/>
              </w:rPr>
              <w:t>Gini coefficient, score ranges from 0 (perfect equality) to 1 (perfect inequality)</w:t>
            </w:r>
            <w:r w:rsidRPr="005E2284">
              <w:rPr>
                <w:rFonts w:ascii="Arial Unicode MS" w:eastAsia="Arial Unicode MS" w:hAnsi="Arial Unicode MS" w:cs="Arial Unicode MS"/>
                <w:color w:val="7A7B7C"/>
                <w:sz w:val="14"/>
                <w:szCs w:val="14"/>
                <w:lang w:eastAsia="en-AU"/>
              </w:rPr>
              <w:t>¹⁷ ²⁴ ²⁵ ²⁶</w:t>
            </w:r>
          </w:p>
        </w:tc>
        <w:tc>
          <w:tcPr>
            <w:tcW w:w="251" w:type="pct"/>
            <w:tcBorders>
              <w:bottom w:val="single" w:sz="4" w:space="0" w:color="22789A"/>
            </w:tcBorders>
            <w:shd w:val="clear" w:color="auto" w:fill="D5ECF5"/>
            <w:vAlign w:val="center"/>
            <w:hideMark/>
          </w:tcPr>
          <w:p w14:paraId="7418B4BA"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tcBorders>
              <w:bottom w:val="single" w:sz="4" w:space="0" w:color="22789A"/>
            </w:tcBorders>
            <w:shd w:val="clear" w:color="auto" w:fill="D5ECF5"/>
            <w:vAlign w:val="center"/>
            <w:hideMark/>
          </w:tcPr>
          <w:p w14:paraId="7418B4BB"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tcBorders>
              <w:bottom w:val="single" w:sz="4" w:space="0" w:color="22789A"/>
            </w:tcBorders>
            <w:shd w:val="clear" w:color="auto" w:fill="D5ECF5"/>
            <w:vAlign w:val="center"/>
            <w:hideMark/>
          </w:tcPr>
          <w:p w14:paraId="7418B4BC"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tcBorders>
              <w:bottom w:val="single" w:sz="4" w:space="0" w:color="22789A"/>
            </w:tcBorders>
            <w:shd w:val="clear" w:color="auto" w:fill="D5ECF5"/>
            <w:vAlign w:val="center"/>
            <w:hideMark/>
          </w:tcPr>
          <w:p w14:paraId="7418B4BD"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tcBorders>
              <w:bottom w:val="single" w:sz="4" w:space="0" w:color="22789A"/>
            </w:tcBorders>
            <w:shd w:val="clear" w:color="auto" w:fill="D5ECF5"/>
            <w:vAlign w:val="center"/>
            <w:hideMark/>
          </w:tcPr>
          <w:p w14:paraId="7418B4BE"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tcBorders>
              <w:bottom w:val="single" w:sz="4" w:space="0" w:color="22789A"/>
            </w:tcBorders>
            <w:shd w:val="clear" w:color="auto" w:fill="D5ECF5"/>
            <w:vAlign w:val="center"/>
            <w:hideMark/>
          </w:tcPr>
          <w:p w14:paraId="7418B4BF"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tcBorders>
              <w:bottom w:val="single" w:sz="4" w:space="0" w:color="22789A"/>
            </w:tcBorders>
            <w:shd w:val="clear" w:color="auto" w:fill="D5ECF5"/>
            <w:vAlign w:val="center"/>
            <w:hideMark/>
          </w:tcPr>
          <w:p w14:paraId="7418B4C0"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tcBorders>
              <w:bottom w:val="single" w:sz="4" w:space="0" w:color="22789A"/>
            </w:tcBorders>
            <w:shd w:val="clear" w:color="auto" w:fill="D5ECF5"/>
            <w:vAlign w:val="center"/>
            <w:hideMark/>
          </w:tcPr>
          <w:p w14:paraId="7418B4C1"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tcBorders>
              <w:bottom w:val="single" w:sz="4" w:space="0" w:color="22789A"/>
            </w:tcBorders>
            <w:shd w:val="clear" w:color="auto" w:fill="D5ECF5"/>
            <w:vAlign w:val="center"/>
            <w:hideMark/>
          </w:tcPr>
          <w:p w14:paraId="7418B4C2"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tcBorders>
              <w:bottom w:val="single" w:sz="4" w:space="0" w:color="22789A"/>
            </w:tcBorders>
            <w:shd w:val="clear" w:color="auto" w:fill="D5ECF5"/>
            <w:vAlign w:val="center"/>
            <w:hideMark/>
          </w:tcPr>
          <w:p w14:paraId="7418B4C3"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0.326</w:t>
            </w:r>
          </w:p>
        </w:tc>
        <w:tc>
          <w:tcPr>
            <w:tcW w:w="251" w:type="pct"/>
            <w:tcBorders>
              <w:bottom w:val="single" w:sz="4" w:space="0" w:color="22789A"/>
            </w:tcBorders>
            <w:shd w:val="clear" w:color="auto" w:fill="D5ECF5"/>
            <w:vAlign w:val="center"/>
            <w:hideMark/>
          </w:tcPr>
          <w:p w14:paraId="7418B4C4"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51" w:type="pct"/>
            <w:tcBorders>
              <w:bottom w:val="single" w:sz="4" w:space="0" w:color="22789A"/>
            </w:tcBorders>
            <w:shd w:val="clear" w:color="auto" w:fill="D5ECF5"/>
            <w:vAlign w:val="center"/>
            <w:hideMark/>
          </w:tcPr>
          <w:p w14:paraId="7418B4C5"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0.337</w:t>
            </w:r>
          </w:p>
        </w:tc>
        <w:tc>
          <w:tcPr>
            <w:tcW w:w="221" w:type="pct"/>
            <w:tcBorders>
              <w:bottom w:val="single" w:sz="4" w:space="0" w:color="22789A"/>
            </w:tcBorders>
            <w:shd w:val="clear" w:color="auto" w:fill="D5ECF5"/>
            <w:vAlign w:val="center"/>
            <w:hideMark/>
          </w:tcPr>
          <w:p w14:paraId="7418B4C6"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c>
          <w:tcPr>
            <w:tcW w:w="222" w:type="pct"/>
            <w:tcBorders>
              <w:bottom w:val="single" w:sz="4" w:space="0" w:color="22789A"/>
            </w:tcBorders>
            <w:shd w:val="clear" w:color="auto" w:fill="D5ECF5"/>
            <w:vAlign w:val="center"/>
            <w:hideMark/>
          </w:tcPr>
          <w:p w14:paraId="7418B4C7" w14:textId="77777777" w:rsidR="00D471AD" w:rsidRPr="005E2284" w:rsidRDefault="00D471AD" w:rsidP="004A31A9">
            <w:pPr>
              <w:spacing w:after="0" w:line="240" w:lineRule="auto"/>
              <w:jc w:val="right"/>
              <w:rPr>
                <w:rFonts w:eastAsia="Times New Roman" w:cs="Arial"/>
                <w:color w:val="7A7B7C"/>
                <w:sz w:val="14"/>
                <w:szCs w:val="14"/>
                <w:lang w:eastAsia="en-AU"/>
              </w:rPr>
            </w:pPr>
            <w:r w:rsidRPr="005E2284">
              <w:rPr>
                <w:rFonts w:eastAsia="Times New Roman" w:cs="Arial"/>
                <w:color w:val="7A7B7C"/>
                <w:sz w:val="14"/>
                <w:szCs w:val="14"/>
                <w:lang w:eastAsia="en-AU"/>
              </w:rPr>
              <w:t>–</w:t>
            </w:r>
          </w:p>
        </w:tc>
      </w:tr>
    </w:tbl>
    <w:p w14:paraId="7418B4C9" w14:textId="77777777" w:rsidR="00D471AD" w:rsidRDefault="00D471AD" w:rsidP="00D471AD"/>
    <w:tbl>
      <w:tblPr>
        <w:tblW w:w="0" w:type="auto"/>
        <w:tblBorders>
          <w:bottom w:val="single" w:sz="4" w:space="0" w:color="auto"/>
        </w:tblBorders>
        <w:tblLayout w:type="fixed"/>
        <w:tblLook w:val="04A0" w:firstRow="1" w:lastRow="0" w:firstColumn="1" w:lastColumn="0" w:noHBand="0" w:noVBand="1"/>
      </w:tblPr>
      <w:tblGrid>
        <w:gridCol w:w="5539"/>
        <w:gridCol w:w="1312"/>
        <w:gridCol w:w="173"/>
        <w:gridCol w:w="1616"/>
        <w:gridCol w:w="1234"/>
        <w:gridCol w:w="1460"/>
        <w:gridCol w:w="1312"/>
        <w:gridCol w:w="1245"/>
        <w:gridCol w:w="67"/>
      </w:tblGrid>
      <w:tr w:rsidR="00D471AD" w:rsidRPr="00051CAA" w14:paraId="7418B4CB" w14:textId="77777777" w:rsidTr="004A31A9">
        <w:trPr>
          <w:gridAfter w:val="1"/>
          <w:wAfter w:w="67" w:type="dxa"/>
          <w:trHeight w:val="300"/>
        </w:trPr>
        <w:tc>
          <w:tcPr>
            <w:tcW w:w="13891" w:type="dxa"/>
            <w:gridSpan w:val="8"/>
            <w:tcBorders>
              <w:top w:val="single" w:sz="8" w:space="0" w:color="22789A"/>
              <w:bottom w:val="nil"/>
            </w:tcBorders>
            <w:shd w:val="clear" w:color="auto" w:fill="auto"/>
            <w:vAlign w:val="center"/>
          </w:tcPr>
          <w:p w14:paraId="7418B4CA" w14:textId="77777777" w:rsidR="00D471AD" w:rsidRPr="00C10561" w:rsidRDefault="00D471AD" w:rsidP="004A31A9">
            <w:pPr>
              <w:pStyle w:val="TableParagraph"/>
              <w:spacing w:before="42"/>
              <w:ind w:left="-108"/>
              <w:rPr>
                <w:rFonts w:ascii="Arial"/>
                <w:i/>
                <w:color w:val="22789A"/>
                <w:spacing w:val="3"/>
                <w:sz w:val="18"/>
              </w:rPr>
            </w:pPr>
            <w:r w:rsidRPr="00C10561">
              <w:rPr>
                <w:rFonts w:ascii="Arial"/>
                <w:i/>
                <w:color w:val="22789A"/>
                <w:spacing w:val="3"/>
                <w:sz w:val="18"/>
              </w:rPr>
              <w:t>Table A1(</w:t>
            </w:r>
            <w:r>
              <w:rPr>
                <w:rFonts w:ascii="Arial"/>
                <w:i/>
                <w:color w:val="22789A"/>
                <w:spacing w:val="3"/>
                <w:sz w:val="18"/>
              </w:rPr>
              <w:t>b</w:t>
            </w:r>
            <w:r w:rsidRPr="00C10561">
              <w:rPr>
                <w:rFonts w:ascii="Arial"/>
                <w:i/>
                <w:color w:val="22789A"/>
                <w:spacing w:val="3"/>
                <w:sz w:val="18"/>
              </w:rPr>
              <w:t>): Outcome indicators</w:t>
            </w:r>
          </w:p>
        </w:tc>
      </w:tr>
      <w:tr w:rsidR="00D471AD" w14:paraId="7418B4CF"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369"/>
        </w:trPr>
        <w:tc>
          <w:tcPr>
            <w:tcW w:w="5539" w:type="dxa"/>
            <w:tcBorders>
              <w:top w:val="nil"/>
              <w:left w:val="nil"/>
              <w:bottom w:val="nil"/>
              <w:right w:val="nil"/>
            </w:tcBorders>
            <w:shd w:val="clear" w:color="auto" w:fill="22789A"/>
          </w:tcPr>
          <w:p w14:paraId="7418B4CC" w14:textId="77777777" w:rsidR="00D471AD" w:rsidRDefault="00D471AD" w:rsidP="004A31A9">
            <w:pPr>
              <w:pStyle w:val="TableParagraph"/>
              <w:spacing w:before="42"/>
              <w:ind w:left="79"/>
              <w:rPr>
                <w:rFonts w:ascii="Arial" w:eastAsia="Arial" w:hAnsi="Arial" w:cs="Arial"/>
                <w:sz w:val="18"/>
                <w:szCs w:val="18"/>
              </w:rPr>
            </w:pPr>
            <w:r>
              <w:rPr>
                <w:rFonts w:ascii="Arial"/>
                <w:i/>
                <w:color w:val="FFFFFF"/>
                <w:spacing w:val="3"/>
                <w:sz w:val="18"/>
              </w:rPr>
              <w:t>OECD+</w:t>
            </w:r>
            <w:r>
              <w:rPr>
                <w:rFonts w:ascii="Arial"/>
                <w:i/>
                <w:color w:val="FFFFFF"/>
                <w:spacing w:val="8"/>
                <w:sz w:val="18"/>
              </w:rPr>
              <w:t xml:space="preserve"> </w:t>
            </w:r>
            <w:r>
              <w:rPr>
                <w:rFonts w:ascii="Arial"/>
                <w:i/>
                <w:color w:val="FFFFFF"/>
                <w:spacing w:val="3"/>
                <w:sz w:val="18"/>
              </w:rPr>
              <w:t>Comparisons</w:t>
            </w:r>
            <w:r>
              <w:rPr>
                <w:rFonts w:ascii="Arial"/>
                <w:i/>
                <w:color w:val="FFFFFF"/>
                <w:spacing w:val="9"/>
                <w:sz w:val="18"/>
              </w:rPr>
              <w:t xml:space="preserve"> </w:t>
            </w:r>
            <w:r>
              <w:rPr>
                <w:rFonts w:ascii="Arial"/>
                <w:i/>
                <w:color w:val="FFFFFF"/>
                <w:spacing w:val="4"/>
                <w:sz w:val="18"/>
              </w:rPr>
              <w:t>(ii)</w:t>
            </w:r>
          </w:p>
        </w:tc>
        <w:tc>
          <w:tcPr>
            <w:tcW w:w="1312" w:type="dxa"/>
            <w:tcBorders>
              <w:top w:val="nil"/>
              <w:left w:val="nil"/>
              <w:bottom w:val="nil"/>
              <w:right w:val="nil"/>
            </w:tcBorders>
            <w:shd w:val="clear" w:color="auto" w:fill="22789A"/>
          </w:tcPr>
          <w:p w14:paraId="7418B4CD" w14:textId="77777777" w:rsidR="00D471AD" w:rsidRDefault="00D471AD" w:rsidP="004A31A9"/>
        </w:tc>
        <w:tc>
          <w:tcPr>
            <w:tcW w:w="7107" w:type="dxa"/>
            <w:gridSpan w:val="7"/>
            <w:tcBorders>
              <w:top w:val="nil"/>
              <w:left w:val="nil"/>
              <w:bottom w:val="nil"/>
              <w:right w:val="nil"/>
            </w:tcBorders>
            <w:shd w:val="clear" w:color="auto" w:fill="22789A"/>
          </w:tcPr>
          <w:p w14:paraId="7418B4CE" w14:textId="77777777" w:rsidR="00D471AD" w:rsidRDefault="00D471AD" w:rsidP="004A31A9"/>
        </w:tc>
      </w:tr>
      <w:tr w:rsidR="00D471AD" w14:paraId="7418B4D9"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610"/>
        </w:trPr>
        <w:tc>
          <w:tcPr>
            <w:tcW w:w="5539" w:type="dxa"/>
            <w:tcBorders>
              <w:top w:val="nil"/>
              <w:left w:val="nil"/>
              <w:bottom w:val="nil"/>
              <w:right w:val="nil"/>
            </w:tcBorders>
            <w:shd w:val="clear" w:color="auto" w:fill="E4F3F9"/>
          </w:tcPr>
          <w:p w14:paraId="7418B4D0" w14:textId="77777777" w:rsidR="00D471AD" w:rsidRPr="00507B05" w:rsidRDefault="00D471AD" w:rsidP="004A31A9">
            <w:pPr>
              <w:pStyle w:val="TableParagraph"/>
              <w:spacing w:before="50"/>
              <w:ind w:left="91"/>
              <w:contextualSpacing/>
              <w:rPr>
                <w:rFonts w:ascii="Arial" w:eastAsia="Arial" w:hAnsi="Arial" w:cs="Arial"/>
                <w:color w:val="4472C4" w:themeColor="accent5"/>
                <w:sz w:val="14"/>
                <w:szCs w:val="14"/>
              </w:rPr>
            </w:pPr>
            <w:r w:rsidRPr="00507B05">
              <w:rPr>
                <w:rFonts w:ascii="Arial"/>
                <w:i/>
                <w:color w:val="4472C4" w:themeColor="accent5"/>
                <w:sz w:val="14"/>
              </w:rPr>
              <w:t>Indicators</w:t>
            </w:r>
          </w:p>
        </w:tc>
        <w:tc>
          <w:tcPr>
            <w:tcW w:w="1485" w:type="dxa"/>
            <w:gridSpan w:val="2"/>
            <w:tcBorders>
              <w:top w:val="nil"/>
              <w:left w:val="nil"/>
              <w:bottom w:val="nil"/>
              <w:right w:val="nil"/>
            </w:tcBorders>
            <w:shd w:val="clear" w:color="auto" w:fill="E4F3F9"/>
          </w:tcPr>
          <w:p w14:paraId="7418B4D1" w14:textId="77777777" w:rsidR="00D471AD" w:rsidRPr="00507B05" w:rsidRDefault="00D471AD" w:rsidP="004A31A9">
            <w:pPr>
              <w:pStyle w:val="TableParagraph"/>
              <w:spacing w:before="100" w:beforeAutospacing="1"/>
              <w:ind w:left="205"/>
              <w:contextualSpacing/>
              <w:rPr>
                <w:rFonts w:ascii="Arial" w:eastAsia="Arial" w:hAnsi="Arial" w:cs="Arial"/>
                <w:color w:val="4472C4" w:themeColor="accent5"/>
                <w:sz w:val="14"/>
                <w:szCs w:val="14"/>
              </w:rPr>
            </w:pPr>
            <w:r w:rsidRPr="00507B05">
              <w:rPr>
                <w:rFonts w:ascii="Arial"/>
                <w:i/>
                <w:color w:val="4472C4" w:themeColor="accent5"/>
                <w:sz w:val="14"/>
              </w:rPr>
              <w:t>Australia's</w:t>
            </w:r>
            <w:r w:rsidRPr="00507B05">
              <w:rPr>
                <w:rFonts w:ascii="Arial"/>
                <w:i/>
                <w:color w:val="4472C4" w:themeColor="accent5"/>
                <w:spacing w:val="-1"/>
                <w:sz w:val="14"/>
              </w:rPr>
              <w:t xml:space="preserve"> </w:t>
            </w:r>
            <w:r w:rsidRPr="00507B05">
              <w:rPr>
                <w:rFonts w:ascii="Arial"/>
                <w:i/>
                <w:color w:val="4472C4" w:themeColor="accent5"/>
                <w:sz w:val="14"/>
              </w:rPr>
              <w:t>score</w:t>
            </w:r>
            <w:r w:rsidRPr="00507B05">
              <w:rPr>
                <w:rFonts w:ascii="Arial"/>
                <w:i/>
                <w:color w:val="4472C4" w:themeColor="accent5"/>
                <w:spacing w:val="-1"/>
                <w:sz w:val="14"/>
              </w:rPr>
              <w:t xml:space="preserve"> </w:t>
            </w:r>
            <w:r w:rsidRPr="00507B05">
              <w:rPr>
                <w:rFonts w:ascii="Arial"/>
                <w:i/>
                <w:color w:val="4472C4" w:themeColor="accent5"/>
                <w:sz w:val="14"/>
              </w:rPr>
              <w:t>(iii)</w:t>
            </w:r>
          </w:p>
        </w:tc>
        <w:tc>
          <w:tcPr>
            <w:tcW w:w="1616" w:type="dxa"/>
            <w:tcBorders>
              <w:top w:val="nil"/>
              <w:left w:val="nil"/>
              <w:bottom w:val="nil"/>
              <w:right w:val="nil"/>
            </w:tcBorders>
            <w:shd w:val="clear" w:color="auto" w:fill="E4F3F9"/>
          </w:tcPr>
          <w:p w14:paraId="7418B4D2" w14:textId="77777777" w:rsidR="00D471AD" w:rsidRPr="00507B05" w:rsidRDefault="00D471AD" w:rsidP="004A31A9">
            <w:pPr>
              <w:pStyle w:val="TableParagraph"/>
              <w:spacing w:before="100" w:beforeAutospacing="1"/>
              <w:ind w:left="100"/>
              <w:contextualSpacing/>
              <w:rPr>
                <w:rFonts w:ascii="Arial" w:eastAsia="Arial" w:hAnsi="Arial" w:cs="Arial"/>
                <w:color w:val="4472C4" w:themeColor="accent5"/>
                <w:sz w:val="14"/>
                <w:szCs w:val="14"/>
              </w:rPr>
            </w:pPr>
            <w:r w:rsidRPr="00507B05">
              <w:rPr>
                <w:rFonts w:ascii="Arial"/>
                <w:i/>
                <w:color w:val="4472C4" w:themeColor="accent5"/>
                <w:sz w:val="14"/>
              </w:rPr>
              <w:t>OECD+</w:t>
            </w:r>
            <w:r w:rsidRPr="00507B05">
              <w:rPr>
                <w:rFonts w:ascii="Arial"/>
                <w:i/>
                <w:color w:val="4472C4" w:themeColor="accent5"/>
                <w:spacing w:val="-7"/>
                <w:sz w:val="14"/>
              </w:rPr>
              <w:t xml:space="preserve"> </w:t>
            </w:r>
            <w:r w:rsidRPr="00507B05">
              <w:rPr>
                <w:rFonts w:ascii="Arial"/>
                <w:i/>
                <w:color w:val="4472C4" w:themeColor="accent5"/>
                <w:spacing w:val="-1"/>
                <w:sz w:val="14"/>
              </w:rPr>
              <w:t xml:space="preserve">Average </w:t>
            </w:r>
            <w:r w:rsidRPr="00507B05">
              <w:rPr>
                <w:rFonts w:ascii="Arial"/>
                <w:i/>
                <w:color w:val="4472C4" w:themeColor="accent5"/>
                <w:sz w:val="14"/>
              </w:rPr>
              <w:t>(iv)</w:t>
            </w:r>
          </w:p>
        </w:tc>
        <w:tc>
          <w:tcPr>
            <w:tcW w:w="1234" w:type="dxa"/>
            <w:tcBorders>
              <w:top w:val="nil"/>
              <w:left w:val="nil"/>
              <w:bottom w:val="nil"/>
              <w:right w:val="nil"/>
            </w:tcBorders>
            <w:shd w:val="clear" w:color="auto" w:fill="E4F3F9"/>
          </w:tcPr>
          <w:p w14:paraId="7418B4D3" w14:textId="77777777" w:rsidR="00D471AD" w:rsidRPr="00507B05" w:rsidRDefault="00D471AD" w:rsidP="004A31A9">
            <w:pPr>
              <w:pStyle w:val="NoSpacing"/>
              <w:jc w:val="right"/>
              <w:rPr>
                <w:rFonts w:ascii="Arial" w:eastAsia="Arial" w:hAnsi="Arial" w:cs="Arial"/>
                <w:i/>
                <w:color w:val="4472C4" w:themeColor="accent5"/>
                <w:sz w:val="14"/>
                <w:szCs w:val="14"/>
              </w:rPr>
            </w:pPr>
            <w:r w:rsidRPr="00507B05">
              <w:rPr>
                <w:rFonts w:ascii="Arial"/>
                <w:i/>
                <w:color w:val="4472C4" w:themeColor="accent5"/>
                <w:sz w:val="14"/>
              </w:rPr>
              <w:t>OECD+ top 5 average (vi</w:t>
            </w:r>
            <w:r w:rsidRPr="00507B05">
              <w:rPr>
                <w:rFonts w:ascii="Arial" w:hAnsi="Arial" w:cs="Arial"/>
                <w:i/>
                <w:color w:val="4472C4" w:themeColor="accent5"/>
                <w:sz w:val="14"/>
                <w:szCs w:val="14"/>
              </w:rPr>
              <w:t>)</w:t>
            </w:r>
          </w:p>
        </w:tc>
        <w:tc>
          <w:tcPr>
            <w:tcW w:w="1460" w:type="dxa"/>
            <w:tcBorders>
              <w:top w:val="nil"/>
              <w:left w:val="nil"/>
              <w:bottom w:val="nil"/>
              <w:right w:val="nil"/>
            </w:tcBorders>
            <w:shd w:val="clear" w:color="auto" w:fill="E4F3F9"/>
          </w:tcPr>
          <w:p w14:paraId="7418B4D4" w14:textId="77777777" w:rsidR="00D471AD" w:rsidRPr="00507B05" w:rsidRDefault="00D471AD" w:rsidP="004A31A9">
            <w:pPr>
              <w:pStyle w:val="NoSpacing"/>
              <w:jc w:val="right"/>
              <w:rPr>
                <w:rFonts w:ascii="Arial" w:hAnsi="Arial" w:cs="Arial"/>
                <w:i/>
                <w:color w:val="4472C4" w:themeColor="accent5"/>
                <w:sz w:val="14"/>
                <w:szCs w:val="14"/>
              </w:rPr>
            </w:pPr>
            <w:r w:rsidRPr="00507B05">
              <w:rPr>
                <w:rFonts w:ascii="Arial" w:hAnsi="Arial" w:cs="Arial"/>
                <w:i/>
                <w:color w:val="4472C4" w:themeColor="accent5"/>
                <w:sz w:val="14"/>
                <w:szCs w:val="14"/>
              </w:rPr>
              <w:t>Gap from the top 5 OECD+ performers</w:t>
            </w:r>
          </w:p>
          <w:p w14:paraId="7418B4D5" w14:textId="77777777" w:rsidR="00D471AD" w:rsidRPr="00507B05" w:rsidRDefault="00D471AD" w:rsidP="004A31A9">
            <w:pPr>
              <w:pStyle w:val="NoSpacing"/>
              <w:jc w:val="right"/>
              <w:rPr>
                <w:rFonts w:ascii="Arial" w:hAnsi="Arial" w:cs="Arial"/>
                <w:i/>
                <w:color w:val="4472C4" w:themeColor="accent5"/>
                <w:sz w:val="14"/>
                <w:szCs w:val="14"/>
              </w:rPr>
            </w:pPr>
            <w:r w:rsidRPr="00507B05">
              <w:rPr>
                <w:rFonts w:ascii="Arial" w:hAnsi="Arial" w:cs="Arial"/>
                <w:i/>
                <w:color w:val="4472C4" w:themeColor="accent5"/>
                <w:sz w:val="14"/>
                <w:szCs w:val="14"/>
              </w:rPr>
              <w:t>(per cent) (vii)</w:t>
            </w:r>
          </w:p>
        </w:tc>
        <w:tc>
          <w:tcPr>
            <w:tcW w:w="1312" w:type="dxa"/>
            <w:tcBorders>
              <w:top w:val="nil"/>
              <w:left w:val="nil"/>
              <w:bottom w:val="nil"/>
              <w:right w:val="nil"/>
            </w:tcBorders>
            <w:shd w:val="clear" w:color="auto" w:fill="E4F3F9"/>
          </w:tcPr>
          <w:p w14:paraId="7418B4D6" w14:textId="77777777" w:rsidR="00D471AD" w:rsidRPr="00507B05" w:rsidRDefault="00D471AD" w:rsidP="004A31A9">
            <w:pPr>
              <w:pStyle w:val="NoSpacing"/>
              <w:jc w:val="right"/>
              <w:rPr>
                <w:rFonts w:ascii="Arial" w:hAnsi="Arial" w:cs="Arial"/>
                <w:i/>
                <w:color w:val="4472C4" w:themeColor="accent5"/>
                <w:sz w:val="14"/>
                <w:szCs w:val="14"/>
              </w:rPr>
            </w:pPr>
            <w:r w:rsidRPr="00507B05">
              <w:rPr>
                <w:rFonts w:ascii="Arial" w:hAnsi="Arial" w:cs="Arial"/>
                <w:i/>
                <w:color w:val="4472C4" w:themeColor="accent5"/>
                <w:sz w:val="14"/>
                <w:szCs w:val="14"/>
              </w:rPr>
              <w:t>Ranking against OECD+ countries</w:t>
            </w:r>
          </w:p>
          <w:p w14:paraId="7418B4D7" w14:textId="77777777" w:rsidR="00D471AD" w:rsidRPr="00507B05" w:rsidRDefault="00D471AD" w:rsidP="004A31A9">
            <w:pPr>
              <w:pStyle w:val="NoSpacing"/>
              <w:jc w:val="right"/>
              <w:rPr>
                <w:rFonts w:ascii="Arial" w:hAnsi="Arial" w:cs="Arial"/>
                <w:i/>
                <w:color w:val="4472C4" w:themeColor="accent5"/>
                <w:sz w:val="14"/>
                <w:szCs w:val="14"/>
              </w:rPr>
            </w:pPr>
            <w:r w:rsidRPr="00507B05">
              <w:rPr>
                <w:rFonts w:ascii="Arial" w:hAnsi="Arial" w:cs="Arial"/>
                <w:i/>
                <w:color w:val="4472C4" w:themeColor="accent5"/>
                <w:sz w:val="14"/>
                <w:szCs w:val="14"/>
              </w:rPr>
              <w:t>(viii)</w:t>
            </w:r>
          </w:p>
        </w:tc>
        <w:tc>
          <w:tcPr>
            <w:tcW w:w="1312" w:type="dxa"/>
            <w:gridSpan w:val="2"/>
            <w:tcBorders>
              <w:top w:val="nil"/>
              <w:left w:val="nil"/>
              <w:bottom w:val="nil"/>
              <w:right w:val="nil"/>
            </w:tcBorders>
            <w:shd w:val="clear" w:color="auto" w:fill="E4F3F9"/>
          </w:tcPr>
          <w:p w14:paraId="7418B4D8" w14:textId="77777777" w:rsidR="00D471AD" w:rsidRPr="00507B05" w:rsidRDefault="00D471AD" w:rsidP="004A31A9">
            <w:pPr>
              <w:pStyle w:val="NoSpacing"/>
              <w:jc w:val="right"/>
              <w:rPr>
                <w:rFonts w:ascii="Arial" w:hAnsi="Arial" w:cs="Arial"/>
                <w:i/>
                <w:color w:val="4472C4" w:themeColor="accent5"/>
                <w:sz w:val="14"/>
                <w:szCs w:val="14"/>
              </w:rPr>
            </w:pPr>
            <w:r w:rsidRPr="00507B05">
              <w:rPr>
                <w:rFonts w:ascii="Arial" w:hAnsi="Arial" w:cs="Arial"/>
                <w:i/>
                <w:color w:val="4472C4" w:themeColor="accent5"/>
                <w:sz w:val="14"/>
                <w:szCs w:val="14"/>
              </w:rPr>
              <w:t>Year of OECD+ comparison</w:t>
            </w:r>
          </w:p>
        </w:tc>
      </w:tr>
      <w:tr w:rsidR="00D471AD" w:rsidRPr="008F7EDC" w14:paraId="7418B4E1"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bottom w:val="nil"/>
              <w:right w:val="nil"/>
            </w:tcBorders>
            <w:shd w:val="clear" w:color="auto" w:fill="D5ECF5"/>
          </w:tcPr>
          <w:p w14:paraId="7418B4DA"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GDP per capita relative to the USA (USA = 100), index</w:t>
            </w:r>
            <w:r w:rsidRPr="00507B05">
              <w:rPr>
                <w:rFonts w:ascii="Arial Unicode MS" w:eastAsia="Arial Unicode MS" w:hAnsi="Arial Unicode MS" w:cs="Arial Unicode MS"/>
                <w:color w:val="4472C4" w:themeColor="accent5"/>
                <w:sz w:val="14"/>
                <w:szCs w:val="14"/>
              </w:rPr>
              <w:t>¹</w:t>
            </w:r>
          </w:p>
        </w:tc>
        <w:tc>
          <w:tcPr>
            <w:tcW w:w="1485" w:type="dxa"/>
            <w:gridSpan w:val="2"/>
            <w:tcBorders>
              <w:top w:val="nil"/>
              <w:left w:val="nil"/>
              <w:bottom w:val="nil"/>
              <w:right w:val="nil"/>
            </w:tcBorders>
            <w:shd w:val="clear" w:color="auto" w:fill="D5ECF5"/>
          </w:tcPr>
          <w:p w14:paraId="7418B4DB"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82</w:t>
            </w:r>
          </w:p>
        </w:tc>
        <w:tc>
          <w:tcPr>
            <w:tcW w:w="1616" w:type="dxa"/>
            <w:tcBorders>
              <w:top w:val="nil"/>
              <w:left w:val="nil"/>
              <w:bottom w:val="nil"/>
              <w:right w:val="nil"/>
            </w:tcBorders>
            <w:shd w:val="clear" w:color="auto" w:fill="D5ECF5"/>
          </w:tcPr>
          <w:p w14:paraId="7418B4DC"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70</w:t>
            </w:r>
          </w:p>
        </w:tc>
        <w:tc>
          <w:tcPr>
            <w:tcW w:w="1234" w:type="dxa"/>
            <w:tcBorders>
              <w:top w:val="nil"/>
              <w:left w:val="nil"/>
              <w:bottom w:val="nil"/>
              <w:right w:val="nil"/>
            </w:tcBorders>
            <w:shd w:val="clear" w:color="auto" w:fill="D5ECF5"/>
          </w:tcPr>
          <w:p w14:paraId="7418B4DD"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120</w:t>
            </w:r>
          </w:p>
        </w:tc>
        <w:tc>
          <w:tcPr>
            <w:tcW w:w="1460" w:type="dxa"/>
            <w:tcBorders>
              <w:top w:val="nil"/>
              <w:left w:val="nil"/>
              <w:bottom w:val="nil"/>
              <w:right w:val="nil"/>
            </w:tcBorders>
            <w:shd w:val="clear" w:color="auto" w:fill="D5ECF5"/>
          </w:tcPr>
          <w:p w14:paraId="7418B4DE"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32</w:t>
            </w:r>
          </w:p>
        </w:tc>
        <w:tc>
          <w:tcPr>
            <w:tcW w:w="1312" w:type="dxa"/>
            <w:tcBorders>
              <w:top w:val="nil"/>
              <w:left w:val="nil"/>
              <w:bottom w:val="nil"/>
              <w:right w:val="nil"/>
            </w:tcBorders>
            <w:shd w:val="clear" w:color="auto" w:fill="D5ECF5"/>
          </w:tcPr>
          <w:p w14:paraId="7418B4DF"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12th of 36</w:t>
            </w:r>
          </w:p>
        </w:tc>
        <w:tc>
          <w:tcPr>
            <w:tcW w:w="1312" w:type="dxa"/>
            <w:gridSpan w:val="2"/>
            <w:tcBorders>
              <w:top w:val="nil"/>
              <w:left w:val="nil"/>
              <w:bottom w:val="nil"/>
              <w:right w:val="nil"/>
            </w:tcBorders>
            <w:shd w:val="clear" w:color="auto" w:fill="D5ECF5"/>
          </w:tcPr>
          <w:p w14:paraId="7418B4E0"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2015</w:t>
            </w:r>
          </w:p>
        </w:tc>
      </w:tr>
      <w:tr w:rsidR="00D471AD" w:rsidRPr="008F7EDC" w14:paraId="7418B4E9"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bottom w:val="nil"/>
              <w:right w:val="nil"/>
            </w:tcBorders>
            <w:shd w:val="clear" w:color="auto" w:fill="E4F3F9"/>
          </w:tcPr>
          <w:p w14:paraId="7418B4E2"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GDP per hour worked (USA = 100), index</w:t>
            </w:r>
            <w:r w:rsidRPr="00507B05">
              <w:rPr>
                <w:rFonts w:ascii="Arial Unicode MS" w:eastAsia="Arial Unicode MS" w:hAnsi="Arial Unicode MS" w:cs="Arial Unicode MS"/>
                <w:color w:val="4472C4" w:themeColor="accent5"/>
                <w:sz w:val="14"/>
                <w:szCs w:val="14"/>
              </w:rPr>
              <w:t>¹</w:t>
            </w:r>
          </w:p>
        </w:tc>
        <w:tc>
          <w:tcPr>
            <w:tcW w:w="1485" w:type="dxa"/>
            <w:gridSpan w:val="2"/>
            <w:tcBorders>
              <w:top w:val="nil"/>
              <w:left w:val="nil"/>
              <w:bottom w:val="nil"/>
              <w:right w:val="nil"/>
            </w:tcBorders>
            <w:shd w:val="clear" w:color="auto" w:fill="E4F3F9"/>
          </w:tcPr>
          <w:p w14:paraId="7418B4E3"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83</w:t>
            </w:r>
          </w:p>
        </w:tc>
        <w:tc>
          <w:tcPr>
            <w:tcW w:w="1616" w:type="dxa"/>
            <w:tcBorders>
              <w:top w:val="nil"/>
              <w:left w:val="nil"/>
              <w:bottom w:val="nil"/>
              <w:right w:val="nil"/>
            </w:tcBorders>
            <w:shd w:val="clear" w:color="auto" w:fill="E4F3F9"/>
          </w:tcPr>
          <w:p w14:paraId="7418B4E4"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73</w:t>
            </w:r>
          </w:p>
        </w:tc>
        <w:tc>
          <w:tcPr>
            <w:tcW w:w="1234" w:type="dxa"/>
            <w:tcBorders>
              <w:top w:val="nil"/>
              <w:left w:val="nil"/>
              <w:bottom w:val="nil"/>
              <w:right w:val="nil"/>
            </w:tcBorders>
            <w:shd w:val="clear" w:color="auto" w:fill="E4F3F9"/>
          </w:tcPr>
          <w:p w14:paraId="7418B4E5"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113</w:t>
            </w:r>
          </w:p>
        </w:tc>
        <w:tc>
          <w:tcPr>
            <w:tcW w:w="1460" w:type="dxa"/>
            <w:tcBorders>
              <w:top w:val="nil"/>
              <w:left w:val="nil"/>
              <w:bottom w:val="nil"/>
              <w:right w:val="nil"/>
            </w:tcBorders>
            <w:shd w:val="clear" w:color="auto" w:fill="E4F3F9"/>
          </w:tcPr>
          <w:p w14:paraId="7418B4E6"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27</w:t>
            </w:r>
          </w:p>
        </w:tc>
        <w:tc>
          <w:tcPr>
            <w:tcW w:w="1312" w:type="dxa"/>
            <w:tcBorders>
              <w:top w:val="nil"/>
              <w:left w:val="nil"/>
              <w:bottom w:val="nil"/>
              <w:right w:val="nil"/>
            </w:tcBorders>
            <w:shd w:val="clear" w:color="auto" w:fill="E4F3F9"/>
          </w:tcPr>
          <w:p w14:paraId="7418B4E7"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13th of 35</w:t>
            </w:r>
          </w:p>
        </w:tc>
        <w:tc>
          <w:tcPr>
            <w:tcW w:w="1312" w:type="dxa"/>
            <w:gridSpan w:val="2"/>
            <w:tcBorders>
              <w:top w:val="nil"/>
              <w:left w:val="nil"/>
              <w:bottom w:val="nil"/>
              <w:right w:val="nil"/>
            </w:tcBorders>
            <w:shd w:val="clear" w:color="auto" w:fill="E4F3F9"/>
          </w:tcPr>
          <w:p w14:paraId="7418B4E8"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2014</w:t>
            </w:r>
          </w:p>
        </w:tc>
      </w:tr>
      <w:tr w:rsidR="00D471AD" w:rsidRPr="008F7EDC" w14:paraId="7418B4F1"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bottom w:val="nil"/>
              <w:right w:val="nil"/>
            </w:tcBorders>
            <w:shd w:val="clear" w:color="auto" w:fill="D5ECF5"/>
          </w:tcPr>
          <w:p w14:paraId="7418B4EA"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Gross national income, US$ per capita</w:t>
            </w:r>
            <w:r w:rsidRPr="00507B05">
              <w:rPr>
                <w:rFonts w:ascii="Arial Unicode MS" w:eastAsia="Arial Unicode MS" w:hAnsi="Arial Unicode MS" w:cs="Arial Unicode MS"/>
                <w:color w:val="4472C4" w:themeColor="accent5"/>
                <w:sz w:val="14"/>
                <w:szCs w:val="14"/>
              </w:rPr>
              <w:t>³</w:t>
            </w:r>
          </w:p>
        </w:tc>
        <w:tc>
          <w:tcPr>
            <w:tcW w:w="1485" w:type="dxa"/>
            <w:gridSpan w:val="2"/>
            <w:tcBorders>
              <w:top w:val="nil"/>
              <w:left w:val="nil"/>
              <w:bottom w:val="nil"/>
              <w:right w:val="nil"/>
            </w:tcBorders>
            <w:shd w:val="clear" w:color="auto" w:fill="D5ECF5"/>
          </w:tcPr>
          <w:p w14:paraId="7418B4EB"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45,324</w:t>
            </w:r>
          </w:p>
        </w:tc>
        <w:tc>
          <w:tcPr>
            <w:tcW w:w="1616" w:type="dxa"/>
            <w:tcBorders>
              <w:top w:val="nil"/>
              <w:left w:val="nil"/>
              <w:bottom w:val="nil"/>
              <w:right w:val="nil"/>
            </w:tcBorders>
            <w:shd w:val="clear" w:color="auto" w:fill="D5ECF5"/>
          </w:tcPr>
          <w:p w14:paraId="7418B4EC"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37,198</w:t>
            </w:r>
          </w:p>
        </w:tc>
        <w:tc>
          <w:tcPr>
            <w:tcW w:w="1234" w:type="dxa"/>
            <w:tcBorders>
              <w:top w:val="nil"/>
              <w:left w:val="nil"/>
              <w:bottom w:val="nil"/>
              <w:right w:val="nil"/>
            </w:tcBorders>
            <w:shd w:val="clear" w:color="auto" w:fill="D5ECF5"/>
          </w:tcPr>
          <w:p w14:paraId="7418B4ED"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57,095</w:t>
            </w:r>
          </w:p>
        </w:tc>
        <w:tc>
          <w:tcPr>
            <w:tcW w:w="1460" w:type="dxa"/>
            <w:tcBorders>
              <w:top w:val="nil"/>
              <w:left w:val="nil"/>
              <w:bottom w:val="nil"/>
              <w:right w:val="nil"/>
            </w:tcBorders>
            <w:shd w:val="clear" w:color="auto" w:fill="D5ECF5"/>
          </w:tcPr>
          <w:p w14:paraId="7418B4EE"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21</w:t>
            </w:r>
          </w:p>
        </w:tc>
        <w:tc>
          <w:tcPr>
            <w:tcW w:w="1312" w:type="dxa"/>
            <w:tcBorders>
              <w:top w:val="nil"/>
              <w:left w:val="nil"/>
              <w:bottom w:val="nil"/>
              <w:right w:val="nil"/>
            </w:tcBorders>
            <w:shd w:val="clear" w:color="auto" w:fill="D5ECF5"/>
          </w:tcPr>
          <w:p w14:paraId="7418B4EF"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9th of 33</w:t>
            </w:r>
          </w:p>
        </w:tc>
        <w:tc>
          <w:tcPr>
            <w:tcW w:w="1312" w:type="dxa"/>
            <w:gridSpan w:val="2"/>
            <w:tcBorders>
              <w:top w:val="nil"/>
              <w:left w:val="nil"/>
              <w:bottom w:val="nil"/>
              <w:right w:val="nil"/>
            </w:tcBorders>
            <w:shd w:val="clear" w:color="auto" w:fill="D5ECF5"/>
          </w:tcPr>
          <w:p w14:paraId="7418B4F0"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2014</w:t>
            </w:r>
          </w:p>
        </w:tc>
      </w:tr>
      <w:tr w:rsidR="00D471AD" w:rsidRPr="008F7EDC" w14:paraId="7418B4F9"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bottom w:val="nil"/>
              <w:right w:val="nil"/>
            </w:tcBorders>
            <w:shd w:val="clear" w:color="auto" w:fill="E4F3F9"/>
          </w:tcPr>
          <w:p w14:paraId="7418B4F2"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Multifactor productivity annual growth/change, %</w:t>
            </w:r>
            <w:r w:rsidRPr="00507B05">
              <w:rPr>
                <w:rFonts w:ascii="Arial Unicode MS" w:eastAsia="Arial Unicode MS" w:hAnsi="Arial Unicode MS" w:cs="Arial Unicode MS"/>
                <w:color w:val="4472C4" w:themeColor="accent5"/>
                <w:sz w:val="14"/>
                <w:szCs w:val="14"/>
              </w:rPr>
              <w:t>⁴</w:t>
            </w:r>
          </w:p>
        </w:tc>
        <w:tc>
          <w:tcPr>
            <w:tcW w:w="1485" w:type="dxa"/>
            <w:gridSpan w:val="2"/>
            <w:tcBorders>
              <w:top w:val="nil"/>
              <w:left w:val="nil"/>
              <w:bottom w:val="nil"/>
              <w:right w:val="nil"/>
            </w:tcBorders>
            <w:shd w:val="clear" w:color="auto" w:fill="E4F3F9"/>
          </w:tcPr>
          <w:p w14:paraId="7418B4F3"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0.583</w:t>
            </w:r>
          </w:p>
        </w:tc>
        <w:tc>
          <w:tcPr>
            <w:tcW w:w="1616" w:type="dxa"/>
            <w:tcBorders>
              <w:top w:val="nil"/>
              <w:left w:val="nil"/>
              <w:bottom w:val="nil"/>
              <w:right w:val="nil"/>
            </w:tcBorders>
            <w:shd w:val="clear" w:color="auto" w:fill="E4F3F9"/>
          </w:tcPr>
          <w:p w14:paraId="7418B4F4"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0.147</w:t>
            </w:r>
          </w:p>
        </w:tc>
        <w:tc>
          <w:tcPr>
            <w:tcW w:w="1234" w:type="dxa"/>
            <w:tcBorders>
              <w:top w:val="nil"/>
              <w:left w:val="nil"/>
              <w:bottom w:val="nil"/>
              <w:right w:val="nil"/>
            </w:tcBorders>
            <w:shd w:val="clear" w:color="auto" w:fill="E4F3F9"/>
          </w:tcPr>
          <w:p w14:paraId="7418B4F5"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0.779</w:t>
            </w:r>
          </w:p>
        </w:tc>
        <w:tc>
          <w:tcPr>
            <w:tcW w:w="1460" w:type="dxa"/>
            <w:tcBorders>
              <w:top w:val="nil"/>
              <w:left w:val="nil"/>
              <w:bottom w:val="nil"/>
              <w:right w:val="nil"/>
            </w:tcBorders>
            <w:shd w:val="clear" w:color="auto" w:fill="E4F3F9"/>
          </w:tcPr>
          <w:p w14:paraId="7418B4F6"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25</w:t>
            </w:r>
          </w:p>
        </w:tc>
        <w:tc>
          <w:tcPr>
            <w:tcW w:w="1312" w:type="dxa"/>
            <w:tcBorders>
              <w:top w:val="nil"/>
              <w:left w:val="nil"/>
              <w:bottom w:val="nil"/>
              <w:right w:val="nil"/>
            </w:tcBorders>
            <w:shd w:val="clear" w:color="auto" w:fill="E4F3F9"/>
          </w:tcPr>
          <w:p w14:paraId="7418B4F7"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3rd of 15</w:t>
            </w:r>
          </w:p>
        </w:tc>
        <w:tc>
          <w:tcPr>
            <w:tcW w:w="1312" w:type="dxa"/>
            <w:gridSpan w:val="2"/>
            <w:tcBorders>
              <w:top w:val="nil"/>
              <w:left w:val="nil"/>
              <w:bottom w:val="nil"/>
              <w:right w:val="nil"/>
            </w:tcBorders>
            <w:shd w:val="clear" w:color="auto" w:fill="E4F3F9"/>
          </w:tcPr>
          <w:p w14:paraId="7418B4F8"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2014</w:t>
            </w:r>
          </w:p>
        </w:tc>
      </w:tr>
      <w:tr w:rsidR="00D471AD" w:rsidRPr="008F7EDC" w14:paraId="7418B501"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bottom w:val="nil"/>
              <w:right w:val="nil"/>
            </w:tcBorders>
            <w:shd w:val="clear" w:color="auto" w:fill="D5ECF5"/>
          </w:tcPr>
          <w:p w14:paraId="7418B4FA"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Index of Economic Freedom</w:t>
            </w:r>
            <w:r w:rsidRPr="00507B05">
              <w:rPr>
                <w:rFonts w:ascii="Arial Unicode MS" w:eastAsia="Arial Unicode MS" w:hAnsi="Arial Unicode MS" w:cs="Arial Unicode MS"/>
                <w:color w:val="4472C4" w:themeColor="accent5"/>
                <w:sz w:val="14"/>
                <w:szCs w:val="14"/>
              </w:rPr>
              <w:t>⁵</w:t>
            </w:r>
          </w:p>
        </w:tc>
        <w:tc>
          <w:tcPr>
            <w:tcW w:w="1485" w:type="dxa"/>
            <w:gridSpan w:val="2"/>
            <w:tcBorders>
              <w:top w:val="nil"/>
              <w:left w:val="nil"/>
              <w:bottom w:val="nil"/>
              <w:right w:val="nil"/>
            </w:tcBorders>
            <w:shd w:val="clear" w:color="auto" w:fill="D5ECF5"/>
          </w:tcPr>
          <w:p w14:paraId="7418B4FB"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80</w:t>
            </w:r>
          </w:p>
        </w:tc>
        <w:tc>
          <w:tcPr>
            <w:tcW w:w="1616" w:type="dxa"/>
            <w:tcBorders>
              <w:top w:val="nil"/>
              <w:left w:val="nil"/>
              <w:bottom w:val="nil"/>
              <w:right w:val="nil"/>
            </w:tcBorders>
            <w:shd w:val="clear" w:color="auto" w:fill="D5ECF5"/>
          </w:tcPr>
          <w:p w14:paraId="7418B4FC"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71</w:t>
            </w:r>
          </w:p>
        </w:tc>
        <w:tc>
          <w:tcPr>
            <w:tcW w:w="1234" w:type="dxa"/>
            <w:tcBorders>
              <w:top w:val="nil"/>
              <w:left w:val="nil"/>
              <w:bottom w:val="nil"/>
              <w:right w:val="nil"/>
            </w:tcBorders>
            <w:shd w:val="clear" w:color="auto" w:fill="D5ECF5"/>
          </w:tcPr>
          <w:p w14:paraId="7418B4FD"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82</w:t>
            </w:r>
          </w:p>
        </w:tc>
        <w:tc>
          <w:tcPr>
            <w:tcW w:w="1460" w:type="dxa"/>
            <w:tcBorders>
              <w:top w:val="nil"/>
              <w:left w:val="nil"/>
              <w:bottom w:val="nil"/>
              <w:right w:val="nil"/>
            </w:tcBorders>
            <w:shd w:val="clear" w:color="auto" w:fill="D5ECF5"/>
          </w:tcPr>
          <w:p w14:paraId="7418B4FE"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w:t>
            </w:r>
          </w:p>
        </w:tc>
        <w:tc>
          <w:tcPr>
            <w:tcW w:w="1312" w:type="dxa"/>
            <w:tcBorders>
              <w:top w:val="nil"/>
              <w:left w:val="nil"/>
              <w:bottom w:val="nil"/>
              <w:right w:val="nil"/>
            </w:tcBorders>
            <w:shd w:val="clear" w:color="auto" w:fill="D5ECF5"/>
          </w:tcPr>
          <w:p w14:paraId="7418B4FF"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4th of 38</w:t>
            </w:r>
          </w:p>
        </w:tc>
        <w:tc>
          <w:tcPr>
            <w:tcW w:w="1312" w:type="dxa"/>
            <w:gridSpan w:val="2"/>
            <w:tcBorders>
              <w:top w:val="nil"/>
              <w:left w:val="nil"/>
              <w:bottom w:val="nil"/>
              <w:right w:val="nil"/>
            </w:tcBorders>
            <w:shd w:val="clear" w:color="auto" w:fill="D5ECF5"/>
          </w:tcPr>
          <w:p w14:paraId="7418B500"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2016</w:t>
            </w:r>
          </w:p>
        </w:tc>
      </w:tr>
      <w:tr w:rsidR="00D471AD" w:rsidRPr="008F7EDC" w14:paraId="7418B509"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bottom w:val="nil"/>
              <w:right w:val="nil"/>
            </w:tcBorders>
            <w:shd w:val="clear" w:color="auto" w:fill="E4F3F9"/>
          </w:tcPr>
          <w:p w14:paraId="7418B502"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Resilience of the economy, score</w:t>
            </w:r>
            <w:r w:rsidRPr="00507B05">
              <w:rPr>
                <w:rFonts w:ascii="Arial Unicode MS" w:eastAsia="Arial Unicode MS" w:hAnsi="Arial Unicode MS" w:cs="Arial Unicode MS"/>
                <w:color w:val="4472C4" w:themeColor="accent5"/>
                <w:sz w:val="14"/>
                <w:szCs w:val="14"/>
              </w:rPr>
              <w:t>⁶</w:t>
            </w:r>
          </w:p>
        </w:tc>
        <w:tc>
          <w:tcPr>
            <w:tcW w:w="1485" w:type="dxa"/>
            <w:gridSpan w:val="2"/>
            <w:tcBorders>
              <w:top w:val="nil"/>
              <w:left w:val="nil"/>
              <w:bottom w:val="nil"/>
              <w:right w:val="nil"/>
            </w:tcBorders>
            <w:shd w:val="clear" w:color="auto" w:fill="E4F3F9"/>
          </w:tcPr>
          <w:p w14:paraId="7418B503"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6.2</w:t>
            </w:r>
          </w:p>
        </w:tc>
        <w:tc>
          <w:tcPr>
            <w:tcW w:w="1616" w:type="dxa"/>
            <w:tcBorders>
              <w:top w:val="nil"/>
              <w:left w:val="nil"/>
              <w:bottom w:val="nil"/>
              <w:right w:val="nil"/>
            </w:tcBorders>
            <w:shd w:val="clear" w:color="auto" w:fill="E4F3F9"/>
          </w:tcPr>
          <w:p w14:paraId="7418B504"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5.3</w:t>
            </w:r>
          </w:p>
        </w:tc>
        <w:tc>
          <w:tcPr>
            <w:tcW w:w="1234" w:type="dxa"/>
            <w:tcBorders>
              <w:top w:val="nil"/>
              <w:left w:val="nil"/>
              <w:bottom w:val="nil"/>
              <w:right w:val="nil"/>
            </w:tcBorders>
            <w:shd w:val="clear" w:color="auto" w:fill="E4F3F9"/>
          </w:tcPr>
          <w:p w14:paraId="7418B505"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6.7</w:t>
            </w:r>
          </w:p>
        </w:tc>
        <w:tc>
          <w:tcPr>
            <w:tcW w:w="1460" w:type="dxa"/>
            <w:tcBorders>
              <w:top w:val="nil"/>
              <w:left w:val="nil"/>
              <w:bottom w:val="nil"/>
              <w:right w:val="nil"/>
            </w:tcBorders>
            <w:shd w:val="clear" w:color="auto" w:fill="E4F3F9"/>
          </w:tcPr>
          <w:p w14:paraId="7418B506"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8</w:t>
            </w:r>
          </w:p>
        </w:tc>
        <w:tc>
          <w:tcPr>
            <w:tcW w:w="1312" w:type="dxa"/>
            <w:tcBorders>
              <w:top w:val="nil"/>
              <w:left w:val="nil"/>
              <w:bottom w:val="nil"/>
              <w:right w:val="nil"/>
            </w:tcBorders>
            <w:shd w:val="clear" w:color="auto" w:fill="E4F3F9"/>
          </w:tcPr>
          <w:p w14:paraId="7418B507"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8th of 38</w:t>
            </w:r>
          </w:p>
        </w:tc>
        <w:tc>
          <w:tcPr>
            <w:tcW w:w="1312" w:type="dxa"/>
            <w:gridSpan w:val="2"/>
            <w:tcBorders>
              <w:top w:val="nil"/>
              <w:left w:val="nil"/>
              <w:bottom w:val="nil"/>
              <w:right w:val="nil"/>
            </w:tcBorders>
            <w:shd w:val="clear" w:color="auto" w:fill="E4F3F9"/>
          </w:tcPr>
          <w:p w14:paraId="7418B508"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2016</w:t>
            </w:r>
          </w:p>
        </w:tc>
      </w:tr>
      <w:tr w:rsidR="00D471AD" w:rsidRPr="008F7EDC" w14:paraId="7418B511"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bottom w:val="nil"/>
              <w:right w:val="nil"/>
            </w:tcBorders>
            <w:shd w:val="clear" w:color="auto" w:fill="D5ECF5"/>
          </w:tcPr>
          <w:p w14:paraId="7418B50A"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Economic Complexity Index</w:t>
            </w:r>
            <w:r w:rsidRPr="00507B05">
              <w:rPr>
                <w:rFonts w:ascii="Arial Unicode MS" w:eastAsia="Arial Unicode MS" w:hAnsi="Arial Unicode MS" w:cs="Arial Unicode MS"/>
                <w:color w:val="4472C4" w:themeColor="accent5"/>
                <w:sz w:val="14"/>
                <w:szCs w:val="14"/>
              </w:rPr>
              <w:t>⁷</w:t>
            </w:r>
          </w:p>
        </w:tc>
        <w:tc>
          <w:tcPr>
            <w:tcW w:w="1485" w:type="dxa"/>
            <w:gridSpan w:val="2"/>
            <w:tcBorders>
              <w:top w:val="nil"/>
              <w:left w:val="nil"/>
              <w:bottom w:val="nil"/>
              <w:right w:val="nil"/>
            </w:tcBorders>
            <w:shd w:val="clear" w:color="auto" w:fill="D5ECF5"/>
          </w:tcPr>
          <w:p w14:paraId="7418B50B"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-0.63</w:t>
            </w:r>
          </w:p>
        </w:tc>
        <w:tc>
          <w:tcPr>
            <w:tcW w:w="1616" w:type="dxa"/>
            <w:tcBorders>
              <w:top w:val="nil"/>
              <w:left w:val="nil"/>
              <w:bottom w:val="nil"/>
              <w:right w:val="nil"/>
            </w:tcBorders>
            <w:shd w:val="clear" w:color="auto" w:fill="D5ECF5"/>
          </w:tcPr>
          <w:p w14:paraId="7418B50C"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1.09</w:t>
            </w:r>
          </w:p>
        </w:tc>
        <w:tc>
          <w:tcPr>
            <w:tcW w:w="1234" w:type="dxa"/>
            <w:tcBorders>
              <w:top w:val="nil"/>
              <w:left w:val="nil"/>
              <w:bottom w:val="nil"/>
              <w:right w:val="nil"/>
            </w:tcBorders>
            <w:shd w:val="clear" w:color="auto" w:fill="D5ECF5"/>
          </w:tcPr>
          <w:p w14:paraId="7418B50D"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1.91</w:t>
            </w:r>
          </w:p>
        </w:tc>
        <w:tc>
          <w:tcPr>
            <w:tcW w:w="1460" w:type="dxa"/>
            <w:tcBorders>
              <w:top w:val="nil"/>
              <w:left w:val="nil"/>
              <w:bottom w:val="nil"/>
              <w:right w:val="nil"/>
            </w:tcBorders>
            <w:shd w:val="clear" w:color="auto" w:fill="D5ECF5"/>
          </w:tcPr>
          <w:p w14:paraId="7418B50E"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133</w:t>
            </w:r>
          </w:p>
        </w:tc>
        <w:tc>
          <w:tcPr>
            <w:tcW w:w="1312" w:type="dxa"/>
            <w:tcBorders>
              <w:top w:val="nil"/>
              <w:left w:val="nil"/>
              <w:bottom w:val="nil"/>
              <w:right w:val="nil"/>
            </w:tcBorders>
            <w:shd w:val="clear" w:color="auto" w:fill="D5ECF5"/>
          </w:tcPr>
          <w:p w14:paraId="7418B50F"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35th of 35</w:t>
            </w:r>
          </w:p>
        </w:tc>
        <w:tc>
          <w:tcPr>
            <w:tcW w:w="1312" w:type="dxa"/>
            <w:gridSpan w:val="2"/>
            <w:tcBorders>
              <w:top w:val="nil"/>
              <w:left w:val="nil"/>
              <w:bottom w:val="nil"/>
              <w:right w:val="nil"/>
            </w:tcBorders>
            <w:shd w:val="clear" w:color="auto" w:fill="D5ECF5"/>
          </w:tcPr>
          <w:p w14:paraId="7418B510"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2014</w:t>
            </w:r>
          </w:p>
        </w:tc>
      </w:tr>
      <w:tr w:rsidR="00D471AD" w:rsidRPr="008F7EDC" w14:paraId="7418B519"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bottom w:val="nil"/>
              <w:right w:val="nil"/>
            </w:tcBorders>
            <w:shd w:val="clear" w:color="auto" w:fill="E4F3F9"/>
          </w:tcPr>
          <w:p w14:paraId="7418B512"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Hannah-Kay index of industrial specialisation</w:t>
            </w:r>
            <w:r w:rsidRPr="00507B05">
              <w:rPr>
                <w:rFonts w:ascii="Arial Unicode MS" w:eastAsia="Arial Unicode MS" w:hAnsi="Arial Unicode MS" w:cs="Arial Unicode MS"/>
                <w:color w:val="4472C4" w:themeColor="accent5"/>
                <w:sz w:val="14"/>
                <w:szCs w:val="14"/>
              </w:rPr>
              <w:t>⁸</w:t>
            </w:r>
          </w:p>
        </w:tc>
        <w:tc>
          <w:tcPr>
            <w:tcW w:w="1485" w:type="dxa"/>
            <w:gridSpan w:val="2"/>
            <w:tcBorders>
              <w:top w:val="nil"/>
              <w:left w:val="nil"/>
              <w:bottom w:val="nil"/>
              <w:right w:val="nil"/>
            </w:tcBorders>
            <w:shd w:val="clear" w:color="auto" w:fill="E4F3F9"/>
          </w:tcPr>
          <w:p w14:paraId="7418B513"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0.55</w:t>
            </w:r>
          </w:p>
        </w:tc>
        <w:tc>
          <w:tcPr>
            <w:tcW w:w="1616" w:type="dxa"/>
            <w:tcBorders>
              <w:top w:val="nil"/>
              <w:left w:val="nil"/>
              <w:bottom w:val="nil"/>
              <w:right w:val="nil"/>
            </w:tcBorders>
            <w:shd w:val="clear" w:color="auto" w:fill="E4F3F9"/>
          </w:tcPr>
          <w:p w14:paraId="7418B514"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0.56</w:t>
            </w:r>
          </w:p>
        </w:tc>
        <w:tc>
          <w:tcPr>
            <w:tcW w:w="1234" w:type="dxa"/>
            <w:tcBorders>
              <w:top w:val="nil"/>
              <w:left w:val="nil"/>
              <w:bottom w:val="nil"/>
              <w:right w:val="nil"/>
            </w:tcBorders>
            <w:shd w:val="clear" w:color="auto" w:fill="E4F3F9"/>
          </w:tcPr>
          <w:p w14:paraId="7418B515"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0.67</w:t>
            </w:r>
          </w:p>
        </w:tc>
        <w:tc>
          <w:tcPr>
            <w:tcW w:w="1460" w:type="dxa"/>
            <w:tcBorders>
              <w:top w:val="nil"/>
              <w:left w:val="nil"/>
              <w:bottom w:val="nil"/>
              <w:right w:val="nil"/>
            </w:tcBorders>
            <w:shd w:val="clear" w:color="auto" w:fill="E4F3F9"/>
          </w:tcPr>
          <w:p w14:paraId="7418B516"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17</w:t>
            </w:r>
          </w:p>
        </w:tc>
        <w:tc>
          <w:tcPr>
            <w:tcW w:w="1312" w:type="dxa"/>
            <w:tcBorders>
              <w:top w:val="nil"/>
              <w:left w:val="nil"/>
              <w:bottom w:val="nil"/>
              <w:right w:val="nil"/>
            </w:tcBorders>
            <w:shd w:val="clear" w:color="auto" w:fill="E4F3F9"/>
          </w:tcPr>
          <w:p w14:paraId="7418B517"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20th of 31</w:t>
            </w:r>
          </w:p>
        </w:tc>
        <w:tc>
          <w:tcPr>
            <w:tcW w:w="1312" w:type="dxa"/>
            <w:gridSpan w:val="2"/>
            <w:tcBorders>
              <w:top w:val="nil"/>
              <w:left w:val="nil"/>
              <w:bottom w:val="nil"/>
              <w:right w:val="nil"/>
            </w:tcBorders>
            <w:shd w:val="clear" w:color="auto" w:fill="E4F3F9"/>
          </w:tcPr>
          <w:p w14:paraId="7418B518"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2010</w:t>
            </w:r>
          </w:p>
        </w:tc>
      </w:tr>
      <w:tr w:rsidR="00D471AD" w:rsidRPr="008F7EDC" w14:paraId="7418B521"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bottom w:val="nil"/>
              <w:right w:val="nil"/>
            </w:tcBorders>
            <w:shd w:val="clear" w:color="auto" w:fill="D5ECF5"/>
          </w:tcPr>
          <w:p w14:paraId="7418B51A"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Global Competitiveness Index, score ranges from 1-7 (best)</w:t>
            </w:r>
            <w:r w:rsidRPr="00507B05">
              <w:rPr>
                <w:rFonts w:ascii="Arial Unicode MS" w:eastAsia="Arial Unicode MS" w:hAnsi="Arial Unicode MS" w:cs="Arial Unicode MS"/>
                <w:color w:val="4472C4" w:themeColor="accent5"/>
                <w:sz w:val="14"/>
                <w:szCs w:val="14"/>
              </w:rPr>
              <w:t>⁹</w:t>
            </w:r>
          </w:p>
        </w:tc>
        <w:tc>
          <w:tcPr>
            <w:tcW w:w="1485" w:type="dxa"/>
            <w:gridSpan w:val="2"/>
            <w:tcBorders>
              <w:top w:val="nil"/>
              <w:left w:val="nil"/>
              <w:bottom w:val="nil"/>
              <w:right w:val="nil"/>
            </w:tcBorders>
            <w:shd w:val="clear" w:color="auto" w:fill="D5ECF5"/>
          </w:tcPr>
          <w:p w14:paraId="7418B51B"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5.2</w:t>
            </w:r>
          </w:p>
        </w:tc>
        <w:tc>
          <w:tcPr>
            <w:tcW w:w="1616" w:type="dxa"/>
            <w:tcBorders>
              <w:top w:val="nil"/>
              <w:left w:val="nil"/>
              <w:bottom w:val="nil"/>
              <w:right w:val="nil"/>
            </w:tcBorders>
            <w:shd w:val="clear" w:color="auto" w:fill="D5ECF5"/>
          </w:tcPr>
          <w:p w14:paraId="7418B51C"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5</w:t>
            </w:r>
          </w:p>
        </w:tc>
        <w:tc>
          <w:tcPr>
            <w:tcW w:w="1234" w:type="dxa"/>
            <w:tcBorders>
              <w:top w:val="nil"/>
              <w:left w:val="nil"/>
              <w:bottom w:val="nil"/>
              <w:right w:val="nil"/>
            </w:tcBorders>
            <w:shd w:val="clear" w:color="auto" w:fill="D5ECF5"/>
          </w:tcPr>
          <w:p w14:paraId="7418B51D"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5.7</w:t>
            </w:r>
          </w:p>
        </w:tc>
        <w:tc>
          <w:tcPr>
            <w:tcW w:w="1460" w:type="dxa"/>
            <w:tcBorders>
              <w:top w:val="nil"/>
              <w:left w:val="nil"/>
              <w:bottom w:val="nil"/>
              <w:right w:val="nil"/>
            </w:tcBorders>
            <w:shd w:val="clear" w:color="auto" w:fill="D5ECF5"/>
          </w:tcPr>
          <w:p w14:paraId="7418B51E"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9</w:t>
            </w:r>
          </w:p>
        </w:tc>
        <w:tc>
          <w:tcPr>
            <w:tcW w:w="1312" w:type="dxa"/>
            <w:tcBorders>
              <w:top w:val="nil"/>
              <w:left w:val="nil"/>
              <w:bottom w:val="nil"/>
              <w:right w:val="nil"/>
            </w:tcBorders>
            <w:shd w:val="clear" w:color="auto" w:fill="D5ECF5"/>
          </w:tcPr>
          <w:p w14:paraId="7418B51F"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19th of 38</w:t>
            </w:r>
          </w:p>
        </w:tc>
        <w:tc>
          <w:tcPr>
            <w:tcW w:w="1312" w:type="dxa"/>
            <w:gridSpan w:val="2"/>
            <w:tcBorders>
              <w:top w:val="nil"/>
              <w:left w:val="nil"/>
              <w:bottom w:val="nil"/>
              <w:right w:val="nil"/>
            </w:tcBorders>
            <w:shd w:val="clear" w:color="auto" w:fill="D5ECF5"/>
          </w:tcPr>
          <w:p w14:paraId="7418B520"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2016</w:t>
            </w:r>
          </w:p>
        </w:tc>
      </w:tr>
      <w:tr w:rsidR="00D471AD" w:rsidRPr="008F7EDC" w14:paraId="7418B529"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bottom w:val="nil"/>
              <w:right w:val="nil"/>
            </w:tcBorders>
            <w:shd w:val="clear" w:color="auto" w:fill="E4F3F9"/>
          </w:tcPr>
          <w:p w14:paraId="7418B522"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Global Innovation Index</w:t>
            </w:r>
            <w:r w:rsidRPr="00507B05">
              <w:rPr>
                <w:rFonts w:ascii="Arial Unicode MS" w:eastAsia="Arial Unicode MS" w:hAnsi="Arial Unicode MS" w:cs="Arial Unicode MS"/>
                <w:color w:val="4472C4" w:themeColor="accent5"/>
                <w:sz w:val="14"/>
                <w:szCs w:val="14"/>
              </w:rPr>
              <w:t>¹⁰</w:t>
            </w:r>
          </w:p>
        </w:tc>
        <w:tc>
          <w:tcPr>
            <w:tcW w:w="1485" w:type="dxa"/>
            <w:gridSpan w:val="2"/>
            <w:tcBorders>
              <w:top w:val="nil"/>
              <w:left w:val="nil"/>
              <w:bottom w:val="nil"/>
              <w:right w:val="nil"/>
            </w:tcBorders>
            <w:shd w:val="clear" w:color="auto" w:fill="E4F3F9"/>
          </w:tcPr>
          <w:p w14:paraId="7418B523"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53.1</w:t>
            </w:r>
          </w:p>
        </w:tc>
        <w:tc>
          <w:tcPr>
            <w:tcW w:w="1616" w:type="dxa"/>
            <w:tcBorders>
              <w:top w:val="nil"/>
              <w:left w:val="nil"/>
              <w:bottom w:val="nil"/>
              <w:right w:val="nil"/>
            </w:tcBorders>
            <w:shd w:val="clear" w:color="auto" w:fill="E4F3F9"/>
          </w:tcPr>
          <w:p w14:paraId="7418B524"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50.7</w:t>
            </w:r>
          </w:p>
        </w:tc>
        <w:tc>
          <w:tcPr>
            <w:tcW w:w="1234" w:type="dxa"/>
            <w:tcBorders>
              <w:top w:val="nil"/>
              <w:left w:val="nil"/>
              <w:bottom w:val="nil"/>
              <w:right w:val="nil"/>
            </w:tcBorders>
            <w:shd w:val="clear" w:color="auto" w:fill="E4F3F9"/>
          </w:tcPr>
          <w:p w14:paraId="7418B525"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62.6</w:t>
            </w:r>
          </w:p>
        </w:tc>
        <w:tc>
          <w:tcPr>
            <w:tcW w:w="1460" w:type="dxa"/>
            <w:tcBorders>
              <w:top w:val="nil"/>
              <w:left w:val="nil"/>
              <w:bottom w:val="nil"/>
              <w:right w:val="nil"/>
            </w:tcBorders>
            <w:shd w:val="clear" w:color="auto" w:fill="E4F3F9"/>
          </w:tcPr>
          <w:p w14:paraId="7418B526"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15</w:t>
            </w:r>
          </w:p>
        </w:tc>
        <w:tc>
          <w:tcPr>
            <w:tcW w:w="1312" w:type="dxa"/>
            <w:tcBorders>
              <w:top w:val="nil"/>
              <w:left w:val="nil"/>
              <w:bottom w:val="nil"/>
              <w:right w:val="nil"/>
            </w:tcBorders>
            <w:shd w:val="clear" w:color="auto" w:fill="E4F3F9"/>
          </w:tcPr>
          <w:p w14:paraId="7418B527"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18th of 38</w:t>
            </w:r>
          </w:p>
        </w:tc>
        <w:tc>
          <w:tcPr>
            <w:tcW w:w="1312" w:type="dxa"/>
            <w:gridSpan w:val="2"/>
            <w:tcBorders>
              <w:top w:val="nil"/>
              <w:left w:val="nil"/>
              <w:bottom w:val="nil"/>
              <w:right w:val="nil"/>
            </w:tcBorders>
            <w:shd w:val="clear" w:color="auto" w:fill="E4F3F9"/>
          </w:tcPr>
          <w:p w14:paraId="7418B528"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2016</w:t>
            </w:r>
          </w:p>
        </w:tc>
      </w:tr>
      <w:tr w:rsidR="00D471AD" w:rsidRPr="008F7EDC" w14:paraId="7418B531"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bottom w:val="nil"/>
              <w:right w:val="nil"/>
            </w:tcBorders>
            <w:shd w:val="clear" w:color="auto" w:fill="D5ECF5"/>
          </w:tcPr>
          <w:p w14:paraId="7418B52A"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Non-energy material productivity, GDP per unit of  domestic material consumption (DMC), US$/kg</w:t>
            </w:r>
            <w:r w:rsidRPr="00507B05">
              <w:rPr>
                <w:rFonts w:ascii="Arial Unicode MS" w:eastAsia="Arial Unicode MS" w:hAnsi="Arial Unicode MS" w:cs="Arial Unicode MS"/>
                <w:color w:val="4472C4" w:themeColor="accent5"/>
                <w:sz w:val="14"/>
                <w:szCs w:val="14"/>
              </w:rPr>
              <w:t>¹¹ ¹⁹</w:t>
            </w:r>
          </w:p>
        </w:tc>
        <w:tc>
          <w:tcPr>
            <w:tcW w:w="1485" w:type="dxa"/>
            <w:gridSpan w:val="2"/>
            <w:tcBorders>
              <w:top w:val="nil"/>
              <w:left w:val="nil"/>
              <w:bottom w:val="nil"/>
              <w:right w:val="nil"/>
            </w:tcBorders>
            <w:shd w:val="clear" w:color="auto" w:fill="D5ECF5"/>
          </w:tcPr>
          <w:p w14:paraId="7418B52B"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1.32</w:t>
            </w:r>
          </w:p>
        </w:tc>
        <w:tc>
          <w:tcPr>
            <w:tcW w:w="1616" w:type="dxa"/>
            <w:tcBorders>
              <w:top w:val="nil"/>
              <w:left w:val="nil"/>
              <w:bottom w:val="nil"/>
              <w:right w:val="nil"/>
            </w:tcBorders>
            <w:shd w:val="clear" w:color="auto" w:fill="D5ECF5"/>
          </w:tcPr>
          <w:p w14:paraId="7418B52C"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2.61</w:t>
            </w:r>
          </w:p>
        </w:tc>
        <w:tc>
          <w:tcPr>
            <w:tcW w:w="1234" w:type="dxa"/>
            <w:tcBorders>
              <w:top w:val="nil"/>
              <w:left w:val="nil"/>
              <w:bottom w:val="nil"/>
              <w:right w:val="nil"/>
            </w:tcBorders>
            <w:shd w:val="clear" w:color="auto" w:fill="D5ECF5"/>
          </w:tcPr>
          <w:p w14:paraId="7418B52D"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4.09</w:t>
            </w:r>
          </w:p>
        </w:tc>
        <w:tc>
          <w:tcPr>
            <w:tcW w:w="1460" w:type="dxa"/>
            <w:tcBorders>
              <w:top w:val="nil"/>
              <w:left w:val="nil"/>
              <w:bottom w:val="nil"/>
              <w:right w:val="nil"/>
            </w:tcBorders>
            <w:shd w:val="clear" w:color="auto" w:fill="D5ECF5"/>
          </w:tcPr>
          <w:p w14:paraId="7418B52E"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68</w:t>
            </w:r>
          </w:p>
        </w:tc>
        <w:tc>
          <w:tcPr>
            <w:tcW w:w="1312" w:type="dxa"/>
            <w:tcBorders>
              <w:top w:val="nil"/>
              <w:left w:val="nil"/>
              <w:bottom w:val="nil"/>
              <w:right w:val="nil"/>
            </w:tcBorders>
            <w:shd w:val="clear" w:color="auto" w:fill="D5ECF5"/>
          </w:tcPr>
          <w:p w14:paraId="7418B52F"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13th of 15</w:t>
            </w:r>
          </w:p>
        </w:tc>
        <w:tc>
          <w:tcPr>
            <w:tcW w:w="1312" w:type="dxa"/>
            <w:gridSpan w:val="2"/>
            <w:tcBorders>
              <w:top w:val="nil"/>
              <w:left w:val="nil"/>
              <w:bottom w:val="nil"/>
              <w:right w:val="nil"/>
            </w:tcBorders>
            <w:shd w:val="clear" w:color="auto" w:fill="D5ECF5"/>
          </w:tcPr>
          <w:p w14:paraId="7418B530"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2011</w:t>
            </w:r>
          </w:p>
        </w:tc>
      </w:tr>
      <w:tr w:rsidR="00D471AD" w:rsidRPr="008F7EDC" w14:paraId="7418B539"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bottom w:val="nil"/>
              <w:right w:val="nil"/>
            </w:tcBorders>
            <w:shd w:val="clear" w:color="auto" w:fill="E4F3F9"/>
          </w:tcPr>
          <w:p w14:paraId="7418B532"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Renewable electricity, % total electricity generation</w:t>
            </w:r>
            <w:r w:rsidRPr="00507B05">
              <w:rPr>
                <w:rFonts w:ascii="Arial Unicode MS" w:eastAsia="Arial Unicode MS" w:hAnsi="Arial Unicode MS" w:cs="Arial Unicode MS"/>
                <w:color w:val="4472C4" w:themeColor="accent5"/>
                <w:sz w:val="14"/>
                <w:szCs w:val="14"/>
              </w:rPr>
              <w:t>¹¹</w:t>
            </w:r>
          </w:p>
        </w:tc>
        <w:tc>
          <w:tcPr>
            <w:tcW w:w="1485" w:type="dxa"/>
            <w:gridSpan w:val="2"/>
            <w:tcBorders>
              <w:top w:val="nil"/>
              <w:left w:val="nil"/>
              <w:bottom w:val="nil"/>
              <w:right w:val="nil"/>
            </w:tcBorders>
            <w:shd w:val="clear" w:color="auto" w:fill="E4F3F9"/>
          </w:tcPr>
          <w:p w14:paraId="7418B533"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14.9</w:t>
            </w:r>
          </w:p>
        </w:tc>
        <w:tc>
          <w:tcPr>
            <w:tcW w:w="1616" w:type="dxa"/>
            <w:tcBorders>
              <w:top w:val="nil"/>
              <w:left w:val="nil"/>
              <w:bottom w:val="nil"/>
              <w:right w:val="nil"/>
            </w:tcBorders>
            <w:shd w:val="clear" w:color="auto" w:fill="E4F3F9"/>
          </w:tcPr>
          <w:p w14:paraId="7418B534"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34.1</w:t>
            </w:r>
          </w:p>
        </w:tc>
        <w:tc>
          <w:tcPr>
            <w:tcW w:w="1234" w:type="dxa"/>
            <w:tcBorders>
              <w:top w:val="nil"/>
              <w:left w:val="nil"/>
              <w:bottom w:val="nil"/>
              <w:right w:val="nil"/>
            </w:tcBorders>
            <w:shd w:val="clear" w:color="auto" w:fill="E4F3F9"/>
          </w:tcPr>
          <w:p w14:paraId="7418B535"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84.0</w:t>
            </w:r>
          </w:p>
        </w:tc>
        <w:tc>
          <w:tcPr>
            <w:tcW w:w="1460" w:type="dxa"/>
            <w:tcBorders>
              <w:top w:val="nil"/>
              <w:left w:val="nil"/>
              <w:bottom w:val="nil"/>
              <w:right w:val="nil"/>
            </w:tcBorders>
            <w:shd w:val="clear" w:color="auto" w:fill="E4F3F9"/>
          </w:tcPr>
          <w:p w14:paraId="7418B536"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82</w:t>
            </w:r>
          </w:p>
        </w:tc>
        <w:tc>
          <w:tcPr>
            <w:tcW w:w="1312" w:type="dxa"/>
            <w:tcBorders>
              <w:top w:val="nil"/>
              <w:left w:val="nil"/>
              <w:bottom w:val="nil"/>
              <w:right w:val="nil"/>
            </w:tcBorders>
            <w:shd w:val="clear" w:color="auto" w:fill="E4F3F9"/>
          </w:tcPr>
          <w:p w14:paraId="7418B537"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25th of 34</w:t>
            </w:r>
          </w:p>
        </w:tc>
        <w:tc>
          <w:tcPr>
            <w:tcW w:w="1312" w:type="dxa"/>
            <w:gridSpan w:val="2"/>
            <w:tcBorders>
              <w:top w:val="nil"/>
              <w:left w:val="nil"/>
              <w:bottom w:val="nil"/>
              <w:right w:val="nil"/>
            </w:tcBorders>
            <w:shd w:val="clear" w:color="auto" w:fill="E4F3F9"/>
          </w:tcPr>
          <w:p w14:paraId="7418B538"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2014</w:t>
            </w:r>
          </w:p>
        </w:tc>
      </w:tr>
      <w:tr w:rsidR="00D471AD" w:rsidRPr="008F7EDC" w14:paraId="7418B541"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bottom w:val="nil"/>
              <w:right w:val="nil"/>
            </w:tcBorders>
            <w:shd w:val="clear" w:color="auto" w:fill="D5ECF5"/>
          </w:tcPr>
          <w:p w14:paraId="7418B53A"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Water productivity, total (constant 2010 US$ GDP per cubic meter of total freshwater withdrawal</w:t>
            </w:r>
            <w:r w:rsidRPr="00507B05">
              <w:rPr>
                <w:rFonts w:ascii="Arial" w:eastAsia="Arial" w:hAnsi="Arial" w:cs="Arial"/>
                <w:color w:val="4472C4" w:themeColor="accent5"/>
                <w:sz w:val="14"/>
                <w:szCs w:val="14"/>
              </w:rPr>
              <w:t>)</w:t>
            </w:r>
            <w:r w:rsidRPr="00507B05">
              <w:rPr>
                <w:rFonts w:ascii="Arial Unicode MS" w:eastAsia="Arial Unicode MS" w:hAnsi="Arial Unicode MS" w:cs="Arial Unicode MS"/>
                <w:color w:val="4472C4" w:themeColor="accent5"/>
                <w:sz w:val="14"/>
                <w:szCs w:val="14"/>
              </w:rPr>
              <w:t>¹² ²⁰ ²¹</w:t>
            </w:r>
          </w:p>
        </w:tc>
        <w:tc>
          <w:tcPr>
            <w:tcW w:w="1485" w:type="dxa"/>
            <w:gridSpan w:val="2"/>
            <w:tcBorders>
              <w:top w:val="nil"/>
              <w:left w:val="nil"/>
              <w:bottom w:val="nil"/>
              <w:right w:val="nil"/>
            </w:tcBorders>
            <w:shd w:val="clear" w:color="auto" w:fill="D5ECF5"/>
          </w:tcPr>
          <w:p w14:paraId="7418B53B"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64.4</w:t>
            </w:r>
          </w:p>
        </w:tc>
        <w:tc>
          <w:tcPr>
            <w:tcW w:w="1616" w:type="dxa"/>
            <w:tcBorders>
              <w:top w:val="nil"/>
              <w:left w:val="nil"/>
              <w:bottom w:val="nil"/>
              <w:right w:val="nil"/>
            </w:tcBorders>
            <w:shd w:val="clear" w:color="auto" w:fill="D5ECF5"/>
          </w:tcPr>
          <w:p w14:paraId="7418B53C"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129.5</w:t>
            </w:r>
          </w:p>
        </w:tc>
        <w:tc>
          <w:tcPr>
            <w:tcW w:w="1234" w:type="dxa"/>
            <w:tcBorders>
              <w:top w:val="nil"/>
              <w:left w:val="nil"/>
              <w:bottom w:val="nil"/>
              <w:right w:val="nil"/>
            </w:tcBorders>
            <w:shd w:val="clear" w:color="auto" w:fill="D5ECF5"/>
          </w:tcPr>
          <w:p w14:paraId="7418B53D"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530.8</w:t>
            </w:r>
          </w:p>
        </w:tc>
        <w:tc>
          <w:tcPr>
            <w:tcW w:w="1460" w:type="dxa"/>
            <w:tcBorders>
              <w:top w:val="nil"/>
              <w:left w:val="nil"/>
              <w:bottom w:val="nil"/>
              <w:right w:val="nil"/>
            </w:tcBorders>
            <w:shd w:val="clear" w:color="auto" w:fill="D5ECF5"/>
          </w:tcPr>
          <w:p w14:paraId="7418B53E"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88</w:t>
            </w:r>
          </w:p>
        </w:tc>
        <w:tc>
          <w:tcPr>
            <w:tcW w:w="1312" w:type="dxa"/>
            <w:tcBorders>
              <w:top w:val="nil"/>
              <w:left w:val="nil"/>
              <w:bottom w:val="nil"/>
              <w:right w:val="nil"/>
            </w:tcBorders>
            <w:shd w:val="clear" w:color="auto" w:fill="D5ECF5"/>
          </w:tcPr>
          <w:p w14:paraId="7418B53F"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19th of 36</w:t>
            </w:r>
          </w:p>
        </w:tc>
        <w:tc>
          <w:tcPr>
            <w:tcW w:w="1312" w:type="dxa"/>
            <w:gridSpan w:val="2"/>
            <w:tcBorders>
              <w:top w:val="nil"/>
              <w:left w:val="nil"/>
              <w:bottom w:val="nil"/>
              <w:right w:val="nil"/>
            </w:tcBorders>
            <w:shd w:val="clear" w:color="auto" w:fill="D5ECF5"/>
          </w:tcPr>
          <w:p w14:paraId="7418B540"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2014</w:t>
            </w:r>
          </w:p>
        </w:tc>
      </w:tr>
      <w:tr w:rsidR="00D471AD" w:rsidRPr="008F7EDC" w14:paraId="7418B549"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bottom w:val="nil"/>
              <w:right w:val="nil"/>
            </w:tcBorders>
            <w:shd w:val="clear" w:color="auto" w:fill="E4F3F9"/>
          </w:tcPr>
          <w:p w14:paraId="7418B542"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UNDP Human Development Index</w:t>
            </w:r>
            <w:r w:rsidRPr="00507B05">
              <w:rPr>
                <w:rFonts w:ascii="Arial Unicode MS" w:eastAsia="Arial Unicode MS" w:hAnsi="Arial Unicode MS" w:cs="Arial Unicode MS"/>
                <w:color w:val="4472C4" w:themeColor="accent5"/>
                <w:sz w:val="14"/>
                <w:szCs w:val="14"/>
              </w:rPr>
              <w:t>¹³ ¹⁴ ²² ²³</w:t>
            </w:r>
          </w:p>
        </w:tc>
        <w:tc>
          <w:tcPr>
            <w:tcW w:w="1485" w:type="dxa"/>
            <w:gridSpan w:val="2"/>
            <w:tcBorders>
              <w:top w:val="nil"/>
              <w:left w:val="nil"/>
              <w:bottom w:val="nil"/>
              <w:right w:val="nil"/>
            </w:tcBorders>
            <w:shd w:val="clear" w:color="auto" w:fill="E4F3F9"/>
          </w:tcPr>
          <w:p w14:paraId="7418B543"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0.93</w:t>
            </w:r>
          </w:p>
        </w:tc>
        <w:tc>
          <w:tcPr>
            <w:tcW w:w="1616" w:type="dxa"/>
            <w:tcBorders>
              <w:top w:val="nil"/>
              <w:left w:val="nil"/>
              <w:bottom w:val="nil"/>
              <w:right w:val="nil"/>
            </w:tcBorders>
            <w:shd w:val="clear" w:color="auto" w:fill="E4F3F9"/>
          </w:tcPr>
          <w:p w14:paraId="7418B544"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0.88</w:t>
            </w:r>
          </w:p>
        </w:tc>
        <w:tc>
          <w:tcPr>
            <w:tcW w:w="1234" w:type="dxa"/>
            <w:tcBorders>
              <w:top w:val="nil"/>
              <w:left w:val="nil"/>
              <w:bottom w:val="nil"/>
              <w:right w:val="nil"/>
            </w:tcBorders>
            <w:shd w:val="clear" w:color="auto" w:fill="E4F3F9"/>
          </w:tcPr>
          <w:p w14:paraId="7418B545"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0.93</w:t>
            </w:r>
          </w:p>
        </w:tc>
        <w:tc>
          <w:tcPr>
            <w:tcW w:w="1460" w:type="dxa"/>
            <w:tcBorders>
              <w:top w:val="nil"/>
              <w:left w:val="nil"/>
              <w:bottom w:val="nil"/>
              <w:right w:val="nil"/>
            </w:tcBorders>
            <w:shd w:val="clear" w:color="auto" w:fill="E4F3F9"/>
          </w:tcPr>
          <w:p w14:paraId="7418B546"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no gap</w:t>
            </w:r>
          </w:p>
        </w:tc>
        <w:tc>
          <w:tcPr>
            <w:tcW w:w="1312" w:type="dxa"/>
            <w:tcBorders>
              <w:top w:val="nil"/>
              <w:left w:val="nil"/>
              <w:bottom w:val="nil"/>
              <w:right w:val="nil"/>
            </w:tcBorders>
            <w:shd w:val="clear" w:color="auto" w:fill="E4F3F9"/>
          </w:tcPr>
          <w:p w14:paraId="7418B547"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2nd of 37</w:t>
            </w:r>
          </w:p>
        </w:tc>
        <w:tc>
          <w:tcPr>
            <w:tcW w:w="1312" w:type="dxa"/>
            <w:gridSpan w:val="2"/>
            <w:tcBorders>
              <w:top w:val="nil"/>
              <w:left w:val="nil"/>
              <w:bottom w:val="nil"/>
              <w:right w:val="nil"/>
            </w:tcBorders>
            <w:shd w:val="clear" w:color="auto" w:fill="E4F3F9"/>
          </w:tcPr>
          <w:p w14:paraId="7418B548"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2014</w:t>
            </w:r>
          </w:p>
        </w:tc>
      </w:tr>
      <w:tr w:rsidR="00D471AD" w:rsidRPr="008F7EDC" w14:paraId="7418B551"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bottom w:val="nil"/>
              <w:right w:val="nil"/>
            </w:tcBorders>
            <w:shd w:val="clear" w:color="auto" w:fill="D5ECF5"/>
          </w:tcPr>
          <w:p w14:paraId="7418B54A"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Environmental Performance Index</w:t>
            </w:r>
            <w:r w:rsidRPr="00507B05">
              <w:rPr>
                <w:rFonts w:ascii="Arial Unicode MS" w:eastAsia="Arial Unicode MS" w:hAnsi="Arial Unicode MS" w:cs="Arial Unicode MS"/>
                <w:color w:val="4472C4" w:themeColor="accent5"/>
                <w:sz w:val="14"/>
                <w:szCs w:val="14"/>
              </w:rPr>
              <w:t>¹⁵ ²¹</w:t>
            </w:r>
          </w:p>
        </w:tc>
        <w:tc>
          <w:tcPr>
            <w:tcW w:w="1485" w:type="dxa"/>
            <w:gridSpan w:val="2"/>
            <w:tcBorders>
              <w:top w:val="nil"/>
              <w:left w:val="nil"/>
              <w:bottom w:val="nil"/>
              <w:right w:val="nil"/>
            </w:tcBorders>
            <w:shd w:val="clear" w:color="auto" w:fill="D5ECF5"/>
          </w:tcPr>
          <w:p w14:paraId="7418B54B"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87.2</w:t>
            </w:r>
          </w:p>
        </w:tc>
        <w:tc>
          <w:tcPr>
            <w:tcW w:w="1616" w:type="dxa"/>
            <w:tcBorders>
              <w:top w:val="nil"/>
              <w:left w:val="nil"/>
              <w:bottom w:val="nil"/>
              <w:right w:val="nil"/>
            </w:tcBorders>
            <w:shd w:val="clear" w:color="auto" w:fill="D5ECF5"/>
          </w:tcPr>
          <w:p w14:paraId="7418B54C"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83.8</w:t>
            </w:r>
          </w:p>
        </w:tc>
        <w:tc>
          <w:tcPr>
            <w:tcW w:w="1234" w:type="dxa"/>
            <w:tcBorders>
              <w:top w:val="nil"/>
              <w:left w:val="nil"/>
              <w:bottom w:val="nil"/>
              <w:right w:val="nil"/>
            </w:tcBorders>
            <w:shd w:val="clear" w:color="auto" w:fill="D5ECF5"/>
          </w:tcPr>
          <w:p w14:paraId="7418B54D"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90.0</w:t>
            </w:r>
          </w:p>
        </w:tc>
        <w:tc>
          <w:tcPr>
            <w:tcW w:w="1460" w:type="dxa"/>
            <w:tcBorders>
              <w:top w:val="nil"/>
              <w:left w:val="nil"/>
              <w:bottom w:val="nil"/>
              <w:right w:val="nil"/>
            </w:tcBorders>
            <w:shd w:val="clear" w:color="auto" w:fill="D5ECF5"/>
          </w:tcPr>
          <w:p w14:paraId="7418B54E"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3</w:t>
            </w:r>
          </w:p>
        </w:tc>
        <w:tc>
          <w:tcPr>
            <w:tcW w:w="1312" w:type="dxa"/>
            <w:tcBorders>
              <w:top w:val="nil"/>
              <w:left w:val="nil"/>
              <w:bottom w:val="nil"/>
              <w:right w:val="nil"/>
            </w:tcBorders>
            <w:shd w:val="clear" w:color="auto" w:fill="D5ECF5"/>
          </w:tcPr>
          <w:p w14:paraId="7418B54F"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12th of 38</w:t>
            </w:r>
          </w:p>
        </w:tc>
        <w:tc>
          <w:tcPr>
            <w:tcW w:w="1312" w:type="dxa"/>
            <w:gridSpan w:val="2"/>
            <w:tcBorders>
              <w:top w:val="nil"/>
              <w:left w:val="nil"/>
              <w:bottom w:val="nil"/>
              <w:right w:val="nil"/>
            </w:tcBorders>
            <w:shd w:val="clear" w:color="auto" w:fill="D5ECF5"/>
          </w:tcPr>
          <w:p w14:paraId="7418B550"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2016</w:t>
            </w:r>
          </w:p>
        </w:tc>
      </w:tr>
      <w:tr w:rsidR="00D471AD" w:rsidRPr="008F7EDC" w14:paraId="7418B559"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right w:val="nil"/>
            </w:tcBorders>
            <w:shd w:val="clear" w:color="auto" w:fill="E4F3F9"/>
          </w:tcPr>
          <w:p w14:paraId="7418B552"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Social Progress Index</w:t>
            </w:r>
            <w:r w:rsidRPr="00507B05">
              <w:rPr>
                <w:rFonts w:ascii="Arial Unicode MS" w:eastAsia="Arial Unicode MS" w:hAnsi="Arial Unicode MS" w:cs="Arial Unicode MS"/>
                <w:color w:val="4472C4" w:themeColor="accent5"/>
                <w:sz w:val="14"/>
                <w:szCs w:val="14"/>
              </w:rPr>
              <w:t>¹⁶</w:t>
            </w:r>
          </w:p>
        </w:tc>
        <w:tc>
          <w:tcPr>
            <w:tcW w:w="1485" w:type="dxa"/>
            <w:gridSpan w:val="2"/>
            <w:tcBorders>
              <w:top w:val="nil"/>
              <w:left w:val="nil"/>
              <w:right w:val="nil"/>
            </w:tcBorders>
            <w:shd w:val="clear" w:color="auto" w:fill="E4F3F9"/>
          </w:tcPr>
          <w:p w14:paraId="7418B553"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89.1</w:t>
            </w:r>
          </w:p>
        </w:tc>
        <w:tc>
          <w:tcPr>
            <w:tcW w:w="1616" w:type="dxa"/>
            <w:tcBorders>
              <w:top w:val="nil"/>
              <w:left w:val="nil"/>
              <w:right w:val="nil"/>
            </w:tcBorders>
            <w:shd w:val="clear" w:color="auto" w:fill="E4F3F9"/>
          </w:tcPr>
          <w:p w14:paraId="7418B554"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83.2</w:t>
            </w:r>
          </w:p>
        </w:tc>
        <w:tc>
          <w:tcPr>
            <w:tcW w:w="1234" w:type="dxa"/>
            <w:tcBorders>
              <w:top w:val="nil"/>
              <w:left w:val="nil"/>
              <w:right w:val="nil"/>
            </w:tcBorders>
            <w:shd w:val="clear" w:color="auto" w:fill="E4F3F9"/>
          </w:tcPr>
          <w:p w14:paraId="7418B555"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89.4</w:t>
            </w:r>
          </w:p>
        </w:tc>
        <w:tc>
          <w:tcPr>
            <w:tcW w:w="1460" w:type="dxa"/>
            <w:tcBorders>
              <w:top w:val="nil"/>
              <w:left w:val="nil"/>
              <w:right w:val="nil"/>
            </w:tcBorders>
            <w:shd w:val="clear" w:color="auto" w:fill="E4F3F9"/>
          </w:tcPr>
          <w:p w14:paraId="7418B556"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0</w:t>
            </w:r>
          </w:p>
        </w:tc>
        <w:tc>
          <w:tcPr>
            <w:tcW w:w="1312" w:type="dxa"/>
            <w:tcBorders>
              <w:top w:val="nil"/>
              <w:left w:val="nil"/>
              <w:right w:val="nil"/>
            </w:tcBorders>
            <w:shd w:val="clear" w:color="auto" w:fill="E4F3F9"/>
          </w:tcPr>
          <w:p w14:paraId="7418B557"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4th of 35</w:t>
            </w:r>
          </w:p>
        </w:tc>
        <w:tc>
          <w:tcPr>
            <w:tcW w:w="1312" w:type="dxa"/>
            <w:gridSpan w:val="2"/>
            <w:tcBorders>
              <w:top w:val="nil"/>
              <w:left w:val="nil"/>
              <w:right w:val="nil"/>
            </w:tcBorders>
            <w:shd w:val="clear" w:color="auto" w:fill="E4F3F9"/>
          </w:tcPr>
          <w:p w14:paraId="7418B558"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2016</w:t>
            </w:r>
          </w:p>
        </w:tc>
      </w:tr>
      <w:tr w:rsidR="00D471AD" w:rsidRPr="008F7EDC" w14:paraId="7418B561"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5539" w:type="dxa"/>
            <w:tcBorders>
              <w:top w:val="nil"/>
              <w:left w:val="nil"/>
              <w:bottom w:val="single" w:sz="8" w:space="0" w:color="22789A"/>
              <w:right w:val="nil"/>
            </w:tcBorders>
            <w:shd w:val="clear" w:color="auto" w:fill="D5ECF5"/>
          </w:tcPr>
          <w:p w14:paraId="7418B55A" w14:textId="77777777" w:rsidR="00D471AD" w:rsidRPr="00507B05" w:rsidRDefault="00D471AD" w:rsidP="004A31A9">
            <w:pPr>
              <w:pStyle w:val="TableParagraph"/>
              <w:spacing w:before="50"/>
              <w:ind w:left="91"/>
              <w:contextualSpacing/>
              <w:rPr>
                <w:rFonts w:ascii="Arial" w:hAnsi="Arial" w:cs="Arial"/>
                <w:color w:val="4472C4" w:themeColor="accent5"/>
                <w:sz w:val="14"/>
                <w:szCs w:val="14"/>
              </w:rPr>
            </w:pPr>
            <w:r w:rsidRPr="00507B05">
              <w:rPr>
                <w:rFonts w:ascii="Arial" w:hAnsi="Arial" w:cs="Arial"/>
                <w:color w:val="4472C4" w:themeColor="accent5"/>
                <w:sz w:val="14"/>
                <w:szCs w:val="14"/>
              </w:rPr>
              <w:t>Gini coefficient, score ranges from 0 (perfect equality) to 1 perfect inequality</w:t>
            </w:r>
            <w:r w:rsidRPr="00507B05">
              <w:rPr>
                <w:rFonts w:ascii="Arial" w:eastAsia="Arial" w:hAnsi="Arial" w:cs="Arial"/>
                <w:color w:val="4472C4" w:themeColor="accent5"/>
                <w:sz w:val="14"/>
                <w:szCs w:val="14"/>
              </w:rPr>
              <w:t>)</w:t>
            </w:r>
            <w:r w:rsidRPr="00507B05">
              <w:rPr>
                <w:rFonts w:ascii="Arial Unicode MS" w:eastAsia="Arial Unicode MS" w:hAnsi="Arial Unicode MS" w:cs="Arial Unicode MS"/>
                <w:color w:val="4472C4" w:themeColor="accent5"/>
                <w:sz w:val="14"/>
                <w:szCs w:val="14"/>
              </w:rPr>
              <w:t>¹⁷ ²⁴ ²⁵ ²⁶</w:t>
            </w:r>
          </w:p>
        </w:tc>
        <w:tc>
          <w:tcPr>
            <w:tcW w:w="1485" w:type="dxa"/>
            <w:gridSpan w:val="2"/>
            <w:tcBorders>
              <w:top w:val="nil"/>
              <w:left w:val="nil"/>
              <w:bottom w:val="single" w:sz="8" w:space="0" w:color="22789A"/>
              <w:right w:val="nil"/>
            </w:tcBorders>
            <w:shd w:val="clear" w:color="auto" w:fill="D5ECF5"/>
          </w:tcPr>
          <w:p w14:paraId="7418B55B" w14:textId="77777777" w:rsidR="00D471AD" w:rsidRPr="00507B05" w:rsidRDefault="00D471AD" w:rsidP="004A31A9">
            <w:pPr>
              <w:pStyle w:val="TableParagraph"/>
              <w:spacing w:before="100" w:beforeAutospacing="1"/>
              <w:ind w:left="205"/>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0.326</w:t>
            </w:r>
          </w:p>
        </w:tc>
        <w:tc>
          <w:tcPr>
            <w:tcW w:w="1616" w:type="dxa"/>
            <w:tcBorders>
              <w:top w:val="nil"/>
              <w:left w:val="nil"/>
              <w:bottom w:val="single" w:sz="8" w:space="0" w:color="22789A"/>
              <w:right w:val="nil"/>
            </w:tcBorders>
            <w:shd w:val="clear" w:color="auto" w:fill="D5ECF5"/>
          </w:tcPr>
          <w:p w14:paraId="7418B55C" w14:textId="77777777" w:rsidR="00D471AD" w:rsidRPr="00507B05" w:rsidRDefault="00D471AD" w:rsidP="004A31A9">
            <w:pPr>
              <w:pStyle w:val="TableParagraph"/>
              <w:spacing w:before="100" w:beforeAutospacing="1"/>
              <w:ind w:left="100"/>
              <w:contextualSpacing/>
              <w:jc w:val="right"/>
              <w:rPr>
                <w:rFonts w:ascii="Arial" w:hAnsi="Arial" w:cs="Arial"/>
                <w:color w:val="4472C4" w:themeColor="accent5"/>
                <w:sz w:val="14"/>
                <w:szCs w:val="14"/>
              </w:rPr>
            </w:pPr>
            <w:r w:rsidRPr="00507B05">
              <w:rPr>
                <w:rFonts w:ascii="Arial" w:hAnsi="Arial" w:cs="Arial"/>
                <w:color w:val="4472C4" w:themeColor="accent5"/>
                <w:sz w:val="14"/>
                <w:szCs w:val="14"/>
              </w:rPr>
              <w:t>0.311</w:t>
            </w:r>
          </w:p>
        </w:tc>
        <w:tc>
          <w:tcPr>
            <w:tcW w:w="1234" w:type="dxa"/>
            <w:tcBorders>
              <w:top w:val="nil"/>
              <w:left w:val="nil"/>
              <w:bottom w:val="single" w:sz="8" w:space="0" w:color="22789A"/>
              <w:right w:val="nil"/>
            </w:tcBorders>
            <w:shd w:val="clear" w:color="auto" w:fill="D5ECF5"/>
          </w:tcPr>
          <w:p w14:paraId="7418B55D"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0.252</w:t>
            </w:r>
          </w:p>
        </w:tc>
        <w:tc>
          <w:tcPr>
            <w:tcW w:w="1460" w:type="dxa"/>
            <w:tcBorders>
              <w:top w:val="nil"/>
              <w:left w:val="nil"/>
              <w:bottom w:val="single" w:sz="8" w:space="0" w:color="22789A"/>
              <w:right w:val="nil"/>
            </w:tcBorders>
            <w:shd w:val="clear" w:color="auto" w:fill="D5ECF5"/>
          </w:tcPr>
          <w:p w14:paraId="7418B55E"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30</w:t>
            </w:r>
          </w:p>
        </w:tc>
        <w:tc>
          <w:tcPr>
            <w:tcW w:w="1312" w:type="dxa"/>
            <w:tcBorders>
              <w:top w:val="nil"/>
              <w:left w:val="nil"/>
              <w:bottom w:val="single" w:sz="8" w:space="0" w:color="22789A"/>
              <w:right w:val="nil"/>
            </w:tcBorders>
            <w:shd w:val="clear" w:color="auto" w:fill="D5ECF5"/>
          </w:tcPr>
          <w:p w14:paraId="7418B55F"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21st of 34</w:t>
            </w:r>
          </w:p>
        </w:tc>
        <w:tc>
          <w:tcPr>
            <w:tcW w:w="1312" w:type="dxa"/>
            <w:gridSpan w:val="2"/>
            <w:tcBorders>
              <w:top w:val="nil"/>
              <w:left w:val="nil"/>
              <w:bottom w:val="single" w:sz="8" w:space="0" w:color="22789A"/>
              <w:right w:val="nil"/>
            </w:tcBorders>
            <w:shd w:val="clear" w:color="auto" w:fill="D5ECF5"/>
          </w:tcPr>
          <w:p w14:paraId="7418B560" w14:textId="77777777" w:rsidR="00D471AD" w:rsidRPr="00507B05" w:rsidRDefault="00D471AD" w:rsidP="004A31A9">
            <w:pPr>
              <w:pStyle w:val="NoSpacing"/>
              <w:jc w:val="right"/>
              <w:rPr>
                <w:rFonts w:ascii="Arial" w:hAnsi="Arial" w:cs="Arial"/>
                <w:color w:val="4472C4" w:themeColor="accent5"/>
                <w:sz w:val="14"/>
                <w:szCs w:val="14"/>
              </w:rPr>
            </w:pPr>
            <w:r w:rsidRPr="00507B05">
              <w:rPr>
                <w:rFonts w:ascii="Arial" w:hAnsi="Arial" w:cs="Arial"/>
                <w:color w:val="4472C4" w:themeColor="accent5"/>
                <w:sz w:val="14"/>
                <w:szCs w:val="14"/>
              </w:rPr>
              <w:t>2012</w:t>
            </w:r>
          </w:p>
        </w:tc>
      </w:tr>
    </w:tbl>
    <w:p w14:paraId="7418B562" w14:textId="77777777" w:rsidR="00D471AD" w:rsidRPr="008B33FB" w:rsidRDefault="00D471AD" w:rsidP="00D471AD">
      <w:pPr>
        <w:spacing w:before="120"/>
        <w:rPr>
          <w:rFonts w:cs="Arial"/>
          <w:color w:val="22789A"/>
          <w:sz w:val="16"/>
          <w:szCs w:val="16"/>
        </w:rPr>
      </w:pPr>
      <w:r w:rsidRPr="008B33FB">
        <w:rPr>
          <w:rFonts w:cs="Arial"/>
          <w:color w:val="22789A"/>
          <w:sz w:val="16"/>
          <w:szCs w:val="16"/>
        </w:rPr>
        <w:t>– = data not available</w:t>
      </w:r>
    </w:p>
    <w:p w14:paraId="7418B563" w14:textId="77777777" w:rsidR="00D471AD" w:rsidRPr="008B33FB" w:rsidRDefault="00D471AD" w:rsidP="00D471AD">
      <w:pPr>
        <w:spacing w:before="120" w:after="120"/>
        <w:rPr>
          <w:rFonts w:eastAsia="Times New Roman" w:cs="Arial"/>
          <w:color w:val="22789A"/>
          <w:sz w:val="16"/>
          <w:szCs w:val="16"/>
          <w:lang w:eastAsia="en-AU"/>
        </w:rPr>
      </w:pPr>
      <w:r w:rsidRPr="008B33FB">
        <w:rPr>
          <w:rFonts w:eastAsia="Times New Roman" w:cs="Arial"/>
          <w:b/>
          <w:bCs/>
          <w:i/>
          <w:iCs/>
          <w:color w:val="22789A"/>
          <w:sz w:val="16"/>
          <w:szCs w:val="16"/>
          <w:lang w:eastAsia="en-AU"/>
        </w:rPr>
        <w:t>Table notes</w:t>
      </w:r>
      <w:r w:rsidRPr="008B33FB">
        <w:rPr>
          <w:rFonts w:eastAsia="Times New Roman" w:cs="Arial"/>
          <w:b/>
          <w:bCs/>
          <w:color w:val="22789A"/>
          <w:sz w:val="16"/>
          <w:szCs w:val="16"/>
          <w:lang w:eastAsia="en-AU"/>
        </w:rPr>
        <w:t>:</w:t>
      </w:r>
      <w:r w:rsidRPr="008B33FB">
        <w:rPr>
          <w:rFonts w:eastAsia="Times New Roman" w:cs="Arial"/>
          <w:color w:val="22789A"/>
          <w:sz w:val="16"/>
          <w:szCs w:val="16"/>
          <w:lang w:eastAsia="en-AU"/>
        </w:rPr>
        <w:t xml:space="preserve"> </w:t>
      </w:r>
      <w:r w:rsidRPr="008B33FB">
        <w:rPr>
          <w:rFonts w:eastAsia="Times New Roman" w:cs="Arial"/>
          <w:b/>
          <w:bCs/>
          <w:color w:val="22789A"/>
          <w:sz w:val="16"/>
          <w:szCs w:val="16"/>
          <w:lang w:eastAsia="en-AU"/>
        </w:rPr>
        <w:t>(i)</w:t>
      </w:r>
      <w:r w:rsidRPr="008B33FB">
        <w:rPr>
          <w:rFonts w:eastAsia="Times New Roman" w:cs="Arial"/>
          <w:color w:val="22789A"/>
          <w:sz w:val="16"/>
          <w:szCs w:val="16"/>
          <w:lang w:eastAsia="en-AU"/>
        </w:rPr>
        <w:t xml:space="preserve"> Data are presented in calendar year format. Where the data are in financial years, it is expressed in terms of the year where the financial year begins e.g. 2010–11 is shown as 2010. </w:t>
      </w:r>
      <w:r w:rsidRPr="008B33FB">
        <w:rPr>
          <w:rFonts w:eastAsia="Times New Roman" w:cs="Arial"/>
          <w:b/>
          <w:bCs/>
          <w:color w:val="22789A"/>
          <w:sz w:val="16"/>
          <w:szCs w:val="16"/>
          <w:lang w:eastAsia="en-AU"/>
        </w:rPr>
        <w:t>(ii)</w:t>
      </w:r>
      <w:r w:rsidRPr="008B33FB">
        <w:rPr>
          <w:rFonts w:eastAsia="Times New Roman" w:cs="Arial"/>
          <w:color w:val="22789A"/>
          <w:sz w:val="16"/>
          <w:szCs w:val="16"/>
          <w:lang w:eastAsia="en-AU"/>
        </w:rPr>
        <w:t xml:space="preserve"> OECD+ includes all countries in the OECD, as well as China, Taiwan and Singapore (where data is available).</w:t>
      </w:r>
      <w:r w:rsidRPr="008B33FB">
        <w:rPr>
          <w:rFonts w:eastAsia="Times New Roman" w:cs="Arial"/>
          <w:b/>
          <w:bCs/>
          <w:color w:val="22789A"/>
          <w:sz w:val="16"/>
          <w:szCs w:val="16"/>
          <w:lang w:eastAsia="en-AU"/>
        </w:rPr>
        <w:t xml:space="preserve"> (iii)</w:t>
      </w:r>
      <w:r w:rsidRPr="008B33FB">
        <w:rPr>
          <w:rFonts w:eastAsia="Times New Roman" w:cs="Arial"/>
          <w:color w:val="22789A"/>
          <w:sz w:val="16"/>
          <w:szCs w:val="16"/>
          <w:lang w:eastAsia="en-AU"/>
        </w:rPr>
        <w:t xml:space="preserve"> The ‘Australia’s score’ field presents the Australian values used in the OECD+ comparisons. </w:t>
      </w:r>
      <w:r w:rsidRPr="008B33FB">
        <w:rPr>
          <w:rFonts w:eastAsia="Times New Roman" w:cs="Arial"/>
          <w:b/>
          <w:bCs/>
          <w:color w:val="22789A"/>
          <w:sz w:val="16"/>
          <w:szCs w:val="16"/>
          <w:lang w:eastAsia="en-AU"/>
        </w:rPr>
        <w:t>(iv)</w:t>
      </w:r>
      <w:r w:rsidRPr="008B33FB">
        <w:rPr>
          <w:rFonts w:eastAsia="Times New Roman" w:cs="Arial"/>
          <w:color w:val="22789A"/>
          <w:sz w:val="16"/>
          <w:szCs w:val="16"/>
          <w:lang w:eastAsia="en-AU"/>
        </w:rPr>
        <w:t xml:space="preserve"> This is the arithmetic (simple) average of the OECD+ country scores.</w:t>
      </w:r>
      <w:r w:rsidRPr="008B33FB">
        <w:rPr>
          <w:rFonts w:eastAsia="Times New Roman" w:cs="Arial"/>
          <w:b/>
          <w:bCs/>
          <w:color w:val="22789A"/>
          <w:sz w:val="16"/>
          <w:szCs w:val="16"/>
          <w:lang w:eastAsia="en-AU"/>
        </w:rPr>
        <w:t xml:space="preserve"> (v)</w:t>
      </w:r>
      <w:r w:rsidRPr="008B33FB">
        <w:rPr>
          <w:rFonts w:eastAsia="Times New Roman" w:cs="Arial"/>
          <w:color w:val="22789A"/>
          <w:sz w:val="16"/>
          <w:szCs w:val="16"/>
          <w:lang w:eastAsia="en-AU"/>
        </w:rPr>
        <w:t xml:space="preserve"> This is the median of the OECD+ country scores</w:t>
      </w:r>
      <w:r w:rsidRPr="008B33FB">
        <w:rPr>
          <w:rFonts w:eastAsia="Times New Roman" w:cs="Arial"/>
          <w:b/>
          <w:bCs/>
          <w:color w:val="22789A"/>
          <w:sz w:val="16"/>
          <w:szCs w:val="16"/>
          <w:lang w:eastAsia="en-AU"/>
        </w:rPr>
        <w:t xml:space="preserve"> (vi)</w:t>
      </w:r>
      <w:r w:rsidRPr="008B33FB">
        <w:rPr>
          <w:rFonts w:eastAsia="Times New Roman" w:cs="Arial"/>
          <w:color w:val="22789A"/>
          <w:sz w:val="16"/>
          <w:szCs w:val="16"/>
          <w:lang w:eastAsia="en-AU"/>
        </w:rPr>
        <w:t xml:space="preserve"> This is the arithmetic (simple) average of the top five OECD+ countries in a ranked list. </w:t>
      </w:r>
      <w:r w:rsidRPr="008B33FB">
        <w:rPr>
          <w:rFonts w:eastAsia="Times New Roman" w:cs="Arial"/>
          <w:b/>
          <w:bCs/>
          <w:color w:val="22789A"/>
          <w:sz w:val="16"/>
          <w:szCs w:val="16"/>
          <w:lang w:eastAsia="en-AU"/>
        </w:rPr>
        <w:t>(vii)</w:t>
      </w:r>
      <w:r w:rsidRPr="008B33FB">
        <w:rPr>
          <w:rFonts w:eastAsia="Times New Roman" w:cs="Arial"/>
          <w:color w:val="22789A"/>
          <w:sz w:val="16"/>
          <w:szCs w:val="16"/>
          <w:lang w:eastAsia="en-AU"/>
        </w:rPr>
        <w:t xml:space="preserve"> This represents Australia’s distance from the frontier as defined by the average of the top five ranked OECD+ countries. It is calculated as 100*(Top five average - Australia’s score)/ Top 5 average. Where the solution is a negative value or zero, ‘no gap’ is shown in the cell. </w:t>
      </w:r>
      <w:r w:rsidRPr="008B33FB">
        <w:rPr>
          <w:rFonts w:eastAsia="Times New Roman" w:cs="Arial"/>
          <w:b/>
          <w:bCs/>
          <w:color w:val="22789A"/>
          <w:sz w:val="16"/>
          <w:szCs w:val="16"/>
          <w:lang w:eastAsia="en-AU"/>
        </w:rPr>
        <w:t>(viii)</w:t>
      </w:r>
      <w:r w:rsidRPr="008B33FB">
        <w:rPr>
          <w:rFonts w:eastAsia="Times New Roman" w:cs="Arial"/>
          <w:color w:val="22789A"/>
          <w:sz w:val="16"/>
          <w:szCs w:val="16"/>
          <w:lang w:eastAsia="en-AU"/>
        </w:rPr>
        <w:t xml:space="preserve"> OECD+ rankings are performed on those OECD+ countries for which data are available. Individual data availability may vary between indicators.</w:t>
      </w:r>
    </w:p>
    <w:p w14:paraId="7418B564" w14:textId="77777777" w:rsidR="00D471AD" w:rsidRPr="008B33FB" w:rsidRDefault="00D471AD" w:rsidP="00D471AD">
      <w:pPr>
        <w:spacing w:after="120"/>
        <w:rPr>
          <w:rFonts w:eastAsia="Times New Roman" w:cs="Arial"/>
          <w:color w:val="22789A"/>
          <w:sz w:val="16"/>
          <w:szCs w:val="16"/>
          <w:lang w:eastAsia="en-AU"/>
        </w:rPr>
      </w:pPr>
      <w:r w:rsidRPr="008B33FB">
        <w:rPr>
          <w:rFonts w:eastAsia="Times New Roman" w:cs="Arial"/>
          <w:b/>
          <w:bCs/>
          <w:i/>
          <w:iCs/>
          <w:color w:val="22789A"/>
          <w:sz w:val="16"/>
          <w:szCs w:val="16"/>
          <w:lang w:eastAsia="en-AU"/>
        </w:rPr>
        <w:t>Sources</w:t>
      </w:r>
      <w:r w:rsidRPr="008B33FB">
        <w:rPr>
          <w:rFonts w:eastAsia="Times New Roman" w:cs="Arial"/>
          <w:b/>
          <w:bCs/>
          <w:color w:val="22789A"/>
          <w:sz w:val="16"/>
          <w:szCs w:val="16"/>
          <w:lang w:eastAsia="en-AU"/>
        </w:rPr>
        <w:t xml:space="preserve"> (1 - 17)</w:t>
      </w:r>
      <w:r w:rsidRPr="008B33FB">
        <w:rPr>
          <w:rFonts w:eastAsia="Times New Roman" w:cs="Arial"/>
          <w:color w:val="22789A"/>
          <w:sz w:val="16"/>
          <w:szCs w:val="16"/>
          <w:lang w:eastAsia="en-AU"/>
        </w:rPr>
        <w:t xml:space="preserve">: </w:t>
      </w:r>
      <w:r w:rsidRPr="008B33FB">
        <w:rPr>
          <w:rFonts w:eastAsia="Times New Roman" w:cs="Arial"/>
          <w:b/>
          <w:bCs/>
          <w:color w:val="22789A"/>
          <w:sz w:val="16"/>
          <w:szCs w:val="16"/>
          <w:lang w:eastAsia="en-AU"/>
        </w:rPr>
        <w:t>[1]</w:t>
      </w:r>
      <w:r w:rsidRPr="008B33FB">
        <w:rPr>
          <w:rFonts w:eastAsia="Times New Roman" w:cs="Arial"/>
          <w:color w:val="22789A"/>
          <w:sz w:val="16"/>
          <w:szCs w:val="16"/>
          <w:lang w:eastAsia="en-AU"/>
        </w:rPr>
        <w:t xml:space="preserve"> OECD (2016) GDP per capita and productivity levels, OECD Productivity Statistics (database), 1/06/2016, URL: http://stats.oecd.org/;</w:t>
      </w:r>
      <w:r w:rsidRPr="008B33FB">
        <w:rPr>
          <w:rFonts w:eastAsia="Times New Roman" w:cs="Arial"/>
          <w:b/>
          <w:bCs/>
          <w:color w:val="22789A"/>
          <w:sz w:val="16"/>
          <w:szCs w:val="16"/>
          <w:lang w:eastAsia="en-AU"/>
        </w:rPr>
        <w:t xml:space="preserve"> [2]</w:t>
      </w:r>
      <w:r w:rsidRPr="008B33FB">
        <w:rPr>
          <w:rFonts w:eastAsia="Times New Roman" w:cs="Arial"/>
          <w:color w:val="22789A"/>
          <w:sz w:val="16"/>
          <w:szCs w:val="16"/>
          <w:lang w:eastAsia="en-AU"/>
        </w:rPr>
        <w:t xml:space="preserve"> ABS (2015) Australian System of National Accounts, cat. no. 5204.0, 2014–15, Expenditure on Gross Domestic Product (GDP), URL: http://www.abs.gov.au/; </w:t>
      </w:r>
      <w:r w:rsidRPr="008B33FB">
        <w:rPr>
          <w:rFonts w:eastAsia="Times New Roman" w:cs="Arial"/>
          <w:b/>
          <w:bCs/>
          <w:color w:val="22789A"/>
          <w:sz w:val="16"/>
          <w:szCs w:val="16"/>
          <w:lang w:eastAsia="en-AU"/>
        </w:rPr>
        <w:t>[3]</w:t>
      </w:r>
      <w:r w:rsidRPr="008B33FB">
        <w:rPr>
          <w:rFonts w:eastAsia="Times New Roman" w:cs="Arial"/>
          <w:color w:val="22789A"/>
          <w:sz w:val="16"/>
          <w:szCs w:val="16"/>
          <w:lang w:eastAsia="en-AU"/>
        </w:rPr>
        <w:t xml:space="preserve"> OECD (2016) National Income, 2016, Gross national income, DOI: 10.1787/2fe06aca-en; </w:t>
      </w:r>
      <w:r w:rsidRPr="008B33FB">
        <w:rPr>
          <w:rFonts w:eastAsia="Times New Roman" w:cs="Arial"/>
          <w:b/>
          <w:bCs/>
          <w:color w:val="22789A"/>
          <w:sz w:val="16"/>
          <w:szCs w:val="16"/>
          <w:lang w:eastAsia="en-AU"/>
        </w:rPr>
        <w:t>[4]</w:t>
      </w:r>
      <w:r w:rsidRPr="008B33FB">
        <w:rPr>
          <w:rFonts w:eastAsia="Times New Roman" w:cs="Arial"/>
          <w:color w:val="22789A"/>
          <w:sz w:val="16"/>
          <w:szCs w:val="16"/>
          <w:lang w:eastAsia="en-AU"/>
        </w:rPr>
        <w:t xml:space="preserve"> OECD (2016) Productivity, 2016, Growth in GDP per capita, productivity and ULC, URL: http://stats.oecd.org/; </w:t>
      </w:r>
      <w:r w:rsidRPr="008B33FB">
        <w:rPr>
          <w:rFonts w:eastAsia="Times New Roman" w:cs="Arial"/>
          <w:b/>
          <w:bCs/>
          <w:color w:val="22789A"/>
          <w:sz w:val="16"/>
          <w:szCs w:val="16"/>
          <w:lang w:eastAsia="en-AU"/>
        </w:rPr>
        <w:t>[5]</w:t>
      </w:r>
      <w:r w:rsidRPr="008B33FB">
        <w:rPr>
          <w:rFonts w:eastAsia="Times New Roman" w:cs="Arial"/>
          <w:color w:val="22789A"/>
          <w:sz w:val="16"/>
          <w:szCs w:val="16"/>
          <w:lang w:eastAsia="en-AU"/>
        </w:rPr>
        <w:t xml:space="preserve"> The Heritage Foundation (2014-2016) Index of Economic Freedom, 2014 – 2016, URL: http://www.heritage.org/; </w:t>
      </w:r>
      <w:r w:rsidRPr="008B33FB">
        <w:rPr>
          <w:rFonts w:eastAsia="Times New Roman" w:cs="Arial"/>
          <w:b/>
          <w:bCs/>
          <w:color w:val="22789A"/>
          <w:sz w:val="16"/>
          <w:szCs w:val="16"/>
          <w:lang w:eastAsia="en-AU"/>
        </w:rPr>
        <w:t>[6]</w:t>
      </w:r>
      <w:r w:rsidRPr="008B33FB">
        <w:rPr>
          <w:rFonts w:eastAsia="Times New Roman" w:cs="Arial"/>
          <w:color w:val="22789A"/>
          <w:sz w:val="16"/>
          <w:szCs w:val="16"/>
          <w:lang w:eastAsia="en-AU"/>
        </w:rPr>
        <w:t xml:space="preserve"> IMD (2014–2016) World Competitiveness Online, 2014 – 2016, URL: https://www.worldcompetitiveness.com; </w:t>
      </w:r>
      <w:r w:rsidRPr="008B33FB">
        <w:rPr>
          <w:rFonts w:eastAsia="Times New Roman" w:cs="Arial"/>
          <w:b/>
          <w:bCs/>
          <w:color w:val="22789A"/>
          <w:sz w:val="16"/>
          <w:szCs w:val="16"/>
          <w:lang w:eastAsia="en-AU"/>
        </w:rPr>
        <w:t>[7]</w:t>
      </w:r>
      <w:r w:rsidRPr="008B33FB">
        <w:rPr>
          <w:rFonts w:eastAsia="Times New Roman" w:cs="Arial"/>
          <w:color w:val="22789A"/>
          <w:sz w:val="16"/>
          <w:szCs w:val="16"/>
          <w:lang w:eastAsia="en-AU"/>
        </w:rPr>
        <w:t xml:space="preserve"> Center for International Development at Harvard University (2016) Atlas of Economic Complexity, 2016, URL: http://atlas.cid.harvard.edu/; </w:t>
      </w:r>
      <w:r w:rsidRPr="008B33FB">
        <w:rPr>
          <w:rFonts w:eastAsia="Times New Roman" w:cs="Arial"/>
          <w:b/>
          <w:bCs/>
          <w:color w:val="22789A"/>
          <w:sz w:val="16"/>
          <w:szCs w:val="16"/>
          <w:lang w:eastAsia="en-AU"/>
        </w:rPr>
        <w:t>[8]</w:t>
      </w:r>
      <w:r w:rsidRPr="008B33FB">
        <w:rPr>
          <w:rFonts w:eastAsia="Times New Roman" w:cs="Arial"/>
          <w:color w:val="22789A"/>
          <w:sz w:val="16"/>
          <w:szCs w:val="16"/>
          <w:lang w:eastAsia="en-AU"/>
        </w:rPr>
        <w:t xml:space="preserve"> OECD (2014) Structural Analysis (STAN), 2014, URL: http://stats.oecd.org/; </w:t>
      </w:r>
      <w:r w:rsidRPr="008B33FB">
        <w:rPr>
          <w:rFonts w:eastAsia="Times New Roman" w:cs="Arial"/>
          <w:b/>
          <w:bCs/>
          <w:color w:val="22789A"/>
          <w:sz w:val="16"/>
          <w:szCs w:val="16"/>
          <w:lang w:eastAsia="en-AU"/>
        </w:rPr>
        <w:t>[9]</w:t>
      </w:r>
      <w:r w:rsidRPr="008B33FB">
        <w:rPr>
          <w:rFonts w:eastAsia="Times New Roman" w:cs="Arial"/>
          <w:color w:val="22789A"/>
          <w:sz w:val="16"/>
          <w:szCs w:val="16"/>
          <w:lang w:eastAsia="en-AU"/>
        </w:rPr>
        <w:t xml:space="preserve"> World Economic Forum (2014–2016) Global Competitiveness Index, 2014–15 - 2016–17, URL: http://www.weforum.org/; </w:t>
      </w:r>
      <w:r w:rsidRPr="008B33FB">
        <w:rPr>
          <w:rFonts w:eastAsia="Times New Roman" w:cs="Arial"/>
          <w:b/>
          <w:bCs/>
          <w:color w:val="22789A"/>
          <w:sz w:val="16"/>
          <w:szCs w:val="16"/>
          <w:lang w:eastAsia="en-AU"/>
        </w:rPr>
        <w:t>[10]</w:t>
      </w:r>
      <w:r w:rsidRPr="008B33FB">
        <w:rPr>
          <w:rFonts w:eastAsia="Times New Roman" w:cs="Arial"/>
          <w:color w:val="22789A"/>
          <w:sz w:val="16"/>
          <w:szCs w:val="16"/>
          <w:lang w:eastAsia="en-AU"/>
        </w:rPr>
        <w:t xml:space="preserve"> Cornell University, INSEAD, WIPO (2011–2016) Global Innovation Index, GII 2011–2016, URL: http://www.globalinnovationindex.org; </w:t>
      </w:r>
      <w:r w:rsidRPr="008B33FB">
        <w:rPr>
          <w:rFonts w:eastAsia="Times New Roman" w:cs="Arial"/>
          <w:b/>
          <w:bCs/>
          <w:color w:val="22789A"/>
          <w:sz w:val="16"/>
          <w:szCs w:val="16"/>
          <w:lang w:eastAsia="en-AU"/>
        </w:rPr>
        <w:t>[11]</w:t>
      </w:r>
      <w:r w:rsidRPr="008B33FB">
        <w:rPr>
          <w:rFonts w:eastAsia="Times New Roman" w:cs="Arial"/>
          <w:color w:val="22789A"/>
          <w:sz w:val="16"/>
          <w:szCs w:val="16"/>
          <w:lang w:eastAsia="en-AU"/>
        </w:rPr>
        <w:t xml:space="preserve"> OECD (2016) Green growth indicators, 2016–2, URL: http://www.oecd.org/;</w:t>
      </w:r>
      <w:r w:rsidRPr="008B33FB">
        <w:rPr>
          <w:rFonts w:eastAsia="Times New Roman" w:cs="Arial"/>
          <w:b/>
          <w:bCs/>
          <w:color w:val="22789A"/>
          <w:sz w:val="16"/>
          <w:szCs w:val="16"/>
          <w:lang w:eastAsia="en-AU"/>
        </w:rPr>
        <w:t xml:space="preserve"> [12] </w:t>
      </w:r>
      <w:r w:rsidRPr="008B33FB">
        <w:rPr>
          <w:rFonts w:eastAsia="Times New Roman" w:cs="Arial"/>
          <w:color w:val="22789A"/>
          <w:sz w:val="16"/>
          <w:szCs w:val="16"/>
          <w:lang w:eastAsia="en-AU"/>
        </w:rPr>
        <w:t>World Bank (2014-2016) World Development Indicators, 2014–2016, URL: http://data.worldbank.org/;</w:t>
      </w:r>
      <w:r w:rsidRPr="008B33FB">
        <w:rPr>
          <w:rFonts w:eastAsia="Times New Roman" w:cs="Arial"/>
          <w:b/>
          <w:bCs/>
          <w:color w:val="22789A"/>
          <w:sz w:val="16"/>
          <w:szCs w:val="16"/>
          <w:lang w:eastAsia="en-AU"/>
        </w:rPr>
        <w:t xml:space="preserve"> [13]</w:t>
      </w:r>
      <w:r w:rsidRPr="008B33FB">
        <w:rPr>
          <w:rFonts w:eastAsia="Times New Roman" w:cs="Arial"/>
          <w:color w:val="22789A"/>
          <w:sz w:val="16"/>
          <w:szCs w:val="16"/>
          <w:lang w:eastAsia="en-AU"/>
        </w:rPr>
        <w:t xml:space="preserve"> United Nations Development Programme (2014) Human Development Index, 2014, Table 2: Human Development Index trends, 1980–2013, URL: http://hdr.undp.org/; </w:t>
      </w:r>
      <w:r w:rsidRPr="008B33FB">
        <w:rPr>
          <w:rFonts w:eastAsia="Times New Roman" w:cs="Arial"/>
          <w:b/>
          <w:bCs/>
          <w:color w:val="22789A"/>
          <w:sz w:val="16"/>
          <w:szCs w:val="16"/>
          <w:lang w:eastAsia="en-AU"/>
        </w:rPr>
        <w:t xml:space="preserve">[14] </w:t>
      </w:r>
      <w:r w:rsidRPr="008B33FB">
        <w:rPr>
          <w:rFonts w:eastAsia="Times New Roman" w:cs="Arial"/>
          <w:color w:val="22789A"/>
          <w:sz w:val="16"/>
          <w:szCs w:val="16"/>
          <w:lang w:eastAsia="en-AU"/>
        </w:rPr>
        <w:t xml:space="preserve">United Nations Development Programme (2015) Human Development Index, 2015, URL: http://hdr.undp.org/; </w:t>
      </w:r>
      <w:r w:rsidRPr="008B33FB">
        <w:rPr>
          <w:rFonts w:eastAsia="Times New Roman" w:cs="Arial"/>
          <w:b/>
          <w:bCs/>
          <w:color w:val="22789A"/>
          <w:sz w:val="16"/>
          <w:szCs w:val="16"/>
          <w:lang w:eastAsia="en-AU"/>
        </w:rPr>
        <w:t>[15]</w:t>
      </w:r>
      <w:r w:rsidRPr="008B33FB">
        <w:rPr>
          <w:rFonts w:eastAsia="Times New Roman" w:cs="Arial"/>
          <w:color w:val="22789A"/>
          <w:sz w:val="16"/>
          <w:szCs w:val="16"/>
          <w:lang w:eastAsia="en-AU"/>
        </w:rPr>
        <w:t xml:space="preserve"> Yale University and Columbia University (2014–2016) Environmental Performance Index, 2014–2016, URL: http://epi.yale.edu; </w:t>
      </w:r>
      <w:r w:rsidRPr="008B33FB">
        <w:rPr>
          <w:rFonts w:eastAsia="Times New Roman" w:cs="Arial"/>
          <w:b/>
          <w:bCs/>
          <w:color w:val="22789A"/>
          <w:sz w:val="16"/>
          <w:szCs w:val="16"/>
          <w:lang w:eastAsia="en-AU"/>
        </w:rPr>
        <w:t>[16]</w:t>
      </w:r>
      <w:r w:rsidRPr="008B33FB">
        <w:rPr>
          <w:rFonts w:eastAsia="Times New Roman" w:cs="Arial"/>
          <w:color w:val="22789A"/>
          <w:sz w:val="16"/>
          <w:szCs w:val="16"/>
          <w:lang w:eastAsia="en-AU"/>
        </w:rPr>
        <w:t xml:space="preserve"> Social Progress Imperative (2015–2016) Social Progress Index, 2014–2017, URL: http://www.socialprogressimperative.org/; </w:t>
      </w:r>
      <w:r w:rsidRPr="008B33FB">
        <w:rPr>
          <w:rFonts w:eastAsia="Times New Roman" w:cs="Arial"/>
          <w:b/>
          <w:bCs/>
          <w:color w:val="22789A"/>
          <w:sz w:val="16"/>
          <w:szCs w:val="16"/>
          <w:lang w:eastAsia="en-AU"/>
        </w:rPr>
        <w:t>[17]</w:t>
      </w:r>
      <w:r w:rsidRPr="008B33FB">
        <w:rPr>
          <w:rFonts w:eastAsia="Times New Roman" w:cs="Arial"/>
          <w:color w:val="22789A"/>
          <w:sz w:val="16"/>
          <w:szCs w:val="16"/>
          <w:lang w:eastAsia="en-AU"/>
        </w:rPr>
        <w:t xml:space="preserve"> OECD (2015-2016) Income Distribution and Poverty, 2014–16</w:t>
      </w:r>
    </w:p>
    <w:p w14:paraId="7418B565" w14:textId="77777777" w:rsidR="00D471AD" w:rsidRPr="008B33FB" w:rsidRDefault="00D471AD" w:rsidP="00D471AD">
      <w:pPr>
        <w:spacing w:after="120"/>
        <w:rPr>
          <w:rFonts w:eastAsia="Times New Roman" w:cs="Arial"/>
          <w:i/>
          <w:iCs/>
          <w:color w:val="22789A"/>
          <w:sz w:val="16"/>
          <w:szCs w:val="16"/>
          <w:lang w:eastAsia="en-AU"/>
        </w:rPr>
      </w:pPr>
      <w:r w:rsidRPr="008B33FB">
        <w:rPr>
          <w:rFonts w:eastAsia="Times New Roman" w:cs="Arial"/>
          <w:b/>
          <w:bCs/>
          <w:i/>
          <w:iCs/>
          <w:color w:val="22789A"/>
          <w:sz w:val="16"/>
          <w:szCs w:val="16"/>
          <w:lang w:eastAsia="en-AU"/>
        </w:rPr>
        <w:t>Indicator notes</w:t>
      </w:r>
      <w:r w:rsidRPr="008B33FB">
        <w:rPr>
          <w:rFonts w:eastAsia="Times New Roman" w:cs="Arial"/>
          <w:b/>
          <w:bCs/>
          <w:color w:val="22789A"/>
          <w:sz w:val="16"/>
          <w:szCs w:val="16"/>
          <w:lang w:eastAsia="en-AU"/>
        </w:rPr>
        <w:t xml:space="preserve"> (18 - 26)</w:t>
      </w:r>
      <w:r w:rsidRPr="008B33FB">
        <w:rPr>
          <w:rFonts w:eastAsia="Times New Roman" w:cs="Arial"/>
          <w:color w:val="22789A"/>
          <w:sz w:val="16"/>
          <w:szCs w:val="16"/>
          <w:lang w:eastAsia="en-AU"/>
        </w:rPr>
        <w:t xml:space="preserve">: </w:t>
      </w:r>
      <w:r w:rsidRPr="008B33FB">
        <w:rPr>
          <w:rFonts w:eastAsia="Times New Roman" w:cs="Arial"/>
          <w:b/>
          <w:bCs/>
          <w:color w:val="22789A"/>
          <w:sz w:val="16"/>
          <w:szCs w:val="16"/>
          <w:lang w:eastAsia="en-AU"/>
        </w:rPr>
        <w:t>[18]</w:t>
      </w:r>
      <w:r w:rsidRPr="008B33FB">
        <w:rPr>
          <w:rFonts w:eastAsia="Times New Roman" w:cs="Arial"/>
          <w:color w:val="22789A"/>
          <w:sz w:val="16"/>
          <w:szCs w:val="16"/>
          <w:lang w:eastAsia="en-AU"/>
        </w:rPr>
        <w:t xml:space="preserve"> Series ID A2420912W; series type original; data type derived; collection month is June;</w:t>
      </w:r>
      <w:r w:rsidRPr="008B33FB">
        <w:rPr>
          <w:rFonts w:eastAsia="Times New Roman" w:cs="Arial"/>
          <w:b/>
          <w:bCs/>
          <w:color w:val="22789A"/>
          <w:sz w:val="16"/>
          <w:szCs w:val="16"/>
          <w:lang w:eastAsia="en-AU"/>
        </w:rPr>
        <w:t xml:space="preserve"> [19]</w:t>
      </w:r>
      <w:r w:rsidRPr="008B33FB">
        <w:rPr>
          <w:rFonts w:eastAsia="Times New Roman" w:cs="Arial"/>
          <w:color w:val="22789A"/>
          <w:sz w:val="16"/>
          <w:szCs w:val="16"/>
          <w:lang w:eastAsia="en-AU"/>
        </w:rPr>
        <w:t xml:space="preserve"> Reference year is 2010; </w:t>
      </w:r>
      <w:r w:rsidRPr="008B33FB">
        <w:rPr>
          <w:rFonts w:eastAsia="Times New Roman" w:cs="Arial"/>
          <w:b/>
          <w:bCs/>
          <w:color w:val="22789A"/>
          <w:sz w:val="16"/>
          <w:szCs w:val="16"/>
          <w:lang w:eastAsia="en-AU"/>
        </w:rPr>
        <w:t xml:space="preserve">[20] </w:t>
      </w:r>
      <w:r w:rsidRPr="008B33FB">
        <w:rPr>
          <w:rFonts w:eastAsia="Times New Roman" w:cs="Arial"/>
          <w:color w:val="22789A"/>
          <w:sz w:val="16"/>
          <w:szCs w:val="16"/>
          <w:lang w:eastAsia="en-AU"/>
        </w:rPr>
        <w:t xml:space="preserve">1997 data used in place of 1995 data.; </w:t>
      </w:r>
      <w:r w:rsidRPr="008B33FB">
        <w:rPr>
          <w:rFonts w:eastAsia="Times New Roman" w:cs="Arial"/>
          <w:b/>
          <w:bCs/>
          <w:color w:val="22789A"/>
          <w:sz w:val="16"/>
          <w:szCs w:val="16"/>
          <w:lang w:eastAsia="en-AU"/>
        </w:rPr>
        <w:t>[21]</w:t>
      </w:r>
      <w:r w:rsidRPr="008B33FB">
        <w:rPr>
          <w:rFonts w:eastAsia="Times New Roman" w:cs="Arial"/>
          <w:color w:val="22789A"/>
          <w:sz w:val="16"/>
          <w:szCs w:val="16"/>
          <w:lang w:eastAsia="en-AU"/>
        </w:rPr>
        <w:t xml:space="preserve"> 2002 data used in place of 2000 data.;</w:t>
      </w:r>
      <w:r w:rsidRPr="008B33FB">
        <w:rPr>
          <w:rFonts w:eastAsia="Times New Roman" w:cs="Arial"/>
          <w:b/>
          <w:bCs/>
          <w:color w:val="22789A"/>
          <w:sz w:val="16"/>
          <w:szCs w:val="16"/>
          <w:lang w:eastAsia="en-AU"/>
        </w:rPr>
        <w:t xml:space="preserve"> [22]</w:t>
      </w:r>
      <w:r w:rsidRPr="008B33FB">
        <w:rPr>
          <w:rFonts w:eastAsia="Times New Roman" w:cs="Arial"/>
          <w:color w:val="22789A"/>
          <w:sz w:val="16"/>
          <w:szCs w:val="16"/>
          <w:lang w:eastAsia="en-AU"/>
        </w:rPr>
        <w:t xml:space="preserve"> 1990 data used in place of 1995 data.; </w:t>
      </w:r>
      <w:r w:rsidRPr="008B33FB">
        <w:rPr>
          <w:rFonts w:eastAsia="Times New Roman" w:cs="Arial"/>
          <w:b/>
          <w:bCs/>
          <w:color w:val="22789A"/>
          <w:sz w:val="16"/>
          <w:szCs w:val="16"/>
          <w:lang w:eastAsia="en-AU"/>
        </w:rPr>
        <w:t>[23]</w:t>
      </w:r>
      <w:r w:rsidRPr="008B33FB">
        <w:rPr>
          <w:rFonts w:eastAsia="Times New Roman" w:cs="Arial"/>
          <w:color w:val="22789A"/>
          <w:sz w:val="16"/>
          <w:szCs w:val="16"/>
          <w:lang w:eastAsia="en-AU"/>
        </w:rPr>
        <w:t xml:space="preserve"> See Technical note 1  (http://hdr.undp.org/en) for details on how the HDI is calculated; </w:t>
      </w:r>
      <w:r w:rsidRPr="008B33FB">
        <w:rPr>
          <w:rFonts w:eastAsia="Times New Roman" w:cs="Arial"/>
          <w:b/>
          <w:bCs/>
          <w:color w:val="22789A"/>
          <w:sz w:val="16"/>
          <w:szCs w:val="16"/>
          <w:lang w:eastAsia="en-AU"/>
        </w:rPr>
        <w:t>[24]</w:t>
      </w:r>
      <w:r w:rsidRPr="008B33FB">
        <w:rPr>
          <w:rFonts w:eastAsia="Times New Roman" w:cs="Arial"/>
          <w:color w:val="22789A"/>
          <w:sz w:val="16"/>
          <w:szCs w:val="16"/>
          <w:lang w:eastAsia="en-AU"/>
        </w:rPr>
        <w:t xml:space="preserve"> A lower score is better, gap from the top 5 performers represents absolute gap; </w:t>
      </w:r>
      <w:r w:rsidRPr="008B33FB">
        <w:rPr>
          <w:rFonts w:eastAsia="Times New Roman" w:cs="Arial"/>
          <w:b/>
          <w:bCs/>
          <w:color w:val="22789A"/>
          <w:sz w:val="16"/>
          <w:szCs w:val="16"/>
          <w:lang w:eastAsia="en-AU"/>
        </w:rPr>
        <w:t>[25]</w:t>
      </w:r>
      <w:r w:rsidRPr="008B33FB">
        <w:rPr>
          <w:rFonts w:eastAsia="Times New Roman" w:cs="Arial"/>
          <w:color w:val="22789A"/>
          <w:sz w:val="16"/>
          <w:szCs w:val="16"/>
          <w:lang w:eastAsia="en-AU"/>
        </w:rPr>
        <w:t xml:space="preserve"> Gini (disposable income, post taxes and transfers); </w:t>
      </w:r>
      <w:r w:rsidRPr="008B33FB">
        <w:rPr>
          <w:rFonts w:eastAsia="Times New Roman" w:cs="Arial"/>
          <w:b/>
          <w:bCs/>
          <w:color w:val="22789A"/>
          <w:sz w:val="16"/>
          <w:szCs w:val="16"/>
          <w:lang w:eastAsia="en-AU"/>
        </w:rPr>
        <w:t xml:space="preserve">[26] </w:t>
      </w:r>
      <w:r w:rsidRPr="008B33FB">
        <w:rPr>
          <w:rFonts w:eastAsia="Times New Roman" w:cs="Arial"/>
          <w:color w:val="22789A"/>
          <w:sz w:val="16"/>
          <w:szCs w:val="16"/>
          <w:lang w:eastAsia="en-AU"/>
        </w:rPr>
        <w:t>New income definition since 2012</w:t>
      </w:r>
    </w:p>
    <w:p w14:paraId="7418B566" w14:textId="77777777" w:rsidR="00D471AD" w:rsidRDefault="00D471AD" w:rsidP="00D471AD">
      <w:r>
        <w:br w:type="page"/>
      </w:r>
    </w:p>
    <w:tbl>
      <w:tblPr>
        <w:tblW w:w="5000" w:type="pct"/>
        <w:tblBorders>
          <w:bottom w:val="single" w:sz="4" w:space="0" w:color="auto"/>
        </w:tblBorders>
        <w:tblLook w:val="04A0" w:firstRow="1" w:lastRow="0" w:firstColumn="1" w:lastColumn="0" w:noHBand="0" w:noVBand="1"/>
      </w:tblPr>
      <w:tblGrid>
        <w:gridCol w:w="4309"/>
        <w:gridCol w:w="698"/>
        <w:gridCol w:w="698"/>
        <w:gridCol w:w="698"/>
        <w:gridCol w:w="698"/>
        <w:gridCol w:w="698"/>
        <w:gridCol w:w="698"/>
        <w:gridCol w:w="698"/>
        <w:gridCol w:w="698"/>
        <w:gridCol w:w="698"/>
        <w:gridCol w:w="698"/>
        <w:gridCol w:w="698"/>
        <w:gridCol w:w="698"/>
        <w:gridCol w:w="645"/>
        <w:gridCol w:w="628"/>
      </w:tblGrid>
      <w:tr w:rsidR="00D471AD" w:rsidRPr="008121A7" w14:paraId="7418B568" w14:textId="77777777" w:rsidTr="004A31A9">
        <w:trPr>
          <w:trHeight w:val="300"/>
          <w:tblHeader/>
        </w:trPr>
        <w:tc>
          <w:tcPr>
            <w:tcW w:w="5000" w:type="pct"/>
            <w:gridSpan w:val="15"/>
            <w:tcBorders>
              <w:top w:val="single" w:sz="8" w:space="0" w:color="22789A"/>
              <w:bottom w:val="nil"/>
            </w:tcBorders>
            <w:shd w:val="clear" w:color="auto" w:fill="auto"/>
            <w:vAlign w:val="center"/>
          </w:tcPr>
          <w:p w14:paraId="7418B567" w14:textId="77777777" w:rsidR="00D471AD" w:rsidRPr="008121A7" w:rsidRDefault="00D471AD" w:rsidP="004A31A9">
            <w:pPr>
              <w:widowControl w:val="0"/>
              <w:spacing w:before="42" w:after="0" w:line="240" w:lineRule="auto"/>
              <w:ind w:left="-108"/>
              <w:rPr>
                <w:rFonts w:eastAsia="Calibri" w:hAnsi="Calibri" w:cs="Times New Roman"/>
                <w:i/>
                <w:color w:val="22789A"/>
                <w:spacing w:val="3"/>
                <w:sz w:val="18"/>
                <w:lang w:val="en-US"/>
              </w:rPr>
            </w:pPr>
            <w:r w:rsidRPr="008121A7">
              <w:rPr>
                <w:rFonts w:eastAsia="Calibri" w:hAnsi="Calibri" w:cs="Times New Roman"/>
                <w:i/>
                <w:color w:val="22789A"/>
                <w:spacing w:val="3"/>
                <w:sz w:val="18"/>
                <w:lang w:val="en-US"/>
              </w:rPr>
              <w:t>Table A2(a): Indicators of Australia</w:t>
            </w:r>
            <w:r w:rsidRPr="008121A7">
              <w:rPr>
                <w:rFonts w:eastAsia="Calibri" w:hAnsi="Calibri" w:cs="Times New Roman"/>
                <w:i/>
                <w:color w:val="22789A"/>
                <w:spacing w:val="3"/>
                <w:sz w:val="18"/>
                <w:lang w:val="en-US"/>
              </w:rPr>
              <w:t>’</w:t>
            </w:r>
            <w:r w:rsidRPr="008121A7">
              <w:rPr>
                <w:rFonts w:eastAsia="Calibri" w:hAnsi="Calibri" w:cs="Times New Roman"/>
                <w:i/>
                <w:color w:val="22789A"/>
                <w:spacing w:val="3"/>
                <w:sz w:val="18"/>
                <w:lang w:val="en-US"/>
              </w:rPr>
              <w:t>s innovation and entrepreneurship activity</w:t>
            </w:r>
          </w:p>
        </w:tc>
      </w:tr>
      <w:tr w:rsidR="00D471AD" w:rsidRPr="008121A7" w14:paraId="7418B56A" w14:textId="77777777" w:rsidTr="004A31A9">
        <w:trPr>
          <w:trHeight w:val="300"/>
          <w:tblHeader/>
        </w:trPr>
        <w:tc>
          <w:tcPr>
            <w:tcW w:w="5000" w:type="pct"/>
            <w:gridSpan w:val="15"/>
            <w:tcBorders>
              <w:top w:val="nil"/>
            </w:tcBorders>
            <w:shd w:val="clear" w:color="292B67" w:fill="22789A"/>
            <w:vAlign w:val="center"/>
            <w:hideMark/>
          </w:tcPr>
          <w:p w14:paraId="7418B569" w14:textId="77777777" w:rsidR="00D471AD" w:rsidRPr="008121A7" w:rsidRDefault="00D471AD" w:rsidP="004A31A9">
            <w:pPr>
              <w:widowControl w:val="0"/>
              <w:spacing w:before="42" w:after="0" w:line="240" w:lineRule="auto"/>
              <w:ind w:left="79"/>
              <w:rPr>
                <w:rFonts w:eastAsia="Calibri" w:hAnsi="Calibri" w:cs="Times New Roman"/>
                <w:i/>
                <w:color w:val="FFFFFF"/>
                <w:spacing w:val="3"/>
                <w:sz w:val="18"/>
                <w:lang w:val="en-US"/>
              </w:rPr>
            </w:pPr>
            <w:r w:rsidRPr="008121A7">
              <w:rPr>
                <w:rFonts w:eastAsia="Calibri" w:hAnsi="Calibri" w:cs="Times New Roman"/>
                <w:i/>
                <w:color w:val="FFFFFF"/>
                <w:spacing w:val="3"/>
                <w:sz w:val="18"/>
                <w:lang w:val="en-US"/>
              </w:rPr>
              <w:t>Australian Trend Data (i)</w:t>
            </w:r>
          </w:p>
        </w:tc>
      </w:tr>
      <w:tr w:rsidR="00D471AD" w:rsidRPr="008121A7" w14:paraId="7418B57A" w14:textId="77777777" w:rsidTr="004A31A9">
        <w:trPr>
          <w:trHeight w:val="300"/>
          <w:tblHeader/>
        </w:trPr>
        <w:tc>
          <w:tcPr>
            <w:tcW w:w="1544" w:type="pct"/>
            <w:shd w:val="clear" w:color="auto" w:fill="E4F3F9"/>
            <w:vAlign w:val="center"/>
            <w:hideMark/>
          </w:tcPr>
          <w:p w14:paraId="7418B56B" w14:textId="77777777" w:rsidR="00D471AD" w:rsidRPr="008121A7" w:rsidRDefault="00D471AD" w:rsidP="004A31A9">
            <w:pPr>
              <w:spacing w:after="0" w:line="240" w:lineRule="auto"/>
              <w:rPr>
                <w:rFonts w:eastAsia="Times New Roman" w:cs="Arial"/>
                <w:b/>
                <w:bCs/>
                <w:i/>
                <w:color w:val="7A7B7C"/>
                <w:sz w:val="14"/>
                <w:szCs w:val="14"/>
                <w:lang w:eastAsia="en-AU"/>
              </w:rPr>
            </w:pPr>
            <w:r w:rsidRPr="008121A7">
              <w:rPr>
                <w:rFonts w:eastAsia="Times New Roman" w:cs="Arial"/>
                <w:b/>
                <w:bCs/>
                <w:i/>
                <w:color w:val="7A7B7C"/>
                <w:sz w:val="14"/>
                <w:szCs w:val="14"/>
                <w:lang w:eastAsia="en-AU"/>
              </w:rPr>
              <w:t>Indicators</w:t>
            </w:r>
          </w:p>
        </w:tc>
        <w:tc>
          <w:tcPr>
            <w:tcW w:w="250" w:type="pct"/>
            <w:shd w:val="clear" w:color="auto" w:fill="E4F3F9"/>
            <w:vAlign w:val="center"/>
            <w:hideMark/>
          </w:tcPr>
          <w:p w14:paraId="7418B56C" w14:textId="77777777" w:rsidR="00D471AD" w:rsidRPr="008121A7" w:rsidRDefault="00D471AD" w:rsidP="004A31A9">
            <w:pPr>
              <w:spacing w:after="0" w:line="240" w:lineRule="auto"/>
              <w:jc w:val="right"/>
              <w:rPr>
                <w:rFonts w:eastAsia="Times New Roman" w:cs="Arial"/>
                <w:b/>
                <w:bCs/>
                <w:i/>
                <w:color w:val="7A7B7C"/>
                <w:sz w:val="14"/>
                <w:szCs w:val="14"/>
                <w:lang w:eastAsia="en-AU"/>
              </w:rPr>
            </w:pPr>
            <w:r w:rsidRPr="008121A7">
              <w:rPr>
                <w:rFonts w:eastAsia="Times New Roman" w:cs="Arial"/>
                <w:b/>
                <w:bCs/>
                <w:i/>
                <w:color w:val="7A7B7C"/>
                <w:sz w:val="14"/>
                <w:szCs w:val="14"/>
                <w:lang w:eastAsia="en-AU"/>
              </w:rPr>
              <w:t>1995</w:t>
            </w:r>
          </w:p>
        </w:tc>
        <w:tc>
          <w:tcPr>
            <w:tcW w:w="250" w:type="pct"/>
            <w:shd w:val="clear" w:color="auto" w:fill="E4F3F9"/>
            <w:vAlign w:val="center"/>
            <w:hideMark/>
          </w:tcPr>
          <w:p w14:paraId="7418B56D" w14:textId="77777777" w:rsidR="00D471AD" w:rsidRPr="008121A7" w:rsidRDefault="00D471AD" w:rsidP="004A31A9">
            <w:pPr>
              <w:spacing w:after="0" w:line="240" w:lineRule="auto"/>
              <w:jc w:val="right"/>
              <w:rPr>
                <w:rFonts w:eastAsia="Times New Roman" w:cs="Arial"/>
                <w:b/>
                <w:bCs/>
                <w:i/>
                <w:color w:val="7A7B7C"/>
                <w:sz w:val="14"/>
                <w:szCs w:val="14"/>
                <w:lang w:eastAsia="en-AU"/>
              </w:rPr>
            </w:pPr>
            <w:r w:rsidRPr="008121A7">
              <w:rPr>
                <w:rFonts w:eastAsia="Times New Roman" w:cs="Arial"/>
                <w:b/>
                <w:bCs/>
                <w:i/>
                <w:color w:val="7A7B7C"/>
                <w:sz w:val="14"/>
                <w:szCs w:val="14"/>
                <w:lang w:eastAsia="en-AU"/>
              </w:rPr>
              <w:t>2000</w:t>
            </w:r>
          </w:p>
        </w:tc>
        <w:tc>
          <w:tcPr>
            <w:tcW w:w="250" w:type="pct"/>
            <w:shd w:val="clear" w:color="auto" w:fill="E4F3F9"/>
            <w:vAlign w:val="center"/>
            <w:hideMark/>
          </w:tcPr>
          <w:p w14:paraId="7418B56E" w14:textId="77777777" w:rsidR="00D471AD" w:rsidRPr="008121A7" w:rsidRDefault="00D471AD" w:rsidP="004A31A9">
            <w:pPr>
              <w:spacing w:after="0" w:line="240" w:lineRule="auto"/>
              <w:jc w:val="right"/>
              <w:rPr>
                <w:rFonts w:eastAsia="Times New Roman" w:cs="Arial"/>
                <w:b/>
                <w:bCs/>
                <w:i/>
                <w:color w:val="7A7B7C"/>
                <w:sz w:val="14"/>
                <w:szCs w:val="14"/>
                <w:lang w:eastAsia="en-AU"/>
              </w:rPr>
            </w:pPr>
            <w:r w:rsidRPr="008121A7">
              <w:rPr>
                <w:rFonts w:eastAsia="Times New Roman" w:cs="Arial"/>
                <w:b/>
                <w:bCs/>
                <w:i/>
                <w:color w:val="7A7B7C"/>
                <w:sz w:val="14"/>
                <w:szCs w:val="14"/>
                <w:lang w:eastAsia="en-AU"/>
              </w:rPr>
              <w:t>2005</w:t>
            </w:r>
          </w:p>
        </w:tc>
        <w:tc>
          <w:tcPr>
            <w:tcW w:w="250" w:type="pct"/>
            <w:shd w:val="clear" w:color="auto" w:fill="E4F3F9"/>
            <w:vAlign w:val="center"/>
            <w:hideMark/>
          </w:tcPr>
          <w:p w14:paraId="7418B56F" w14:textId="77777777" w:rsidR="00D471AD" w:rsidRPr="008121A7" w:rsidRDefault="00D471AD" w:rsidP="004A31A9">
            <w:pPr>
              <w:spacing w:after="0" w:line="240" w:lineRule="auto"/>
              <w:jc w:val="right"/>
              <w:rPr>
                <w:rFonts w:eastAsia="Times New Roman" w:cs="Arial"/>
                <w:b/>
                <w:bCs/>
                <w:i/>
                <w:color w:val="7A7B7C"/>
                <w:sz w:val="14"/>
                <w:szCs w:val="14"/>
                <w:lang w:eastAsia="en-AU"/>
              </w:rPr>
            </w:pPr>
            <w:r w:rsidRPr="008121A7">
              <w:rPr>
                <w:rFonts w:eastAsia="Times New Roman" w:cs="Arial"/>
                <w:b/>
                <w:bCs/>
                <w:i/>
                <w:color w:val="7A7B7C"/>
                <w:sz w:val="14"/>
                <w:szCs w:val="14"/>
                <w:lang w:eastAsia="en-AU"/>
              </w:rPr>
              <w:t>2006</w:t>
            </w:r>
          </w:p>
        </w:tc>
        <w:tc>
          <w:tcPr>
            <w:tcW w:w="250" w:type="pct"/>
            <w:shd w:val="clear" w:color="auto" w:fill="E4F3F9"/>
            <w:vAlign w:val="center"/>
            <w:hideMark/>
          </w:tcPr>
          <w:p w14:paraId="7418B570" w14:textId="77777777" w:rsidR="00D471AD" w:rsidRPr="008121A7" w:rsidRDefault="00D471AD" w:rsidP="004A31A9">
            <w:pPr>
              <w:spacing w:after="0" w:line="240" w:lineRule="auto"/>
              <w:jc w:val="right"/>
              <w:rPr>
                <w:rFonts w:eastAsia="Times New Roman" w:cs="Arial"/>
                <w:b/>
                <w:bCs/>
                <w:i/>
                <w:color w:val="7A7B7C"/>
                <w:sz w:val="14"/>
                <w:szCs w:val="14"/>
                <w:lang w:eastAsia="en-AU"/>
              </w:rPr>
            </w:pPr>
            <w:r w:rsidRPr="008121A7">
              <w:rPr>
                <w:rFonts w:eastAsia="Times New Roman" w:cs="Arial"/>
                <w:b/>
                <w:bCs/>
                <w:i/>
                <w:color w:val="7A7B7C"/>
                <w:sz w:val="14"/>
                <w:szCs w:val="14"/>
                <w:lang w:eastAsia="en-AU"/>
              </w:rPr>
              <w:t>2007</w:t>
            </w:r>
          </w:p>
        </w:tc>
        <w:tc>
          <w:tcPr>
            <w:tcW w:w="250" w:type="pct"/>
            <w:shd w:val="clear" w:color="auto" w:fill="E4F3F9"/>
            <w:vAlign w:val="center"/>
            <w:hideMark/>
          </w:tcPr>
          <w:p w14:paraId="7418B571" w14:textId="77777777" w:rsidR="00D471AD" w:rsidRPr="008121A7" w:rsidRDefault="00D471AD" w:rsidP="004A31A9">
            <w:pPr>
              <w:spacing w:after="0" w:line="240" w:lineRule="auto"/>
              <w:jc w:val="right"/>
              <w:rPr>
                <w:rFonts w:eastAsia="Times New Roman" w:cs="Arial"/>
                <w:b/>
                <w:bCs/>
                <w:i/>
                <w:color w:val="7A7B7C"/>
                <w:sz w:val="14"/>
                <w:szCs w:val="14"/>
                <w:lang w:eastAsia="en-AU"/>
              </w:rPr>
            </w:pPr>
            <w:r w:rsidRPr="008121A7">
              <w:rPr>
                <w:rFonts w:eastAsia="Times New Roman" w:cs="Arial"/>
                <w:b/>
                <w:bCs/>
                <w:i/>
                <w:color w:val="7A7B7C"/>
                <w:sz w:val="14"/>
                <w:szCs w:val="14"/>
                <w:lang w:eastAsia="en-AU"/>
              </w:rPr>
              <w:t>2008</w:t>
            </w:r>
          </w:p>
        </w:tc>
        <w:tc>
          <w:tcPr>
            <w:tcW w:w="250" w:type="pct"/>
            <w:shd w:val="clear" w:color="auto" w:fill="E4F3F9"/>
            <w:vAlign w:val="center"/>
            <w:hideMark/>
          </w:tcPr>
          <w:p w14:paraId="7418B572" w14:textId="77777777" w:rsidR="00D471AD" w:rsidRPr="008121A7" w:rsidRDefault="00D471AD" w:rsidP="004A31A9">
            <w:pPr>
              <w:spacing w:after="0" w:line="240" w:lineRule="auto"/>
              <w:jc w:val="right"/>
              <w:rPr>
                <w:rFonts w:eastAsia="Times New Roman" w:cs="Arial"/>
                <w:b/>
                <w:bCs/>
                <w:i/>
                <w:color w:val="7A7B7C"/>
                <w:sz w:val="14"/>
                <w:szCs w:val="14"/>
                <w:lang w:eastAsia="en-AU"/>
              </w:rPr>
            </w:pPr>
            <w:r w:rsidRPr="008121A7">
              <w:rPr>
                <w:rFonts w:eastAsia="Times New Roman" w:cs="Arial"/>
                <w:b/>
                <w:bCs/>
                <w:i/>
                <w:color w:val="7A7B7C"/>
                <w:sz w:val="14"/>
                <w:szCs w:val="14"/>
                <w:lang w:eastAsia="en-AU"/>
              </w:rPr>
              <w:t>2009</w:t>
            </w:r>
          </w:p>
        </w:tc>
        <w:tc>
          <w:tcPr>
            <w:tcW w:w="250" w:type="pct"/>
            <w:shd w:val="clear" w:color="auto" w:fill="E4F3F9"/>
            <w:vAlign w:val="center"/>
            <w:hideMark/>
          </w:tcPr>
          <w:p w14:paraId="7418B573" w14:textId="77777777" w:rsidR="00D471AD" w:rsidRPr="008121A7" w:rsidRDefault="00D471AD" w:rsidP="004A31A9">
            <w:pPr>
              <w:spacing w:after="0" w:line="240" w:lineRule="auto"/>
              <w:jc w:val="right"/>
              <w:rPr>
                <w:rFonts w:eastAsia="Times New Roman" w:cs="Arial"/>
                <w:b/>
                <w:bCs/>
                <w:i/>
                <w:color w:val="7A7B7C"/>
                <w:sz w:val="14"/>
                <w:szCs w:val="14"/>
                <w:lang w:eastAsia="en-AU"/>
              </w:rPr>
            </w:pPr>
            <w:r w:rsidRPr="008121A7">
              <w:rPr>
                <w:rFonts w:eastAsia="Times New Roman" w:cs="Arial"/>
                <w:b/>
                <w:bCs/>
                <w:i/>
                <w:color w:val="7A7B7C"/>
                <w:sz w:val="14"/>
                <w:szCs w:val="14"/>
                <w:lang w:eastAsia="en-AU"/>
              </w:rPr>
              <w:t>2010</w:t>
            </w:r>
          </w:p>
        </w:tc>
        <w:tc>
          <w:tcPr>
            <w:tcW w:w="250" w:type="pct"/>
            <w:shd w:val="clear" w:color="auto" w:fill="E4F3F9"/>
            <w:vAlign w:val="center"/>
            <w:hideMark/>
          </w:tcPr>
          <w:p w14:paraId="7418B574" w14:textId="77777777" w:rsidR="00D471AD" w:rsidRPr="008121A7" w:rsidRDefault="00D471AD" w:rsidP="004A31A9">
            <w:pPr>
              <w:spacing w:after="0" w:line="240" w:lineRule="auto"/>
              <w:jc w:val="right"/>
              <w:rPr>
                <w:rFonts w:eastAsia="Times New Roman" w:cs="Arial"/>
                <w:b/>
                <w:bCs/>
                <w:i/>
                <w:color w:val="7A7B7C"/>
                <w:sz w:val="14"/>
                <w:szCs w:val="14"/>
                <w:lang w:eastAsia="en-AU"/>
              </w:rPr>
            </w:pPr>
            <w:r w:rsidRPr="008121A7">
              <w:rPr>
                <w:rFonts w:eastAsia="Times New Roman" w:cs="Arial"/>
                <w:b/>
                <w:bCs/>
                <w:i/>
                <w:color w:val="7A7B7C"/>
                <w:sz w:val="14"/>
                <w:szCs w:val="14"/>
                <w:lang w:eastAsia="en-AU"/>
              </w:rPr>
              <w:t>2011</w:t>
            </w:r>
          </w:p>
        </w:tc>
        <w:tc>
          <w:tcPr>
            <w:tcW w:w="250" w:type="pct"/>
            <w:shd w:val="clear" w:color="auto" w:fill="E4F3F9"/>
            <w:vAlign w:val="center"/>
            <w:hideMark/>
          </w:tcPr>
          <w:p w14:paraId="7418B575" w14:textId="77777777" w:rsidR="00D471AD" w:rsidRPr="008121A7" w:rsidRDefault="00D471AD" w:rsidP="004A31A9">
            <w:pPr>
              <w:spacing w:after="0" w:line="240" w:lineRule="auto"/>
              <w:jc w:val="right"/>
              <w:rPr>
                <w:rFonts w:eastAsia="Times New Roman" w:cs="Arial"/>
                <w:b/>
                <w:bCs/>
                <w:i/>
                <w:color w:val="7A7B7C"/>
                <w:sz w:val="14"/>
                <w:szCs w:val="14"/>
                <w:lang w:eastAsia="en-AU"/>
              </w:rPr>
            </w:pPr>
            <w:r w:rsidRPr="008121A7">
              <w:rPr>
                <w:rFonts w:eastAsia="Times New Roman" w:cs="Arial"/>
                <w:b/>
                <w:bCs/>
                <w:i/>
                <w:color w:val="7A7B7C"/>
                <w:sz w:val="14"/>
                <w:szCs w:val="14"/>
                <w:lang w:eastAsia="en-AU"/>
              </w:rPr>
              <w:t>2012</w:t>
            </w:r>
          </w:p>
        </w:tc>
        <w:tc>
          <w:tcPr>
            <w:tcW w:w="250" w:type="pct"/>
            <w:shd w:val="clear" w:color="auto" w:fill="E4F3F9"/>
            <w:vAlign w:val="center"/>
            <w:hideMark/>
          </w:tcPr>
          <w:p w14:paraId="7418B576" w14:textId="77777777" w:rsidR="00D471AD" w:rsidRPr="008121A7" w:rsidRDefault="00D471AD" w:rsidP="004A31A9">
            <w:pPr>
              <w:spacing w:after="0" w:line="240" w:lineRule="auto"/>
              <w:jc w:val="right"/>
              <w:rPr>
                <w:rFonts w:eastAsia="Times New Roman" w:cs="Arial"/>
                <w:b/>
                <w:bCs/>
                <w:i/>
                <w:color w:val="7A7B7C"/>
                <w:sz w:val="14"/>
                <w:szCs w:val="14"/>
                <w:lang w:eastAsia="en-AU"/>
              </w:rPr>
            </w:pPr>
            <w:r w:rsidRPr="008121A7">
              <w:rPr>
                <w:rFonts w:eastAsia="Times New Roman" w:cs="Arial"/>
                <w:b/>
                <w:bCs/>
                <w:i/>
                <w:color w:val="7A7B7C"/>
                <w:sz w:val="14"/>
                <w:szCs w:val="14"/>
                <w:lang w:eastAsia="en-AU"/>
              </w:rPr>
              <w:t>2013</w:t>
            </w:r>
          </w:p>
        </w:tc>
        <w:tc>
          <w:tcPr>
            <w:tcW w:w="250" w:type="pct"/>
            <w:shd w:val="clear" w:color="auto" w:fill="E4F3F9"/>
            <w:vAlign w:val="center"/>
            <w:hideMark/>
          </w:tcPr>
          <w:p w14:paraId="7418B577" w14:textId="77777777" w:rsidR="00D471AD" w:rsidRPr="008121A7" w:rsidRDefault="00D471AD" w:rsidP="004A31A9">
            <w:pPr>
              <w:spacing w:after="0" w:line="240" w:lineRule="auto"/>
              <w:jc w:val="right"/>
              <w:rPr>
                <w:rFonts w:eastAsia="Times New Roman" w:cs="Arial"/>
                <w:b/>
                <w:bCs/>
                <w:i/>
                <w:color w:val="7A7B7C"/>
                <w:sz w:val="14"/>
                <w:szCs w:val="14"/>
                <w:lang w:eastAsia="en-AU"/>
              </w:rPr>
            </w:pPr>
            <w:r w:rsidRPr="008121A7">
              <w:rPr>
                <w:rFonts w:eastAsia="Times New Roman" w:cs="Arial"/>
                <w:b/>
                <w:bCs/>
                <w:i/>
                <w:color w:val="7A7B7C"/>
                <w:sz w:val="14"/>
                <w:szCs w:val="14"/>
                <w:lang w:eastAsia="en-AU"/>
              </w:rPr>
              <w:t>2014</w:t>
            </w:r>
          </w:p>
        </w:tc>
        <w:tc>
          <w:tcPr>
            <w:tcW w:w="231" w:type="pct"/>
            <w:shd w:val="clear" w:color="auto" w:fill="E4F3F9"/>
            <w:vAlign w:val="center"/>
            <w:hideMark/>
          </w:tcPr>
          <w:p w14:paraId="7418B578" w14:textId="77777777" w:rsidR="00D471AD" w:rsidRPr="008121A7" w:rsidRDefault="00D471AD" w:rsidP="004A31A9">
            <w:pPr>
              <w:spacing w:after="0" w:line="240" w:lineRule="auto"/>
              <w:jc w:val="right"/>
              <w:rPr>
                <w:rFonts w:eastAsia="Times New Roman" w:cs="Arial"/>
                <w:b/>
                <w:bCs/>
                <w:i/>
                <w:color w:val="7A7B7C"/>
                <w:sz w:val="14"/>
                <w:szCs w:val="14"/>
                <w:lang w:eastAsia="en-AU"/>
              </w:rPr>
            </w:pPr>
            <w:r w:rsidRPr="008121A7">
              <w:rPr>
                <w:rFonts w:eastAsia="Times New Roman" w:cs="Arial"/>
                <w:b/>
                <w:bCs/>
                <w:i/>
                <w:color w:val="7A7B7C"/>
                <w:sz w:val="14"/>
                <w:szCs w:val="14"/>
                <w:lang w:eastAsia="en-AU"/>
              </w:rPr>
              <w:t>2015</w:t>
            </w:r>
          </w:p>
        </w:tc>
        <w:tc>
          <w:tcPr>
            <w:tcW w:w="225" w:type="pct"/>
            <w:shd w:val="clear" w:color="auto" w:fill="E4F3F9"/>
            <w:vAlign w:val="center"/>
            <w:hideMark/>
          </w:tcPr>
          <w:p w14:paraId="7418B579" w14:textId="77777777" w:rsidR="00D471AD" w:rsidRPr="008121A7" w:rsidRDefault="00D471AD" w:rsidP="004A31A9">
            <w:pPr>
              <w:spacing w:after="0" w:line="240" w:lineRule="auto"/>
              <w:jc w:val="right"/>
              <w:rPr>
                <w:rFonts w:eastAsia="Times New Roman" w:cs="Arial"/>
                <w:b/>
                <w:bCs/>
                <w:i/>
                <w:color w:val="7A7B7C"/>
                <w:sz w:val="14"/>
                <w:szCs w:val="14"/>
                <w:lang w:eastAsia="en-AU"/>
              </w:rPr>
            </w:pPr>
            <w:r w:rsidRPr="008121A7">
              <w:rPr>
                <w:rFonts w:eastAsia="Times New Roman" w:cs="Arial"/>
                <w:b/>
                <w:bCs/>
                <w:i/>
                <w:color w:val="7A7B7C"/>
                <w:sz w:val="14"/>
                <w:szCs w:val="14"/>
                <w:lang w:eastAsia="en-AU"/>
              </w:rPr>
              <w:t>2016</w:t>
            </w:r>
          </w:p>
        </w:tc>
      </w:tr>
      <w:tr w:rsidR="00D471AD" w:rsidRPr="008121A7" w14:paraId="7418B58A" w14:textId="77777777" w:rsidTr="004A31A9">
        <w:trPr>
          <w:trHeight w:val="283"/>
        </w:trPr>
        <w:tc>
          <w:tcPr>
            <w:tcW w:w="1544" w:type="pct"/>
            <w:shd w:val="clear" w:color="auto" w:fill="D5ECF5"/>
            <w:vAlign w:val="center"/>
          </w:tcPr>
          <w:p w14:paraId="7418B57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Business expenditure on R&amp;D (BERD), % of GDP</w:t>
            </w:r>
            <w:r w:rsidRPr="008121A7">
              <w:rPr>
                <w:rFonts w:ascii="Arial Unicode MS" w:eastAsia="Arial Unicode MS" w:hAnsi="Arial Unicode MS" w:cs="Arial Unicode MS"/>
                <w:color w:val="7A7B7C"/>
                <w:sz w:val="14"/>
                <w:szCs w:val="14"/>
                <w:lang w:eastAsia="en-AU"/>
              </w:rPr>
              <w:t>¹</w:t>
            </w:r>
          </w:p>
        </w:tc>
        <w:tc>
          <w:tcPr>
            <w:tcW w:w="250" w:type="pct"/>
            <w:shd w:val="clear" w:color="auto" w:fill="D5ECF5"/>
            <w:vAlign w:val="center"/>
          </w:tcPr>
          <w:p w14:paraId="7418B57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0.82</w:t>
            </w:r>
          </w:p>
        </w:tc>
        <w:tc>
          <w:tcPr>
            <w:tcW w:w="250" w:type="pct"/>
            <w:shd w:val="clear" w:color="auto" w:fill="D5ECF5"/>
            <w:vAlign w:val="center"/>
          </w:tcPr>
          <w:p w14:paraId="7418B57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0.71</w:t>
            </w:r>
          </w:p>
        </w:tc>
        <w:tc>
          <w:tcPr>
            <w:tcW w:w="250" w:type="pct"/>
            <w:shd w:val="clear" w:color="auto" w:fill="D5ECF5"/>
            <w:vAlign w:val="center"/>
          </w:tcPr>
          <w:p w14:paraId="7418B57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1.05</w:t>
            </w:r>
          </w:p>
        </w:tc>
        <w:tc>
          <w:tcPr>
            <w:tcW w:w="250" w:type="pct"/>
            <w:shd w:val="clear" w:color="auto" w:fill="D5ECF5"/>
            <w:vAlign w:val="center"/>
          </w:tcPr>
          <w:p w14:paraId="7418B57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1.16</w:t>
            </w:r>
          </w:p>
        </w:tc>
        <w:tc>
          <w:tcPr>
            <w:tcW w:w="250" w:type="pct"/>
            <w:shd w:val="clear" w:color="auto" w:fill="D5ECF5"/>
            <w:vAlign w:val="center"/>
          </w:tcPr>
          <w:p w14:paraId="7418B58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1.28</w:t>
            </w:r>
          </w:p>
        </w:tc>
        <w:tc>
          <w:tcPr>
            <w:tcW w:w="250" w:type="pct"/>
            <w:shd w:val="clear" w:color="auto" w:fill="D5ECF5"/>
            <w:vAlign w:val="center"/>
          </w:tcPr>
          <w:p w14:paraId="7418B58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1.37</w:t>
            </w:r>
          </w:p>
        </w:tc>
        <w:tc>
          <w:tcPr>
            <w:tcW w:w="250" w:type="pct"/>
            <w:shd w:val="clear" w:color="auto" w:fill="D5ECF5"/>
            <w:vAlign w:val="center"/>
          </w:tcPr>
          <w:p w14:paraId="7418B58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1.29</w:t>
            </w:r>
          </w:p>
        </w:tc>
        <w:tc>
          <w:tcPr>
            <w:tcW w:w="250" w:type="pct"/>
            <w:shd w:val="clear" w:color="auto" w:fill="D5ECF5"/>
            <w:vAlign w:val="center"/>
          </w:tcPr>
          <w:p w14:paraId="7418B58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1.28</w:t>
            </w:r>
          </w:p>
        </w:tc>
        <w:tc>
          <w:tcPr>
            <w:tcW w:w="250" w:type="pct"/>
            <w:shd w:val="clear" w:color="auto" w:fill="D5ECF5"/>
            <w:vAlign w:val="center"/>
          </w:tcPr>
          <w:p w14:paraId="7418B58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1.23</w:t>
            </w:r>
          </w:p>
        </w:tc>
        <w:tc>
          <w:tcPr>
            <w:tcW w:w="250" w:type="pct"/>
            <w:shd w:val="clear" w:color="auto" w:fill="D5ECF5"/>
            <w:vAlign w:val="center"/>
          </w:tcPr>
          <w:p w14:paraId="7418B58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58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1.19</w:t>
            </w:r>
          </w:p>
        </w:tc>
        <w:tc>
          <w:tcPr>
            <w:tcW w:w="250" w:type="pct"/>
            <w:shd w:val="clear" w:color="auto" w:fill="D5ECF5"/>
            <w:vAlign w:val="center"/>
          </w:tcPr>
          <w:p w14:paraId="7418B58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D5ECF5"/>
            <w:vAlign w:val="center"/>
          </w:tcPr>
          <w:p w14:paraId="7418B58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D5ECF5"/>
            <w:vAlign w:val="center"/>
          </w:tcPr>
          <w:p w14:paraId="7418B58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59A" w14:textId="77777777" w:rsidTr="004A31A9">
        <w:trPr>
          <w:trHeight w:val="283"/>
        </w:trPr>
        <w:tc>
          <w:tcPr>
            <w:tcW w:w="1544" w:type="pct"/>
            <w:shd w:val="clear" w:color="auto" w:fill="E4F3F9"/>
            <w:vAlign w:val="center"/>
          </w:tcPr>
          <w:p w14:paraId="7418B58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Percentage of Business expenditure on R&amp;D (BERD) financed by government, %</w:t>
            </w:r>
            <w:r w:rsidRPr="008121A7">
              <w:rPr>
                <w:rFonts w:ascii="Arial Unicode MS" w:eastAsia="Arial Unicode MS" w:hAnsi="Arial Unicode MS" w:cs="Arial Unicode MS"/>
                <w:color w:val="7A7B7C"/>
                <w:sz w:val="14"/>
                <w:szCs w:val="14"/>
                <w:lang w:eastAsia="en-AU"/>
              </w:rPr>
              <w:t>¹</w:t>
            </w:r>
          </w:p>
        </w:tc>
        <w:tc>
          <w:tcPr>
            <w:tcW w:w="250" w:type="pct"/>
            <w:shd w:val="clear" w:color="auto" w:fill="E4F3F9"/>
            <w:vAlign w:val="center"/>
          </w:tcPr>
          <w:p w14:paraId="7418B58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2.4</w:t>
            </w:r>
          </w:p>
        </w:tc>
        <w:tc>
          <w:tcPr>
            <w:tcW w:w="250" w:type="pct"/>
            <w:shd w:val="clear" w:color="auto" w:fill="E4F3F9"/>
            <w:vAlign w:val="center"/>
          </w:tcPr>
          <w:p w14:paraId="7418B58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3.8</w:t>
            </w:r>
          </w:p>
        </w:tc>
        <w:tc>
          <w:tcPr>
            <w:tcW w:w="250" w:type="pct"/>
            <w:shd w:val="clear" w:color="auto" w:fill="E4F3F9"/>
            <w:vAlign w:val="center"/>
          </w:tcPr>
          <w:p w14:paraId="7418B58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4.0</w:t>
            </w:r>
          </w:p>
        </w:tc>
        <w:tc>
          <w:tcPr>
            <w:tcW w:w="250" w:type="pct"/>
            <w:shd w:val="clear" w:color="auto" w:fill="E4F3F9"/>
            <w:vAlign w:val="center"/>
          </w:tcPr>
          <w:p w14:paraId="7418B58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3.9</w:t>
            </w:r>
          </w:p>
        </w:tc>
        <w:tc>
          <w:tcPr>
            <w:tcW w:w="250" w:type="pct"/>
            <w:shd w:val="clear" w:color="auto" w:fill="E4F3F9"/>
            <w:vAlign w:val="center"/>
          </w:tcPr>
          <w:p w14:paraId="7418B59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2.8</w:t>
            </w:r>
          </w:p>
        </w:tc>
        <w:tc>
          <w:tcPr>
            <w:tcW w:w="250" w:type="pct"/>
            <w:shd w:val="clear" w:color="auto" w:fill="E4F3F9"/>
            <w:vAlign w:val="center"/>
          </w:tcPr>
          <w:p w14:paraId="7418B59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2.0</w:t>
            </w:r>
          </w:p>
        </w:tc>
        <w:tc>
          <w:tcPr>
            <w:tcW w:w="250" w:type="pct"/>
            <w:shd w:val="clear" w:color="auto" w:fill="E4F3F9"/>
            <w:vAlign w:val="center"/>
          </w:tcPr>
          <w:p w14:paraId="7418B59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2.0</w:t>
            </w:r>
          </w:p>
        </w:tc>
        <w:tc>
          <w:tcPr>
            <w:tcW w:w="250" w:type="pct"/>
            <w:shd w:val="clear" w:color="auto" w:fill="E4F3F9"/>
            <w:vAlign w:val="center"/>
          </w:tcPr>
          <w:p w14:paraId="7418B59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w:t>
            </w:r>
          </w:p>
        </w:tc>
        <w:tc>
          <w:tcPr>
            <w:tcW w:w="250" w:type="pct"/>
            <w:shd w:val="clear" w:color="auto" w:fill="E4F3F9"/>
            <w:vAlign w:val="center"/>
          </w:tcPr>
          <w:p w14:paraId="7418B59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1.9</w:t>
            </w:r>
          </w:p>
        </w:tc>
        <w:tc>
          <w:tcPr>
            <w:tcW w:w="250" w:type="pct"/>
            <w:shd w:val="clear" w:color="auto" w:fill="E4F3F9"/>
            <w:vAlign w:val="center"/>
          </w:tcPr>
          <w:p w14:paraId="7418B59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59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2.1</w:t>
            </w:r>
          </w:p>
        </w:tc>
        <w:tc>
          <w:tcPr>
            <w:tcW w:w="250" w:type="pct"/>
            <w:shd w:val="clear" w:color="auto" w:fill="E4F3F9"/>
            <w:vAlign w:val="center"/>
          </w:tcPr>
          <w:p w14:paraId="7418B59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E4F3F9"/>
            <w:vAlign w:val="center"/>
          </w:tcPr>
          <w:p w14:paraId="7418B59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59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5AA" w14:textId="77777777" w:rsidTr="004A31A9">
        <w:trPr>
          <w:trHeight w:val="283"/>
        </w:trPr>
        <w:tc>
          <w:tcPr>
            <w:tcW w:w="1544" w:type="pct"/>
            <w:shd w:val="clear" w:color="auto" w:fill="D5ECF5"/>
            <w:vAlign w:val="center"/>
          </w:tcPr>
          <w:p w14:paraId="7418B59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Percentage of innovation-active firms, %</w:t>
            </w:r>
            <w:r w:rsidRPr="008121A7">
              <w:rPr>
                <w:rFonts w:ascii="Arial Unicode MS" w:eastAsia="Arial Unicode MS" w:hAnsi="Arial Unicode MS" w:cs="Arial Unicode MS"/>
                <w:color w:val="7A7B7C"/>
                <w:sz w:val="14"/>
                <w:szCs w:val="14"/>
                <w:lang w:eastAsia="en-AU"/>
              </w:rPr>
              <w:t>² ³ ²⁷</w:t>
            </w:r>
          </w:p>
        </w:tc>
        <w:tc>
          <w:tcPr>
            <w:tcW w:w="250" w:type="pct"/>
            <w:shd w:val="clear" w:color="auto" w:fill="D5ECF5"/>
            <w:vAlign w:val="center"/>
          </w:tcPr>
          <w:p w14:paraId="7418B59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59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59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59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37.1</w:t>
            </w:r>
          </w:p>
        </w:tc>
        <w:tc>
          <w:tcPr>
            <w:tcW w:w="250" w:type="pct"/>
            <w:shd w:val="clear" w:color="auto" w:fill="D5ECF5"/>
            <w:vAlign w:val="center"/>
          </w:tcPr>
          <w:p w14:paraId="7418B5A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44.9</w:t>
            </w:r>
          </w:p>
        </w:tc>
        <w:tc>
          <w:tcPr>
            <w:tcW w:w="250" w:type="pct"/>
            <w:shd w:val="clear" w:color="auto" w:fill="D5ECF5"/>
            <w:vAlign w:val="center"/>
          </w:tcPr>
          <w:p w14:paraId="7418B5A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39.8</w:t>
            </w:r>
          </w:p>
        </w:tc>
        <w:tc>
          <w:tcPr>
            <w:tcW w:w="250" w:type="pct"/>
            <w:shd w:val="clear" w:color="auto" w:fill="D5ECF5"/>
            <w:vAlign w:val="center"/>
          </w:tcPr>
          <w:p w14:paraId="7418B5A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43.8</w:t>
            </w:r>
          </w:p>
        </w:tc>
        <w:tc>
          <w:tcPr>
            <w:tcW w:w="250" w:type="pct"/>
            <w:shd w:val="clear" w:color="auto" w:fill="D5ECF5"/>
            <w:vAlign w:val="center"/>
          </w:tcPr>
          <w:p w14:paraId="7418B5A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39.1</w:t>
            </w:r>
          </w:p>
        </w:tc>
        <w:tc>
          <w:tcPr>
            <w:tcW w:w="250" w:type="pct"/>
            <w:shd w:val="clear" w:color="auto" w:fill="D5ECF5"/>
            <w:vAlign w:val="center"/>
          </w:tcPr>
          <w:p w14:paraId="7418B5A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46.6</w:t>
            </w:r>
          </w:p>
        </w:tc>
        <w:tc>
          <w:tcPr>
            <w:tcW w:w="250" w:type="pct"/>
            <w:shd w:val="clear" w:color="auto" w:fill="D5ECF5"/>
            <w:vAlign w:val="center"/>
          </w:tcPr>
          <w:p w14:paraId="7418B5A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42.2</w:t>
            </w:r>
          </w:p>
        </w:tc>
        <w:tc>
          <w:tcPr>
            <w:tcW w:w="250" w:type="pct"/>
            <w:shd w:val="clear" w:color="auto" w:fill="D5ECF5"/>
            <w:vAlign w:val="center"/>
          </w:tcPr>
          <w:p w14:paraId="7418B5A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48.3</w:t>
            </w:r>
          </w:p>
        </w:tc>
        <w:tc>
          <w:tcPr>
            <w:tcW w:w="250" w:type="pct"/>
            <w:shd w:val="clear" w:color="auto" w:fill="D5ECF5"/>
            <w:vAlign w:val="center"/>
          </w:tcPr>
          <w:p w14:paraId="7418B5A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45.0</w:t>
            </w:r>
          </w:p>
        </w:tc>
        <w:tc>
          <w:tcPr>
            <w:tcW w:w="231" w:type="pct"/>
            <w:shd w:val="clear" w:color="auto" w:fill="D5ECF5"/>
            <w:vAlign w:val="center"/>
          </w:tcPr>
          <w:p w14:paraId="7418B5A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D5ECF5"/>
            <w:vAlign w:val="center"/>
          </w:tcPr>
          <w:p w14:paraId="7418B5A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5BA" w14:textId="77777777" w:rsidTr="004A31A9">
        <w:trPr>
          <w:trHeight w:val="283"/>
        </w:trPr>
        <w:tc>
          <w:tcPr>
            <w:tcW w:w="1544" w:type="pct"/>
            <w:shd w:val="clear" w:color="auto" w:fill="E4F3F9"/>
            <w:vAlign w:val="center"/>
          </w:tcPr>
          <w:p w14:paraId="7418B5A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Percentage of innovation-active SME firms, %</w:t>
            </w:r>
            <w:r w:rsidRPr="008121A7">
              <w:rPr>
                <w:rFonts w:ascii="Arial Unicode MS" w:eastAsia="Arial Unicode MS" w:hAnsi="Arial Unicode MS" w:cs="Arial Unicode MS"/>
                <w:color w:val="7A7B7C"/>
                <w:sz w:val="14"/>
                <w:szCs w:val="14"/>
                <w:lang w:eastAsia="en-AU"/>
              </w:rPr>
              <w:t>⁴ ²⁸</w:t>
            </w:r>
          </w:p>
        </w:tc>
        <w:tc>
          <w:tcPr>
            <w:tcW w:w="250" w:type="pct"/>
            <w:shd w:val="clear" w:color="auto" w:fill="E4F3F9"/>
            <w:vAlign w:val="center"/>
          </w:tcPr>
          <w:p w14:paraId="7418B5A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5A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5A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36.7</w:t>
            </w:r>
          </w:p>
        </w:tc>
        <w:tc>
          <w:tcPr>
            <w:tcW w:w="250" w:type="pct"/>
            <w:shd w:val="clear" w:color="auto" w:fill="E4F3F9"/>
            <w:vAlign w:val="center"/>
          </w:tcPr>
          <w:p w14:paraId="7418B5A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5B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5B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39.7</w:t>
            </w:r>
          </w:p>
        </w:tc>
        <w:tc>
          <w:tcPr>
            <w:tcW w:w="250" w:type="pct"/>
            <w:shd w:val="clear" w:color="auto" w:fill="E4F3F9"/>
            <w:vAlign w:val="center"/>
          </w:tcPr>
          <w:p w14:paraId="7418B5B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43.7</w:t>
            </w:r>
          </w:p>
        </w:tc>
        <w:tc>
          <w:tcPr>
            <w:tcW w:w="250" w:type="pct"/>
            <w:shd w:val="clear" w:color="auto" w:fill="E4F3F9"/>
            <w:vAlign w:val="center"/>
          </w:tcPr>
          <w:p w14:paraId="7418B5B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38.9</w:t>
            </w:r>
          </w:p>
        </w:tc>
        <w:tc>
          <w:tcPr>
            <w:tcW w:w="250" w:type="pct"/>
            <w:shd w:val="clear" w:color="auto" w:fill="E4F3F9"/>
            <w:vAlign w:val="center"/>
          </w:tcPr>
          <w:p w14:paraId="7418B5B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46.6</w:t>
            </w:r>
          </w:p>
        </w:tc>
        <w:tc>
          <w:tcPr>
            <w:tcW w:w="250" w:type="pct"/>
            <w:shd w:val="clear" w:color="auto" w:fill="E4F3F9"/>
            <w:vAlign w:val="center"/>
          </w:tcPr>
          <w:p w14:paraId="7418B5B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42.0</w:t>
            </w:r>
          </w:p>
        </w:tc>
        <w:tc>
          <w:tcPr>
            <w:tcW w:w="250" w:type="pct"/>
            <w:shd w:val="clear" w:color="auto" w:fill="E4F3F9"/>
            <w:vAlign w:val="center"/>
          </w:tcPr>
          <w:p w14:paraId="7418B5B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48.1</w:t>
            </w:r>
          </w:p>
        </w:tc>
        <w:tc>
          <w:tcPr>
            <w:tcW w:w="250" w:type="pct"/>
            <w:shd w:val="clear" w:color="auto" w:fill="E4F3F9"/>
            <w:vAlign w:val="center"/>
          </w:tcPr>
          <w:p w14:paraId="7418B5B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E4F3F9"/>
            <w:vAlign w:val="center"/>
          </w:tcPr>
          <w:p w14:paraId="7418B5B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5B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5CA" w14:textId="77777777" w:rsidTr="004A31A9">
        <w:trPr>
          <w:trHeight w:val="283"/>
        </w:trPr>
        <w:tc>
          <w:tcPr>
            <w:tcW w:w="1544" w:type="pct"/>
            <w:shd w:val="clear" w:color="auto" w:fill="D5ECF5"/>
            <w:vAlign w:val="center"/>
          </w:tcPr>
          <w:p w14:paraId="7418B5B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Percentage of innovation-active large firms, %</w:t>
            </w:r>
            <w:r w:rsidRPr="008121A7">
              <w:rPr>
                <w:rFonts w:ascii="Arial Unicode MS" w:eastAsia="Arial Unicode MS" w:hAnsi="Arial Unicode MS" w:cs="Arial Unicode MS"/>
                <w:color w:val="7A7B7C"/>
                <w:sz w:val="14"/>
                <w:szCs w:val="14"/>
                <w:lang w:eastAsia="en-AU"/>
              </w:rPr>
              <w:t>² ³ ⁴ ⁵ ⁶ ²⁹</w:t>
            </w:r>
          </w:p>
        </w:tc>
        <w:tc>
          <w:tcPr>
            <w:tcW w:w="250" w:type="pct"/>
            <w:shd w:val="clear" w:color="auto" w:fill="D5ECF5"/>
            <w:vAlign w:val="center"/>
          </w:tcPr>
          <w:p w14:paraId="7418B5B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5B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5B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5B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66.2</w:t>
            </w:r>
          </w:p>
        </w:tc>
        <w:tc>
          <w:tcPr>
            <w:tcW w:w="250" w:type="pct"/>
            <w:shd w:val="clear" w:color="auto" w:fill="D5ECF5"/>
            <w:vAlign w:val="center"/>
          </w:tcPr>
          <w:p w14:paraId="7418B5C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70.8</w:t>
            </w:r>
          </w:p>
        </w:tc>
        <w:tc>
          <w:tcPr>
            <w:tcW w:w="250" w:type="pct"/>
            <w:shd w:val="clear" w:color="auto" w:fill="D5ECF5"/>
            <w:vAlign w:val="center"/>
          </w:tcPr>
          <w:p w14:paraId="7418B5C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66.7</w:t>
            </w:r>
          </w:p>
        </w:tc>
        <w:tc>
          <w:tcPr>
            <w:tcW w:w="250" w:type="pct"/>
            <w:shd w:val="clear" w:color="auto" w:fill="D5ECF5"/>
            <w:vAlign w:val="center"/>
          </w:tcPr>
          <w:p w14:paraId="7418B5C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74.3</w:t>
            </w:r>
          </w:p>
        </w:tc>
        <w:tc>
          <w:tcPr>
            <w:tcW w:w="250" w:type="pct"/>
            <w:shd w:val="clear" w:color="auto" w:fill="D5ECF5"/>
            <w:vAlign w:val="center"/>
          </w:tcPr>
          <w:p w14:paraId="7418B5C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65.9</w:t>
            </w:r>
          </w:p>
        </w:tc>
        <w:tc>
          <w:tcPr>
            <w:tcW w:w="250" w:type="pct"/>
            <w:shd w:val="clear" w:color="auto" w:fill="D5ECF5"/>
            <w:vAlign w:val="center"/>
          </w:tcPr>
          <w:p w14:paraId="7418B5C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76.0</w:t>
            </w:r>
          </w:p>
        </w:tc>
        <w:tc>
          <w:tcPr>
            <w:tcW w:w="250" w:type="pct"/>
            <w:shd w:val="clear" w:color="auto" w:fill="D5ECF5"/>
            <w:vAlign w:val="center"/>
          </w:tcPr>
          <w:p w14:paraId="7418B5C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74.3</w:t>
            </w:r>
          </w:p>
        </w:tc>
        <w:tc>
          <w:tcPr>
            <w:tcW w:w="250" w:type="pct"/>
            <w:shd w:val="clear" w:color="auto" w:fill="D5ECF5"/>
            <w:vAlign w:val="center"/>
          </w:tcPr>
          <w:p w14:paraId="7418B5C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79.5</w:t>
            </w:r>
          </w:p>
        </w:tc>
        <w:tc>
          <w:tcPr>
            <w:tcW w:w="250" w:type="pct"/>
            <w:shd w:val="clear" w:color="auto" w:fill="D5ECF5"/>
            <w:vAlign w:val="center"/>
          </w:tcPr>
          <w:p w14:paraId="7418B5C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73.3</w:t>
            </w:r>
          </w:p>
        </w:tc>
        <w:tc>
          <w:tcPr>
            <w:tcW w:w="231" w:type="pct"/>
            <w:shd w:val="clear" w:color="auto" w:fill="D5ECF5"/>
            <w:vAlign w:val="center"/>
          </w:tcPr>
          <w:p w14:paraId="7418B5C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D5ECF5"/>
            <w:vAlign w:val="center"/>
          </w:tcPr>
          <w:p w14:paraId="7418B5C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5DA" w14:textId="77777777" w:rsidTr="004A31A9">
        <w:trPr>
          <w:trHeight w:val="454"/>
        </w:trPr>
        <w:tc>
          <w:tcPr>
            <w:tcW w:w="1544" w:type="pct"/>
            <w:shd w:val="clear" w:color="auto" w:fill="E4F3F9"/>
            <w:vAlign w:val="center"/>
          </w:tcPr>
          <w:p w14:paraId="7418B5C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Proportion of businesses introducing goods or services innovation, %</w:t>
            </w:r>
            <w:r w:rsidRPr="008121A7">
              <w:rPr>
                <w:rFonts w:ascii="Arial Unicode MS" w:eastAsia="Arial Unicode MS" w:hAnsi="Arial Unicode MS" w:cs="Arial Unicode MS"/>
                <w:color w:val="7A7B7C"/>
                <w:sz w:val="14"/>
                <w:szCs w:val="14"/>
                <w:lang w:eastAsia="en-AU"/>
              </w:rPr>
              <w:t>³ ⁷ ⁸ ³⁰ ³¹</w:t>
            </w:r>
          </w:p>
        </w:tc>
        <w:tc>
          <w:tcPr>
            <w:tcW w:w="250" w:type="pct"/>
            <w:shd w:val="clear" w:color="auto" w:fill="E4F3F9"/>
            <w:vAlign w:val="center"/>
          </w:tcPr>
          <w:p w14:paraId="7418B5C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5C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5C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19.3</w:t>
            </w:r>
          </w:p>
        </w:tc>
        <w:tc>
          <w:tcPr>
            <w:tcW w:w="250" w:type="pct"/>
            <w:shd w:val="clear" w:color="auto" w:fill="E4F3F9"/>
            <w:vAlign w:val="center"/>
          </w:tcPr>
          <w:p w14:paraId="7418B5C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18.4</w:t>
            </w:r>
          </w:p>
        </w:tc>
        <w:tc>
          <w:tcPr>
            <w:tcW w:w="250" w:type="pct"/>
            <w:shd w:val="clear" w:color="auto" w:fill="E4F3F9"/>
            <w:vAlign w:val="center"/>
          </w:tcPr>
          <w:p w14:paraId="7418B5D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21.9</w:t>
            </w:r>
          </w:p>
        </w:tc>
        <w:tc>
          <w:tcPr>
            <w:tcW w:w="250" w:type="pct"/>
            <w:shd w:val="clear" w:color="auto" w:fill="E4F3F9"/>
            <w:vAlign w:val="center"/>
          </w:tcPr>
          <w:p w14:paraId="7418B5D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18.2</w:t>
            </w:r>
          </w:p>
        </w:tc>
        <w:tc>
          <w:tcPr>
            <w:tcW w:w="250" w:type="pct"/>
            <w:shd w:val="clear" w:color="auto" w:fill="E4F3F9"/>
            <w:vAlign w:val="center"/>
          </w:tcPr>
          <w:p w14:paraId="7418B5D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19.8</w:t>
            </w:r>
          </w:p>
        </w:tc>
        <w:tc>
          <w:tcPr>
            <w:tcW w:w="250" w:type="pct"/>
            <w:shd w:val="clear" w:color="auto" w:fill="E4F3F9"/>
            <w:vAlign w:val="center"/>
          </w:tcPr>
          <w:p w14:paraId="7418B5D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17.3</w:t>
            </w:r>
          </w:p>
        </w:tc>
        <w:tc>
          <w:tcPr>
            <w:tcW w:w="250" w:type="pct"/>
            <w:shd w:val="clear" w:color="auto" w:fill="E4F3F9"/>
            <w:vAlign w:val="center"/>
          </w:tcPr>
          <w:p w14:paraId="7418B5D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20.4</w:t>
            </w:r>
          </w:p>
        </w:tc>
        <w:tc>
          <w:tcPr>
            <w:tcW w:w="250" w:type="pct"/>
            <w:shd w:val="clear" w:color="auto" w:fill="E4F3F9"/>
            <w:vAlign w:val="center"/>
          </w:tcPr>
          <w:p w14:paraId="7418B5D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20.0</w:t>
            </w:r>
          </w:p>
        </w:tc>
        <w:tc>
          <w:tcPr>
            <w:tcW w:w="250" w:type="pct"/>
            <w:shd w:val="clear" w:color="auto" w:fill="E4F3F9"/>
            <w:vAlign w:val="center"/>
          </w:tcPr>
          <w:p w14:paraId="7418B5D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24.1</w:t>
            </w:r>
          </w:p>
        </w:tc>
        <w:tc>
          <w:tcPr>
            <w:tcW w:w="250" w:type="pct"/>
            <w:shd w:val="clear" w:color="auto" w:fill="E4F3F9"/>
            <w:vAlign w:val="center"/>
          </w:tcPr>
          <w:p w14:paraId="7418B5D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19.3</w:t>
            </w:r>
          </w:p>
        </w:tc>
        <w:tc>
          <w:tcPr>
            <w:tcW w:w="231" w:type="pct"/>
            <w:shd w:val="clear" w:color="auto" w:fill="E4F3F9"/>
            <w:vAlign w:val="center"/>
          </w:tcPr>
          <w:p w14:paraId="7418B5D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5D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5EA" w14:textId="77777777" w:rsidTr="004A31A9">
        <w:trPr>
          <w:trHeight w:val="454"/>
        </w:trPr>
        <w:tc>
          <w:tcPr>
            <w:tcW w:w="1544" w:type="pct"/>
            <w:shd w:val="clear" w:color="auto" w:fill="D5ECF5"/>
            <w:vAlign w:val="center"/>
          </w:tcPr>
          <w:p w14:paraId="7418B5D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Proportion of businesses introducing operational/ process innovation, %</w:t>
            </w:r>
            <w:r w:rsidRPr="008121A7">
              <w:rPr>
                <w:rFonts w:ascii="Arial Unicode MS" w:eastAsia="Arial Unicode MS" w:hAnsi="Arial Unicode MS" w:cs="Arial Unicode MS"/>
                <w:color w:val="7A7B7C"/>
                <w:sz w:val="14"/>
                <w:szCs w:val="14"/>
                <w:lang w:eastAsia="en-AU"/>
              </w:rPr>
              <w:t>³ ⁷ ⁹ ³⁰ ³¹</w:t>
            </w:r>
          </w:p>
        </w:tc>
        <w:tc>
          <w:tcPr>
            <w:tcW w:w="250" w:type="pct"/>
            <w:shd w:val="clear" w:color="auto" w:fill="D5ECF5"/>
            <w:vAlign w:val="center"/>
          </w:tcPr>
          <w:p w14:paraId="7418B5D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5D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5D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20.8</w:t>
            </w:r>
          </w:p>
        </w:tc>
        <w:tc>
          <w:tcPr>
            <w:tcW w:w="250" w:type="pct"/>
            <w:shd w:val="clear" w:color="auto" w:fill="D5ECF5"/>
            <w:vAlign w:val="center"/>
          </w:tcPr>
          <w:p w14:paraId="7418B5D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16.9</w:t>
            </w:r>
          </w:p>
        </w:tc>
        <w:tc>
          <w:tcPr>
            <w:tcW w:w="250" w:type="pct"/>
            <w:shd w:val="clear" w:color="auto" w:fill="D5ECF5"/>
            <w:vAlign w:val="center"/>
          </w:tcPr>
          <w:p w14:paraId="7418B5E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17.6</w:t>
            </w:r>
          </w:p>
        </w:tc>
        <w:tc>
          <w:tcPr>
            <w:tcW w:w="250" w:type="pct"/>
            <w:shd w:val="clear" w:color="auto" w:fill="D5ECF5"/>
            <w:vAlign w:val="center"/>
          </w:tcPr>
          <w:p w14:paraId="7418B5E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16.3</w:t>
            </w:r>
          </w:p>
        </w:tc>
        <w:tc>
          <w:tcPr>
            <w:tcW w:w="250" w:type="pct"/>
            <w:shd w:val="clear" w:color="auto" w:fill="D5ECF5"/>
            <w:vAlign w:val="center"/>
          </w:tcPr>
          <w:p w14:paraId="7418B5E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16.9</w:t>
            </w:r>
          </w:p>
        </w:tc>
        <w:tc>
          <w:tcPr>
            <w:tcW w:w="250" w:type="pct"/>
            <w:shd w:val="clear" w:color="auto" w:fill="D5ECF5"/>
            <w:vAlign w:val="center"/>
          </w:tcPr>
          <w:p w14:paraId="7418B5E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16.4</w:t>
            </w:r>
          </w:p>
        </w:tc>
        <w:tc>
          <w:tcPr>
            <w:tcW w:w="250" w:type="pct"/>
            <w:shd w:val="clear" w:color="auto" w:fill="D5ECF5"/>
            <w:vAlign w:val="center"/>
          </w:tcPr>
          <w:p w14:paraId="7418B5E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19.1</w:t>
            </w:r>
          </w:p>
        </w:tc>
        <w:tc>
          <w:tcPr>
            <w:tcW w:w="250" w:type="pct"/>
            <w:shd w:val="clear" w:color="auto" w:fill="D5ECF5"/>
            <w:vAlign w:val="center"/>
          </w:tcPr>
          <w:p w14:paraId="7418B5E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16.9</w:t>
            </w:r>
          </w:p>
        </w:tc>
        <w:tc>
          <w:tcPr>
            <w:tcW w:w="250" w:type="pct"/>
            <w:shd w:val="clear" w:color="auto" w:fill="D5ECF5"/>
            <w:vAlign w:val="center"/>
          </w:tcPr>
          <w:p w14:paraId="7418B5E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17.9</w:t>
            </w:r>
          </w:p>
        </w:tc>
        <w:tc>
          <w:tcPr>
            <w:tcW w:w="250" w:type="pct"/>
            <w:shd w:val="clear" w:color="auto" w:fill="D5ECF5"/>
            <w:vAlign w:val="center"/>
          </w:tcPr>
          <w:p w14:paraId="7418B5E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15.6</w:t>
            </w:r>
          </w:p>
        </w:tc>
        <w:tc>
          <w:tcPr>
            <w:tcW w:w="231" w:type="pct"/>
            <w:shd w:val="clear" w:color="auto" w:fill="D5ECF5"/>
            <w:vAlign w:val="center"/>
          </w:tcPr>
          <w:p w14:paraId="7418B5E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D5ECF5"/>
            <w:vAlign w:val="center"/>
          </w:tcPr>
          <w:p w14:paraId="7418B5E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5FA" w14:textId="77777777" w:rsidTr="004A31A9">
        <w:trPr>
          <w:trHeight w:val="454"/>
        </w:trPr>
        <w:tc>
          <w:tcPr>
            <w:tcW w:w="1544" w:type="pct"/>
            <w:shd w:val="clear" w:color="auto" w:fill="E4F3F9"/>
            <w:vAlign w:val="center"/>
          </w:tcPr>
          <w:p w14:paraId="7418B5E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Proportion of businesses introducing organisational/managerial process innovation, %</w:t>
            </w:r>
            <w:r w:rsidRPr="008121A7">
              <w:rPr>
                <w:rFonts w:ascii="Arial Unicode MS" w:eastAsia="Arial Unicode MS" w:hAnsi="Arial Unicode MS" w:cs="Arial Unicode MS"/>
                <w:color w:val="7A7B7C"/>
                <w:sz w:val="14"/>
                <w:szCs w:val="14"/>
                <w:lang w:eastAsia="en-AU"/>
              </w:rPr>
              <w:t>³ ⁷ ¹⁰ ³⁰ ³¹</w:t>
            </w:r>
          </w:p>
        </w:tc>
        <w:tc>
          <w:tcPr>
            <w:tcW w:w="250" w:type="pct"/>
            <w:shd w:val="clear" w:color="auto" w:fill="E4F3F9"/>
            <w:vAlign w:val="center"/>
          </w:tcPr>
          <w:p w14:paraId="7418B5E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5E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5E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20.7</w:t>
            </w:r>
          </w:p>
        </w:tc>
        <w:tc>
          <w:tcPr>
            <w:tcW w:w="250" w:type="pct"/>
            <w:shd w:val="clear" w:color="auto" w:fill="E4F3F9"/>
            <w:vAlign w:val="center"/>
          </w:tcPr>
          <w:p w14:paraId="7418B5E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16.4</w:t>
            </w:r>
          </w:p>
        </w:tc>
        <w:tc>
          <w:tcPr>
            <w:tcW w:w="250" w:type="pct"/>
            <w:shd w:val="clear" w:color="auto" w:fill="E4F3F9"/>
            <w:vAlign w:val="center"/>
          </w:tcPr>
          <w:p w14:paraId="7418B5F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19.0</w:t>
            </w:r>
          </w:p>
        </w:tc>
        <w:tc>
          <w:tcPr>
            <w:tcW w:w="250" w:type="pct"/>
            <w:shd w:val="clear" w:color="auto" w:fill="E4F3F9"/>
            <w:vAlign w:val="center"/>
          </w:tcPr>
          <w:p w14:paraId="7418B5F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19.4</w:t>
            </w:r>
          </w:p>
        </w:tc>
        <w:tc>
          <w:tcPr>
            <w:tcW w:w="250" w:type="pct"/>
            <w:shd w:val="clear" w:color="auto" w:fill="E4F3F9"/>
            <w:vAlign w:val="center"/>
          </w:tcPr>
          <w:p w14:paraId="7418B5F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20.7</w:t>
            </w:r>
          </w:p>
        </w:tc>
        <w:tc>
          <w:tcPr>
            <w:tcW w:w="250" w:type="pct"/>
            <w:shd w:val="clear" w:color="auto" w:fill="E4F3F9"/>
            <w:vAlign w:val="center"/>
          </w:tcPr>
          <w:p w14:paraId="7418B5F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18.9</w:t>
            </w:r>
          </w:p>
        </w:tc>
        <w:tc>
          <w:tcPr>
            <w:tcW w:w="250" w:type="pct"/>
            <w:shd w:val="clear" w:color="auto" w:fill="E4F3F9"/>
            <w:vAlign w:val="center"/>
          </w:tcPr>
          <w:p w14:paraId="7418B5F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23.0</w:t>
            </w:r>
          </w:p>
        </w:tc>
        <w:tc>
          <w:tcPr>
            <w:tcW w:w="250" w:type="pct"/>
            <w:shd w:val="clear" w:color="auto" w:fill="E4F3F9"/>
            <w:vAlign w:val="center"/>
          </w:tcPr>
          <w:p w14:paraId="7418B5F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20.2</w:t>
            </w:r>
          </w:p>
        </w:tc>
        <w:tc>
          <w:tcPr>
            <w:tcW w:w="250" w:type="pct"/>
            <w:shd w:val="clear" w:color="auto" w:fill="E4F3F9"/>
            <w:vAlign w:val="center"/>
          </w:tcPr>
          <w:p w14:paraId="7418B5F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21.7</w:t>
            </w:r>
          </w:p>
        </w:tc>
        <w:tc>
          <w:tcPr>
            <w:tcW w:w="250" w:type="pct"/>
            <w:shd w:val="clear" w:color="auto" w:fill="E4F3F9"/>
            <w:vAlign w:val="center"/>
          </w:tcPr>
          <w:p w14:paraId="7418B5F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17.4</w:t>
            </w:r>
          </w:p>
        </w:tc>
        <w:tc>
          <w:tcPr>
            <w:tcW w:w="231" w:type="pct"/>
            <w:shd w:val="clear" w:color="auto" w:fill="E4F3F9"/>
            <w:vAlign w:val="center"/>
          </w:tcPr>
          <w:p w14:paraId="7418B5F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5F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60A" w14:textId="77777777" w:rsidTr="004A31A9">
        <w:trPr>
          <w:trHeight w:val="454"/>
        </w:trPr>
        <w:tc>
          <w:tcPr>
            <w:tcW w:w="1544" w:type="pct"/>
            <w:shd w:val="clear" w:color="auto" w:fill="D5ECF5"/>
            <w:vAlign w:val="center"/>
          </w:tcPr>
          <w:p w14:paraId="7418B5F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 xml:space="preserve">Proportion of businesses introducing marketing </w:t>
            </w:r>
            <w:r w:rsidRPr="008121A7">
              <w:rPr>
                <w:rFonts w:eastAsia="Arial Unicode MS" w:cs="Arial"/>
                <w:color w:val="7A7B7C"/>
                <w:sz w:val="14"/>
                <w:szCs w:val="14"/>
                <w:lang w:eastAsia="en-AU"/>
              </w:rPr>
              <w:br/>
            </w:r>
            <w:r w:rsidRPr="008121A7">
              <w:rPr>
                <w:rFonts w:eastAsia="Arial Unicode MS" w:cs="Arial" w:hint="eastAsia"/>
                <w:color w:val="7A7B7C"/>
                <w:sz w:val="14"/>
                <w:szCs w:val="14"/>
                <w:lang w:eastAsia="en-AU"/>
              </w:rPr>
              <w:t>innovation, %</w:t>
            </w:r>
            <w:r w:rsidRPr="008121A7">
              <w:rPr>
                <w:rFonts w:ascii="Arial Unicode MS" w:eastAsia="Arial Unicode MS" w:hAnsi="Arial Unicode MS" w:cs="Arial Unicode MS"/>
                <w:color w:val="7A7B7C"/>
                <w:sz w:val="14"/>
                <w:szCs w:val="14"/>
                <w:lang w:eastAsia="en-AU"/>
              </w:rPr>
              <w:t>³ ⁷ ¹¹ ³⁰ ³¹</w:t>
            </w:r>
          </w:p>
        </w:tc>
        <w:tc>
          <w:tcPr>
            <w:tcW w:w="250" w:type="pct"/>
            <w:shd w:val="clear" w:color="auto" w:fill="D5ECF5"/>
            <w:vAlign w:val="center"/>
          </w:tcPr>
          <w:p w14:paraId="7418B5F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5F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5F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14.3</w:t>
            </w:r>
          </w:p>
        </w:tc>
        <w:tc>
          <w:tcPr>
            <w:tcW w:w="250" w:type="pct"/>
            <w:shd w:val="clear" w:color="auto" w:fill="D5ECF5"/>
            <w:vAlign w:val="center"/>
          </w:tcPr>
          <w:p w14:paraId="7418B5F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12.7</w:t>
            </w:r>
          </w:p>
        </w:tc>
        <w:tc>
          <w:tcPr>
            <w:tcW w:w="250" w:type="pct"/>
            <w:shd w:val="clear" w:color="auto" w:fill="D5ECF5"/>
            <w:vAlign w:val="center"/>
          </w:tcPr>
          <w:p w14:paraId="7418B60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14.6</w:t>
            </w:r>
          </w:p>
        </w:tc>
        <w:tc>
          <w:tcPr>
            <w:tcW w:w="250" w:type="pct"/>
            <w:shd w:val="clear" w:color="auto" w:fill="D5ECF5"/>
            <w:vAlign w:val="center"/>
          </w:tcPr>
          <w:p w14:paraId="7418B60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17.2</w:t>
            </w:r>
          </w:p>
        </w:tc>
        <w:tc>
          <w:tcPr>
            <w:tcW w:w="250" w:type="pct"/>
            <w:shd w:val="clear" w:color="auto" w:fill="D5ECF5"/>
            <w:vAlign w:val="center"/>
          </w:tcPr>
          <w:p w14:paraId="7418B60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16.7</w:t>
            </w:r>
          </w:p>
        </w:tc>
        <w:tc>
          <w:tcPr>
            <w:tcW w:w="250" w:type="pct"/>
            <w:shd w:val="clear" w:color="auto" w:fill="D5ECF5"/>
            <w:vAlign w:val="center"/>
          </w:tcPr>
          <w:p w14:paraId="7418B60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16.8</w:t>
            </w:r>
          </w:p>
        </w:tc>
        <w:tc>
          <w:tcPr>
            <w:tcW w:w="250" w:type="pct"/>
            <w:shd w:val="clear" w:color="auto" w:fill="D5ECF5"/>
            <w:vAlign w:val="center"/>
          </w:tcPr>
          <w:p w14:paraId="7418B60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19.9</w:t>
            </w:r>
          </w:p>
        </w:tc>
        <w:tc>
          <w:tcPr>
            <w:tcW w:w="250" w:type="pct"/>
            <w:shd w:val="clear" w:color="auto" w:fill="D5ECF5"/>
            <w:vAlign w:val="center"/>
          </w:tcPr>
          <w:p w14:paraId="7418B60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18.8</w:t>
            </w:r>
          </w:p>
        </w:tc>
        <w:tc>
          <w:tcPr>
            <w:tcW w:w="250" w:type="pct"/>
            <w:shd w:val="clear" w:color="auto" w:fill="D5ECF5"/>
            <w:vAlign w:val="center"/>
          </w:tcPr>
          <w:p w14:paraId="7418B60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20.3</w:t>
            </w:r>
          </w:p>
        </w:tc>
        <w:tc>
          <w:tcPr>
            <w:tcW w:w="250" w:type="pct"/>
            <w:shd w:val="clear" w:color="auto" w:fill="D5ECF5"/>
            <w:vAlign w:val="center"/>
          </w:tcPr>
          <w:p w14:paraId="7418B60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16.5</w:t>
            </w:r>
          </w:p>
        </w:tc>
        <w:tc>
          <w:tcPr>
            <w:tcW w:w="231" w:type="pct"/>
            <w:shd w:val="clear" w:color="auto" w:fill="D5ECF5"/>
            <w:vAlign w:val="center"/>
          </w:tcPr>
          <w:p w14:paraId="7418B60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D5ECF5"/>
            <w:vAlign w:val="center"/>
          </w:tcPr>
          <w:p w14:paraId="7418B60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61A" w14:textId="77777777" w:rsidTr="004A31A9">
        <w:trPr>
          <w:trHeight w:val="454"/>
        </w:trPr>
        <w:tc>
          <w:tcPr>
            <w:tcW w:w="1544" w:type="pct"/>
            <w:shd w:val="clear" w:color="auto" w:fill="E4F3F9"/>
            <w:vAlign w:val="center"/>
          </w:tcPr>
          <w:p w14:paraId="7418B60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Proportion of innovation-active businesses innovating to reduce environmental impacts, %</w:t>
            </w:r>
            <w:r w:rsidRPr="008121A7">
              <w:rPr>
                <w:rFonts w:ascii="Arial Unicode MS" w:eastAsia="Arial Unicode MS" w:hAnsi="Arial Unicode MS" w:cs="Arial Unicode MS"/>
                <w:color w:val="7A7B7C"/>
                <w:sz w:val="14"/>
                <w:szCs w:val="14"/>
                <w:lang w:eastAsia="en-AU"/>
              </w:rPr>
              <w:t>¹² ¹³</w:t>
            </w:r>
          </w:p>
        </w:tc>
        <w:tc>
          <w:tcPr>
            <w:tcW w:w="250" w:type="pct"/>
            <w:shd w:val="clear" w:color="auto" w:fill="E4F3F9"/>
            <w:vAlign w:val="center"/>
          </w:tcPr>
          <w:p w14:paraId="7418B60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0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0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0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12.1</w:t>
            </w:r>
          </w:p>
        </w:tc>
        <w:tc>
          <w:tcPr>
            <w:tcW w:w="250" w:type="pct"/>
            <w:shd w:val="clear" w:color="auto" w:fill="E4F3F9"/>
            <w:vAlign w:val="center"/>
          </w:tcPr>
          <w:p w14:paraId="7418B61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1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11.4</w:t>
            </w:r>
          </w:p>
        </w:tc>
        <w:tc>
          <w:tcPr>
            <w:tcW w:w="250" w:type="pct"/>
            <w:shd w:val="clear" w:color="auto" w:fill="E4F3F9"/>
            <w:vAlign w:val="center"/>
          </w:tcPr>
          <w:p w14:paraId="7418B61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1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12.9</w:t>
            </w:r>
          </w:p>
        </w:tc>
        <w:tc>
          <w:tcPr>
            <w:tcW w:w="250" w:type="pct"/>
            <w:shd w:val="clear" w:color="auto" w:fill="E4F3F9"/>
            <w:vAlign w:val="center"/>
          </w:tcPr>
          <w:p w14:paraId="7418B61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1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11.7</w:t>
            </w:r>
          </w:p>
        </w:tc>
        <w:tc>
          <w:tcPr>
            <w:tcW w:w="250" w:type="pct"/>
            <w:shd w:val="clear" w:color="auto" w:fill="E4F3F9"/>
            <w:vAlign w:val="center"/>
          </w:tcPr>
          <w:p w14:paraId="7418B61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1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7.4</w:t>
            </w:r>
          </w:p>
        </w:tc>
        <w:tc>
          <w:tcPr>
            <w:tcW w:w="231" w:type="pct"/>
            <w:shd w:val="clear" w:color="auto" w:fill="E4F3F9"/>
            <w:vAlign w:val="center"/>
          </w:tcPr>
          <w:p w14:paraId="7418B61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61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62A" w14:textId="77777777" w:rsidTr="004A31A9">
        <w:trPr>
          <w:trHeight w:val="454"/>
        </w:trPr>
        <w:tc>
          <w:tcPr>
            <w:tcW w:w="1544" w:type="pct"/>
            <w:shd w:val="clear" w:color="auto" w:fill="D5ECF5"/>
            <w:vAlign w:val="center"/>
          </w:tcPr>
          <w:p w14:paraId="7418B61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Share of high and medium technology manufacturing as a percentage of GDP</w:t>
            </w:r>
            <w:r w:rsidRPr="008121A7">
              <w:rPr>
                <w:rFonts w:ascii="Arial Unicode MS" w:eastAsia="Arial Unicode MS" w:hAnsi="Arial Unicode MS" w:cs="Arial Unicode MS"/>
                <w:color w:val="7A7B7C"/>
                <w:sz w:val="14"/>
                <w:szCs w:val="14"/>
                <w:lang w:eastAsia="en-AU"/>
              </w:rPr>
              <w:t>¹⁴ ¹⁵ ¹⁶</w:t>
            </w:r>
          </w:p>
        </w:tc>
        <w:tc>
          <w:tcPr>
            <w:tcW w:w="250" w:type="pct"/>
            <w:shd w:val="clear" w:color="auto" w:fill="D5ECF5"/>
            <w:vAlign w:val="center"/>
          </w:tcPr>
          <w:p w14:paraId="7418B61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1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1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1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2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2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2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2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1.85</w:t>
            </w:r>
          </w:p>
        </w:tc>
        <w:tc>
          <w:tcPr>
            <w:tcW w:w="250" w:type="pct"/>
            <w:shd w:val="clear" w:color="auto" w:fill="D5ECF5"/>
            <w:vAlign w:val="center"/>
          </w:tcPr>
          <w:p w14:paraId="7418B62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1.86</w:t>
            </w:r>
          </w:p>
        </w:tc>
        <w:tc>
          <w:tcPr>
            <w:tcW w:w="250" w:type="pct"/>
            <w:shd w:val="clear" w:color="auto" w:fill="D5ECF5"/>
            <w:vAlign w:val="center"/>
          </w:tcPr>
          <w:p w14:paraId="7418B62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1.70</w:t>
            </w:r>
          </w:p>
        </w:tc>
        <w:tc>
          <w:tcPr>
            <w:tcW w:w="250" w:type="pct"/>
            <w:shd w:val="clear" w:color="auto" w:fill="D5ECF5"/>
            <w:vAlign w:val="center"/>
          </w:tcPr>
          <w:p w14:paraId="7418B62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1.63</w:t>
            </w:r>
          </w:p>
        </w:tc>
        <w:tc>
          <w:tcPr>
            <w:tcW w:w="250" w:type="pct"/>
            <w:shd w:val="clear" w:color="auto" w:fill="D5ECF5"/>
            <w:vAlign w:val="center"/>
          </w:tcPr>
          <w:p w14:paraId="7418B62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1.57</w:t>
            </w:r>
          </w:p>
        </w:tc>
        <w:tc>
          <w:tcPr>
            <w:tcW w:w="231" w:type="pct"/>
            <w:shd w:val="clear" w:color="auto" w:fill="D5ECF5"/>
            <w:vAlign w:val="center"/>
          </w:tcPr>
          <w:p w14:paraId="7418B62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D5ECF5"/>
            <w:vAlign w:val="center"/>
          </w:tcPr>
          <w:p w14:paraId="7418B62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63A" w14:textId="77777777" w:rsidTr="004A31A9">
        <w:trPr>
          <w:trHeight w:val="454"/>
        </w:trPr>
        <w:tc>
          <w:tcPr>
            <w:tcW w:w="1544" w:type="pct"/>
            <w:shd w:val="clear" w:color="auto" w:fill="E4F3F9"/>
            <w:vAlign w:val="center"/>
          </w:tcPr>
          <w:p w14:paraId="7418B62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Rate of high-growth enterprises in the construction sector, measured by employment growth (%)</w:t>
            </w:r>
            <w:r w:rsidRPr="008121A7">
              <w:rPr>
                <w:rFonts w:ascii="Arial Unicode MS" w:eastAsia="Arial Unicode MS" w:hAnsi="Arial Unicode MS" w:cs="Arial Unicode MS"/>
                <w:color w:val="7A7B7C"/>
                <w:sz w:val="14"/>
                <w:szCs w:val="14"/>
                <w:lang w:eastAsia="en-AU"/>
              </w:rPr>
              <w:t>⁵ ¹⁷ ³²</w:t>
            </w:r>
          </w:p>
        </w:tc>
        <w:tc>
          <w:tcPr>
            <w:tcW w:w="250" w:type="pct"/>
            <w:shd w:val="clear" w:color="auto" w:fill="E4F3F9"/>
            <w:vAlign w:val="center"/>
          </w:tcPr>
          <w:p w14:paraId="7418B62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2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2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2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3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4.6</w:t>
            </w:r>
          </w:p>
        </w:tc>
        <w:tc>
          <w:tcPr>
            <w:tcW w:w="250" w:type="pct"/>
            <w:shd w:val="clear" w:color="auto" w:fill="E4F3F9"/>
            <w:vAlign w:val="center"/>
          </w:tcPr>
          <w:p w14:paraId="7418B63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4.2</w:t>
            </w:r>
          </w:p>
        </w:tc>
        <w:tc>
          <w:tcPr>
            <w:tcW w:w="250" w:type="pct"/>
            <w:shd w:val="clear" w:color="auto" w:fill="E4F3F9"/>
            <w:vAlign w:val="center"/>
          </w:tcPr>
          <w:p w14:paraId="7418B63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3.6</w:t>
            </w:r>
          </w:p>
        </w:tc>
        <w:tc>
          <w:tcPr>
            <w:tcW w:w="250" w:type="pct"/>
            <w:shd w:val="clear" w:color="auto" w:fill="E4F3F9"/>
            <w:vAlign w:val="center"/>
          </w:tcPr>
          <w:p w14:paraId="7418B63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3.4</w:t>
            </w:r>
          </w:p>
        </w:tc>
        <w:tc>
          <w:tcPr>
            <w:tcW w:w="250" w:type="pct"/>
            <w:shd w:val="clear" w:color="auto" w:fill="E4F3F9"/>
            <w:vAlign w:val="center"/>
          </w:tcPr>
          <w:p w14:paraId="7418B63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3.7</w:t>
            </w:r>
          </w:p>
        </w:tc>
        <w:tc>
          <w:tcPr>
            <w:tcW w:w="250" w:type="pct"/>
            <w:shd w:val="clear" w:color="auto" w:fill="E4F3F9"/>
            <w:vAlign w:val="center"/>
          </w:tcPr>
          <w:p w14:paraId="7418B63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3.6</w:t>
            </w:r>
          </w:p>
        </w:tc>
        <w:tc>
          <w:tcPr>
            <w:tcW w:w="250" w:type="pct"/>
            <w:shd w:val="clear" w:color="auto" w:fill="E4F3F9"/>
            <w:vAlign w:val="center"/>
          </w:tcPr>
          <w:p w14:paraId="7418B63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3.1</w:t>
            </w:r>
          </w:p>
        </w:tc>
        <w:tc>
          <w:tcPr>
            <w:tcW w:w="250" w:type="pct"/>
            <w:shd w:val="clear" w:color="auto" w:fill="E4F3F9"/>
            <w:vAlign w:val="center"/>
          </w:tcPr>
          <w:p w14:paraId="7418B63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E4F3F9"/>
            <w:vAlign w:val="center"/>
          </w:tcPr>
          <w:p w14:paraId="7418B63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63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64A" w14:textId="77777777" w:rsidTr="004A31A9">
        <w:trPr>
          <w:trHeight w:val="454"/>
        </w:trPr>
        <w:tc>
          <w:tcPr>
            <w:tcW w:w="1544" w:type="pct"/>
            <w:shd w:val="clear" w:color="auto" w:fill="D5ECF5"/>
            <w:vAlign w:val="center"/>
          </w:tcPr>
          <w:p w14:paraId="7418B63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Rate of high-growth enterprises in the industry sector, measured by employment growth (%)</w:t>
            </w:r>
            <w:r w:rsidRPr="008121A7">
              <w:rPr>
                <w:rFonts w:ascii="Arial Unicode MS" w:eastAsia="Arial Unicode MS" w:hAnsi="Arial Unicode MS" w:cs="Arial Unicode MS"/>
                <w:color w:val="7A7B7C"/>
                <w:sz w:val="14"/>
                <w:szCs w:val="14"/>
                <w:lang w:eastAsia="en-AU"/>
              </w:rPr>
              <w:t>⁵ ¹⁷ ³²</w:t>
            </w:r>
          </w:p>
        </w:tc>
        <w:tc>
          <w:tcPr>
            <w:tcW w:w="250" w:type="pct"/>
            <w:shd w:val="clear" w:color="auto" w:fill="D5ECF5"/>
            <w:vAlign w:val="center"/>
          </w:tcPr>
          <w:p w14:paraId="7418B63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3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3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3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4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1.4</w:t>
            </w:r>
          </w:p>
        </w:tc>
        <w:tc>
          <w:tcPr>
            <w:tcW w:w="250" w:type="pct"/>
            <w:shd w:val="clear" w:color="auto" w:fill="D5ECF5"/>
            <w:vAlign w:val="center"/>
          </w:tcPr>
          <w:p w14:paraId="7418B64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w:t>
            </w:r>
          </w:p>
        </w:tc>
        <w:tc>
          <w:tcPr>
            <w:tcW w:w="250" w:type="pct"/>
            <w:shd w:val="clear" w:color="auto" w:fill="D5ECF5"/>
            <w:vAlign w:val="center"/>
          </w:tcPr>
          <w:p w14:paraId="7418B64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0.9</w:t>
            </w:r>
          </w:p>
        </w:tc>
        <w:tc>
          <w:tcPr>
            <w:tcW w:w="250" w:type="pct"/>
            <w:shd w:val="clear" w:color="auto" w:fill="D5ECF5"/>
            <w:vAlign w:val="center"/>
          </w:tcPr>
          <w:p w14:paraId="7418B64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0.9</w:t>
            </w:r>
          </w:p>
        </w:tc>
        <w:tc>
          <w:tcPr>
            <w:tcW w:w="250" w:type="pct"/>
            <w:shd w:val="clear" w:color="auto" w:fill="D5ECF5"/>
            <w:vAlign w:val="center"/>
          </w:tcPr>
          <w:p w14:paraId="7418B64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w:t>
            </w:r>
          </w:p>
        </w:tc>
        <w:tc>
          <w:tcPr>
            <w:tcW w:w="250" w:type="pct"/>
            <w:shd w:val="clear" w:color="auto" w:fill="D5ECF5"/>
            <w:vAlign w:val="center"/>
          </w:tcPr>
          <w:p w14:paraId="7418B64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w:t>
            </w:r>
          </w:p>
        </w:tc>
        <w:tc>
          <w:tcPr>
            <w:tcW w:w="250" w:type="pct"/>
            <w:shd w:val="clear" w:color="auto" w:fill="D5ECF5"/>
            <w:vAlign w:val="center"/>
          </w:tcPr>
          <w:p w14:paraId="7418B64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0.8</w:t>
            </w:r>
          </w:p>
        </w:tc>
        <w:tc>
          <w:tcPr>
            <w:tcW w:w="250" w:type="pct"/>
            <w:shd w:val="clear" w:color="auto" w:fill="D5ECF5"/>
            <w:vAlign w:val="center"/>
          </w:tcPr>
          <w:p w14:paraId="7418B64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D5ECF5"/>
            <w:vAlign w:val="center"/>
          </w:tcPr>
          <w:p w14:paraId="7418B64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D5ECF5"/>
            <w:vAlign w:val="center"/>
          </w:tcPr>
          <w:p w14:paraId="7418B64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65A" w14:textId="77777777" w:rsidTr="004A31A9">
        <w:trPr>
          <w:trHeight w:val="454"/>
        </w:trPr>
        <w:tc>
          <w:tcPr>
            <w:tcW w:w="1544" w:type="pct"/>
            <w:shd w:val="clear" w:color="auto" w:fill="E4F3F9"/>
            <w:vAlign w:val="center"/>
          </w:tcPr>
          <w:p w14:paraId="7418B64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Rate of high-growth enterprises in the services sector, measured by employment growth (%)</w:t>
            </w:r>
            <w:r w:rsidRPr="008121A7">
              <w:rPr>
                <w:rFonts w:ascii="Arial Unicode MS" w:eastAsia="Arial Unicode MS" w:hAnsi="Arial Unicode MS" w:cs="Arial Unicode MS"/>
                <w:color w:val="7A7B7C"/>
                <w:sz w:val="14"/>
                <w:szCs w:val="14"/>
                <w:lang w:eastAsia="en-AU"/>
              </w:rPr>
              <w:t>⁵ ¹⁷ ³²</w:t>
            </w:r>
          </w:p>
        </w:tc>
        <w:tc>
          <w:tcPr>
            <w:tcW w:w="250" w:type="pct"/>
            <w:shd w:val="clear" w:color="auto" w:fill="E4F3F9"/>
            <w:vAlign w:val="center"/>
          </w:tcPr>
          <w:p w14:paraId="7418B64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4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4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4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5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w:t>
            </w:r>
          </w:p>
        </w:tc>
        <w:tc>
          <w:tcPr>
            <w:tcW w:w="250" w:type="pct"/>
            <w:shd w:val="clear" w:color="auto" w:fill="E4F3F9"/>
            <w:vAlign w:val="center"/>
          </w:tcPr>
          <w:p w14:paraId="7418B65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w:t>
            </w:r>
          </w:p>
        </w:tc>
        <w:tc>
          <w:tcPr>
            <w:tcW w:w="250" w:type="pct"/>
            <w:shd w:val="clear" w:color="auto" w:fill="E4F3F9"/>
            <w:vAlign w:val="center"/>
          </w:tcPr>
          <w:p w14:paraId="7418B65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0.9</w:t>
            </w:r>
          </w:p>
        </w:tc>
        <w:tc>
          <w:tcPr>
            <w:tcW w:w="250" w:type="pct"/>
            <w:shd w:val="clear" w:color="auto" w:fill="E4F3F9"/>
            <w:vAlign w:val="center"/>
          </w:tcPr>
          <w:p w14:paraId="7418B65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0.8</w:t>
            </w:r>
          </w:p>
        </w:tc>
        <w:tc>
          <w:tcPr>
            <w:tcW w:w="250" w:type="pct"/>
            <w:shd w:val="clear" w:color="auto" w:fill="E4F3F9"/>
            <w:vAlign w:val="center"/>
          </w:tcPr>
          <w:p w14:paraId="7418B65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w:t>
            </w:r>
          </w:p>
        </w:tc>
        <w:tc>
          <w:tcPr>
            <w:tcW w:w="250" w:type="pct"/>
            <w:shd w:val="clear" w:color="auto" w:fill="E4F3F9"/>
            <w:vAlign w:val="center"/>
          </w:tcPr>
          <w:p w14:paraId="7418B65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w:t>
            </w:r>
          </w:p>
        </w:tc>
        <w:tc>
          <w:tcPr>
            <w:tcW w:w="250" w:type="pct"/>
            <w:shd w:val="clear" w:color="auto" w:fill="E4F3F9"/>
            <w:vAlign w:val="center"/>
          </w:tcPr>
          <w:p w14:paraId="7418B65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0.9</w:t>
            </w:r>
          </w:p>
        </w:tc>
        <w:tc>
          <w:tcPr>
            <w:tcW w:w="250" w:type="pct"/>
            <w:shd w:val="clear" w:color="auto" w:fill="E4F3F9"/>
            <w:vAlign w:val="center"/>
          </w:tcPr>
          <w:p w14:paraId="7418B65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E4F3F9"/>
            <w:vAlign w:val="center"/>
          </w:tcPr>
          <w:p w14:paraId="7418B65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65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66A" w14:textId="77777777" w:rsidTr="004A31A9">
        <w:trPr>
          <w:trHeight w:val="454"/>
        </w:trPr>
        <w:tc>
          <w:tcPr>
            <w:tcW w:w="1544" w:type="pct"/>
            <w:shd w:val="clear" w:color="auto" w:fill="D5ECF5"/>
            <w:vAlign w:val="center"/>
          </w:tcPr>
          <w:p w14:paraId="7418B65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Rate of high-growth enterprises in the construction sector, measured by turnover growth (%)</w:t>
            </w:r>
            <w:r w:rsidRPr="008121A7">
              <w:rPr>
                <w:rFonts w:ascii="Arial Unicode MS" w:eastAsia="Arial Unicode MS" w:hAnsi="Arial Unicode MS" w:cs="Arial Unicode MS"/>
                <w:color w:val="7A7B7C"/>
                <w:sz w:val="14"/>
                <w:szCs w:val="14"/>
                <w:lang w:eastAsia="en-AU"/>
              </w:rPr>
              <w:t>⁵ ¹⁷ ³³</w:t>
            </w:r>
          </w:p>
        </w:tc>
        <w:tc>
          <w:tcPr>
            <w:tcW w:w="250" w:type="pct"/>
            <w:shd w:val="clear" w:color="auto" w:fill="D5ECF5"/>
            <w:vAlign w:val="center"/>
          </w:tcPr>
          <w:p w14:paraId="7418B65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5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5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5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6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9.3</w:t>
            </w:r>
          </w:p>
        </w:tc>
        <w:tc>
          <w:tcPr>
            <w:tcW w:w="250" w:type="pct"/>
            <w:shd w:val="clear" w:color="auto" w:fill="D5ECF5"/>
            <w:vAlign w:val="center"/>
          </w:tcPr>
          <w:p w14:paraId="7418B66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7.8</w:t>
            </w:r>
          </w:p>
        </w:tc>
        <w:tc>
          <w:tcPr>
            <w:tcW w:w="250" w:type="pct"/>
            <w:shd w:val="clear" w:color="auto" w:fill="D5ECF5"/>
            <w:vAlign w:val="center"/>
          </w:tcPr>
          <w:p w14:paraId="7418B66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6.3</w:t>
            </w:r>
          </w:p>
        </w:tc>
        <w:tc>
          <w:tcPr>
            <w:tcW w:w="250" w:type="pct"/>
            <w:shd w:val="clear" w:color="auto" w:fill="D5ECF5"/>
            <w:vAlign w:val="center"/>
          </w:tcPr>
          <w:p w14:paraId="7418B66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5.7</w:t>
            </w:r>
          </w:p>
        </w:tc>
        <w:tc>
          <w:tcPr>
            <w:tcW w:w="250" w:type="pct"/>
            <w:shd w:val="clear" w:color="auto" w:fill="D5ECF5"/>
            <w:vAlign w:val="center"/>
          </w:tcPr>
          <w:p w14:paraId="7418B66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6.0</w:t>
            </w:r>
          </w:p>
        </w:tc>
        <w:tc>
          <w:tcPr>
            <w:tcW w:w="250" w:type="pct"/>
            <w:shd w:val="clear" w:color="auto" w:fill="D5ECF5"/>
            <w:vAlign w:val="center"/>
          </w:tcPr>
          <w:p w14:paraId="7418B66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6.0</w:t>
            </w:r>
          </w:p>
        </w:tc>
        <w:tc>
          <w:tcPr>
            <w:tcW w:w="250" w:type="pct"/>
            <w:shd w:val="clear" w:color="auto" w:fill="D5ECF5"/>
            <w:vAlign w:val="center"/>
          </w:tcPr>
          <w:p w14:paraId="7418B66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5.6</w:t>
            </w:r>
          </w:p>
        </w:tc>
        <w:tc>
          <w:tcPr>
            <w:tcW w:w="250" w:type="pct"/>
            <w:shd w:val="clear" w:color="auto" w:fill="D5ECF5"/>
            <w:vAlign w:val="center"/>
          </w:tcPr>
          <w:p w14:paraId="7418B66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D5ECF5"/>
            <w:vAlign w:val="center"/>
          </w:tcPr>
          <w:p w14:paraId="7418B66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D5ECF5"/>
            <w:vAlign w:val="center"/>
          </w:tcPr>
          <w:p w14:paraId="7418B66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67A" w14:textId="77777777" w:rsidTr="004A31A9">
        <w:trPr>
          <w:trHeight w:val="454"/>
        </w:trPr>
        <w:tc>
          <w:tcPr>
            <w:tcW w:w="1544" w:type="pct"/>
            <w:shd w:val="clear" w:color="auto" w:fill="E4F3F9"/>
            <w:vAlign w:val="center"/>
          </w:tcPr>
          <w:p w14:paraId="7418B66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Rate of high-growth enterprises in the industry sector, measured by turnover growth (%)</w:t>
            </w:r>
            <w:r w:rsidRPr="008121A7">
              <w:rPr>
                <w:rFonts w:ascii="Arial Unicode MS" w:eastAsia="Arial Unicode MS" w:hAnsi="Arial Unicode MS" w:cs="Arial Unicode MS"/>
                <w:color w:val="7A7B7C"/>
                <w:sz w:val="14"/>
                <w:szCs w:val="14"/>
                <w:lang w:eastAsia="en-AU"/>
              </w:rPr>
              <w:t>⁵ ¹⁷ ³³</w:t>
            </w:r>
          </w:p>
        </w:tc>
        <w:tc>
          <w:tcPr>
            <w:tcW w:w="250" w:type="pct"/>
            <w:shd w:val="clear" w:color="auto" w:fill="E4F3F9"/>
            <w:vAlign w:val="center"/>
          </w:tcPr>
          <w:p w14:paraId="7418B66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6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6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6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7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2.9</w:t>
            </w:r>
          </w:p>
        </w:tc>
        <w:tc>
          <w:tcPr>
            <w:tcW w:w="250" w:type="pct"/>
            <w:shd w:val="clear" w:color="auto" w:fill="E4F3F9"/>
            <w:vAlign w:val="center"/>
          </w:tcPr>
          <w:p w14:paraId="7418B67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2.5</w:t>
            </w:r>
          </w:p>
        </w:tc>
        <w:tc>
          <w:tcPr>
            <w:tcW w:w="250" w:type="pct"/>
            <w:shd w:val="clear" w:color="auto" w:fill="E4F3F9"/>
            <w:vAlign w:val="center"/>
          </w:tcPr>
          <w:p w14:paraId="7418B67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w:t>
            </w:r>
          </w:p>
        </w:tc>
        <w:tc>
          <w:tcPr>
            <w:tcW w:w="250" w:type="pct"/>
            <w:shd w:val="clear" w:color="auto" w:fill="E4F3F9"/>
            <w:vAlign w:val="center"/>
          </w:tcPr>
          <w:p w14:paraId="7418B67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w:t>
            </w:r>
          </w:p>
        </w:tc>
        <w:tc>
          <w:tcPr>
            <w:tcW w:w="250" w:type="pct"/>
            <w:shd w:val="clear" w:color="auto" w:fill="E4F3F9"/>
            <w:vAlign w:val="center"/>
          </w:tcPr>
          <w:p w14:paraId="7418B67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w:t>
            </w:r>
          </w:p>
        </w:tc>
        <w:tc>
          <w:tcPr>
            <w:tcW w:w="250" w:type="pct"/>
            <w:shd w:val="clear" w:color="auto" w:fill="E4F3F9"/>
            <w:vAlign w:val="center"/>
          </w:tcPr>
          <w:p w14:paraId="7418B67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w:t>
            </w:r>
          </w:p>
        </w:tc>
        <w:tc>
          <w:tcPr>
            <w:tcW w:w="250" w:type="pct"/>
            <w:shd w:val="clear" w:color="auto" w:fill="E4F3F9"/>
            <w:vAlign w:val="center"/>
          </w:tcPr>
          <w:p w14:paraId="7418B67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1.5</w:t>
            </w:r>
          </w:p>
        </w:tc>
        <w:tc>
          <w:tcPr>
            <w:tcW w:w="250" w:type="pct"/>
            <w:shd w:val="clear" w:color="auto" w:fill="E4F3F9"/>
            <w:vAlign w:val="center"/>
          </w:tcPr>
          <w:p w14:paraId="7418B67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E4F3F9"/>
            <w:vAlign w:val="center"/>
          </w:tcPr>
          <w:p w14:paraId="7418B67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67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68A" w14:textId="77777777" w:rsidTr="004A31A9">
        <w:trPr>
          <w:trHeight w:val="454"/>
        </w:trPr>
        <w:tc>
          <w:tcPr>
            <w:tcW w:w="1544" w:type="pct"/>
            <w:shd w:val="clear" w:color="auto" w:fill="D5ECF5"/>
            <w:vAlign w:val="center"/>
          </w:tcPr>
          <w:p w14:paraId="7418B67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Rate of high-growth enterprises in the services sector, measured by turnover growth (%)</w:t>
            </w:r>
            <w:r w:rsidRPr="008121A7">
              <w:rPr>
                <w:rFonts w:ascii="Arial Unicode MS" w:eastAsia="Arial Unicode MS" w:hAnsi="Arial Unicode MS" w:cs="Arial Unicode MS"/>
                <w:color w:val="7A7B7C"/>
                <w:sz w:val="14"/>
                <w:szCs w:val="14"/>
                <w:lang w:eastAsia="en-AU"/>
              </w:rPr>
              <w:t>⁵ ¹⁷ ³³</w:t>
            </w:r>
          </w:p>
        </w:tc>
        <w:tc>
          <w:tcPr>
            <w:tcW w:w="250" w:type="pct"/>
            <w:shd w:val="clear" w:color="auto" w:fill="D5ECF5"/>
            <w:vAlign w:val="center"/>
          </w:tcPr>
          <w:p w14:paraId="7418B67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7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7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7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8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2.7</w:t>
            </w:r>
          </w:p>
        </w:tc>
        <w:tc>
          <w:tcPr>
            <w:tcW w:w="250" w:type="pct"/>
            <w:shd w:val="clear" w:color="auto" w:fill="D5ECF5"/>
            <w:vAlign w:val="center"/>
          </w:tcPr>
          <w:p w14:paraId="7418B68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2.3</w:t>
            </w:r>
          </w:p>
        </w:tc>
        <w:tc>
          <w:tcPr>
            <w:tcW w:w="250" w:type="pct"/>
            <w:shd w:val="clear" w:color="auto" w:fill="D5ECF5"/>
            <w:vAlign w:val="center"/>
          </w:tcPr>
          <w:p w14:paraId="7418B68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w:t>
            </w:r>
          </w:p>
        </w:tc>
        <w:tc>
          <w:tcPr>
            <w:tcW w:w="250" w:type="pct"/>
            <w:shd w:val="clear" w:color="auto" w:fill="D5ECF5"/>
            <w:vAlign w:val="center"/>
          </w:tcPr>
          <w:p w14:paraId="7418B68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w:t>
            </w:r>
          </w:p>
        </w:tc>
        <w:tc>
          <w:tcPr>
            <w:tcW w:w="250" w:type="pct"/>
            <w:shd w:val="clear" w:color="auto" w:fill="D5ECF5"/>
            <w:vAlign w:val="center"/>
          </w:tcPr>
          <w:p w14:paraId="7418B68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w:t>
            </w:r>
          </w:p>
        </w:tc>
        <w:tc>
          <w:tcPr>
            <w:tcW w:w="250" w:type="pct"/>
            <w:shd w:val="clear" w:color="auto" w:fill="D5ECF5"/>
            <w:vAlign w:val="center"/>
          </w:tcPr>
          <w:p w14:paraId="7418B68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w:t>
            </w:r>
          </w:p>
        </w:tc>
        <w:tc>
          <w:tcPr>
            <w:tcW w:w="250" w:type="pct"/>
            <w:shd w:val="clear" w:color="auto" w:fill="D5ECF5"/>
            <w:vAlign w:val="center"/>
          </w:tcPr>
          <w:p w14:paraId="7418B68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1.5</w:t>
            </w:r>
          </w:p>
        </w:tc>
        <w:tc>
          <w:tcPr>
            <w:tcW w:w="250" w:type="pct"/>
            <w:shd w:val="clear" w:color="auto" w:fill="D5ECF5"/>
            <w:vAlign w:val="center"/>
          </w:tcPr>
          <w:p w14:paraId="7418B68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D5ECF5"/>
            <w:vAlign w:val="center"/>
          </w:tcPr>
          <w:p w14:paraId="7418B68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D5ECF5"/>
            <w:vAlign w:val="center"/>
          </w:tcPr>
          <w:p w14:paraId="7418B68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69A" w14:textId="77777777" w:rsidTr="004A31A9">
        <w:trPr>
          <w:trHeight w:val="283"/>
        </w:trPr>
        <w:tc>
          <w:tcPr>
            <w:tcW w:w="1544" w:type="pct"/>
            <w:shd w:val="clear" w:color="auto" w:fill="E4F3F9"/>
            <w:vAlign w:val="center"/>
          </w:tcPr>
          <w:p w14:paraId="7418B68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Employer Enterprise Birth Rate, %</w:t>
            </w:r>
            <w:r w:rsidRPr="008121A7">
              <w:rPr>
                <w:rFonts w:ascii="Arial Unicode MS" w:eastAsia="Arial Unicode MS" w:hAnsi="Arial Unicode MS" w:cs="Arial Unicode MS"/>
                <w:color w:val="7A7B7C"/>
                <w:sz w:val="14"/>
                <w:szCs w:val="14"/>
                <w:lang w:eastAsia="en-AU"/>
              </w:rPr>
              <w:t>¹⁸ ¹⁹ ²⁰</w:t>
            </w:r>
          </w:p>
        </w:tc>
        <w:tc>
          <w:tcPr>
            <w:tcW w:w="250" w:type="pct"/>
            <w:shd w:val="clear" w:color="auto" w:fill="E4F3F9"/>
            <w:vAlign w:val="center"/>
          </w:tcPr>
          <w:p w14:paraId="7418B68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8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8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16.3</w:t>
            </w:r>
          </w:p>
        </w:tc>
        <w:tc>
          <w:tcPr>
            <w:tcW w:w="250" w:type="pct"/>
            <w:shd w:val="clear" w:color="auto" w:fill="E4F3F9"/>
            <w:vAlign w:val="center"/>
          </w:tcPr>
          <w:p w14:paraId="7418B68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17.1</w:t>
            </w:r>
          </w:p>
        </w:tc>
        <w:tc>
          <w:tcPr>
            <w:tcW w:w="250" w:type="pct"/>
            <w:shd w:val="clear" w:color="auto" w:fill="E4F3F9"/>
            <w:vAlign w:val="center"/>
          </w:tcPr>
          <w:p w14:paraId="7418B69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15.3</w:t>
            </w:r>
          </w:p>
        </w:tc>
        <w:tc>
          <w:tcPr>
            <w:tcW w:w="250" w:type="pct"/>
            <w:shd w:val="clear" w:color="auto" w:fill="E4F3F9"/>
            <w:vAlign w:val="center"/>
          </w:tcPr>
          <w:p w14:paraId="7418B69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14.4</w:t>
            </w:r>
          </w:p>
        </w:tc>
        <w:tc>
          <w:tcPr>
            <w:tcW w:w="250" w:type="pct"/>
            <w:shd w:val="clear" w:color="auto" w:fill="E4F3F9"/>
            <w:vAlign w:val="center"/>
          </w:tcPr>
          <w:p w14:paraId="7418B69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16.7</w:t>
            </w:r>
          </w:p>
        </w:tc>
        <w:tc>
          <w:tcPr>
            <w:tcW w:w="250" w:type="pct"/>
            <w:shd w:val="clear" w:color="auto" w:fill="E4F3F9"/>
            <w:vAlign w:val="center"/>
          </w:tcPr>
          <w:p w14:paraId="7418B69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13.9</w:t>
            </w:r>
          </w:p>
        </w:tc>
        <w:tc>
          <w:tcPr>
            <w:tcW w:w="250" w:type="pct"/>
            <w:shd w:val="clear" w:color="auto" w:fill="E4F3F9"/>
            <w:vAlign w:val="center"/>
          </w:tcPr>
          <w:p w14:paraId="7418B69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13.5</w:t>
            </w:r>
          </w:p>
        </w:tc>
        <w:tc>
          <w:tcPr>
            <w:tcW w:w="250" w:type="pct"/>
            <w:shd w:val="clear" w:color="auto" w:fill="E4F3F9"/>
            <w:vAlign w:val="center"/>
          </w:tcPr>
          <w:p w14:paraId="7418B69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11.2</w:t>
            </w:r>
          </w:p>
        </w:tc>
        <w:tc>
          <w:tcPr>
            <w:tcW w:w="250" w:type="pct"/>
            <w:shd w:val="clear" w:color="auto" w:fill="E4F3F9"/>
            <w:vAlign w:val="center"/>
          </w:tcPr>
          <w:p w14:paraId="7418B69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13.7</w:t>
            </w:r>
          </w:p>
        </w:tc>
        <w:tc>
          <w:tcPr>
            <w:tcW w:w="250" w:type="pct"/>
            <w:shd w:val="clear" w:color="auto" w:fill="E4F3F9"/>
            <w:vAlign w:val="center"/>
          </w:tcPr>
          <w:p w14:paraId="7418B69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13.4</w:t>
            </w:r>
          </w:p>
        </w:tc>
        <w:tc>
          <w:tcPr>
            <w:tcW w:w="231" w:type="pct"/>
            <w:shd w:val="clear" w:color="auto" w:fill="E4F3F9"/>
            <w:vAlign w:val="center"/>
          </w:tcPr>
          <w:p w14:paraId="7418B69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69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6AA" w14:textId="77777777" w:rsidTr="004A31A9">
        <w:trPr>
          <w:trHeight w:val="283"/>
        </w:trPr>
        <w:tc>
          <w:tcPr>
            <w:tcW w:w="1544" w:type="pct"/>
            <w:shd w:val="clear" w:color="auto" w:fill="D5ECF5"/>
            <w:vAlign w:val="center"/>
          </w:tcPr>
          <w:p w14:paraId="7418B69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Total early-stage entrepreneurship activity (TEA), %</w:t>
            </w:r>
            <w:r w:rsidRPr="008121A7">
              <w:rPr>
                <w:rFonts w:ascii="Arial Unicode MS" w:eastAsia="Arial Unicode MS" w:hAnsi="Arial Unicode MS" w:cs="Arial Unicode MS"/>
                <w:color w:val="7A7B7C"/>
                <w:sz w:val="14"/>
                <w:szCs w:val="14"/>
                <w:lang w:eastAsia="en-AU"/>
              </w:rPr>
              <w:t>²¹ ²² ³⁴</w:t>
            </w:r>
          </w:p>
        </w:tc>
        <w:tc>
          <w:tcPr>
            <w:tcW w:w="250" w:type="pct"/>
            <w:shd w:val="clear" w:color="auto" w:fill="D5ECF5"/>
            <w:vAlign w:val="center"/>
          </w:tcPr>
          <w:p w14:paraId="7418B69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9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14.7</w:t>
            </w:r>
          </w:p>
        </w:tc>
        <w:tc>
          <w:tcPr>
            <w:tcW w:w="250" w:type="pct"/>
            <w:shd w:val="clear" w:color="auto" w:fill="D5ECF5"/>
            <w:vAlign w:val="center"/>
          </w:tcPr>
          <w:p w14:paraId="7418B69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10.5</w:t>
            </w:r>
          </w:p>
        </w:tc>
        <w:tc>
          <w:tcPr>
            <w:tcW w:w="250" w:type="pct"/>
            <w:shd w:val="clear" w:color="auto" w:fill="D5ECF5"/>
            <w:vAlign w:val="center"/>
          </w:tcPr>
          <w:p w14:paraId="7418B69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11.9</w:t>
            </w:r>
          </w:p>
        </w:tc>
        <w:tc>
          <w:tcPr>
            <w:tcW w:w="250" w:type="pct"/>
            <w:shd w:val="clear" w:color="auto" w:fill="D5ECF5"/>
            <w:vAlign w:val="center"/>
          </w:tcPr>
          <w:p w14:paraId="7418B6A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A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A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A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7.8</w:t>
            </w:r>
          </w:p>
        </w:tc>
        <w:tc>
          <w:tcPr>
            <w:tcW w:w="250" w:type="pct"/>
            <w:shd w:val="clear" w:color="auto" w:fill="D5ECF5"/>
            <w:vAlign w:val="center"/>
          </w:tcPr>
          <w:p w14:paraId="7418B6A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10.5</w:t>
            </w:r>
          </w:p>
        </w:tc>
        <w:tc>
          <w:tcPr>
            <w:tcW w:w="250" w:type="pct"/>
            <w:shd w:val="clear" w:color="auto" w:fill="D5ECF5"/>
            <w:vAlign w:val="center"/>
          </w:tcPr>
          <w:p w14:paraId="7418B6A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A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A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13.1</w:t>
            </w:r>
          </w:p>
        </w:tc>
        <w:tc>
          <w:tcPr>
            <w:tcW w:w="231" w:type="pct"/>
            <w:shd w:val="clear" w:color="auto" w:fill="D5ECF5"/>
            <w:vAlign w:val="center"/>
          </w:tcPr>
          <w:p w14:paraId="7418B6A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12.8</w:t>
            </w:r>
          </w:p>
        </w:tc>
        <w:tc>
          <w:tcPr>
            <w:tcW w:w="225" w:type="pct"/>
            <w:shd w:val="clear" w:color="auto" w:fill="D5ECF5"/>
            <w:vAlign w:val="center"/>
          </w:tcPr>
          <w:p w14:paraId="7418B6A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6BA" w14:textId="77777777" w:rsidTr="004A31A9">
        <w:trPr>
          <w:trHeight w:val="283"/>
        </w:trPr>
        <w:tc>
          <w:tcPr>
            <w:tcW w:w="1544" w:type="pct"/>
            <w:shd w:val="clear" w:color="auto" w:fill="E4F3F9"/>
            <w:vAlign w:val="center"/>
          </w:tcPr>
          <w:p w14:paraId="7418B6A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Employer Enterprise Death Rate, %</w:t>
            </w:r>
            <w:r w:rsidRPr="008121A7">
              <w:rPr>
                <w:rFonts w:ascii="Arial Unicode MS" w:eastAsia="Arial Unicode MS" w:hAnsi="Arial Unicode MS" w:cs="Arial Unicode MS"/>
                <w:color w:val="7A7B7C"/>
                <w:sz w:val="14"/>
                <w:szCs w:val="14"/>
                <w:lang w:eastAsia="en-AU"/>
              </w:rPr>
              <w:t>¹⁸ ¹⁹ ²⁰ ³⁵</w:t>
            </w:r>
          </w:p>
        </w:tc>
        <w:tc>
          <w:tcPr>
            <w:tcW w:w="250" w:type="pct"/>
            <w:shd w:val="clear" w:color="auto" w:fill="E4F3F9"/>
            <w:vAlign w:val="center"/>
          </w:tcPr>
          <w:p w14:paraId="7418B6A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A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6A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15.0</w:t>
            </w:r>
          </w:p>
        </w:tc>
        <w:tc>
          <w:tcPr>
            <w:tcW w:w="250" w:type="pct"/>
            <w:shd w:val="clear" w:color="auto" w:fill="E4F3F9"/>
            <w:vAlign w:val="center"/>
          </w:tcPr>
          <w:p w14:paraId="7418B6A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14.6</w:t>
            </w:r>
          </w:p>
        </w:tc>
        <w:tc>
          <w:tcPr>
            <w:tcW w:w="250" w:type="pct"/>
            <w:shd w:val="clear" w:color="auto" w:fill="E4F3F9"/>
            <w:vAlign w:val="center"/>
          </w:tcPr>
          <w:p w14:paraId="7418B6B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15.3</w:t>
            </w:r>
          </w:p>
        </w:tc>
        <w:tc>
          <w:tcPr>
            <w:tcW w:w="250" w:type="pct"/>
            <w:shd w:val="clear" w:color="auto" w:fill="E4F3F9"/>
            <w:vAlign w:val="center"/>
          </w:tcPr>
          <w:p w14:paraId="7418B6B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15.4</w:t>
            </w:r>
          </w:p>
        </w:tc>
        <w:tc>
          <w:tcPr>
            <w:tcW w:w="250" w:type="pct"/>
            <w:shd w:val="clear" w:color="auto" w:fill="E4F3F9"/>
            <w:vAlign w:val="center"/>
          </w:tcPr>
          <w:p w14:paraId="7418B6B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13.1</w:t>
            </w:r>
          </w:p>
        </w:tc>
        <w:tc>
          <w:tcPr>
            <w:tcW w:w="250" w:type="pct"/>
            <w:shd w:val="clear" w:color="auto" w:fill="E4F3F9"/>
            <w:vAlign w:val="center"/>
          </w:tcPr>
          <w:p w14:paraId="7418B6B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13.5</w:t>
            </w:r>
          </w:p>
        </w:tc>
        <w:tc>
          <w:tcPr>
            <w:tcW w:w="250" w:type="pct"/>
            <w:shd w:val="clear" w:color="auto" w:fill="E4F3F9"/>
            <w:vAlign w:val="center"/>
          </w:tcPr>
          <w:p w14:paraId="7418B6B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13.1</w:t>
            </w:r>
          </w:p>
        </w:tc>
        <w:tc>
          <w:tcPr>
            <w:tcW w:w="250" w:type="pct"/>
            <w:shd w:val="clear" w:color="auto" w:fill="E4F3F9"/>
            <w:vAlign w:val="center"/>
          </w:tcPr>
          <w:p w14:paraId="7418B6B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14.0</w:t>
            </w:r>
          </w:p>
        </w:tc>
        <w:tc>
          <w:tcPr>
            <w:tcW w:w="250" w:type="pct"/>
            <w:shd w:val="clear" w:color="auto" w:fill="E4F3F9"/>
            <w:vAlign w:val="center"/>
          </w:tcPr>
          <w:p w14:paraId="7418B6B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12.7</w:t>
            </w:r>
          </w:p>
        </w:tc>
        <w:tc>
          <w:tcPr>
            <w:tcW w:w="250" w:type="pct"/>
            <w:shd w:val="clear" w:color="auto" w:fill="E4F3F9"/>
            <w:vAlign w:val="center"/>
          </w:tcPr>
          <w:p w14:paraId="7418B6B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12.4</w:t>
            </w:r>
          </w:p>
        </w:tc>
        <w:tc>
          <w:tcPr>
            <w:tcW w:w="231" w:type="pct"/>
            <w:shd w:val="clear" w:color="auto" w:fill="E4F3F9"/>
            <w:vAlign w:val="center"/>
          </w:tcPr>
          <w:p w14:paraId="7418B6B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6B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6CA" w14:textId="77777777" w:rsidTr="004A31A9">
        <w:trPr>
          <w:trHeight w:val="283"/>
        </w:trPr>
        <w:tc>
          <w:tcPr>
            <w:tcW w:w="1544" w:type="pct"/>
            <w:shd w:val="clear" w:color="auto" w:fill="D5ECF5"/>
            <w:vAlign w:val="center"/>
          </w:tcPr>
          <w:p w14:paraId="7418B6B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Churn Rate, %</w:t>
            </w:r>
            <w:r w:rsidRPr="008121A7">
              <w:rPr>
                <w:rFonts w:ascii="Arial Unicode MS" w:eastAsia="Arial Unicode MS" w:hAnsi="Arial Unicode MS" w:cs="Arial Unicode MS"/>
                <w:color w:val="7A7B7C"/>
                <w:sz w:val="14"/>
                <w:szCs w:val="14"/>
                <w:lang w:eastAsia="en-AU"/>
              </w:rPr>
              <w:t>¹⁸ ¹⁹ ²⁰</w:t>
            </w:r>
          </w:p>
        </w:tc>
        <w:tc>
          <w:tcPr>
            <w:tcW w:w="250" w:type="pct"/>
            <w:shd w:val="clear" w:color="auto" w:fill="D5ECF5"/>
            <w:vAlign w:val="center"/>
          </w:tcPr>
          <w:p w14:paraId="7418B6B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B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B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B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C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21.4</w:t>
            </w:r>
          </w:p>
        </w:tc>
        <w:tc>
          <w:tcPr>
            <w:tcW w:w="250" w:type="pct"/>
            <w:shd w:val="clear" w:color="auto" w:fill="D5ECF5"/>
            <w:vAlign w:val="center"/>
          </w:tcPr>
          <w:p w14:paraId="7418B6C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20.9</w:t>
            </w:r>
          </w:p>
        </w:tc>
        <w:tc>
          <w:tcPr>
            <w:tcW w:w="250" w:type="pct"/>
            <w:shd w:val="clear" w:color="auto" w:fill="D5ECF5"/>
            <w:vAlign w:val="center"/>
          </w:tcPr>
          <w:p w14:paraId="7418B6C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21.1</w:t>
            </w:r>
          </w:p>
        </w:tc>
        <w:tc>
          <w:tcPr>
            <w:tcW w:w="250" w:type="pct"/>
            <w:shd w:val="clear" w:color="auto" w:fill="D5ECF5"/>
            <w:vAlign w:val="center"/>
          </w:tcPr>
          <w:p w14:paraId="7418B6C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20.2</w:t>
            </w:r>
          </w:p>
        </w:tc>
        <w:tc>
          <w:tcPr>
            <w:tcW w:w="250" w:type="pct"/>
            <w:shd w:val="clear" w:color="auto" w:fill="D5ECF5"/>
            <w:vAlign w:val="center"/>
          </w:tcPr>
          <w:p w14:paraId="7418B6C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19.9</w:t>
            </w:r>
          </w:p>
        </w:tc>
        <w:tc>
          <w:tcPr>
            <w:tcW w:w="250" w:type="pct"/>
            <w:shd w:val="clear" w:color="auto" w:fill="D5ECF5"/>
            <w:vAlign w:val="center"/>
          </w:tcPr>
          <w:p w14:paraId="7418B6C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18.7</w:t>
            </w:r>
          </w:p>
        </w:tc>
        <w:tc>
          <w:tcPr>
            <w:tcW w:w="250" w:type="pct"/>
            <w:shd w:val="clear" w:color="auto" w:fill="D5ECF5"/>
            <w:vAlign w:val="center"/>
          </w:tcPr>
          <w:p w14:paraId="7418B6C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C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D5ECF5"/>
            <w:vAlign w:val="center"/>
          </w:tcPr>
          <w:p w14:paraId="7418B6C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D5ECF5"/>
            <w:vAlign w:val="center"/>
          </w:tcPr>
          <w:p w14:paraId="7418B6C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6DA" w14:textId="77777777" w:rsidTr="004A31A9">
        <w:trPr>
          <w:trHeight w:val="283"/>
        </w:trPr>
        <w:tc>
          <w:tcPr>
            <w:tcW w:w="1544" w:type="pct"/>
            <w:tcBorders>
              <w:bottom w:val="nil"/>
            </w:tcBorders>
            <w:shd w:val="clear" w:color="auto" w:fill="E4F3F9"/>
            <w:vAlign w:val="center"/>
          </w:tcPr>
          <w:p w14:paraId="7418B6C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1-year survival rate (employer enterprises), %</w:t>
            </w:r>
            <w:r w:rsidRPr="008121A7">
              <w:rPr>
                <w:rFonts w:ascii="Arial Unicode MS" w:eastAsia="Arial Unicode MS" w:hAnsi="Arial Unicode MS" w:cs="Arial Unicode MS"/>
                <w:color w:val="7A7B7C"/>
                <w:sz w:val="14"/>
                <w:szCs w:val="14"/>
                <w:lang w:eastAsia="en-AU"/>
              </w:rPr>
              <w:t>¹⁸ ¹⁹ ²⁰</w:t>
            </w:r>
          </w:p>
        </w:tc>
        <w:tc>
          <w:tcPr>
            <w:tcW w:w="250" w:type="pct"/>
            <w:tcBorders>
              <w:bottom w:val="nil"/>
            </w:tcBorders>
            <w:shd w:val="clear" w:color="auto" w:fill="E4F3F9"/>
            <w:vAlign w:val="center"/>
          </w:tcPr>
          <w:p w14:paraId="7418B6C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nil"/>
            </w:tcBorders>
            <w:shd w:val="clear" w:color="auto" w:fill="E4F3F9"/>
            <w:vAlign w:val="center"/>
          </w:tcPr>
          <w:p w14:paraId="7418B6C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nil"/>
            </w:tcBorders>
            <w:shd w:val="clear" w:color="auto" w:fill="E4F3F9"/>
            <w:vAlign w:val="center"/>
          </w:tcPr>
          <w:p w14:paraId="7418B6C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85.0</w:t>
            </w:r>
          </w:p>
        </w:tc>
        <w:tc>
          <w:tcPr>
            <w:tcW w:w="250" w:type="pct"/>
            <w:tcBorders>
              <w:bottom w:val="nil"/>
            </w:tcBorders>
            <w:shd w:val="clear" w:color="auto" w:fill="E4F3F9"/>
            <w:vAlign w:val="center"/>
          </w:tcPr>
          <w:p w14:paraId="7418B6C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85.4</w:t>
            </w:r>
          </w:p>
        </w:tc>
        <w:tc>
          <w:tcPr>
            <w:tcW w:w="250" w:type="pct"/>
            <w:tcBorders>
              <w:bottom w:val="nil"/>
            </w:tcBorders>
            <w:shd w:val="clear" w:color="auto" w:fill="E4F3F9"/>
            <w:vAlign w:val="center"/>
          </w:tcPr>
          <w:p w14:paraId="7418B6D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84.7</w:t>
            </w:r>
          </w:p>
        </w:tc>
        <w:tc>
          <w:tcPr>
            <w:tcW w:w="250" w:type="pct"/>
            <w:tcBorders>
              <w:bottom w:val="nil"/>
            </w:tcBorders>
            <w:shd w:val="clear" w:color="auto" w:fill="E4F3F9"/>
            <w:vAlign w:val="center"/>
          </w:tcPr>
          <w:p w14:paraId="7418B6D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84.6</w:t>
            </w:r>
          </w:p>
        </w:tc>
        <w:tc>
          <w:tcPr>
            <w:tcW w:w="250" w:type="pct"/>
            <w:tcBorders>
              <w:bottom w:val="nil"/>
            </w:tcBorders>
            <w:shd w:val="clear" w:color="auto" w:fill="E4F3F9"/>
            <w:vAlign w:val="center"/>
          </w:tcPr>
          <w:p w14:paraId="7418B6D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86.9</w:t>
            </w:r>
          </w:p>
        </w:tc>
        <w:tc>
          <w:tcPr>
            <w:tcW w:w="250" w:type="pct"/>
            <w:tcBorders>
              <w:bottom w:val="nil"/>
            </w:tcBorders>
            <w:shd w:val="clear" w:color="auto" w:fill="E4F3F9"/>
            <w:vAlign w:val="center"/>
          </w:tcPr>
          <w:p w14:paraId="7418B6D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86.5</w:t>
            </w:r>
          </w:p>
        </w:tc>
        <w:tc>
          <w:tcPr>
            <w:tcW w:w="250" w:type="pct"/>
            <w:tcBorders>
              <w:bottom w:val="nil"/>
            </w:tcBorders>
            <w:shd w:val="clear" w:color="auto" w:fill="E4F3F9"/>
            <w:vAlign w:val="center"/>
          </w:tcPr>
          <w:p w14:paraId="7418B6D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86.9</w:t>
            </w:r>
          </w:p>
        </w:tc>
        <w:tc>
          <w:tcPr>
            <w:tcW w:w="250" w:type="pct"/>
            <w:tcBorders>
              <w:bottom w:val="nil"/>
            </w:tcBorders>
            <w:shd w:val="clear" w:color="auto" w:fill="E4F3F9"/>
            <w:vAlign w:val="center"/>
          </w:tcPr>
          <w:p w14:paraId="7418B6D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86.0</w:t>
            </w:r>
          </w:p>
        </w:tc>
        <w:tc>
          <w:tcPr>
            <w:tcW w:w="250" w:type="pct"/>
            <w:tcBorders>
              <w:bottom w:val="nil"/>
            </w:tcBorders>
            <w:shd w:val="clear" w:color="auto" w:fill="E4F3F9"/>
            <w:vAlign w:val="center"/>
          </w:tcPr>
          <w:p w14:paraId="7418B6D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87.3</w:t>
            </w:r>
          </w:p>
        </w:tc>
        <w:tc>
          <w:tcPr>
            <w:tcW w:w="250" w:type="pct"/>
            <w:tcBorders>
              <w:bottom w:val="nil"/>
            </w:tcBorders>
            <w:shd w:val="clear" w:color="auto" w:fill="E4F3F9"/>
            <w:vAlign w:val="center"/>
          </w:tcPr>
          <w:p w14:paraId="7418B6D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87.6</w:t>
            </w:r>
          </w:p>
        </w:tc>
        <w:tc>
          <w:tcPr>
            <w:tcW w:w="231" w:type="pct"/>
            <w:tcBorders>
              <w:bottom w:val="nil"/>
            </w:tcBorders>
            <w:shd w:val="clear" w:color="auto" w:fill="E4F3F9"/>
            <w:vAlign w:val="center"/>
          </w:tcPr>
          <w:p w14:paraId="7418B6D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tcBorders>
              <w:bottom w:val="nil"/>
            </w:tcBorders>
            <w:shd w:val="clear" w:color="auto" w:fill="E4F3F9"/>
            <w:vAlign w:val="center"/>
          </w:tcPr>
          <w:p w14:paraId="7418B6D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6EA" w14:textId="77777777" w:rsidTr="004A31A9">
        <w:trPr>
          <w:trHeight w:val="283"/>
        </w:trPr>
        <w:tc>
          <w:tcPr>
            <w:tcW w:w="1544" w:type="pct"/>
            <w:tcBorders>
              <w:bottom w:val="nil"/>
            </w:tcBorders>
            <w:shd w:val="clear" w:color="auto" w:fill="D5ECF5"/>
            <w:vAlign w:val="center"/>
          </w:tcPr>
          <w:p w14:paraId="7418B6D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Patents granted by IP Australia, for Australian residents</w:t>
            </w:r>
            <w:r w:rsidRPr="008121A7">
              <w:rPr>
                <w:rFonts w:ascii="Arial Unicode MS" w:eastAsia="Arial Unicode MS" w:hAnsi="Arial Unicode MS" w:cs="Arial Unicode MS"/>
                <w:color w:val="7A7B7C"/>
                <w:sz w:val="14"/>
                <w:szCs w:val="14"/>
                <w:lang w:eastAsia="en-AU"/>
              </w:rPr>
              <w:t>²³ ²⁴ ³⁶</w:t>
            </w:r>
          </w:p>
        </w:tc>
        <w:tc>
          <w:tcPr>
            <w:tcW w:w="250" w:type="pct"/>
            <w:tcBorders>
              <w:bottom w:val="nil"/>
            </w:tcBorders>
            <w:shd w:val="clear" w:color="auto" w:fill="D5ECF5"/>
            <w:vAlign w:val="center"/>
          </w:tcPr>
          <w:p w14:paraId="7418B6D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nil"/>
            </w:tcBorders>
            <w:shd w:val="clear" w:color="auto" w:fill="D5ECF5"/>
            <w:vAlign w:val="center"/>
          </w:tcPr>
          <w:p w14:paraId="7418B6D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nil"/>
            </w:tcBorders>
            <w:shd w:val="clear" w:color="auto" w:fill="D5ECF5"/>
            <w:vAlign w:val="center"/>
          </w:tcPr>
          <w:p w14:paraId="7418B6D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nil"/>
            </w:tcBorders>
            <w:shd w:val="clear" w:color="auto" w:fill="D5ECF5"/>
            <w:vAlign w:val="center"/>
          </w:tcPr>
          <w:p w14:paraId="7418B6D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924</w:t>
            </w:r>
          </w:p>
        </w:tc>
        <w:tc>
          <w:tcPr>
            <w:tcW w:w="250" w:type="pct"/>
            <w:tcBorders>
              <w:bottom w:val="nil"/>
            </w:tcBorders>
            <w:shd w:val="clear" w:color="auto" w:fill="D5ECF5"/>
            <w:vAlign w:val="center"/>
          </w:tcPr>
          <w:p w14:paraId="7418B6E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1,086</w:t>
            </w:r>
          </w:p>
        </w:tc>
        <w:tc>
          <w:tcPr>
            <w:tcW w:w="250" w:type="pct"/>
            <w:tcBorders>
              <w:bottom w:val="nil"/>
            </w:tcBorders>
            <w:shd w:val="clear" w:color="auto" w:fill="D5ECF5"/>
            <w:vAlign w:val="center"/>
          </w:tcPr>
          <w:p w14:paraId="7418B6E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925</w:t>
            </w:r>
          </w:p>
        </w:tc>
        <w:tc>
          <w:tcPr>
            <w:tcW w:w="250" w:type="pct"/>
            <w:tcBorders>
              <w:bottom w:val="nil"/>
            </w:tcBorders>
            <w:shd w:val="clear" w:color="auto" w:fill="D5ECF5"/>
            <w:vAlign w:val="center"/>
          </w:tcPr>
          <w:p w14:paraId="7418B6E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926</w:t>
            </w:r>
          </w:p>
        </w:tc>
        <w:tc>
          <w:tcPr>
            <w:tcW w:w="250" w:type="pct"/>
            <w:tcBorders>
              <w:bottom w:val="nil"/>
            </w:tcBorders>
            <w:shd w:val="clear" w:color="auto" w:fill="D5ECF5"/>
            <w:vAlign w:val="center"/>
          </w:tcPr>
          <w:p w14:paraId="7418B6E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1,178</w:t>
            </w:r>
          </w:p>
        </w:tc>
        <w:tc>
          <w:tcPr>
            <w:tcW w:w="250" w:type="pct"/>
            <w:tcBorders>
              <w:bottom w:val="nil"/>
            </w:tcBorders>
            <w:shd w:val="clear" w:color="auto" w:fill="D5ECF5"/>
            <w:vAlign w:val="center"/>
          </w:tcPr>
          <w:p w14:paraId="7418B6E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1,262</w:t>
            </w:r>
          </w:p>
        </w:tc>
        <w:tc>
          <w:tcPr>
            <w:tcW w:w="250" w:type="pct"/>
            <w:tcBorders>
              <w:bottom w:val="nil"/>
            </w:tcBorders>
            <w:shd w:val="clear" w:color="auto" w:fill="D5ECF5"/>
            <w:vAlign w:val="center"/>
          </w:tcPr>
          <w:p w14:paraId="7418B6E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1,311</w:t>
            </w:r>
          </w:p>
        </w:tc>
        <w:tc>
          <w:tcPr>
            <w:tcW w:w="250" w:type="pct"/>
            <w:tcBorders>
              <w:bottom w:val="nil"/>
            </w:tcBorders>
            <w:shd w:val="clear" w:color="auto" w:fill="D5ECF5"/>
            <w:vAlign w:val="center"/>
          </w:tcPr>
          <w:p w14:paraId="7418B6E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1,110</w:t>
            </w:r>
          </w:p>
        </w:tc>
        <w:tc>
          <w:tcPr>
            <w:tcW w:w="250" w:type="pct"/>
            <w:tcBorders>
              <w:bottom w:val="nil"/>
            </w:tcBorders>
            <w:shd w:val="clear" w:color="auto" w:fill="D5ECF5"/>
            <w:vAlign w:val="center"/>
          </w:tcPr>
          <w:p w14:paraId="7418B6E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1,199</w:t>
            </w:r>
          </w:p>
        </w:tc>
        <w:tc>
          <w:tcPr>
            <w:tcW w:w="231" w:type="pct"/>
            <w:tcBorders>
              <w:bottom w:val="nil"/>
            </w:tcBorders>
            <w:shd w:val="clear" w:color="auto" w:fill="D5ECF5"/>
            <w:vAlign w:val="center"/>
          </w:tcPr>
          <w:p w14:paraId="7418B6E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1,199</w:t>
            </w:r>
          </w:p>
        </w:tc>
        <w:tc>
          <w:tcPr>
            <w:tcW w:w="225" w:type="pct"/>
            <w:tcBorders>
              <w:bottom w:val="nil"/>
            </w:tcBorders>
            <w:shd w:val="clear" w:color="auto" w:fill="D5ECF5"/>
            <w:vAlign w:val="center"/>
          </w:tcPr>
          <w:p w14:paraId="7418B6E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1,614</w:t>
            </w:r>
          </w:p>
        </w:tc>
      </w:tr>
      <w:tr w:rsidR="00D471AD" w:rsidRPr="008121A7" w14:paraId="7418B6FA" w14:textId="77777777" w:rsidTr="004A31A9">
        <w:trPr>
          <w:trHeight w:val="283"/>
        </w:trPr>
        <w:tc>
          <w:tcPr>
            <w:tcW w:w="1544" w:type="pct"/>
            <w:tcBorders>
              <w:top w:val="nil"/>
            </w:tcBorders>
            <w:shd w:val="clear" w:color="auto" w:fill="E4F3F9"/>
            <w:vAlign w:val="center"/>
          </w:tcPr>
          <w:p w14:paraId="7418B6E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Innovation Patents by AU residents</w:t>
            </w:r>
            <w:r w:rsidRPr="008121A7">
              <w:rPr>
                <w:rFonts w:ascii="Arial Unicode MS" w:eastAsia="Arial Unicode MS" w:hAnsi="Arial Unicode MS" w:cs="Arial Unicode MS"/>
                <w:color w:val="7A7B7C"/>
                <w:sz w:val="14"/>
                <w:szCs w:val="14"/>
                <w:lang w:eastAsia="en-AU"/>
              </w:rPr>
              <w:t>²³ ³⁷</w:t>
            </w:r>
          </w:p>
        </w:tc>
        <w:tc>
          <w:tcPr>
            <w:tcW w:w="250" w:type="pct"/>
            <w:tcBorders>
              <w:top w:val="nil"/>
            </w:tcBorders>
            <w:shd w:val="clear" w:color="auto" w:fill="E4F3F9"/>
            <w:vAlign w:val="center"/>
          </w:tcPr>
          <w:p w14:paraId="7418B6E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top w:val="nil"/>
            </w:tcBorders>
            <w:shd w:val="clear" w:color="auto" w:fill="E4F3F9"/>
            <w:vAlign w:val="center"/>
          </w:tcPr>
          <w:p w14:paraId="7418B6E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top w:val="nil"/>
            </w:tcBorders>
            <w:shd w:val="clear" w:color="auto" w:fill="E4F3F9"/>
            <w:vAlign w:val="center"/>
          </w:tcPr>
          <w:p w14:paraId="7418B6E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926</w:t>
            </w:r>
          </w:p>
        </w:tc>
        <w:tc>
          <w:tcPr>
            <w:tcW w:w="250" w:type="pct"/>
            <w:tcBorders>
              <w:top w:val="nil"/>
            </w:tcBorders>
            <w:shd w:val="clear" w:color="auto" w:fill="E4F3F9"/>
            <w:vAlign w:val="center"/>
          </w:tcPr>
          <w:p w14:paraId="7418B6E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918</w:t>
            </w:r>
          </w:p>
        </w:tc>
        <w:tc>
          <w:tcPr>
            <w:tcW w:w="250" w:type="pct"/>
            <w:tcBorders>
              <w:top w:val="nil"/>
            </w:tcBorders>
            <w:shd w:val="clear" w:color="auto" w:fill="E4F3F9"/>
            <w:vAlign w:val="center"/>
          </w:tcPr>
          <w:p w14:paraId="7418B6F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1,034</w:t>
            </w:r>
          </w:p>
        </w:tc>
        <w:tc>
          <w:tcPr>
            <w:tcW w:w="250" w:type="pct"/>
            <w:tcBorders>
              <w:top w:val="nil"/>
            </w:tcBorders>
            <w:shd w:val="clear" w:color="auto" w:fill="E4F3F9"/>
            <w:vAlign w:val="center"/>
          </w:tcPr>
          <w:p w14:paraId="7418B6F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1,028</w:t>
            </w:r>
          </w:p>
        </w:tc>
        <w:tc>
          <w:tcPr>
            <w:tcW w:w="250" w:type="pct"/>
            <w:tcBorders>
              <w:top w:val="nil"/>
            </w:tcBorders>
            <w:shd w:val="clear" w:color="auto" w:fill="E4F3F9"/>
            <w:vAlign w:val="center"/>
          </w:tcPr>
          <w:p w14:paraId="7418B6F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1,109</w:t>
            </w:r>
          </w:p>
        </w:tc>
        <w:tc>
          <w:tcPr>
            <w:tcW w:w="250" w:type="pct"/>
            <w:tcBorders>
              <w:top w:val="nil"/>
            </w:tcBorders>
            <w:shd w:val="clear" w:color="auto" w:fill="E4F3F9"/>
            <w:vAlign w:val="center"/>
          </w:tcPr>
          <w:p w14:paraId="7418B6F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1,127</w:t>
            </w:r>
          </w:p>
        </w:tc>
        <w:tc>
          <w:tcPr>
            <w:tcW w:w="250" w:type="pct"/>
            <w:tcBorders>
              <w:top w:val="nil"/>
            </w:tcBorders>
            <w:shd w:val="clear" w:color="auto" w:fill="E4F3F9"/>
            <w:vAlign w:val="center"/>
          </w:tcPr>
          <w:p w14:paraId="7418B6F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1,204</w:t>
            </w:r>
          </w:p>
        </w:tc>
        <w:tc>
          <w:tcPr>
            <w:tcW w:w="250" w:type="pct"/>
            <w:tcBorders>
              <w:top w:val="nil"/>
            </w:tcBorders>
            <w:shd w:val="clear" w:color="auto" w:fill="E4F3F9"/>
            <w:vAlign w:val="center"/>
          </w:tcPr>
          <w:p w14:paraId="7418B6F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1,205</w:t>
            </w:r>
          </w:p>
        </w:tc>
        <w:tc>
          <w:tcPr>
            <w:tcW w:w="250" w:type="pct"/>
            <w:tcBorders>
              <w:top w:val="nil"/>
            </w:tcBorders>
            <w:shd w:val="clear" w:color="auto" w:fill="E4F3F9"/>
            <w:vAlign w:val="center"/>
          </w:tcPr>
          <w:p w14:paraId="7418B6F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1,131</w:t>
            </w:r>
          </w:p>
        </w:tc>
        <w:tc>
          <w:tcPr>
            <w:tcW w:w="250" w:type="pct"/>
            <w:tcBorders>
              <w:top w:val="nil"/>
            </w:tcBorders>
            <w:shd w:val="clear" w:color="auto" w:fill="E4F3F9"/>
            <w:vAlign w:val="center"/>
          </w:tcPr>
          <w:p w14:paraId="7418B6F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1,021</w:t>
            </w:r>
          </w:p>
        </w:tc>
        <w:tc>
          <w:tcPr>
            <w:tcW w:w="231" w:type="pct"/>
            <w:tcBorders>
              <w:top w:val="nil"/>
            </w:tcBorders>
            <w:shd w:val="clear" w:color="auto" w:fill="E4F3F9"/>
            <w:vAlign w:val="center"/>
          </w:tcPr>
          <w:p w14:paraId="7418B6F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tcBorders>
              <w:top w:val="nil"/>
            </w:tcBorders>
            <w:shd w:val="clear" w:color="auto" w:fill="E4F3F9"/>
            <w:vAlign w:val="center"/>
          </w:tcPr>
          <w:p w14:paraId="7418B6F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70A" w14:textId="77777777" w:rsidTr="004A31A9">
        <w:trPr>
          <w:trHeight w:val="283"/>
        </w:trPr>
        <w:tc>
          <w:tcPr>
            <w:tcW w:w="1544" w:type="pct"/>
            <w:shd w:val="clear" w:color="auto" w:fill="D5ECF5"/>
            <w:vAlign w:val="center"/>
          </w:tcPr>
          <w:p w14:paraId="7418B6F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 xml:space="preserve">Industrial designs certified by IP Australia, for Australian </w:t>
            </w:r>
            <w:r w:rsidRPr="008121A7">
              <w:rPr>
                <w:rFonts w:eastAsia="Arial Unicode MS" w:cs="Arial"/>
                <w:color w:val="7A7B7C"/>
                <w:sz w:val="14"/>
                <w:szCs w:val="14"/>
                <w:lang w:eastAsia="en-AU"/>
              </w:rPr>
              <w:br/>
            </w:r>
            <w:r w:rsidRPr="008121A7">
              <w:rPr>
                <w:rFonts w:eastAsia="Arial Unicode MS" w:cs="Arial" w:hint="eastAsia"/>
                <w:color w:val="7A7B7C"/>
                <w:sz w:val="14"/>
                <w:szCs w:val="14"/>
                <w:lang w:eastAsia="en-AU"/>
              </w:rPr>
              <w:t>residents</w:t>
            </w:r>
            <w:r w:rsidRPr="008121A7">
              <w:rPr>
                <w:rFonts w:ascii="Arial Unicode MS" w:eastAsia="Arial Unicode MS" w:hAnsi="Arial Unicode MS" w:cs="Arial Unicode MS"/>
                <w:color w:val="7A7B7C"/>
                <w:sz w:val="14"/>
                <w:szCs w:val="14"/>
                <w:lang w:eastAsia="en-AU"/>
              </w:rPr>
              <w:t>²³ ³⁸</w:t>
            </w:r>
          </w:p>
        </w:tc>
        <w:tc>
          <w:tcPr>
            <w:tcW w:w="250" w:type="pct"/>
            <w:shd w:val="clear" w:color="auto" w:fill="D5ECF5"/>
            <w:vAlign w:val="center"/>
          </w:tcPr>
          <w:p w14:paraId="7418B6F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F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6F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115</w:t>
            </w:r>
          </w:p>
        </w:tc>
        <w:tc>
          <w:tcPr>
            <w:tcW w:w="250" w:type="pct"/>
            <w:shd w:val="clear" w:color="auto" w:fill="D5ECF5"/>
            <w:vAlign w:val="center"/>
          </w:tcPr>
          <w:p w14:paraId="7418B6F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151</w:t>
            </w:r>
          </w:p>
        </w:tc>
        <w:tc>
          <w:tcPr>
            <w:tcW w:w="250" w:type="pct"/>
            <w:shd w:val="clear" w:color="auto" w:fill="D5ECF5"/>
            <w:vAlign w:val="center"/>
          </w:tcPr>
          <w:p w14:paraId="7418B70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238</w:t>
            </w:r>
          </w:p>
        </w:tc>
        <w:tc>
          <w:tcPr>
            <w:tcW w:w="250" w:type="pct"/>
            <w:shd w:val="clear" w:color="auto" w:fill="D5ECF5"/>
            <w:vAlign w:val="center"/>
          </w:tcPr>
          <w:p w14:paraId="7418B70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342</w:t>
            </w:r>
          </w:p>
        </w:tc>
        <w:tc>
          <w:tcPr>
            <w:tcW w:w="250" w:type="pct"/>
            <w:shd w:val="clear" w:color="auto" w:fill="D5ECF5"/>
            <w:vAlign w:val="center"/>
          </w:tcPr>
          <w:p w14:paraId="7418B70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274</w:t>
            </w:r>
          </w:p>
        </w:tc>
        <w:tc>
          <w:tcPr>
            <w:tcW w:w="250" w:type="pct"/>
            <w:shd w:val="clear" w:color="auto" w:fill="D5ECF5"/>
            <w:vAlign w:val="center"/>
          </w:tcPr>
          <w:p w14:paraId="7418B70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327</w:t>
            </w:r>
          </w:p>
        </w:tc>
        <w:tc>
          <w:tcPr>
            <w:tcW w:w="250" w:type="pct"/>
            <w:shd w:val="clear" w:color="auto" w:fill="D5ECF5"/>
            <w:vAlign w:val="center"/>
          </w:tcPr>
          <w:p w14:paraId="7418B70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265</w:t>
            </w:r>
          </w:p>
        </w:tc>
        <w:tc>
          <w:tcPr>
            <w:tcW w:w="250" w:type="pct"/>
            <w:shd w:val="clear" w:color="auto" w:fill="D5ECF5"/>
            <w:vAlign w:val="center"/>
          </w:tcPr>
          <w:p w14:paraId="7418B70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318</w:t>
            </w:r>
          </w:p>
        </w:tc>
        <w:tc>
          <w:tcPr>
            <w:tcW w:w="250" w:type="pct"/>
            <w:shd w:val="clear" w:color="auto" w:fill="D5ECF5"/>
            <w:vAlign w:val="center"/>
          </w:tcPr>
          <w:p w14:paraId="7418B70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217</w:t>
            </w:r>
          </w:p>
        </w:tc>
        <w:tc>
          <w:tcPr>
            <w:tcW w:w="250" w:type="pct"/>
            <w:shd w:val="clear" w:color="auto" w:fill="D5ECF5"/>
            <w:vAlign w:val="center"/>
          </w:tcPr>
          <w:p w14:paraId="7418B70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569</w:t>
            </w:r>
          </w:p>
        </w:tc>
        <w:tc>
          <w:tcPr>
            <w:tcW w:w="231" w:type="pct"/>
            <w:shd w:val="clear" w:color="auto" w:fill="D5ECF5"/>
            <w:vAlign w:val="center"/>
          </w:tcPr>
          <w:p w14:paraId="7418B70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D5ECF5"/>
            <w:vAlign w:val="center"/>
          </w:tcPr>
          <w:p w14:paraId="7418B70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71A" w14:textId="77777777" w:rsidTr="004A31A9">
        <w:trPr>
          <w:trHeight w:val="283"/>
        </w:trPr>
        <w:tc>
          <w:tcPr>
            <w:tcW w:w="1544" w:type="pct"/>
            <w:shd w:val="clear" w:color="auto" w:fill="E4F3F9"/>
            <w:vAlign w:val="center"/>
          </w:tcPr>
          <w:p w14:paraId="7418B70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Triadic patent families per million population</w:t>
            </w:r>
            <w:r w:rsidRPr="008121A7">
              <w:rPr>
                <w:rFonts w:ascii="Arial Unicode MS" w:eastAsia="Arial Unicode MS" w:hAnsi="Arial Unicode MS" w:cs="Arial Unicode MS"/>
                <w:color w:val="7A7B7C"/>
                <w:sz w:val="14"/>
                <w:szCs w:val="14"/>
                <w:lang w:eastAsia="en-AU"/>
              </w:rPr>
              <w:t>¹</w:t>
            </w:r>
          </w:p>
        </w:tc>
        <w:tc>
          <w:tcPr>
            <w:tcW w:w="250" w:type="pct"/>
            <w:shd w:val="clear" w:color="auto" w:fill="E4F3F9"/>
            <w:vAlign w:val="center"/>
          </w:tcPr>
          <w:p w14:paraId="7418B70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13.1</w:t>
            </w:r>
          </w:p>
        </w:tc>
        <w:tc>
          <w:tcPr>
            <w:tcW w:w="250" w:type="pct"/>
            <w:shd w:val="clear" w:color="auto" w:fill="E4F3F9"/>
            <w:vAlign w:val="center"/>
          </w:tcPr>
          <w:p w14:paraId="7418B70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26.9</w:t>
            </w:r>
          </w:p>
        </w:tc>
        <w:tc>
          <w:tcPr>
            <w:tcW w:w="250" w:type="pct"/>
            <w:shd w:val="clear" w:color="auto" w:fill="E4F3F9"/>
            <w:vAlign w:val="center"/>
          </w:tcPr>
          <w:p w14:paraId="7418B70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23.6</w:t>
            </w:r>
          </w:p>
        </w:tc>
        <w:tc>
          <w:tcPr>
            <w:tcW w:w="250" w:type="pct"/>
            <w:shd w:val="clear" w:color="auto" w:fill="E4F3F9"/>
            <w:vAlign w:val="center"/>
          </w:tcPr>
          <w:p w14:paraId="7418B70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17.6</w:t>
            </w:r>
          </w:p>
        </w:tc>
        <w:tc>
          <w:tcPr>
            <w:tcW w:w="250" w:type="pct"/>
            <w:shd w:val="clear" w:color="auto" w:fill="E4F3F9"/>
            <w:vAlign w:val="center"/>
          </w:tcPr>
          <w:p w14:paraId="7418B71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16.4</w:t>
            </w:r>
          </w:p>
        </w:tc>
        <w:tc>
          <w:tcPr>
            <w:tcW w:w="250" w:type="pct"/>
            <w:shd w:val="clear" w:color="auto" w:fill="E4F3F9"/>
            <w:vAlign w:val="center"/>
          </w:tcPr>
          <w:p w14:paraId="7418B71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14.6</w:t>
            </w:r>
          </w:p>
        </w:tc>
        <w:tc>
          <w:tcPr>
            <w:tcW w:w="250" w:type="pct"/>
            <w:shd w:val="clear" w:color="auto" w:fill="E4F3F9"/>
            <w:vAlign w:val="center"/>
          </w:tcPr>
          <w:p w14:paraId="7418B71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16.0</w:t>
            </w:r>
          </w:p>
        </w:tc>
        <w:tc>
          <w:tcPr>
            <w:tcW w:w="250" w:type="pct"/>
            <w:shd w:val="clear" w:color="auto" w:fill="E4F3F9"/>
            <w:vAlign w:val="center"/>
          </w:tcPr>
          <w:p w14:paraId="7418B71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13.8</w:t>
            </w:r>
          </w:p>
        </w:tc>
        <w:tc>
          <w:tcPr>
            <w:tcW w:w="250" w:type="pct"/>
            <w:shd w:val="clear" w:color="auto" w:fill="E4F3F9"/>
            <w:vAlign w:val="center"/>
          </w:tcPr>
          <w:p w14:paraId="7418B71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13.9</w:t>
            </w:r>
          </w:p>
        </w:tc>
        <w:tc>
          <w:tcPr>
            <w:tcW w:w="250" w:type="pct"/>
            <w:shd w:val="clear" w:color="auto" w:fill="E4F3F9"/>
            <w:vAlign w:val="center"/>
          </w:tcPr>
          <w:p w14:paraId="7418B71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13.7</w:t>
            </w:r>
          </w:p>
        </w:tc>
        <w:tc>
          <w:tcPr>
            <w:tcW w:w="250" w:type="pct"/>
            <w:shd w:val="clear" w:color="auto" w:fill="E4F3F9"/>
            <w:vAlign w:val="center"/>
          </w:tcPr>
          <w:p w14:paraId="7418B71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13.6</w:t>
            </w:r>
          </w:p>
        </w:tc>
        <w:tc>
          <w:tcPr>
            <w:tcW w:w="250" w:type="pct"/>
            <w:shd w:val="clear" w:color="auto" w:fill="E4F3F9"/>
            <w:vAlign w:val="center"/>
          </w:tcPr>
          <w:p w14:paraId="7418B71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E4F3F9"/>
            <w:vAlign w:val="center"/>
          </w:tcPr>
          <w:p w14:paraId="7418B71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71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72A" w14:textId="77777777" w:rsidTr="004A31A9">
        <w:trPr>
          <w:trHeight w:val="283"/>
        </w:trPr>
        <w:tc>
          <w:tcPr>
            <w:tcW w:w="1544" w:type="pct"/>
            <w:shd w:val="clear" w:color="auto" w:fill="D5ECF5"/>
            <w:vAlign w:val="center"/>
          </w:tcPr>
          <w:p w14:paraId="7418B71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Patent applications filed by AU residents under PCT per million population</w:t>
            </w:r>
            <w:r w:rsidRPr="008121A7">
              <w:rPr>
                <w:rFonts w:ascii="Arial Unicode MS" w:eastAsia="Arial Unicode MS" w:hAnsi="Arial Unicode MS" w:cs="Arial Unicode MS" w:hint="eastAsia"/>
                <w:color w:val="7A7B7C"/>
                <w:sz w:val="14"/>
                <w:szCs w:val="14"/>
                <w:lang w:eastAsia="en-AU"/>
              </w:rPr>
              <w:t>²³ ³⁹</w:t>
            </w:r>
          </w:p>
        </w:tc>
        <w:tc>
          <w:tcPr>
            <w:tcW w:w="250" w:type="pct"/>
            <w:shd w:val="clear" w:color="auto" w:fill="D5ECF5"/>
            <w:vAlign w:val="center"/>
          </w:tcPr>
          <w:p w14:paraId="7418B71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71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71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71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96</w:t>
            </w:r>
          </w:p>
        </w:tc>
        <w:tc>
          <w:tcPr>
            <w:tcW w:w="250" w:type="pct"/>
            <w:shd w:val="clear" w:color="auto" w:fill="D5ECF5"/>
            <w:vAlign w:val="center"/>
          </w:tcPr>
          <w:p w14:paraId="7418B72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97</w:t>
            </w:r>
          </w:p>
        </w:tc>
        <w:tc>
          <w:tcPr>
            <w:tcW w:w="250" w:type="pct"/>
            <w:shd w:val="clear" w:color="auto" w:fill="D5ECF5"/>
            <w:vAlign w:val="center"/>
          </w:tcPr>
          <w:p w14:paraId="7418B72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90</w:t>
            </w:r>
          </w:p>
        </w:tc>
        <w:tc>
          <w:tcPr>
            <w:tcW w:w="250" w:type="pct"/>
            <w:shd w:val="clear" w:color="auto" w:fill="D5ECF5"/>
            <w:vAlign w:val="center"/>
          </w:tcPr>
          <w:p w14:paraId="7418B72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79</w:t>
            </w:r>
          </w:p>
        </w:tc>
        <w:tc>
          <w:tcPr>
            <w:tcW w:w="250" w:type="pct"/>
            <w:shd w:val="clear" w:color="auto" w:fill="D5ECF5"/>
            <w:vAlign w:val="center"/>
          </w:tcPr>
          <w:p w14:paraId="7418B72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79</w:t>
            </w:r>
          </w:p>
        </w:tc>
        <w:tc>
          <w:tcPr>
            <w:tcW w:w="250" w:type="pct"/>
            <w:shd w:val="clear" w:color="auto" w:fill="D5ECF5"/>
            <w:vAlign w:val="center"/>
          </w:tcPr>
          <w:p w14:paraId="7418B72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77</w:t>
            </w:r>
          </w:p>
        </w:tc>
        <w:tc>
          <w:tcPr>
            <w:tcW w:w="250" w:type="pct"/>
            <w:shd w:val="clear" w:color="auto" w:fill="D5ECF5"/>
            <w:vAlign w:val="center"/>
          </w:tcPr>
          <w:p w14:paraId="7418B72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75</w:t>
            </w:r>
          </w:p>
        </w:tc>
        <w:tc>
          <w:tcPr>
            <w:tcW w:w="250" w:type="pct"/>
            <w:shd w:val="clear" w:color="auto" w:fill="D5ECF5"/>
            <w:vAlign w:val="center"/>
          </w:tcPr>
          <w:p w14:paraId="7418B72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69</w:t>
            </w:r>
          </w:p>
        </w:tc>
        <w:tc>
          <w:tcPr>
            <w:tcW w:w="250" w:type="pct"/>
            <w:shd w:val="clear" w:color="auto" w:fill="D5ECF5"/>
            <w:vAlign w:val="center"/>
          </w:tcPr>
          <w:p w14:paraId="7418B72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73</w:t>
            </w:r>
          </w:p>
        </w:tc>
        <w:tc>
          <w:tcPr>
            <w:tcW w:w="231" w:type="pct"/>
            <w:shd w:val="clear" w:color="auto" w:fill="D5ECF5"/>
            <w:vAlign w:val="center"/>
          </w:tcPr>
          <w:p w14:paraId="7418B72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D5ECF5"/>
            <w:vAlign w:val="center"/>
          </w:tcPr>
          <w:p w14:paraId="7418B72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73A" w14:textId="77777777" w:rsidTr="004A31A9">
        <w:trPr>
          <w:trHeight w:val="283"/>
        </w:trPr>
        <w:tc>
          <w:tcPr>
            <w:tcW w:w="1544" w:type="pct"/>
            <w:shd w:val="clear" w:color="auto" w:fill="E4F3F9"/>
            <w:vAlign w:val="center"/>
          </w:tcPr>
          <w:p w14:paraId="7418B72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Share of world triadic patent families</w:t>
            </w:r>
            <w:r w:rsidRPr="008121A7">
              <w:rPr>
                <w:rFonts w:ascii="Arial Unicode MS" w:eastAsia="Arial Unicode MS" w:hAnsi="Arial Unicode MS" w:cs="Arial Unicode MS" w:hint="eastAsia"/>
                <w:color w:val="7A7B7C"/>
                <w:sz w:val="14"/>
                <w:szCs w:val="14"/>
                <w:lang w:eastAsia="en-AU"/>
              </w:rPr>
              <w:t>¹</w:t>
            </w:r>
          </w:p>
        </w:tc>
        <w:tc>
          <w:tcPr>
            <w:tcW w:w="250" w:type="pct"/>
            <w:shd w:val="clear" w:color="auto" w:fill="E4F3F9"/>
            <w:vAlign w:val="center"/>
          </w:tcPr>
          <w:p w14:paraId="7418B72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0.7</w:t>
            </w:r>
          </w:p>
        </w:tc>
        <w:tc>
          <w:tcPr>
            <w:tcW w:w="250" w:type="pct"/>
            <w:shd w:val="clear" w:color="auto" w:fill="E4F3F9"/>
            <w:vAlign w:val="center"/>
          </w:tcPr>
          <w:p w14:paraId="7418B72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0.9</w:t>
            </w:r>
          </w:p>
        </w:tc>
        <w:tc>
          <w:tcPr>
            <w:tcW w:w="250" w:type="pct"/>
            <w:shd w:val="clear" w:color="auto" w:fill="E4F3F9"/>
            <w:vAlign w:val="center"/>
          </w:tcPr>
          <w:p w14:paraId="7418B72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0.8</w:t>
            </w:r>
          </w:p>
        </w:tc>
        <w:tc>
          <w:tcPr>
            <w:tcW w:w="250" w:type="pct"/>
            <w:shd w:val="clear" w:color="auto" w:fill="E4F3F9"/>
            <w:vAlign w:val="center"/>
          </w:tcPr>
          <w:p w14:paraId="7418B72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0.6</w:t>
            </w:r>
          </w:p>
        </w:tc>
        <w:tc>
          <w:tcPr>
            <w:tcW w:w="250" w:type="pct"/>
            <w:shd w:val="clear" w:color="auto" w:fill="E4F3F9"/>
            <w:vAlign w:val="center"/>
          </w:tcPr>
          <w:p w14:paraId="7418B73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0.7</w:t>
            </w:r>
          </w:p>
        </w:tc>
        <w:tc>
          <w:tcPr>
            <w:tcW w:w="250" w:type="pct"/>
            <w:shd w:val="clear" w:color="auto" w:fill="E4F3F9"/>
            <w:vAlign w:val="center"/>
          </w:tcPr>
          <w:p w14:paraId="7418B73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0.6</w:t>
            </w:r>
          </w:p>
        </w:tc>
        <w:tc>
          <w:tcPr>
            <w:tcW w:w="250" w:type="pct"/>
            <w:shd w:val="clear" w:color="auto" w:fill="E4F3F9"/>
            <w:vAlign w:val="center"/>
          </w:tcPr>
          <w:p w14:paraId="7418B73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0.7</w:t>
            </w:r>
          </w:p>
        </w:tc>
        <w:tc>
          <w:tcPr>
            <w:tcW w:w="250" w:type="pct"/>
            <w:shd w:val="clear" w:color="auto" w:fill="E4F3F9"/>
            <w:vAlign w:val="center"/>
          </w:tcPr>
          <w:p w14:paraId="7418B73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0.6</w:t>
            </w:r>
          </w:p>
        </w:tc>
        <w:tc>
          <w:tcPr>
            <w:tcW w:w="250" w:type="pct"/>
            <w:shd w:val="clear" w:color="auto" w:fill="E4F3F9"/>
            <w:vAlign w:val="center"/>
          </w:tcPr>
          <w:p w14:paraId="7418B73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0.6</w:t>
            </w:r>
          </w:p>
        </w:tc>
        <w:tc>
          <w:tcPr>
            <w:tcW w:w="250" w:type="pct"/>
            <w:shd w:val="clear" w:color="auto" w:fill="E4F3F9"/>
            <w:vAlign w:val="center"/>
          </w:tcPr>
          <w:p w14:paraId="7418B73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0.6</w:t>
            </w:r>
          </w:p>
        </w:tc>
        <w:tc>
          <w:tcPr>
            <w:tcW w:w="250" w:type="pct"/>
            <w:shd w:val="clear" w:color="auto" w:fill="E4F3F9"/>
            <w:vAlign w:val="center"/>
          </w:tcPr>
          <w:p w14:paraId="7418B73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0.6</w:t>
            </w:r>
          </w:p>
        </w:tc>
        <w:tc>
          <w:tcPr>
            <w:tcW w:w="250" w:type="pct"/>
            <w:shd w:val="clear" w:color="auto" w:fill="E4F3F9"/>
            <w:vAlign w:val="center"/>
          </w:tcPr>
          <w:p w14:paraId="7418B73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E4F3F9"/>
            <w:vAlign w:val="center"/>
          </w:tcPr>
          <w:p w14:paraId="7418B73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73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74A" w14:textId="77777777" w:rsidTr="004A31A9">
        <w:trPr>
          <w:trHeight w:val="283"/>
        </w:trPr>
        <w:tc>
          <w:tcPr>
            <w:tcW w:w="1544" w:type="pct"/>
            <w:shd w:val="clear" w:color="auto" w:fill="D5ECF5"/>
            <w:vAlign w:val="center"/>
          </w:tcPr>
          <w:p w14:paraId="7418B73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Patent applications filed under PCT per million population</w:t>
            </w:r>
            <w:r w:rsidRPr="008121A7">
              <w:rPr>
                <w:rFonts w:eastAsia="Arial Unicode MS" w:cs="Arial" w:hint="eastAsia"/>
                <w:color w:val="7A7B7C"/>
                <w:sz w:val="14"/>
                <w:szCs w:val="14"/>
                <w:lang w:eastAsia="en-AU"/>
              </w:rPr>
              <w:t>¹</w:t>
            </w:r>
          </w:p>
        </w:tc>
        <w:tc>
          <w:tcPr>
            <w:tcW w:w="250" w:type="pct"/>
            <w:shd w:val="clear" w:color="auto" w:fill="D5ECF5"/>
            <w:vAlign w:val="center"/>
          </w:tcPr>
          <w:p w14:paraId="7418B73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46</w:t>
            </w:r>
          </w:p>
        </w:tc>
        <w:tc>
          <w:tcPr>
            <w:tcW w:w="250" w:type="pct"/>
            <w:shd w:val="clear" w:color="auto" w:fill="D5ECF5"/>
            <w:vAlign w:val="center"/>
          </w:tcPr>
          <w:p w14:paraId="7418B73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91</w:t>
            </w:r>
          </w:p>
        </w:tc>
        <w:tc>
          <w:tcPr>
            <w:tcW w:w="250" w:type="pct"/>
            <w:shd w:val="clear" w:color="auto" w:fill="D5ECF5"/>
            <w:vAlign w:val="center"/>
          </w:tcPr>
          <w:p w14:paraId="7418B73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103</w:t>
            </w:r>
          </w:p>
        </w:tc>
        <w:tc>
          <w:tcPr>
            <w:tcW w:w="250" w:type="pct"/>
            <w:shd w:val="clear" w:color="auto" w:fill="D5ECF5"/>
            <w:vAlign w:val="center"/>
          </w:tcPr>
          <w:p w14:paraId="7418B73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99</w:t>
            </w:r>
          </w:p>
        </w:tc>
        <w:tc>
          <w:tcPr>
            <w:tcW w:w="250" w:type="pct"/>
            <w:shd w:val="clear" w:color="auto" w:fill="D5ECF5"/>
            <w:vAlign w:val="center"/>
          </w:tcPr>
          <w:p w14:paraId="7418B74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96</w:t>
            </w:r>
          </w:p>
        </w:tc>
        <w:tc>
          <w:tcPr>
            <w:tcW w:w="250" w:type="pct"/>
            <w:shd w:val="clear" w:color="auto" w:fill="D5ECF5"/>
            <w:vAlign w:val="center"/>
          </w:tcPr>
          <w:p w14:paraId="7418B74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85</w:t>
            </w:r>
          </w:p>
        </w:tc>
        <w:tc>
          <w:tcPr>
            <w:tcW w:w="250" w:type="pct"/>
            <w:shd w:val="clear" w:color="auto" w:fill="D5ECF5"/>
            <w:vAlign w:val="center"/>
          </w:tcPr>
          <w:p w14:paraId="7418B74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84</w:t>
            </w:r>
          </w:p>
        </w:tc>
        <w:tc>
          <w:tcPr>
            <w:tcW w:w="250" w:type="pct"/>
            <w:shd w:val="clear" w:color="auto" w:fill="D5ECF5"/>
            <w:vAlign w:val="center"/>
          </w:tcPr>
          <w:p w14:paraId="7418B74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78</w:t>
            </w:r>
          </w:p>
        </w:tc>
        <w:tc>
          <w:tcPr>
            <w:tcW w:w="250" w:type="pct"/>
            <w:shd w:val="clear" w:color="auto" w:fill="D5ECF5"/>
            <w:vAlign w:val="center"/>
          </w:tcPr>
          <w:p w14:paraId="7418B74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79</w:t>
            </w:r>
          </w:p>
        </w:tc>
        <w:tc>
          <w:tcPr>
            <w:tcW w:w="250" w:type="pct"/>
            <w:shd w:val="clear" w:color="auto" w:fill="D5ECF5"/>
            <w:vAlign w:val="center"/>
          </w:tcPr>
          <w:p w14:paraId="7418B74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76</w:t>
            </w:r>
          </w:p>
        </w:tc>
        <w:tc>
          <w:tcPr>
            <w:tcW w:w="250" w:type="pct"/>
            <w:shd w:val="clear" w:color="auto" w:fill="D5ECF5"/>
            <w:vAlign w:val="center"/>
          </w:tcPr>
          <w:p w14:paraId="7418B74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77</w:t>
            </w:r>
          </w:p>
        </w:tc>
        <w:tc>
          <w:tcPr>
            <w:tcW w:w="250" w:type="pct"/>
            <w:shd w:val="clear" w:color="auto" w:fill="D5ECF5"/>
            <w:vAlign w:val="center"/>
          </w:tcPr>
          <w:p w14:paraId="7418B74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D5ECF5"/>
            <w:vAlign w:val="center"/>
          </w:tcPr>
          <w:p w14:paraId="7418B74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D5ECF5"/>
            <w:vAlign w:val="center"/>
          </w:tcPr>
          <w:p w14:paraId="7418B74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75A" w14:textId="77777777" w:rsidTr="004A31A9">
        <w:trPr>
          <w:trHeight w:val="283"/>
        </w:trPr>
        <w:tc>
          <w:tcPr>
            <w:tcW w:w="1544" w:type="pct"/>
            <w:shd w:val="clear" w:color="auto" w:fill="E4F3F9"/>
            <w:vAlign w:val="center"/>
          </w:tcPr>
          <w:p w14:paraId="7418B74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Development of environment-related technologies, % all technologies</w:t>
            </w:r>
            <w:r w:rsidRPr="008121A7">
              <w:rPr>
                <w:rFonts w:eastAsia="Arial Unicode MS" w:cs="Arial" w:hint="eastAsia"/>
                <w:color w:val="7A7B7C"/>
                <w:sz w:val="14"/>
                <w:szCs w:val="14"/>
                <w:lang w:eastAsia="en-AU"/>
              </w:rPr>
              <w:t>²⁵</w:t>
            </w:r>
          </w:p>
        </w:tc>
        <w:tc>
          <w:tcPr>
            <w:tcW w:w="250" w:type="pct"/>
            <w:shd w:val="clear" w:color="auto" w:fill="E4F3F9"/>
            <w:vAlign w:val="center"/>
          </w:tcPr>
          <w:p w14:paraId="7418B74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9.63</w:t>
            </w:r>
          </w:p>
        </w:tc>
        <w:tc>
          <w:tcPr>
            <w:tcW w:w="250" w:type="pct"/>
            <w:shd w:val="clear" w:color="auto" w:fill="E4F3F9"/>
            <w:vAlign w:val="center"/>
          </w:tcPr>
          <w:p w14:paraId="7418B74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7.77</w:t>
            </w:r>
          </w:p>
        </w:tc>
        <w:tc>
          <w:tcPr>
            <w:tcW w:w="250" w:type="pct"/>
            <w:shd w:val="clear" w:color="auto" w:fill="E4F3F9"/>
            <w:vAlign w:val="center"/>
          </w:tcPr>
          <w:p w14:paraId="7418B74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6.16</w:t>
            </w:r>
          </w:p>
        </w:tc>
        <w:tc>
          <w:tcPr>
            <w:tcW w:w="250" w:type="pct"/>
            <w:shd w:val="clear" w:color="auto" w:fill="E4F3F9"/>
            <w:vAlign w:val="center"/>
          </w:tcPr>
          <w:p w14:paraId="7418B74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6.24</w:t>
            </w:r>
          </w:p>
        </w:tc>
        <w:tc>
          <w:tcPr>
            <w:tcW w:w="250" w:type="pct"/>
            <w:shd w:val="clear" w:color="auto" w:fill="E4F3F9"/>
            <w:vAlign w:val="center"/>
          </w:tcPr>
          <w:p w14:paraId="7418B75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8.60</w:t>
            </w:r>
          </w:p>
        </w:tc>
        <w:tc>
          <w:tcPr>
            <w:tcW w:w="250" w:type="pct"/>
            <w:shd w:val="clear" w:color="auto" w:fill="E4F3F9"/>
            <w:vAlign w:val="center"/>
          </w:tcPr>
          <w:p w14:paraId="7418B75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8.95</w:t>
            </w:r>
          </w:p>
        </w:tc>
        <w:tc>
          <w:tcPr>
            <w:tcW w:w="250" w:type="pct"/>
            <w:shd w:val="clear" w:color="auto" w:fill="E4F3F9"/>
            <w:vAlign w:val="center"/>
          </w:tcPr>
          <w:p w14:paraId="7418B75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10.52</w:t>
            </w:r>
          </w:p>
        </w:tc>
        <w:tc>
          <w:tcPr>
            <w:tcW w:w="250" w:type="pct"/>
            <w:shd w:val="clear" w:color="auto" w:fill="E4F3F9"/>
            <w:vAlign w:val="center"/>
          </w:tcPr>
          <w:p w14:paraId="7418B75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10.70</w:t>
            </w:r>
          </w:p>
        </w:tc>
        <w:tc>
          <w:tcPr>
            <w:tcW w:w="250" w:type="pct"/>
            <w:shd w:val="clear" w:color="auto" w:fill="E4F3F9"/>
            <w:vAlign w:val="center"/>
          </w:tcPr>
          <w:p w14:paraId="7418B75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9.97</w:t>
            </w:r>
          </w:p>
        </w:tc>
        <w:tc>
          <w:tcPr>
            <w:tcW w:w="250" w:type="pct"/>
            <w:shd w:val="clear" w:color="auto" w:fill="E4F3F9"/>
            <w:vAlign w:val="center"/>
          </w:tcPr>
          <w:p w14:paraId="7418B75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8.63</w:t>
            </w:r>
          </w:p>
        </w:tc>
        <w:tc>
          <w:tcPr>
            <w:tcW w:w="250" w:type="pct"/>
            <w:shd w:val="clear" w:color="auto" w:fill="E4F3F9"/>
            <w:vAlign w:val="center"/>
          </w:tcPr>
          <w:p w14:paraId="7418B75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75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E4F3F9"/>
            <w:vAlign w:val="center"/>
          </w:tcPr>
          <w:p w14:paraId="7418B75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75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76A" w14:textId="77777777" w:rsidTr="004A31A9">
        <w:trPr>
          <w:trHeight w:val="283"/>
        </w:trPr>
        <w:tc>
          <w:tcPr>
            <w:tcW w:w="1544" w:type="pct"/>
            <w:shd w:val="clear" w:color="auto" w:fill="D5ECF5"/>
            <w:vAlign w:val="center"/>
          </w:tcPr>
          <w:p w14:paraId="7418B75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Development of environment-related technologies, inventions per capita</w:t>
            </w:r>
            <w:r w:rsidRPr="008121A7">
              <w:rPr>
                <w:rFonts w:eastAsia="Arial Unicode MS" w:cs="Arial" w:hint="eastAsia"/>
                <w:color w:val="7A7B7C"/>
                <w:sz w:val="14"/>
                <w:szCs w:val="14"/>
                <w:lang w:eastAsia="en-AU"/>
              </w:rPr>
              <w:t>²⁵</w:t>
            </w:r>
          </w:p>
        </w:tc>
        <w:tc>
          <w:tcPr>
            <w:tcW w:w="250" w:type="pct"/>
            <w:shd w:val="clear" w:color="auto" w:fill="D5ECF5"/>
            <w:vAlign w:val="center"/>
          </w:tcPr>
          <w:p w14:paraId="7418B75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5.18</w:t>
            </w:r>
          </w:p>
        </w:tc>
        <w:tc>
          <w:tcPr>
            <w:tcW w:w="250" w:type="pct"/>
            <w:shd w:val="clear" w:color="auto" w:fill="D5ECF5"/>
            <w:vAlign w:val="center"/>
          </w:tcPr>
          <w:p w14:paraId="7418B75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7.27</w:t>
            </w:r>
          </w:p>
        </w:tc>
        <w:tc>
          <w:tcPr>
            <w:tcW w:w="250" w:type="pct"/>
            <w:shd w:val="clear" w:color="auto" w:fill="D5ECF5"/>
            <w:vAlign w:val="center"/>
          </w:tcPr>
          <w:p w14:paraId="7418B75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1.40</w:t>
            </w:r>
          </w:p>
        </w:tc>
        <w:tc>
          <w:tcPr>
            <w:tcW w:w="250" w:type="pct"/>
            <w:shd w:val="clear" w:color="auto" w:fill="D5ECF5"/>
            <w:vAlign w:val="center"/>
          </w:tcPr>
          <w:p w14:paraId="7418B75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1.37</w:t>
            </w:r>
          </w:p>
        </w:tc>
        <w:tc>
          <w:tcPr>
            <w:tcW w:w="250" w:type="pct"/>
            <w:shd w:val="clear" w:color="auto" w:fill="D5ECF5"/>
            <w:vAlign w:val="center"/>
          </w:tcPr>
          <w:p w14:paraId="7418B76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2.05</w:t>
            </w:r>
          </w:p>
        </w:tc>
        <w:tc>
          <w:tcPr>
            <w:tcW w:w="250" w:type="pct"/>
            <w:shd w:val="clear" w:color="auto" w:fill="D5ECF5"/>
            <w:vAlign w:val="center"/>
          </w:tcPr>
          <w:p w14:paraId="7418B76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1.74</w:t>
            </w:r>
          </w:p>
        </w:tc>
        <w:tc>
          <w:tcPr>
            <w:tcW w:w="250" w:type="pct"/>
            <w:shd w:val="clear" w:color="auto" w:fill="D5ECF5"/>
            <w:vAlign w:val="center"/>
          </w:tcPr>
          <w:p w14:paraId="7418B76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1.77</w:t>
            </w:r>
          </w:p>
        </w:tc>
        <w:tc>
          <w:tcPr>
            <w:tcW w:w="250" w:type="pct"/>
            <w:shd w:val="clear" w:color="auto" w:fill="D5ECF5"/>
            <w:vAlign w:val="center"/>
          </w:tcPr>
          <w:p w14:paraId="7418B76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1.85</w:t>
            </w:r>
          </w:p>
        </w:tc>
        <w:tc>
          <w:tcPr>
            <w:tcW w:w="250" w:type="pct"/>
            <w:shd w:val="clear" w:color="auto" w:fill="D5ECF5"/>
            <w:vAlign w:val="center"/>
          </w:tcPr>
          <w:p w14:paraId="7418B76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1.97</w:t>
            </w:r>
          </w:p>
        </w:tc>
        <w:tc>
          <w:tcPr>
            <w:tcW w:w="250" w:type="pct"/>
            <w:shd w:val="clear" w:color="auto" w:fill="D5ECF5"/>
            <w:vAlign w:val="center"/>
          </w:tcPr>
          <w:p w14:paraId="7418B76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1.58</w:t>
            </w:r>
          </w:p>
        </w:tc>
        <w:tc>
          <w:tcPr>
            <w:tcW w:w="250" w:type="pct"/>
            <w:shd w:val="clear" w:color="auto" w:fill="D5ECF5"/>
            <w:vAlign w:val="center"/>
          </w:tcPr>
          <w:p w14:paraId="7418B76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76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D5ECF5"/>
            <w:vAlign w:val="center"/>
          </w:tcPr>
          <w:p w14:paraId="7418B76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D5ECF5"/>
            <w:vAlign w:val="center"/>
          </w:tcPr>
          <w:p w14:paraId="7418B76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77A" w14:textId="77777777" w:rsidTr="004A31A9">
        <w:trPr>
          <w:trHeight w:val="283"/>
        </w:trPr>
        <w:tc>
          <w:tcPr>
            <w:tcW w:w="1544" w:type="pct"/>
            <w:shd w:val="clear" w:color="auto" w:fill="E4F3F9"/>
            <w:vAlign w:val="center"/>
          </w:tcPr>
          <w:p w14:paraId="7418B76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 xml:space="preserve">Diffusion of environment-related technologies, % all </w:t>
            </w:r>
            <w:r w:rsidRPr="008121A7">
              <w:rPr>
                <w:rFonts w:eastAsia="Arial Unicode MS" w:cs="Arial"/>
                <w:color w:val="7A7B7C"/>
                <w:sz w:val="14"/>
                <w:szCs w:val="14"/>
                <w:lang w:eastAsia="en-AU"/>
              </w:rPr>
              <w:br/>
            </w:r>
            <w:r w:rsidRPr="008121A7">
              <w:rPr>
                <w:rFonts w:eastAsia="Arial Unicode MS" w:cs="Arial" w:hint="eastAsia"/>
                <w:color w:val="7A7B7C"/>
                <w:sz w:val="14"/>
                <w:szCs w:val="14"/>
                <w:lang w:eastAsia="en-AU"/>
              </w:rPr>
              <w:t>technologies</w:t>
            </w:r>
            <w:r w:rsidRPr="008121A7">
              <w:rPr>
                <w:rFonts w:eastAsia="Arial Unicode MS" w:cs="Arial" w:hint="eastAsia"/>
                <w:color w:val="7A7B7C"/>
                <w:sz w:val="14"/>
                <w:szCs w:val="14"/>
                <w:lang w:eastAsia="en-AU"/>
              </w:rPr>
              <w:t>²⁵</w:t>
            </w:r>
          </w:p>
        </w:tc>
        <w:tc>
          <w:tcPr>
            <w:tcW w:w="250" w:type="pct"/>
            <w:shd w:val="clear" w:color="auto" w:fill="E4F3F9"/>
            <w:vAlign w:val="center"/>
          </w:tcPr>
          <w:p w14:paraId="7418B76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6.9</w:t>
            </w:r>
          </w:p>
        </w:tc>
        <w:tc>
          <w:tcPr>
            <w:tcW w:w="250" w:type="pct"/>
            <w:shd w:val="clear" w:color="auto" w:fill="E4F3F9"/>
            <w:vAlign w:val="center"/>
          </w:tcPr>
          <w:p w14:paraId="7418B76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5.8</w:t>
            </w:r>
          </w:p>
        </w:tc>
        <w:tc>
          <w:tcPr>
            <w:tcW w:w="250" w:type="pct"/>
            <w:shd w:val="clear" w:color="auto" w:fill="E4F3F9"/>
            <w:vAlign w:val="center"/>
          </w:tcPr>
          <w:p w14:paraId="7418B76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7.0</w:t>
            </w:r>
          </w:p>
        </w:tc>
        <w:tc>
          <w:tcPr>
            <w:tcW w:w="250" w:type="pct"/>
            <w:shd w:val="clear" w:color="auto" w:fill="E4F3F9"/>
            <w:vAlign w:val="center"/>
          </w:tcPr>
          <w:p w14:paraId="7418B76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7.5</w:t>
            </w:r>
          </w:p>
        </w:tc>
        <w:tc>
          <w:tcPr>
            <w:tcW w:w="250" w:type="pct"/>
            <w:shd w:val="clear" w:color="auto" w:fill="E4F3F9"/>
            <w:vAlign w:val="center"/>
          </w:tcPr>
          <w:p w14:paraId="7418B77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8.9</w:t>
            </w:r>
          </w:p>
        </w:tc>
        <w:tc>
          <w:tcPr>
            <w:tcW w:w="250" w:type="pct"/>
            <w:shd w:val="clear" w:color="auto" w:fill="E4F3F9"/>
            <w:vAlign w:val="center"/>
          </w:tcPr>
          <w:p w14:paraId="7418B77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10.4</w:t>
            </w:r>
          </w:p>
        </w:tc>
        <w:tc>
          <w:tcPr>
            <w:tcW w:w="250" w:type="pct"/>
            <w:shd w:val="clear" w:color="auto" w:fill="E4F3F9"/>
            <w:vAlign w:val="center"/>
          </w:tcPr>
          <w:p w14:paraId="7418B77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11.1</w:t>
            </w:r>
          </w:p>
        </w:tc>
        <w:tc>
          <w:tcPr>
            <w:tcW w:w="250" w:type="pct"/>
            <w:shd w:val="clear" w:color="auto" w:fill="E4F3F9"/>
            <w:vAlign w:val="center"/>
          </w:tcPr>
          <w:p w14:paraId="7418B77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12.1</w:t>
            </w:r>
          </w:p>
        </w:tc>
        <w:tc>
          <w:tcPr>
            <w:tcW w:w="250" w:type="pct"/>
            <w:shd w:val="clear" w:color="auto" w:fill="E4F3F9"/>
            <w:vAlign w:val="center"/>
          </w:tcPr>
          <w:p w14:paraId="7418B77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10.8</w:t>
            </w:r>
          </w:p>
        </w:tc>
        <w:tc>
          <w:tcPr>
            <w:tcW w:w="250" w:type="pct"/>
            <w:shd w:val="clear" w:color="auto" w:fill="E4F3F9"/>
            <w:vAlign w:val="center"/>
          </w:tcPr>
          <w:p w14:paraId="7418B77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9.3</w:t>
            </w:r>
          </w:p>
        </w:tc>
        <w:tc>
          <w:tcPr>
            <w:tcW w:w="250" w:type="pct"/>
            <w:shd w:val="clear" w:color="auto" w:fill="E4F3F9"/>
            <w:vAlign w:val="center"/>
          </w:tcPr>
          <w:p w14:paraId="7418B77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77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E4F3F9"/>
            <w:vAlign w:val="center"/>
          </w:tcPr>
          <w:p w14:paraId="7418B77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77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78A" w14:textId="77777777" w:rsidTr="004A31A9">
        <w:trPr>
          <w:trHeight w:val="283"/>
        </w:trPr>
        <w:tc>
          <w:tcPr>
            <w:tcW w:w="1544" w:type="pct"/>
            <w:shd w:val="clear" w:color="auto" w:fill="D5ECF5"/>
            <w:vAlign w:val="center"/>
          </w:tcPr>
          <w:p w14:paraId="7418B77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Environmentally related government R&amp;D budget, % of total government R&amp;D</w:t>
            </w:r>
            <w:r w:rsidRPr="008121A7">
              <w:rPr>
                <w:rFonts w:eastAsia="Arial Unicode MS" w:cs="Arial" w:hint="eastAsia"/>
                <w:color w:val="7A7B7C"/>
                <w:sz w:val="14"/>
                <w:szCs w:val="14"/>
                <w:lang w:eastAsia="en-AU"/>
              </w:rPr>
              <w:t>²⁵</w:t>
            </w:r>
          </w:p>
        </w:tc>
        <w:tc>
          <w:tcPr>
            <w:tcW w:w="250" w:type="pct"/>
            <w:shd w:val="clear" w:color="auto" w:fill="D5ECF5"/>
            <w:vAlign w:val="center"/>
          </w:tcPr>
          <w:p w14:paraId="7418B77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w:t>
            </w:r>
          </w:p>
        </w:tc>
        <w:tc>
          <w:tcPr>
            <w:tcW w:w="250" w:type="pct"/>
            <w:shd w:val="clear" w:color="auto" w:fill="D5ECF5"/>
            <w:vAlign w:val="center"/>
          </w:tcPr>
          <w:p w14:paraId="7418B77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3.0</w:t>
            </w:r>
          </w:p>
        </w:tc>
        <w:tc>
          <w:tcPr>
            <w:tcW w:w="250" w:type="pct"/>
            <w:shd w:val="clear" w:color="auto" w:fill="D5ECF5"/>
            <w:vAlign w:val="center"/>
          </w:tcPr>
          <w:p w14:paraId="7418B77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1.8</w:t>
            </w:r>
          </w:p>
        </w:tc>
        <w:tc>
          <w:tcPr>
            <w:tcW w:w="250" w:type="pct"/>
            <w:shd w:val="clear" w:color="auto" w:fill="D5ECF5"/>
            <w:vAlign w:val="center"/>
          </w:tcPr>
          <w:p w14:paraId="7418B77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2.3</w:t>
            </w:r>
          </w:p>
        </w:tc>
        <w:tc>
          <w:tcPr>
            <w:tcW w:w="250" w:type="pct"/>
            <w:shd w:val="clear" w:color="auto" w:fill="D5ECF5"/>
            <w:vAlign w:val="center"/>
          </w:tcPr>
          <w:p w14:paraId="7418B78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2.8</w:t>
            </w:r>
          </w:p>
        </w:tc>
        <w:tc>
          <w:tcPr>
            <w:tcW w:w="250" w:type="pct"/>
            <w:shd w:val="clear" w:color="auto" w:fill="D5ECF5"/>
            <w:vAlign w:val="center"/>
          </w:tcPr>
          <w:p w14:paraId="7418B78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2.7</w:t>
            </w:r>
          </w:p>
        </w:tc>
        <w:tc>
          <w:tcPr>
            <w:tcW w:w="250" w:type="pct"/>
            <w:shd w:val="clear" w:color="auto" w:fill="D5ECF5"/>
            <w:vAlign w:val="center"/>
          </w:tcPr>
          <w:p w14:paraId="7418B78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4.1</w:t>
            </w:r>
          </w:p>
        </w:tc>
        <w:tc>
          <w:tcPr>
            <w:tcW w:w="250" w:type="pct"/>
            <w:shd w:val="clear" w:color="auto" w:fill="D5ECF5"/>
            <w:vAlign w:val="center"/>
          </w:tcPr>
          <w:p w14:paraId="7418B78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3.8</w:t>
            </w:r>
          </w:p>
        </w:tc>
        <w:tc>
          <w:tcPr>
            <w:tcW w:w="250" w:type="pct"/>
            <w:shd w:val="clear" w:color="auto" w:fill="D5ECF5"/>
            <w:vAlign w:val="center"/>
          </w:tcPr>
          <w:p w14:paraId="7418B78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3.3</w:t>
            </w:r>
          </w:p>
        </w:tc>
        <w:tc>
          <w:tcPr>
            <w:tcW w:w="250" w:type="pct"/>
            <w:shd w:val="clear" w:color="auto" w:fill="D5ECF5"/>
            <w:vAlign w:val="center"/>
          </w:tcPr>
          <w:p w14:paraId="7418B78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3.9</w:t>
            </w:r>
          </w:p>
        </w:tc>
        <w:tc>
          <w:tcPr>
            <w:tcW w:w="250" w:type="pct"/>
            <w:shd w:val="clear" w:color="auto" w:fill="D5ECF5"/>
            <w:vAlign w:val="center"/>
          </w:tcPr>
          <w:p w14:paraId="7418B78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3.8</w:t>
            </w:r>
          </w:p>
        </w:tc>
        <w:tc>
          <w:tcPr>
            <w:tcW w:w="250" w:type="pct"/>
            <w:shd w:val="clear" w:color="auto" w:fill="D5ECF5"/>
            <w:vAlign w:val="center"/>
          </w:tcPr>
          <w:p w14:paraId="7418B78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4.0</w:t>
            </w:r>
          </w:p>
        </w:tc>
        <w:tc>
          <w:tcPr>
            <w:tcW w:w="231" w:type="pct"/>
            <w:shd w:val="clear" w:color="auto" w:fill="D5ECF5"/>
            <w:vAlign w:val="center"/>
          </w:tcPr>
          <w:p w14:paraId="7418B78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D5ECF5"/>
            <w:vAlign w:val="center"/>
          </w:tcPr>
          <w:p w14:paraId="7418B78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79A" w14:textId="77777777" w:rsidTr="004A31A9">
        <w:trPr>
          <w:trHeight w:val="283"/>
        </w:trPr>
        <w:tc>
          <w:tcPr>
            <w:tcW w:w="1544" w:type="pct"/>
            <w:shd w:val="clear" w:color="auto" w:fill="E4F3F9"/>
            <w:vAlign w:val="center"/>
          </w:tcPr>
          <w:p w14:paraId="7418B78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Renewable energy public research, development and demonstration (RD&amp;D) budget, % of total energy public RD&amp;D</w:t>
            </w:r>
            <w:r w:rsidRPr="008121A7">
              <w:rPr>
                <w:rFonts w:eastAsia="Arial Unicode MS" w:cs="Arial" w:hint="eastAsia"/>
                <w:color w:val="7A7B7C"/>
                <w:sz w:val="14"/>
                <w:szCs w:val="14"/>
                <w:lang w:eastAsia="en-AU"/>
              </w:rPr>
              <w:t>²⁵</w:t>
            </w:r>
            <w:r w:rsidRPr="008121A7">
              <w:rPr>
                <w:rFonts w:eastAsia="Arial Unicode MS" w:cs="Arial" w:hint="eastAsia"/>
                <w:color w:val="7A7B7C"/>
                <w:sz w:val="14"/>
                <w:szCs w:val="14"/>
                <w:lang w:eastAsia="en-AU"/>
              </w:rPr>
              <w:t xml:space="preserve"> </w:t>
            </w:r>
            <w:r w:rsidRPr="008121A7">
              <w:rPr>
                <w:rFonts w:eastAsia="Arial Unicode MS" w:cs="Arial" w:hint="eastAsia"/>
                <w:color w:val="7A7B7C"/>
                <w:sz w:val="14"/>
                <w:szCs w:val="14"/>
                <w:lang w:eastAsia="en-AU"/>
              </w:rPr>
              <w:t>³⁴</w:t>
            </w:r>
          </w:p>
        </w:tc>
        <w:tc>
          <w:tcPr>
            <w:tcW w:w="250" w:type="pct"/>
            <w:shd w:val="clear" w:color="auto" w:fill="E4F3F9"/>
            <w:vAlign w:val="center"/>
          </w:tcPr>
          <w:p w14:paraId="7418B78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4.6</w:t>
            </w:r>
          </w:p>
        </w:tc>
        <w:tc>
          <w:tcPr>
            <w:tcW w:w="250" w:type="pct"/>
            <w:shd w:val="clear" w:color="auto" w:fill="E4F3F9"/>
            <w:vAlign w:val="center"/>
          </w:tcPr>
          <w:p w14:paraId="7418B78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9.9</w:t>
            </w:r>
          </w:p>
        </w:tc>
        <w:tc>
          <w:tcPr>
            <w:tcW w:w="250" w:type="pct"/>
            <w:shd w:val="clear" w:color="auto" w:fill="E4F3F9"/>
            <w:vAlign w:val="center"/>
          </w:tcPr>
          <w:p w14:paraId="7418B78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12.4</w:t>
            </w:r>
          </w:p>
        </w:tc>
        <w:tc>
          <w:tcPr>
            <w:tcW w:w="250" w:type="pct"/>
            <w:shd w:val="clear" w:color="auto" w:fill="E4F3F9"/>
            <w:vAlign w:val="center"/>
          </w:tcPr>
          <w:p w14:paraId="7418B78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14.6</w:t>
            </w:r>
          </w:p>
        </w:tc>
        <w:tc>
          <w:tcPr>
            <w:tcW w:w="250" w:type="pct"/>
            <w:shd w:val="clear" w:color="auto" w:fill="E4F3F9"/>
            <w:vAlign w:val="center"/>
          </w:tcPr>
          <w:p w14:paraId="7418B79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16.0</w:t>
            </w:r>
          </w:p>
        </w:tc>
        <w:tc>
          <w:tcPr>
            <w:tcW w:w="250" w:type="pct"/>
            <w:shd w:val="clear" w:color="auto" w:fill="E4F3F9"/>
            <w:vAlign w:val="center"/>
          </w:tcPr>
          <w:p w14:paraId="7418B79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13.8</w:t>
            </w:r>
          </w:p>
        </w:tc>
        <w:tc>
          <w:tcPr>
            <w:tcW w:w="250" w:type="pct"/>
            <w:shd w:val="clear" w:color="auto" w:fill="E4F3F9"/>
            <w:vAlign w:val="center"/>
          </w:tcPr>
          <w:p w14:paraId="7418B79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19.3</w:t>
            </w:r>
          </w:p>
        </w:tc>
        <w:tc>
          <w:tcPr>
            <w:tcW w:w="250" w:type="pct"/>
            <w:shd w:val="clear" w:color="auto" w:fill="E4F3F9"/>
            <w:vAlign w:val="center"/>
          </w:tcPr>
          <w:p w14:paraId="7418B79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20.2</w:t>
            </w:r>
          </w:p>
        </w:tc>
        <w:tc>
          <w:tcPr>
            <w:tcW w:w="250" w:type="pct"/>
            <w:shd w:val="clear" w:color="auto" w:fill="E4F3F9"/>
            <w:vAlign w:val="center"/>
          </w:tcPr>
          <w:p w14:paraId="7418B79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33.6</w:t>
            </w:r>
          </w:p>
        </w:tc>
        <w:tc>
          <w:tcPr>
            <w:tcW w:w="250" w:type="pct"/>
            <w:shd w:val="clear" w:color="auto" w:fill="E4F3F9"/>
            <w:vAlign w:val="center"/>
          </w:tcPr>
          <w:p w14:paraId="7418B79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33.4</w:t>
            </w:r>
          </w:p>
        </w:tc>
        <w:tc>
          <w:tcPr>
            <w:tcW w:w="250" w:type="pct"/>
            <w:shd w:val="clear" w:color="auto" w:fill="E4F3F9"/>
            <w:vAlign w:val="center"/>
          </w:tcPr>
          <w:p w14:paraId="7418B79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53.9</w:t>
            </w:r>
          </w:p>
        </w:tc>
        <w:tc>
          <w:tcPr>
            <w:tcW w:w="250" w:type="pct"/>
            <w:shd w:val="clear" w:color="auto" w:fill="E4F3F9"/>
            <w:vAlign w:val="center"/>
          </w:tcPr>
          <w:p w14:paraId="7418B79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25.5</w:t>
            </w:r>
          </w:p>
        </w:tc>
        <w:tc>
          <w:tcPr>
            <w:tcW w:w="231" w:type="pct"/>
            <w:shd w:val="clear" w:color="auto" w:fill="E4F3F9"/>
            <w:vAlign w:val="center"/>
          </w:tcPr>
          <w:p w14:paraId="7418B79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79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7AA" w14:textId="77777777" w:rsidTr="004A31A9">
        <w:trPr>
          <w:trHeight w:val="283"/>
        </w:trPr>
        <w:tc>
          <w:tcPr>
            <w:tcW w:w="1544" w:type="pct"/>
            <w:shd w:val="clear" w:color="auto" w:fill="D5ECF5"/>
            <w:vAlign w:val="center"/>
          </w:tcPr>
          <w:p w14:paraId="7418B79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Energy public research, development and demonstration (RD&amp;D) budget, % of GDP</w:t>
            </w:r>
            <w:r w:rsidRPr="008121A7">
              <w:rPr>
                <w:rFonts w:eastAsia="Arial Unicode MS" w:cs="Arial" w:hint="eastAsia"/>
                <w:color w:val="7A7B7C"/>
                <w:sz w:val="14"/>
                <w:szCs w:val="14"/>
                <w:lang w:eastAsia="en-AU"/>
              </w:rPr>
              <w:t>²⁵</w:t>
            </w:r>
            <w:r w:rsidRPr="008121A7">
              <w:rPr>
                <w:rFonts w:eastAsia="Arial Unicode MS" w:cs="Arial" w:hint="eastAsia"/>
                <w:color w:val="7A7B7C"/>
                <w:sz w:val="14"/>
                <w:szCs w:val="14"/>
                <w:lang w:eastAsia="en-AU"/>
              </w:rPr>
              <w:t xml:space="preserve"> </w:t>
            </w:r>
            <w:r w:rsidRPr="008121A7">
              <w:rPr>
                <w:rFonts w:eastAsia="Arial Unicode MS" w:cs="Arial" w:hint="eastAsia"/>
                <w:color w:val="7A7B7C"/>
                <w:sz w:val="14"/>
                <w:szCs w:val="14"/>
                <w:lang w:eastAsia="en-AU"/>
              </w:rPr>
              <w:t>³⁴</w:t>
            </w:r>
          </w:p>
        </w:tc>
        <w:tc>
          <w:tcPr>
            <w:tcW w:w="250" w:type="pct"/>
            <w:shd w:val="clear" w:color="auto" w:fill="D5ECF5"/>
            <w:vAlign w:val="center"/>
          </w:tcPr>
          <w:p w14:paraId="7418B79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0.02</w:t>
            </w:r>
          </w:p>
        </w:tc>
        <w:tc>
          <w:tcPr>
            <w:tcW w:w="250" w:type="pct"/>
            <w:shd w:val="clear" w:color="auto" w:fill="D5ECF5"/>
            <w:vAlign w:val="center"/>
          </w:tcPr>
          <w:p w14:paraId="7418B79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0.02</w:t>
            </w:r>
          </w:p>
        </w:tc>
        <w:tc>
          <w:tcPr>
            <w:tcW w:w="250" w:type="pct"/>
            <w:shd w:val="clear" w:color="auto" w:fill="D5ECF5"/>
            <w:vAlign w:val="center"/>
          </w:tcPr>
          <w:p w14:paraId="7418B79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0.02</w:t>
            </w:r>
          </w:p>
        </w:tc>
        <w:tc>
          <w:tcPr>
            <w:tcW w:w="250" w:type="pct"/>
            <w:shd w:val="clear" w:color="auto" w:fill="D5ECF5"/>
            <w:vAlign w:val="center"/>
          </w:tcPr>
          <w:p w14:paraId="7418B79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0.03</w:t>
            </w:r>
          </w:p>
        </w:tc>
        <w:tc>
          <w:tcPr>
            <w:tcW w:w="250" w:type="pct"/>
            <w:shd w:val="clear" w:color="auto" w:fill="D5ECF5"/>
            <w:vAlign w:val="center"/>
          </w:tcPr>
          <w:p w14:paraId="7418B7A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0.03</w:t>
            </w:r>
          </w:p>
        </w:tc>
        <w:tc>
          <w:tcPr>
            <w:tcW w:w="250" w:type="pct"/>
            <w:shd w:val="clear" w:color="auto" w:fill="D5ECF5"/>
            <w:vAlign w:val="center"/>
          </w:tcPr>
          <w:p w14:paraId="7418B7A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0.03</w:t>
            </w:r>
          </w:p>
        </w:tc>
        <w:tc>
          <w:tcPr>
            <w:tcW w:w="250" w:type="pct"/>
            <w:shd w:val="clear" w:color="auto" w:fill="D5ECF5"/>
            <w:vAlign w:val="center"/>
          </w:tcPr>
          <w:p w14:paraId="7418B7A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0.04</w:t>
            </w:r>
          </w:p>
        </w:tc>
        <w:tc>
          <w:tcPr>
            <w:tcW w:w="250" w:type="pct"/>
            <w:shd w:val="clear" w:color="auto" w:fill="D5ECF5"/>
            <w:vAlign w:val="center"/>
          </w:tcPr>
          <w:p w14:paraId="7418B7A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0.03</w:t>
            </w:r>
          </w:p>
        </w:tc>
        <w:tc>
          <w:tcPr>
            <w:tcW w:w="250" w:type="pct"/>
            <w:shd w:val="clear" w:color="auto" w:fill="D5ECF5"/>
            <w:vAlign w:val="center"/>
          </w:tcPr>
          <w:p w14:paraId="7418B7A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0.04</w:t>
            </w:r>
          </w:p>
        </w:tc>
        <w:tc>
          <w:tcPr>
            <w:tcW w:w="250" w:type="pct"/>
            <w:shd w:val="clear" w:color="auto" w:fill="D5ECF5"/>
            <w:vAlign w:val="center"/>
          </w:tcPr>
          <w:p w14:paraId="7418B7A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0.05</w:t>
            </w:r>
          </w:p>
        </w:tc>
        <w:tc>
          <w:tcPr>
            <w:tcW w:w="250" w:type="pct"/>
            <w:shd w:val="clear" w:color="auto" w:fill="D5ECF5"/>
            <w:vAlign w:val="center"/>
          </w:tcPr>
          <w:p w14:paraId="7418B7A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0.06</w:t>
            </w:r>
          </w:p>
        </w:tc>
        <w:tc>
          <w:tcPr>
            <w:tcW w:w="250" w:type="pct"/>
            <w:shd w:val="clear" w:color="auto" w:fill="D5ECF5"/>
            <w:vAlign w:val="center"/>
          </w:tcPr>
          <w:p w14:paraId="7418B7A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0.02</w:t>
            </w:r>
          </w:p>
        </w:tc>
        <w:tc>
          <w:tcPr>
            <w:tcW w:w="231" w:type="pct"/>
            <w:shd w:val="clear" w:color="auto" w:fill="D5ECF5"/>
            <w:vAlign w:val="center"/>
          </w:tcPr>
          <w:p w14:paraId="7418B7A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D5ECF5"/>
            <w:vAlign w:val="center"/>
          </w:tcPr>
          <w:p w14:paraId="7418B7A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7BA" w14:textId="77777777" w:rsidTr="004A31A9">
        <w:trPr>
          <w:trHeight w:val="283"/>
        </w:trPr>
        <w:tc>
          <w:tcPr>
            <w:tcW w:w="1544" w:type="pct"/>
            <w:shd w:val="clear" w:color="auto" w:fill="E4F3F9"/>
            <w:vAlign w:val="center"/>
          </w:tcPr>
          <w:p w14:paraId="7418B7A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Madrid system trademark registrations by country of origin</w:t>
            </w:r>
            <w:r w:rsidRPr="008121A7">
              <w:rPr>
                <w:rFonts w:eastAsia="Arial Unicode MS" w:cs="Arial" w:hint="eastAsia"/>
                <w:color w:val="7A7B7C"/>
                <w:sz w:val="14"/>
                <w:szCs w:val="14"/>
                <w:lang w:eastAsia="en-AU"/>
              </w:rPr>
              <w:t>²⁶</w:t>
            </w:r>
          </w:p>
        </w:tc>
        <w:tc>
          <w:tcPr>
            <w:tcW w:w="250" w:type="pct"/>
            <w:shd w:val="clear" w:color="auto" w:fill="E4F3F9"/>
            <w:vAlign w:val="center"/>
          </w:tcPr>
          <w:p w14:paraId="7418B7A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7A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7A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7A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7B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7B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7B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7B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7B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7B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E4F3F9"/>
            <w:vAlign w:val="center"/>
          </w:tcPr>
          <w:p w14:paraId="7418B7B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16.3</w:t>
            </w:r>
          </w:p>
        </w:tc>
        <w:tc>
          <w:tcPr>
            <w:tcW w:w="250" w:type="pct"/>
            <w:shd w:val="clear" w:color="auto" w:fill="E4F3F9"/>
            <w:vAlign w:val="center"/>
          </w:tcPr>
          <w:p w14:paraId="7418B7B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shd w:val="clear" w:color="auto" w:fill="E4F3F9"/>
            <w:vAlign w:val="center"/>
          </w:tcPr>
          <w:p w14:paraId="7418B7B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7B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7CA" w14:textId="77777777" w:rsidTr="004A31A9">
        <w:trPr>
          <w:trHeight w:val="283"/>
        </w:trPr>
        <w:tc>
          <w:tcPr>
            <w:tcW w:w="1544" w:type="pct"/>
            <w:shd w:val="clear" w:color="auto" w:fill="D5ECF5"/>
            <w:vAlign w:val="center"/>
          </w:tcPr>
          <w:p w14:paraId="7418B7B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Patent Cooperation Treaty resident applications, per billion PPP$ GDP</w:t>
            </w:r>
            <w:r w:rsidRPr="008121A7">
              <w:rPr>
                <w:rFonts w:eastAsia="Arial Unicode MS" w:cs="Arial" w:hint="eastAsia"/>
                <w:color w:val="7A7B7C"/>
                <w:sz w:val="14"/>
                <w:szCs w:val="14"/>
                <w:lang w:eastAsia="en-AU"/>
              </w:rPr>
              <w:t>²⁶</w:t>
            </w:r>
          </w:p>
        </w:tc>
        <w:tc>
          <w:tcPr>
            <w:tcW w:w="250" w:type="pct"/>
            <w:shd w:val="clear" w:color="auto" w:fill="D5ECF5"/>
            <w:vAlign w:val="center"/>
          </w:tcPr>
          <w:p w14:paraId="7418B7B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7B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7B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7B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7C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7C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7C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7C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shd w:val="clear" w:color="auto" w:fill="D5ECF5"/>
            <w:vAlign w:val="center"/>
          </w:tcPr>
          <w:p w14:paraId="7418B7C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27.8</w:t>
            </w:r>
          </w:p>
        </w:tc>
        <w:tc>
          <w:tcPr>
            <w:tcW w:w="250" w:type="pct"/>
            <w:shd w:val="clear" w:color="auto" w:fill="D5ECF5"/>
            <w:vAlign w:val="center"/>
          </w:tcPr>
          <w:p w14:paraId="7418B7C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80.5</w:t>
            </w:r>
          </w:p>
        </w:tc>
        <w:tc>
          <w:tcPr>
            <w:tcW w:w="250" w:type="pct"/>
            <w:shd w:val="clear" w:color="auto" w:fill="D5ECF5"/>
            <w:vAlign w:val="center"/>
          </w:tcPr>
          <w:p w14:paraId="7418B7C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31.5</w:t>
            </w:r>
          </w:p>
        </w:tc>
        <w:tc>
          <w:tcPr>
            <w:tcW w:w="250" w:type="pct"/>
            <w:shd w:val="clear" w:color="auto" w:fill="D5ECF5"/>
            <w:vAlign w:val="center"/>
          </w:tcPr>
          <w:p w14:paraId="7418B7C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31.4</w:t>
            </w:r>
          </w:p>
        </w:tc>
        <w:tc>
          <w:tcPr>
            <w:tcW w:w="231" w:type="pct"/>
            <w:shd w:val="clear" w:color="auto" w:fill="D5ECF5"/>
            <w:vAlign w:val="center"/>
          </w:tcPr>
          <w:p w14:paraId="7418B7C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19.2</w:t>
            </w:r>
          </w:p>
        </w:tc>
        <w:tc>
          <w:tcPr>
            <w:tcW w:w="225" w:type="pct"/>
            <w:shd w:val="clear" w:color="auto" w:fill="D5ECF5"/>
            <w:vAlign w:val="center"/>
          </w:tcPr>
          <w:p w14:paraId="7418B7C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21.5</w:t>
            </w:r>
          </w:p>
        </w:tc>
      </w:tr>
      <w:tr w:rsidR="00D471AD" w:rsidRPr="008121A7" w14:paraId="7418B7DA" w14:textId="77777777" w:rsidTr="004A31A9">
        <w:trPr>
          <w:trHeight w:val="283"/>
        </w:trPr>
        <w:tc>
          <w:tcPr>
            <w:tcW w:w="1544" w:type="pct"/>
            <w:shd w:val="clear" w:color="auto" w:fill="E4F3F9"/>
            <w:vAlign w:val="center"/>
          </w:tcPr>
          <w:p w14:paraId="7418B7C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 xml:space="preserve">Industrial design registrations (AU resident) per million </w:t>
            </w:r>
            <w:r>
              <w:rPr>
                <w:rFonts w:eastAsia="Arial Unicode MS" w:cs="Arial"/>
                <w:color w:val="7A7B7C"/>
                <w:sz w:val="14"/>
                <w:szCs w:val="14"/>
                <w:lang w:eastAsia="en-AU"/>
              </w:rPr>
              <w:br/>
            </w:r>
            <w:r w:rsidRPr="008121A7">
              <w:rPr>
                <w:rFonts w:eastAsia="Arial Unicode MS" w:cs="Arial" w:hint="eastAsia"/>
                <w:color w:val="7A7B7C"/>
                <w:sz w:val="14"/>
                <w:szCs w:val="14"/>
                <w:lang w:eastAsia="en-AU"/>
              </w:rPr>
              <w:t>population</w:t>
            </w:r>
            <w:r w:rsidRPr="008121A7">
              <w:rPr>
                <w:rFonts w:eastAsia="Arial Unicode MS" w:cs="Arial" w:hint="eastAsia"/>
                <w:color w:val="7A7B7C"/>
                <w:sz w:val="14"/>
                <w:szCs w:val="14"/>
                <w:lang w:eastAsia="en-AU"/>
              </w:rPr>
              <w:t>²³</w:t>
            </w:r>
            <w:r w:rsidRPr="008121A7">
              <w:rPr>
                <w:rFonts w:eastAsia="Arial Unicode MS" w:cs="Arial" w:hint="eastAsia"/>
                <w:color w:val="7A7B7C"/>
                <w:sz w:val="14"/>
                <w:szCs w:val="14"/>
                <w:lang w:eastAsia="en-AU"/>
              </w:rPr>
              <w:t xml:space="preserve"> </w:t>
            </w:r>
            <w:r w:rsidRPr="008121A7">
              <w:rPr>
                <w:rFonts w:eastAsia="Arial Unicode MS" w:cs="Arial" w:hint="eastAsia"/>
                <w:color w:val="7A7B7C"/>
                <w:sz w:val="14"/>
                <w:szCs w:val="14"/>
                <w:lang w:eastAsia="en-AU"/>
              </w:rPr>
              <w:t>⁴⁰</w:t>
            </w:r>
          </w:p>
        </w:tc>
        <w:tc>
          <w:tcPr>
            <w:tcW w:w="250" w:type="pct"/>
            <w:shd w:val="clear" w:color="auto" w:fill="E4F3F9"/>
            <w:vAlign w:val="center"/>
          </w:tcPr>
          <w:p w14:paraId="7418B7C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121</w:t>
            </w:r>
          </w:p>
        </w:tc>
        <w:tc>
          <w:tcPr>
            <w:tcW w:w="250" w:type="pct"/>
            <w:shd w:val="clear" w:color="auto" w:fill="E4F3F9"/>
            <w:vAlign w:val="center"/>
          </w:tcPr>
          <w:p w14:paraId="7418B7C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98</w:t>
            </w:r>
          </w:p>
        </w:tc>
        <w:tc>
          <w:tcPr>
            <w:tcW w:w="250" w:type="pct"/>
            <w:shd w:val="clear" w:color="auto" w:fill="E4F3F9"/>
            <w:vAlign w:val="center"/>
          </w:tcPr>
          <w:p w14:paraId="7418B7C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136</w:t>
            </w:r>
          </w:p>
        </w:tc>
        <w:tc>
          <w:tcPr>
            <w:tcW w:w="250" w:type="pct"/>
            <w:shd w:val="clear" w:color="auto" w:fill="E4F3F9"/>
            <w:vAlign w:val="center"/>
          </w:tcPr>
          <w:p w14:paraId="7418B7C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168</w:t>
            </w:r>
          </w:p>
        </w:tc>
        <w:tc>
          <w:tcPr>
            <w:tcW w:w="250" w:type="pct"/>
            <w:shd w:val="clear" w:color="auto" w:fill="E4F3F9"/>
            <w:vAlign w:val="center"/>
          </w:tcPr>
          <w:p w14:paraId="7418B7D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110</w:t>
            </w:r>
          </w:p>
        </w:tc>
        <w:tc>
          <w:tcPr>
            <w:tcW w:w="250" w:type="pct"/>
            <w:shd w:val="clear" w:color="auto" w:fill="E4F3F9"/>
            <w:vAlign w:val="center"/>
          </w:tcPr>
          <w:p w14:paraId="7418B7D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113</w:t>
            </w:r>
          </w:p>
        </w:tc>
        <w:tc>
          <w:tcPr>
            <w:tcW w:w="250" w:type="pct"/>
            <w:shd w:val="clear" w:color="auto" w:fill="E4F3F9"/>
            <w:vAlign w:val="center"/>
          </w:tcPr>
          <w:p w14:paraId="7418B7D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119</w:t>
            </w:r>
          </w:p>
        </w:tc>
        <w:tc>
          <w:tcPr>
            <w:tcW w:w="250" w:type="pct"/>
            <w:shd w:val="clear" w:color="auto" w:fill="E4F3F9"/>
            <w:vAlign w:val="center"/>
          </w:tcPr>
          <w:p w14:paraId="7418B7D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111</w:t>
            </w:r>
          </w:p>
        </w:tc>
        <w:tc>
          <w:tcPr>
            <w:tcW w:w="250" w:type="pct"/>
            <w:shd w:val="clear" w:color="auto" w:fill="E4F3F9"/>
            <w:vAlign w:val="center"/>
          </w:tcPr>
          <w:p w14:paraId="7418B7D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111</w:t>
            </w:r>
          </w:p>
        </w:tc>
        <w:tc>
          <w:tcPr>
            <w:tcW w:w="250" w:type="pct"/>
            <w:shd w:val="clear" w:color="auto" w:fill="E4F3F9"/>
            <w:vAlign w:val="center"/>
          </w:tcPr>
          <w:p w14:paraId="7418B7D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107</w:t>
            </w:r>
          </w:p>
        </w:tc>
        <w:tc>
          <w:tcPr>
            <w:tcW w:w="250" w:type="pct"/>
            <w:shd w:val="clear" w:color="auto" w:fill="E4F3F9"/>
            <w:vAlign w:val="center"/>
          </w:tcPr>
          <w:p w14:paraId="7418B7D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125</w:t>
            </w:r>
          </w:p>
        </w:tc>
        <w:tc>
          <w:tcPr>
            <w:tcW w:w="250" w:type="pct"/>
            <w:shd w:val="clear" w:color="auto" w:fill="E4F3F9"/>
            <w:vAlign w:val="center"/>
          </w:tcPr>
          <w:p w14:paraId="7418B7D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111</w:t>
            </w:r>
          </w:p>
        </w:tc>
        <w:tc>
          <w:tcPr>
            <w:tcW w:w="231" w:type="pct"/>
            <w:shd w:val="clear" w:color="auto" w:fill="E4F3F9"/>
            <w:vAlign w:val="center"/>
          </w:tcPr>
          <w:p w14:paraId="7418B7D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7D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7EA" w14:textId="77777777" w:rsidTr="004A31A9">
        <w:trPr>
          <w:trHeight w:val="283"/>
        </w:trPr>
        <w:tc>
          <w:tcPr>
            <w:tcW w:w="1544" w:type="pct"/>
            <w:shd w:val="clear" w:color="auto" w:fill="D5ECF5"/>
            <w:vAlign w:val="center"/>
          </w:tcPr>
          <w:p w14:paraId="7418B7D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Trade Mark applications from Australian residents</w:t>
            </w:r>
            <w:r w:rsidRPr="008121A7">
              <w:rPr>
                <w:rFonts w:eastAsia="Arial Unicode MS" w:cs="Arial" w:hint="eastAsia"/>
                <w:color w:val="7A7B7C"/>
                <w:sz w:val="14"/>
                <w:szCs w:val="14"/>
                <w:lang w:eastAsia="en-AU"/>
              </w:rPr>
              <w:t>²³</w:t>
            </w:r>
            <w:r w:rsidRPr="008121A7">
              <w:rPr>
                <w:rFonts w:eastAsia="Arial Unicode MS" w:cs="Arial" w:hint="eastAsia"/>
                <w:color w:val="7A7B7C"/>
                <w:sz w:val="14"/>
                <w:szCs w:val="14"/>
                <w:lang w:eastAsia="en-AU"/>
              </w:rPr>
              <w:t xml:space="preserve"> </w:t>
            </w:r>
            <w:r w:rsidRPr="008121A7">
              <w:rPr>
                <w:rFonts w:eastAsia="Arial Unicode MS" w:cs="Arial" w:hint="eastAsia"/>
                <w:color w:val="7A7B7C"/>
                <w:sz w:val="14"/>
                <w:szCs w:val="14"/>
                <w:lang w:eastAsia="en-AU"/>
              </w:rPr>
              <w:t>²⁴</w:t>
            </w:r>
          </w:p>
        </w:tc>
        <w:tc>
          <w:tcPr>
            <w:tcW w:w="250" w:type="pct"/>
            <w:shd w:val="clear" w:color="auto" w:fill="D5ECF5"/>
            <w:vAlign w:val="center"/>
          </w:tcPr>
          <w:p w14:paraId="7418B7D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19,036</w:t>
            </w:r>
          </w:p>
        </w:tc>
        <w:tc>
          <w:tcPr>
            <w:tcW w:w="250" w:type="pct"/>
            <w:shd w:val="clear" w:color="auto" w:fill="D5ECF5"/>
            <w:vAlign w:val="center"/>
          </w:tcPr>
          <w:p w14:paraId="7418B7D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27,175</w:t>
            </w:r>
          </w:p>
        </w:tc>
        <w:tc>
          <w:tcPr>
            <w:tcW w:w="250" w:type="pct"/>
            <w:shd w:val="clear" w:color="auto" w:fill="D5ECF5"/>
            <w:vAlign w:val="center"/>
          </w:tcPr>
          <w:p w14:paraId="7418B7D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38,193</w:t>
            </w:r>
          </w:p>
        </w:tc>
        <w:tc>
          <w:tcPr>
            <w:tcW w:w="250" w:type="pct"/>
            <w:shd w:val="clear" w:color="auto" w:fill="D5ECF5"/>
            <w:vAlign w:val="center"/>
          </w:tcPr>
          <w:p w14:paraId="7418B7D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40,246</w:t>
            </w:r>
          </w:p>
        </w:tc>
        <w:tc>
          <w:tcPr>
            <w:tcW w:w="250" w:type="pct"/>
            <w:shd w:val="clear" w:color="auto" w:fill="D5ECF5"/>
            <w:vAlign w:val="center"/>
          </w:tcPr>
          <w:p w14:paraId="7418B7E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39,754</w:t>
            </w:r>
          </w:p>
        </w:tc>
        <w:tc>
          <w:tcPr>
            <w:tcW w:w="250" w:type="pct"/>
            <w:shd w:val="clear" w:color="auto" w:fill="D5ECF5"/>
            <w:vAlign w:val="center"/>
          </w:tcPr>
          <w:p w14:paraId="7418B7E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38,211</w:t>
            </w:r>
          </w:p>
        </w:tc>
        <w:tc>
          <w:tcPr>
            <w:tcW w:w="250" w:type="pct"/>
            <w:shd w:val="clear" w:color="auto" w:fill="D5ECF5"/>
            <w:vAlign w:val="center"/>
          </w:tcPr>
          <w:p w14:paraId="7418B7E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38,308</w:t>
            </w:r>
          </w:p>
        </w:tc>
        <w:tc>
          <w:tcPr>
            <w:tcW w:w="250" w:type="pct"/>
            <w:shd w:val="clear" w:color="auto" w:fill="D5ECF5"/>
            <w:vAlign w:val="center"/>
          </w:tcPr>
          <w:p w14:paraId="7418B7E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39,554</w:t>
            </w:r>
          </w:p>
        </w:tc>
        <w:tc>
          <w:tcPr>
            <w:tcW w:w="250" w:type="pct"/>
            <w:shd w:val="clear" w:color="auto" w:fill="D5ECF5"/>
            <w:vAlign w:val="center"/>
          </w:tcPr>
          <w:p w14:paraId="7418B7E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40,066</w:t>
            </w:r>
          </w:p>
        </w:tc>
        <w:tc>
          <w:tcPr>
            <w:tcW w:w="250" w:type="pct"/>
            <w:shd w:val="clear" w:color="auto" w:fill="D5ECF5"/>
            <w:vAlign w:val="center"/>
          </w:tcPr>
          <w:p w14:paraId="7418B7E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41,106</w:t>
            </w:r>
          </w:p>
        </w:tc>
        <w:tc>
          <w:tcPr>
            <w:tcW w:w="250" w:type="pct"/>
            <w:shd w:val="clear" w:color="auto" w:fill="D5ECF5"/>
            <w:vAlign w:val="center"/>
          </w:tcPr>
          <w:p w14:paraId="7418B7E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39,682</w:t>
            </w:r>
          </w:p>
        </w:tc>
        <w:tc>
          <w:tcPr>
            <w:tcW w:w="250" w:type="pct"/>
            <w:shd w:val="clear" w:color="auto" w:fill="D5ECF5"/>
            <w:vAlign w:val="center"/>
          </w:tcPr>
          <w:p w14:paraId="7418B7E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41,686</w:t>
            </w:r>
          </w:p>
        </w:tc>
        <w:tc>
          <w:tcPr>
            <w:tcW w:w="231" w:type="pct"/>
            <w:shd w:val="clear" w:color="auto" w:fill="D5ECF5"/>
            <w:vAlign w:val="center"/>
          </w:tcPr>
          <w:p w14:paraId="7418B7E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47,081</w:t>
            </w:r>
          </w:p>
        </w:tc>
        <w:tc>
          <w:tcPr>
            <w:tcW w:w="225" w:type="pct"/>
            <w:shd w:val="clear" w:color="auto" w:fill="D5ECF5"/>
            <w:vAlign w:val="center"/>
          </w:tcPr>
          <w:p w14:paraId="7418B7E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7FA" w14:textId="77777777" w:rsidTr="004A31A9">
        <w:trPr>
          <w:trHeight w:val="283"/>
        </w:trPr>
        <w:tc>
          <w:tcPr>
            <w:tcW w:w="1544" w:type="pct"/>
            <w:shd w:val="clear" w:color="auto" w:fill="E4F3F9"/>
            <w:vAlign w:val="center"/>
          </w:tcPr>
          <w:p w14:paraId="7418B7E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Trademark registrations (AU resident) per million population</w:t>
            </w:r>
            <w:r w:rsidRPr="008121A7">
              <w:rPr>
                <w:rFonts w:eastAsia="Arial Unicode MS" w:cs="Arial" w:hint="eastAsia"/>
                <w:color w:val="7A7B7C"/>
                <w:sz w:val="14"/>
                <w:szCs w:val="14"/>
                <w:lang w:eastAsia="en-AU"/>
              </w:rPr>
              <w:t>²³</w:t>
            </w:r>
            <w:r w:rsidRPr="008121A7">
              <w:rPr>
                <w:rFonts w:eastAsia="Arial Unicode MS" w:cs="Arial" w:hint="eastAsia"/>
                <w:color w:val="7A7B7C"/>
                <w:sz w:val="14"/>
                <w:szCs w:val="14"/>
                <w:lang w:eastAsia="en-AU"/>
              </w:rPr>
              <w:t xml:space="preserve"> </w:t>
            </w:r>
            <w:r w:rsidRPr="008121A7">
              <w:rPr>
                <w:rFonts w:eastAsia="Arial Unicode MS" w:cs="Arial" w:hint="eastAsia"/>
                <w:color w:val="7A7B7C"/>
                <w:sz w:val="14"/>
                <w:szCs w:val="14"/>
                <w:lang w:eastAsia="en-AU"/>
              </w:rPr>
              <w:t>⁴⁰</w:t>
            </w:r>
          </w:p>
        </w:tc>
        <w:tc>
          <w:tcPr>
            <w:tcW w:w="250" w:type="pct"/>
            <w:shd w:val="clear" w:color="auto" w:fill="E4F3F9"/>
            <w:vAlign w:val="center"/>
          </w:tcPr>
          <w:p w14:paraId="7418B7E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429</w:t>
            </w:r>
          </w:p>
        </w:tc>
        <w:tc>
          <w:tcPr>
            <w:tcW w:w="250" w:type="pct"/>
            <w:shd w:val="clear" w:color="auto" w:fill="E4F3F9"/>
            <w:vAlign w:val="center"/>
          </w:tcPr>
          <w:p w14:paraId="7418B7E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504</w:t>
            </w:r>
          </w:p>
        </w:tc>
        <w:tc>
          <w:tcPr>
            <w:tcW w:w="250" w:type="pct"/>
            <w:shd w:val="clear" w:color="auto" w:fill="E4F3F9"/>
            <w:vAlign w:val="center"/>
          </w:tcPr>
          <w:p w14:paraId="7418B7E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1,091</w:t>
            </w:r>
          </w:p>
        </w:tc>
        <w:tc>
          <w:tcPr>
            <w:tcW w:w="250" w:type="pct"/>
            <w:shd w:val="clear" w:color="auto" w:fill="E4F3F9"/>
            <w:vAlign w:val="center"/>
          </w:tcPr>
          <w:p w14:paraId="7418B7E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1,120</w:t>
            </w:r>
          </w:p>
        </w:tc>
        <w:tc>
          <w:tcPr>
            <w:tcW w:w="250" w:type="pct"/>
            <w:shd w:val="clear" w:color="auto" w:fill="E4F3F9"/>
            <w:vAlign w:val="center"/>
          </w:tcPr>
          <w:p w14:paraId="7418B7F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1,221</w:t>
            </w:r>
          </w:p>
        </w:tc>
        <w:tc>
          <w:tcPr>
            <w:tcW w:w="250" w:type="pct"/>
            <w:shd w:val="clear" w:color="auto" w:fill="E4F3F9"/>
            <w:vAlign w:val="center"/>
          </w:tcPr>
          <w:p w14:paraId="7418B7F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1,245</w:t>
            </w:r>
          </w:p>
        </w:tc>
        <w:tc>
          <w:tcPr>
            <w:tcW w:w="250" w:type="pct"/>
            <w:shd w:val="clear" w:color="auto" w:fill="E4F3F9"/>
            <w:vAlign w:val="center"/>
          </w:tcPr>
          <w:p w14:paraId="7418B7F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1,123</w:t>
            </w:r>
          </w:p>
        </w:tc>
        <w:tc>
          <w:tcPr>
            <w:tcW w:w="250" w:type="pct"/>
            <w:shd w:val="clear" w:color="auto" w:fill="E4F3F9"/>
            <w:vAlign w:val="center"/>
          </w:tcPr>
          <w:p w14:paraId="7418B7F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1,077</w:t>
            </w:r>
          </w:p>
        </w:tc>
        <w:tc>
          <w:tcPr>
            <w:tcW w:w="250" w:type="pct"/>
            <w:shd w:val="clear" w:color="auto" w:fill="E4F3F9"/>
            <w:vAlign w:val="center"/>
          </w:tcPr>
          <w:p w14:paraId="7418B7F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1,062</w:t>
            </w:r>
          </w:p>
        </w:tc>
        <w:tc>
          <w:tcPr>
            <w:tcW w:w="250" w:type="pct"/>
            <w:shd w:val="clear" w:color="auto" w:fill="E4F3F9"/>
            <w:vAlign w:val="center"/>
          </w:tcPr>
          <w:p w14:paraId="7418B7F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1,063</w:t>
            </w:r>
          </w:p>
        </w:tc>
        <w:tc>
          <w:tcPr>
            <w:tcW w:w="250" w:type="pct"/>
            <w:shd w:val="clear" w:color="auto" w:fill="E4F3F9"/>
            <w:vAlign w:val="center"/>
          </w:tcPr>
          <w:p w14:paraId="7418B7F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1,069</w:t>
            </w:r>
          </w:p>
        </w:tc>
        <w:tc>
          <w:tcPr>
            <w:tcW w:w="250" w:type="pct"/>
            <w:shd w:val="clear" w:color="auto" w:fill="E4F3F9"/>
            <w:vAlign w:val="center"/>
          </w:tcPr>
          <w:p w14:paraId="7418B7F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994</w:t>
            </w:r>
          </w:p>
        </w:tc>
        <w:tc>
          <w:tcPr>
            <w:tcW w:w="231" w:type="pct"/>
            <w:shd w:val="clear" w:color="auto" w:fill="E4F3F9"/>
            <w:vAlign w:val="center"/>
          </w:tcPr>
          <w:p w14:paraId="7418B7F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shd w:val="clear" w:color="auto" w:fill="E4F3F9"/>
            <w:vAlign w:val="center"/>
          </w:tcPr>
          <w:p w14:paraId="7418B7F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80A" w14:textId="77777777" w:rsidTr="004A31A9">
        <w:trPr>
          <w:trHeight w:val="283"/>
        </w:trPr>
        <w:tc>
          <w:tcPr>
            <w:tcW w:w="1544" w:type="pct"/>
            <w:tcBorders>
              <w:bottom w:val="nil"/>
            </w:tcBorders>
            <w:shd w:val="clear" w:color="auto" w:fill="D5ECF5"/>
            <w:vAlign w:val="center"/>
          </w:tcPr>
          <w:p w14:paraId="7418B7F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National office resident trademark registrations, per bn PPP$ GDP</w:t>
            </w:r>
            <w:r w:rsidRPr="008121A7">
              <w:rPr>
                <w:rFonts w:eastAsia="Arial Unicode MS" w:cs="Arial" w:hint="eastAsia"/>
                <w:color w:val="7A7B7C"/>
                <w:sz w:val="14"/>
                <w:szCs w:val="14"/>
                <w:lang w:eastAsia="en-AU"/>
              </w:rPr>
              <w:t>²⁶</w:t>
            </w:r>
          </w:p>
        </w:tc>
        <w:tc>
          <w:tcPr>
            <w:tcW w:w="250" w:type="pct"/>
            <w:tcBorders>
              <w:bottom w:val="nil"/>
            </w:tcBorders>
            <w:shd w:val="clear" w:color="auto" w:fill="D5ECF5"/>
            <w:vAlign w:val="center"/>
          </w:tcPr>
          <w:p w14:paraId="7418B7F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nil"/>
            </w:tcBorders>
            <w:shd w:val="clear" w:color="auto" w:fill="D5ECF5"/>
            <w:vAlign w:val="center"/>
          </w:tcPr>
          <w:p w14:paraId="7418B7F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nil"/>
            </w:tcBorders>
            <w:shd w:val="clear" w:color="auto" w:fill="D5ECF5"/>
            <w:vAlign w:val="center"/>
          </w:tcPr>
          <w:p w14:paraId="7418B7F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nil"/>
            </w:tcBorders>
            <w:shd w:val="clear" w:color="auto" w:fill="D5ECF5"/>
            <w:vAlign w:val="center"/>
          </w:tcPr>
          <w:p w14:paraId="7418B7F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nil"/>
            </w:tcBorders>
            <w:shd w:val="clear" w:color="auto" w:fill="D5ECF5"/>
            <w:vAlign w:val="center"/>
          </w:tcPr>
          <w:p w14:paraId="7418B80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nil"/>
            </w:tcBorders>
            <w:shd w:val="clear" w:color="auto" w:fill="D5ECF5"/>
            <w:vAlign w:val="center"/>
          </w:tcPr>
          <w:p w14:paraId="7418B80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nil"/>
            </w:tcBorders>
            <w:shd w:val="clear" w:color="auto" w:fill="D5ECF5"/>
            <w:vAlign w:val="center"/>
          </w:tcPr>
          <w:p w14:paraId="7418B80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nil"/>
            </w:tcBorders>
            <w:shd w:val="clear" w:color="auto" w:fill="D5ECF5"/>
            <w:vAlign w:val="center"/>
          </w:tcPr>
          <w:p w14:paraId="7418B80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nil"/>
            </w:tcBorders>
            <w:shd w:val="clear" w:color="auto" w:fill="D5ECF5"/>
            <w:vAlign w:val="center"/>
          </w:tcPr>
          <w:p w14:paraId="7418B80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nil"/>
            </w:tcBorders>
            <w:shd w:val="clear" w:color="auto" w:fill="D5ECF5"/>
            <w:vAlign w:val="center"/>
          </w:tcPr>
          <w:p w14:paraId="7418B80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nil"/>
            </w:tcBorders>
            <w:shd w:val="clear" w:color="auto" w:fill="D5ECF5"/>
            <w:vAlign w:val="center"/>
          </w:tcPr>
          <w:p w14:paraId="7418B80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26</w:t>
            </w:r>
          </w:p>
        </w:tc>
        <w:tc>
          <w:tcPr>
            <w:tcW w:w="250" w:type="pct"/>
            <w:tcBorders>
              <w:bottom w:val="nil"/>
            </w:tcBorders>
            <w:shd w:val="clear" w:color="auto" w:fill="D5ECF5"/>
            <w:vAlign w:val="center"/>
          </w:tcPr>
          <w:p w14:paraId="7418B80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31" w:type="pct"/>
            <w:tcBorders>
              <w:bottom w:val="nil"/>
            </w:tcBorders>
            <w:shd w:val="clear" w:color="auto" w:fill="D5ECF5"/>
            <w:vAlign w:val="center"/>
          </w:tcPr>
          <w:p w14:paraId="7418B80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25" w:type="pct"/>
            <w:tcBorders>
              <w:bottom w:val="nil"/>
            </w:tcBorders>
            <w:shd w:val="clear" w:color="auto" w:fill="D5ECF5"/>
            <w:vAlign w:val="center"/>
          </w:tcPr>
          <w:p w14:paraId="7418B80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r w:rsidR="00D471AD" w:rsidRPr="008121A7" w14:paraId="7418B81A" w14:textId="77777777" w:rsidTr="004A31A9">
        <w:trPr>
          <w:trHeight w:val="283"/>
        </w:trPr>
        <w:tc>
          <w:tcPr>
            <w:tcW w:w="1544" w:type="pct"/>
            <w:tcBorders>
              <w:bottom w:val="single" w:sz="4" w:space="0" w:color="22789A"/>
            </w:tcBorders>
            <w:shd w:val="clear" w:color="auto" w:fill="E4F3F9"/>
            <w:vAlign w:val="center"/>
          </w:tcPr>
          <w:p w14:paraId="7418B80B" w14:textId="77777777" w:rsidR="00D471AD" w:rsidRPr="008121A7" w:rsidRDefault="00D471AD" w:rsidP="004A31A9">
            <w:pPr>
              <w:spacing w:after="0" w:line="240" w:lineRule="auto"/>
              <w:rPr>
                <w:rFonts w:eastAsia="Arial Unicode MS" w:cs="Arial"/>
                <w:color w:val="7A7B7C"/>
                <w:sz w:val="14"/>
                <w:szCs w:val="14"/>
                <w:lang w:eastAsia="en-AU"/>
              </w:rPr>
            </w:pPr>
            <w:r w:rsidRPr="008121A7">
              <w:rPr>
                <w:rFonts w:eastAsia="Arial Unicode MS" w:cs="Arial" w:hint="eastAsia"/>
                <w:color w:val="7A7B7C"/>
                <w:sz w:val="14"/>
                <w:szCs w:val="14"/>
                <w:lang w:eastAsia="en-AU"/>
              </w:rPr>
              <w:t>Plant breeder</w:t>
            </w:r>
            <w:r w:rsidRPr="008121A7">
              <w:rPr>
                <w:rFonts w:eastAsia="Arial Unicode MS" w:cs="Arial" w:hint="eastAsia"/>
                <w:color w:val="7A7B7C"/>
                <w:sz w:val="14"/>
                <w:szCs w:val="14"/>
                <w:lang w:eastAsia="en-AU"/>
              </w:rPr>
              <w:t>’</w:t>
            </w:r>
            <w:r w:rsidRPr="008121A7">
              <w:rPr>
                <w:rFonts w:eastAsia="Arial Unicode MS" w:cs="Arial" w:hint="eastAsia"/>
                <w:color w:val="7A7B7C"/>
                <w:sz w:val="14"/>
                <w:szCs w:val="14"/>
                <w:lang w:eastAsia="en-AU"/>
              </w:rPr>
              <w:t>s rights applications from Australian residents</w:t>
            </w:r>
            <w:r w:rsidRPr="008121A7">
              <w:rPr>
                <w:rFonts w:eastAsia="Arial Unicode MS" w:cs="Arial" w:hint="eastAsia"/>
                <w:color w:val="7A7B7C"/>
                <w:sz w:val="14"/>
                <w:szCs w:val="14"/>
                <w:lang w:eastAsia="en-AU"/>
              </w:rPr>
              <w:t>²⁴</w:t>
            </w:r>
          </w:p>
        </w:tc>
        <w:tc>
          <w:tcPr>
            <w:tcW w:w="250" w:type="pct"/>
            <w:tcBorders>
              <w:bottom w:val="single" w:sz="4" w:space="0" w:color="22789A"/>
            </w:tcBorders>
            <w:shd w:val="clear" w:color="auto" w:fill="E4F3F9"/>
            <w:vAlign w:val="center"/>
          </w:tcPr>
          <w:p w14:paraId="7418B80C"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single" w:sz="4" w:space="0" w:color="22789A"/>
            </w:tcBorders>
            <w:shd w:val="clear" w:color="auto" w:fill="E4F3F9"/>
            <w:vAlign w:val="center"/>
          </w:tcPr>
          <w:p w14:paraId="7418B80D"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single" w:sz="4" w:space="0" w:color="22789A"/>
            </w:tcBorders>
            <w:shd w:val="clear" w:color="auto" w:fill="E4F3F9"/>
            <w:vAlign w:val="center"/>
          </w:tcPr>
          <w:p w14:paraId="7418B80E"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c>
          <w:tcPr>
            <w:tcW w:w="250" w:type="pct"/>
            <w:tcBorders>
              <w:bottom w:val="single" w:sz="4" w:space="0" w:color="22789A"/>
            </w:tcBorders>
            <w:shd w:val="clear" w:color="auto" w:fill="E4F3F9"/>
            <w:vAlign w:val="center"/>
          </w:tcPr>
          <w:p w14:paraId="7418B80F"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171</w:t>
            </w:r>
          </w:p>
        </w:tc>
        <w:tc>
          <w:tcPr>
            <w:tcW w:w="250" w:type="pct"/>
            <w:tcBorders>
              <w:bottom w:val="single" w:sz="4" w:space="0" w:color="22789A"/>
            </w:tcBorders>
            <w:shd w:val="clear" w:color="auto" w:fill="E4F3F9"/>
            <w:vAlign w:val="center"/>
          </w:tcPr>
          <w:p w14:paraId="7418B810"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174</w:t>
            </w:r>
          </w:p>
        </w:tc>
        <w:tc>
          <w:tcPr>
            <w:tcW w:w="250" w:type="pct"/>
            <w:tcBorders>
              <w:bottom w:val="single" w:sz="4" w:space="0" w:color="22789A"/>
            </w:tcBorders>
            <w:shd w:val="clear" w:color="auto" w:fill="E4F3F9"/>
            <w:vAlign w:val="center"/>
          </w:tcPr>
          <w:p w14:paraId="7418B811"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192</w:t>
            </w:r>
          </w:p>
        </w:tc>
        <w:tc>
          <w:tcPr>
            <w:tcW w:w="250" w:type="pct"/>
            <w:tcBorders>
              <w:bottom w:val="single" w:sz="4" w:space="0" w:color="22789A"/>
            </w:tcBorders>
            <w:shd w:val="clear" w:color="auto" w:fill="E4F3F9"/>
            <w:vAlign w:val="center"/>
          </w:tcPr>
          <w:p w14:paraId="7418B812"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186</w:t>
            </w:r>
          </w:p>
        </w:tc>
        <w:tc>
          <w:tcPr>
            <w:tcW w:w="250" w:type="pct"/>
            <w:tcBorders>
              <w:bottom w:val="single" w:sz="4" w:space="0" w:color="22789A"/>
            </w:tcBorders>
            <w:shd w:val="clear" w:color="auto" w:fill="E4F3F9"/>
            <w:vAlign w:val="center"/>
          </w:tcPr>
          <w:p w14:paraId="7418B813"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176</w:t>
            </w:r>
          </w:p>
        </w:tc>
        <w:tc>
          <w:tcPr>
            <w:tcW w:w="250" w:type="pct"/>
            <w:tcBorders>
              <w:bottom w:val="single" w:sz="4" w:space="0" w:color="22789A"/>
            </w:tcBorders>
            <w:shd w:val="clear" w:color="auto" w:fill="E4F3F9"/>
            <w:vAlign w:val="center"/>
          </w:tcPr>
          <w:p w14:paraId="7418B814"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179</w:t>
            </w:r>
          </w:p>
        </w:tc>
        <w:tc>
          <w:tcPr>
            <w:tcW w:w="250" w:type="pct"/>
            <w:tcBorders>
              <w:bottom w:val="single" w:sz="4" w:space="0" w:color="22789A"/>
            </w:tcBorders>
            <w:shd w:val="clear" w:color="auto" w:fill="E4F3F9"/>
            <w:vAlign w:val="center"/>
          </w:tcPr>
          <w:p w14:paraId="7418B815"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138</w:t>
            </w:r>
          </w:p>
        </w:tc>
        <w:tc>
          <w:tcPr>
            <w:tcW w:w="250" w:type="pct"/>
            <w:tcBorders>
              <w:bottom w:val="single" w:sz="4" w:space="0" w:color="22789A"/>
            </w:tcBorders>
            <w:shd w:val="clear" w:color="auto" w:fill="E4F3F9"/>
            <w:vAlign w:val="center"/>
          </w:tcPr>
          <w:p w14:paraId="7418B816"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134</w:t>
            </w:r>
          </w:p>
        </w:tc>
        <w:tc>
          <w:tcPr>
            <w:tcW w:w="250" w:type="pct"/>
            <w:tcBorders>
              <w:bottom w:val="single" w:sz="4" w:space="0" w:color="22789A"/>
            </w:tcBorders>
            <w:shd w:val="clear" w:color="auto" w:fill="E4F3F9"/>
            <w:vAlign w:val="center"/>
          </w:tcPr>
          <w:p w14:paraId="7418B817"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137</w:t>
            </w:r>
          </w:p>
        </w:tc>
        <w:tc>
          <w:tcPr>
            <w:tcW w:w="231" w:type="pct"/>
            <w:tcBorders>
              <w:bottom w:val="single" w:sz="4" w:space="0" w:color="22789A"/>
            </w:tcBorders>
            <w:shd w:val="clear" w:color="auto" w:fill="E4F3F9"/>
            <w:vAlign w:val="center"/>
          </w:tcPr>
          <w:p w14:paraId="7418B818"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156</w:t>
            </w:r>
          </w:p>
        </w:tc>
        <w:tc>
          <w:tcPr>
            <w:tcW w:w="225" w:type="pct"/>
            <w:tcBorders>
              <w:bottom w:val="single" w:sz="4" w:space="0" w:color="22789A"/>
            </w:tcBorders>
            <w:shd w:val="clear" w:color="auto" w:fill="E4F3F9"/>
            <w:vAlign w:val="center"/>
          </w:tcPr>
          <w:p w14:paraId="7418B819" w14:textId="77777777" w:rsidR="00D471AD" w:rsidRPr="008121A7" w:rsidRDefault="00D471AD" w:rsidP="004A31A9">
            <w:pPr>
              <w:spacing w:after="0" w:line="240" w:lineRule="auto"/>
              <w:jc w:val="right"/>
              <w:rPr>
                <w:rFonts w:eastAsia="Times New Roman" w:cs="Arial"/>
                <w:color w:val="7A7B7C"/>
                <w:sz w:val="14"/>
                <w:szCs w:val="14"/>
                <w:lang w:eastAsia="en-AU"/>
              </w:rPr>
            </w:pPr>
            <w:r w:rsidRPr="008121A7">
              <w:rPr>
                <w:rFonts w:eastAsia="Times New Roman" w:cs="Arial"/>
                <w:color w:val="7A7B7C"/>
                <w:sz w:val="14"/>
                <w:szCs w:val="14"/>
                <w:lang w:eastAsia="en-AU"/>
              </w:rPr>
              <w:t>–</w:t>
            </w:r>
          </w:p>
        </w:tc>
      </w:tr>
    </w:tbl>
    <w:p w14:paraId="7418B81B" w14:textId="77777777" w:rsidR="00D471AD" w:rsidRDefault="00D471AD" w:rsidP="00D471AD"/>
    <w:tbl>
      <w:tblPr>
        <w:tblW w:w="5000" w:type="pct"/>
        <w:tblBorders>
          <w:bottom w:val="single" w:sz="4" w:space="0" w:color="auto"/>
        </w:tblBorders>
        <w:tblLook w:val="04A0" w:firstRow="1" w:lastRow="0" w:firstColumn="1" w:lastColumn="0" w:noHBand="0" w:noVBand="1"/>
      </w:tblPr>
      <w:tblGrid>
        <w:gridCol w:w="5539"/>
        <w:gridCol w:w="1312"/>
        <w:gridCol w:w="173"/>
        <w:gridCol w:w="1616"/>
        <w:gridCol w:w="1234"/>
        <w:gridCol w:w="1460"/>
        <w:gridCol w:w="1312"/>
        <w:gridCol w:w="1245"/>
        <w:gridCol w:w="67"/>
      </w:tblGrid>
      <w:tr w:rsidR="00D471AD" w:rsidRPr="00051CAA" w14:paraId="7418B81D" w14:textId="77777777" w:rsidTr="004A31A9">
        <w:trPr>
          <w:gridAfter w:val="1"/>
          <w:wAfter w:w="24" w:type="pct"/>
          <w:trHeight w:val="300"/>
          <w:tblHeader/>
        </w:trPr>
        <w:tc>
          <w:tcPr>
            <w:tcW w:w="4976" w:type="pct"/>
            <w:gridSpan w:val="8"/>
            <w:tcBorders>
              <w:top w:val="single" w:sz="8" w:space="0" w:color="22789A"/>
              <w:bottom w:val="nil"/>
            </w:tcBorders>
            <w:shd w:val="clear" w:color="auto" w:fill="auto"/>
            <w:vAlign w:val="center"/>
          </w:tcPr>
          <w:p w14:paraId="7418B81C" w14:textId="77777777" w:rsidR="00D471AD" w:rsidRPr="00C10561" w:rsidRDefault="00D471AD" w:rsidP="004A31A9">
            <w:pPr>
              <w:pStyle w:val="TableParagraph"/>
              <w:spacing w:before="42"/>
              <w:ind w:left="-108"/>
              <w:rPr>
                <w:rFonts w:ascii="Arial"/>
                <w:i/>
                <w:color w:val="22789A"/>
                <w:spacing w:val="3"/>
                <w:sz w:val="18"/>
              </w:rPr>
            </w:pPr>
            <w:r w:rsidRPr="008F7EDC">
              <w:rPr>
                <w:rFonts w:ascii="Arial"/>
                <w:i/>
                <w:color w:val="22789A"/>
                <w:spacing w:val="3"/>
                <w:sz w:val="18"/>
              </w:rPr>
              <w:t>Table A2(b): Indicators of Australia</w:t>
            </w:r>
            <w:r w:rsidRPr="008F7EDC">
              <w:rPr>
                <w:rFonts w:ascii="Arial"/>
                <w:i/>
                <w:color w:val="22789A"/>
                <w:spacing w:val="3"/>
                <w:sz w:val="18"/>
              </w:rPr>
              <w:t>’</w:t>
            </w:r>
            <w:r w:rsidRPr="008F7EDC">
              <w:rPr>
                <w:rFonts w:ascii="Arial"/>
                <w:i/>
                <w:color w:val="22789A"/>
                <w:spacing w:val="3"/>
                <w:sz w:val="18"/>
              </w:rPr>
              <w:t>s innovation and entrepreneurship activity</w:t>
            </w:r>
          </w:p>
        </w:tc>
      </w:tr>
      <w:tr w:rsidR="00D471AD" w14:paraId="7418B821"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369"/>
          <w:tblHeader/>
        </w:trPr>
        <w:tc>
          <w:tcPr>
            <w:tcW w:w="1984" w:type="pct"/>
            <w:tcBorders>
              <w:top w:val="nil"/>
              <w:left w:val="nil"/>
              <w:bottom w:val="nil"/>
              <w:right w:val="nil"/>
            </w:tcBorders>
            <w:shd w:val="clear" w:color="auto" w:fill="22789A"/>
          </w:tcPr>
          <w:p w14:paraId="7418B81E" w14:textId="77777777" w:rsidR="00D471AD" w:rsidRDefault="00D471AD" w:rsidP="004A31A9">
            <w:pPr>
              <w:pStyle w:val="TableParagraph"/>
              <w:spacing w:before="42"/>
              <w:ind w:left="79"/>
              <w:rPr>
                <w:rFonts w:ascii="Arial" w:eastAsia="Arial" w:hAnsi="Arial" w:cs="Arial"/>
                <w:sz w:val="18"/>
                <w:szCs w:val="18"/>
              </w:rPr>
            </w:pPr>
            <w:r>
              <w:rPr>
                <w:rFonts w:ascii="Arial"/>
                <w:i/>
                <w:color w:val="FFFFFF"/>
                <w:spacing w:val="3"/>
                <w:sz w:val="18"/>
              </w:rPr>
              <w:t>OECD+</w:t>
            </w:r>
            <w:r>
              <w:rPr>
                <w:rFonts w:ascii="Arial"/>
                <w:i/>
                <w:color w:val="FFFFFF"/>
                <w:spacing w:val="8"/>
                <w:sz w:val="18"/>
              </w:rPr>
              <w:t xml:space="preserve"> </w:t>
            </w:r>
            <w:r>
              <w:rPr>
                <w:rFonts w:ascii="Arial"/>
                <w:i/>
                <w:color w:val="FFFFFF"/>
                <w:spacing w:val="3"/>
                <w:sz w:val="18"/>
              </w:rPr>
              <w:t>Comparisons</w:t>
            </w:r>
            <w:r>
              <w:rPr>
                <w:rFonts w:ascii="Arial"/>
                <w:i/>
                <w:color w:val="FFFFFF"/>
                <w:spacing w:val="9"/>
                <w:sz w:val="18"/>
              </w:rPr>
              <w:t xml:space="preserve"> </w:t>
            </w:r>
            <w:r>
              <w:rPr>
                <w:rFonts w:ascii="Arial"/>
                <w:i/>
                <w:color w:val="FFFFFF"/>
                <w:spacing w:val="4"/>
                <w:sz w:val="18"/>
              </w:rPr>
              <w:t>(ii)</w:t>
            </w:r>
          </w:p>
        </w:tc>
        <w:tc>
          <w:tcPr>
            <w:tcW w:w="470" w:type="pct"/>
            <w:tcBorders>
              <w:top w:val="nil"/>
              <w:left w:val="nil"/>
              <w:bottom w:val="nil"/>
              <w:right w:val="nil"/>
            </w:tcBorders>
            <w:shd w:val="clear" w:color="auto" w:fill="22789A"/>
          </w:tcPr>
          <w:p w14:paraId="7418B81F" w14:textId="77777777" w:rsidR="00D471AD" w:rsidRDefault="00D471AD" w:rsidP="004A31A9"/>
        </w:tc>
        <w:tc>
          <w:tcPr>
            <w:tcW w:w="2546" w:type="pct"/>
            <w:gridSpan w:val="7"/>
            <w:tcBorders>
              <w:top w:val="nil"/>
              <w:left w:val="nil"/>
              <w:bottom w:val="nil"/>
              <w:right w:val="nil"/>
            </w:tcBorders>
            <w:shd w:val="clear" w:color="auto" w:fill="22789A"/>
          </w:tcPr>
          <w:p w14:paraId="7418B820" w14:textId="77777777" w:rsidR="00D471AD" w:rsidRDefault="00D471AD" w:rsidP="004A31A9"/>
        </w:tc>
      </w:tr>
      <w:tr w:rsidR="00D471AD" w14:paraId="7418B82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610"/>
          <w:tblHeader/>
        </w:trPr>
        <w:tc>
          <w:tcPr>
            <w:tcW w:w="1984" w:type="pct"/>
            <w:tcBorders>
              <w:top w:val="nil"/>
              <w:left w:val="nil"/>
              <w:bottom w:val="nil"/>
              <w:right w:val="nil"/>
            </w:tcBorders>
            <w:shd w:val="clear" w:color="auto" w:fill="E4F3F9"/>
          </w:tcPr>
          <w:p w14:paraId="7418B822" w14:textId="77777777" w:rsidR="00D471AD" w:rsidRPr="00507B05" w:rsidRDefault="00D471AD" w:rsidP="004A31A9">
            <w:pPr>
              <w:pStyle w:val="TableParagraph"/>
              <w:spacing w:before="50"/>
              <w:ind w:left="91"/>
              <w:contextualSpacing/>
              <w:rPr>
                <w:rFonts w:ascii="Arial" w:eastAsia="Arial" w:hAnsi="Arial" w:cs="Arial"/>
                <w:color w:val="4472C4" w:themeColor="accent5"/>
                <w:sz w:val="14"/>
                <w:szCs w:val="14"/>
              </w:rPr>
            </w:pPr>
            <w:r w:rsidRPr="00507B05">
              <w:rPr>
                <w:rFonts w:ascii="Arial"/>
                <w:i/>
                <w:color w:val="4472C4" w:themeColor="accent5"/>
                <w:sz w:val="14"/>
              </w:rPr>
              <w:t>Indicators</w:t>
            </w:r>
          </w:p>
        </w:tc>
        <w:tc>
          <w:tcPr>
            <w:tcW w:w="532" w:type="pct"/>
            <w:gridSpan w:val="2"/>
            <w:tcBorders>
              <w:top w:val="nil"/>
              <w:left w:val="nil"/>
              <w:bottom w:val="nil"/>
              <w:right w:val="nil"/>
            </w:tcBorders>
            <w:shd w:val="clear" w:color="auto" w:fill="E4F3F9"/>
          </w:tcPr>
          <w:p w14:paraId="7418B823" w14:textId="77777777" w:rsidR="00D471AD" w:rsidRPr="00507B05" w:rsidRDefault="00D471AD" w:rsidP="004A31A9">
            <w:pPr>
              <w:pStyle w:val="TableParagraph"/>
              <w:spacing w:before="100" w:beforeAutospacing="1"/>
              <w:ind w:left="205"/>
              <w:contextualSpacing/>
              <w:rPr>
                <w:rFonts w:ascii="Arial" w:eastAsia="Arial" w:hAnsi="Arial" w:cs="Arial"/>
                <w:color w:val="4472C4" w:themeColor="accent5"/>
                <w:sz w:val="14"/>
                <w:szCs w:val="14"/>
              </w:rPr>
            </w:pPr>
            <w:r w:rsidRPr="00507B05">
              <w:rPr>
                <w:rFonts w:ascii="Arial"/>
                <w:i/>
                <w:color w:val="4472C4" w:themeColor="accent5"/>
                <w:sz w:val="14"/>
              </w:rPr>
              <w:t>Australia's</w:t>
            </w:r>
            <w:r w:rsidRPr="00507B05">
              <w:rPr>
                <w:rFonts w:ascii="Arial"/>
                <w:i/>
                <w:color w:val="4472C4" w:themeColor="accent5"/>
                <w:spacing w:val="-1"/>
                <w:sz w:val="14"/>
              </w:rPr>
              <w:t xml:space="preserve"> </w:t>
            </w:r>
            <w:r w:rsidRPr="00507B05">
              <w:rPr>
                <w:rFonts w:ascii="Arial"/>
                <w:i/>
                <w:color w:val="4472C4" w:themeColor="accent5"/>
                <w:sz w:val="14"/>
              </w:rPr>
              <w:t>score</w:t>
            </w:r>
            <w:r w:rsidRPr="00507B05">
              <w:rPr>
                <w:rFonts w:ascii="Arial"/>
                <w:i/>
                <w:color w:val="4472C4" w:themeColor="accent5"/>
                <w:spacing w:val="-1"/>
                <w:sz w:val="14"/>
              </w:rPr>
              <w:t xml:space="preserve"> </w:t>
            </w:r>
            <w:r w:rsidRPr="00507B05">
              <w:rPr>
                <w:rFonts w:ascii="Arial"/>
                <w:i/>
                <w:color w:val="4472C4" w:themeColor="accent5"/>
                <w:sz w:val="14"/>
              </w:rPr>
              <w:t>(iii)</w:t>
            </w:r>
          </w:p>
        </w:tc>
        <w:tc>
          <w:tcPr>
            <w:tcW w:w="579" w:type="pct"/>
            <w:tcBorders>
              <w:top w:val="nil"/>
              <w:left w:val="nil"/>
              <w:bottom w:val="nil"/>
              <w:right w:val="nil"/>
            </w:tcBorders>
            <w:shd w:val="clear" w:color="auto" w:fill="E4F3F9"/>
          </w:tcPr>
          <w:p w14:paraId="7418B824" w14:textId="77777777" w:rsidR="00D471AD" w:rsidRPr="00507B05" w:rsidRDefault="00D471AD" w:rsidP="004A31A9">
            <w:pPr>
              <w:pStyle w:val="TableParagraph"/>
              <w:spacing w:before="100" w:beforeAutospacing="1"/>
              <w:ind w:left="100"/>
              <w:contextualSpacing/>
              <w:rPr>
                <w:rFonts w:ascii="Arial" w:eastAsia="Arial" w:hAnsi="Arial" w:cs="Arial"/>
                <w:color w:val="4472C4" w:themeColor="accent5"/>
                <w:sz w:val="14"/>
                <w:szCs w:val="14"/>
              </w:rPr>
            </w:pPr>
            <w:r w:rsidRPr="00507B05">
              <w:rPr>
                <w:rFonts w:ascii="Arial"/>
                <w:i/>
                <w:color w:val="4472C4" w:themeColor="accent5"/>
                <w:sz w:val="14"/>
              </w:rPr>
              <w:t>OECD+</w:t>
            </w:r>
            <w:r w:rsidRPr="00507B05">
              <w:rPr>
                <w:rFonts w:ascii="Arial"/>
                <w:i/>
                <w:color w:val="4472C4" w:themeColor="accent5"/>
                <w:spacing w:val="-7"/>
                <w:sz w:val="14"/>
              </w:rPr>
              <w:t xml:space="preserve"> </w:t>
            </w:r>
            <w:r w:rsidRPr="00507B05">
              <w:rPr>
                <w:rFonts w:ascii="Arial"/>
                <w:i/>
                <w:color w:val="4472C4" w:themeColor="accent5"/>
                <w:spacing w:val="-1"/>
                <w:sz w:val="14"/>
              </w:rPr>
              <w:t xml:space="preserve">Average </w:t>
            </w:r>
            <w:r w:rsidRPr="00507B05">
              <w:rPr>
                <w:rFonts w:ascii="Arial"/>
                <w:i/>
                <w:color w:val="4472C4" w:themeColor="accent5"/>
                <w:sz w:val="14"/>
              </w:rPr>
              <w:t>(iv)</w:t>
            </w:r>
          </w:p>
        </w:tc>
        <w:tc>
          <w:tcPr>
            <w:tcW w:w="442" w:type="pct"/>
            <w:tcBorders>
              <w:top w:val="nil"/>
              <w:left w:val="nil"/>
              <w:bottom w:val="nil"/>
              <w:right w:val="nil"/>
            </w:tcBorders>
            <w:shd w:val="clear" w:color="auto" w:fill="E4F3F9"/>
          </w:tcPr>
          <w:p w14:paraId="7418B825" w14:textId="77777777" w:rsidR="00D471AD" w:rsidRPr="00507B05" w:rsidRDefault="00D471AD" w:rsidP="004A31A9">
            <w:pPr>
              <w:pStyle w:val="NoSpacing"/>
              <w:jc w:val="right"/>
              <w:rPr>
                <w:rFonts w:ascii="Arial" w:eastAsia="Arial" w:hAnsi="Arial" w:cs="Arial"/>
                <w:i/>
                <w:color w:val="4472C4" w:themeColor="accent5"/>
                <w:sz w:val="14"/>
                <w:szCs w:val="14"/>
              </w:rPr>
            </w:pPr>
            <w:r w:rsidRPr="00507B05">
              <w:rPr>
                <w:rFonts w:ascii="Arial" w:hAnsi="Arial" w:cs="Arial"/>
                <w:i/>
                <w:color w:val="4472C4" w:themeColor="accent5"/>
                <w:sz w:val="14"/>
                <w:szCs w:val="14"/>
              </w:rPr>
              <w:t>OECD+</w:t>
            </w:r>
            <w:r w:rsidRPr="00507B05">
              <w:rPr>
                <w:rFonts w:ascii="Arial" w:hAnsi="Arial" w:cs="Arial"/>
                <w:i/>
                <w:color w:val="4472C4" w:themeColor="accent5"/>
                <w:spacing w:val="-1"/>
                <w:sz w:val="14"/>
                <w:szCs w:val="14"/>
              </w:rPr>
              <w:t xml:space="preserve"> </w:t>
            </w:r>
            <w:r w:rsidRPr="00507B05">
              <w:rPr>
                <w:rFonts w:ascii="Arial" w:hAnsi="Arial" w:cs="Arial"/>
                <w:i/>
                <w:color w:val="4472C4" w:themeColor="accent5"/>
                <w:sz w:val="14"/>
                <w:szCs w:val="14"/>
              </w:rPr>
              <w:t>top</w:t>
            </w:r>
            <w:r w:rsidRPr="00507B05">
              <w:rPr>
                <w:rFonts w:ascii="Arial" w:hAnsi="Arial" w:cs="Arial"/>
                <w:i/>
                <w:color w:val="4472C4" w:themeColor="accent5"/>
                <w:spacing w:val="-1"/>
                <w:sz w:val="14"/>
                <w:szCs w:val="14"/>
              </w:rPr>
              <w:t xml:space="preserve"> </w:t>
            </w:r>
            <w:r w:rsidRPr="00507B05">
              <w:rPr>
                <w:rFonts w:ascii="Arial" w:hAnsi="Arial" w:cs="Arial"/>
                <w:i/>
                <w:color w:val="4472C4" w:themeColor="accent5"/>
                <w:sz w:val="14"/>
                <w:szCs w:val="14"/>
              </w:rPr>
              <w:t xml:space="preserve">5 </w:t>
            </w:r>
            <w:r w:rsidRPr="00507B05">
              <w:rPr>
                <w:rFonts w:ascii="Arial" w:hAnsi="Arial" w:cs="Arial"/>
                <w:i/>
                <w:color w:val="4472C4" w:themeColor="accent5"/>
                <w:spacing w:val="-1"/>
                <w:sz w:val="14"/>
                <w:szCs w:val="14"/>
              </w:rPr>
              <w:t>average</w:t>
            </w:r>
            <w:r w:rsidRPr="00507B05">
              <w:rPr>
                <w:rFonts w:ascii="Arial" w:hAnsi="Arial" w:cs="Arial"/>
                <w:i/>
                <w:color w:val="4472C4" w:themeColor="accent5"/>
                <w:sz w:val="14"/>
                <w:szCs w:val="14"/>
              </w:rPr>
              <w:t xml:space="preserve"> (vi)</w:t>
            </w:r>
          </w:p>
        </w:tc>
        <w:tc>
          <w:tcPr>
            <w:tcW w:w="523" w:type="pct"/>
            <w:tcBorders>
              <w:top w:val="nil"/>
              <w:left w:val="nil"/>
              <w:bottom w:val="nil"/>
              <w:right w:val="nil"/>
            </w:tcBorders>
            <w:shd w:val="clear" w:color="auto" w:fill="E4F3F9"/>
          </w:tcPr>
          <w:p w14:paraId="7418B826" w14:textId="77777777" w:rsidR="00D471AD" w:rsidRPr="00507B05" w:rsidRDefault="00D471AD" w:rsidP="004A31A9">
            <w:pPr>
              <w:pStyle w:val="NoSpacing"/>
              <w:jc w:val="right"/>
              <w:rPr>
                <w:rFonts w:ascii="Arial" w:hAnsi="Arial" w:cs="Arial"/>
                <w:i/>
                <w:color w:val="4472C4" w:themeColor="accent5"/>
                <w:sz w:val="14"/>
                <w:szCs w:val="14"/>
              </w:rPr>
            </w:pPr>
            <w:r w:rsidRPr="00507B05">
              <w:rPr>
                <w:rFonts w:ascii="Arial" w:hAnsi="Arial" w:cs="Arial"/>
                <w:i/>
                <w:color w:val="4472C4" w:themeColor="accent5"/>
                <w:sz w:val="14"/>
                <w:szCs w:val="14"/>
              </w:rPr>
              <w:t>Gap from the top 5 OECD+ performers</w:t>
            </w:r>
          </w:p>
          <w:p w14:paraId="7418B827" w14:textId="77777777" w:rsidR="00D471AD" w:rsidRPr="00507B05" w:rsidRDefault="00D471AD" w:rsidP="004A31A9">
            <w:pPr>
              <w:pStyle w:val="NoSpacing"/>
              <w:jc w:val="right"/>
              <w:rPr>
                <w:rFonts w:ascii="Arial" w:hAnsi="Arial" w:cs="Arial"/>
                <w:i/>
                <w:color w:val="4472C4" w:themeColor="accent5"/>
                <w:sz w:val="14"/>
                <w:szCs w:val="14"/>
              </w:rPr>
            </w:pPr>
            <w:r w:rsidRPr="00507B05">
              <w:rPr>
                <w:rFonts w:ascii="Arial" w:hAnsi="Arial" w:cs="Arial"/>
                <w:i/>
                <w:color w:val="4472C4" w:themeColor="accent5"/>
                <w:sz w:val="14"/>
                <w:szCs w:val="14"/>
              </w:rPr>
              <w:t>(per cent) (vii)</w:t>
            </w:r>
          </w:p>
        </w:tc>
        <w:tc>
          <w:tcPr>
            <w:tcW w:w="470" w:type="pct"/>
            <w:tcBorders>
              <w:top w:val="nil"/>
              <w:left w:val="nil"/>
              <w:bottom w:val="nil"/>
              <w:right w:val="nil"/>
            </w:tcBorders>
            <w:shd w:val="clear" w:color="auto" w:fill="E4F3F9"/>
          </w:tcPr>
          <w:p w14:paraId="7418B828" w14:textId="77777777" w:rsidR="00D471AD" w:rsidRPr="00507B05" w:rsidRDefault="00D471AD" w:rsidP="004A31A9">
            <w:pPr>
              <w:pStyle w:val="NoSpacing"/>
              <w:jc w:val="right"/>
              <w:rPr>
                <w:rFonts w:ascii="Arial" w:hAnsi="Arial" w:cs="Arial"/>
                <w:i/>
                <w:color w:val="4472C4" w:themeColor="accent5"/>
                <w:sz w:val="14"/>
                <w:szCs w:val="14"/>
              </w:rPr>
            </w:pPr>
            <w:r w:rsidRPr="00507B05">
              <w:rPr>
                <w:rFonts w:ascii="Arial" w:hAnsi="Arial" w:cs="Arial"/>
                <w:i/>
                <w:color w:val="4472C4" w:themeColor="accent5"/>
                <w:sz w:val="14"/>
                <w:szCs w:val="14"/>
              </w:rPr>
              <w:t>Ranking against OECD+ countries</w:t>
            </w:r>
          </w:p>
          <w:p w14:paraId="7418B829" w14:textId="77777777" w:rsidR="00D471AD" w:rsidRPr="00507B05" w:rsidRDefault="00D471AD" w:rsidP="004A31A9">
            <w:pPr>
              <w:pStyle w:val="NoSpacing"/>
              <w:jc w:val="right"/>
              <w:rPr>
                <w:rFonts w:ascii="Arial" w:hAnsi="Arial" w:cs="Arial"/>
                <w:i/>
                <w:color w:val="4472C4" w:themeColor="accent5"/>
                <w:sz w:val="14"/>
                <w:szCs w:val="14"/>
              </w:rPr>
            </w:pPr>
            <w:r w:rsidRPr="00507B05">
              <w:rPr>
                <w:rFonts w:ascii="Arial" w:hAnsi="Arial" w:cs="Arial"/>
                <w:i/>
                <w:color w:val="4472C4" w:themeColor="accent5"/>
                <w:sz w:val="14"/>
                <w:szCs w:val="14"/>
              </w:rPr>
              <w:t>(viii)</w:t>
            </w:r>
          </w:p>
        </w:tc>
        <w:tc>
          <w:tcPr>
            <w:tcW w:w="470" w:type="pct"/>
            <w:gridSpan w:val="2"/>
            <w:tcBorders>
              <w:top w:val="nil"/>
              <w:left w:val="nil"/>
              <w:bottom w:val="nil"/>
              <w:right w:val="nil"/>
            </w:tcBorders>
            <w:shd w:val="clear" w:color="auto" w:fill="E4F3F9"/>
          </w:tcPr>
          <w:p w14:paraId="7418B82A" w14:textId="77777777" w:rsidR="00D471AD" w:rsidRPr="00507B05" w:rsidRDefault="00D471AD" w:rsidP="004A31A9">
            <w:pPr>
              <w:pStyle w:val="NoSpacing"/>
              <w:jc w:val="right"/>
              <w:rPr>
                <w:rFonts w:ascii="Arial" w:hAnsi="Arial" w:cs="Arial"/>
                <w:i/>
                <w:color w:val="4472C4" w:themeColor="accent5"/>
                <w:sz w:val="14"/>
                <w:szCs w:val="14"/>
              </w:rPr>
            </w:pPr>
            <w:r w:rsidRPr="00507B05">
              <w:rPr>
                <w:rFonts w:ascii="Arial" w:hAnsi="Arial" w:cs="Arial"/>
                <w:i/>
                <w:color w:val="4472C4" w:themeColor="accent5"/>
                <w:sz w:val="14"/>
                <w:szCs w:val="14"/>
              </w:rPr>
              <w:t>Year of OECD+ comparison</w:t>
            </w:r>
          </w:p>
        </w:tc>
      </w:tr>
      <w:tr w:rsidR="00D471AD" w:rsidRPr="007D285C" w14:paraId="7418B83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82C"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Business expenditure on R&amp;D (BERD), % of GDP</w:t>
            </w:r>
            <w:r w:rsidRPr="00507B05">
              <w:rPr>
                <w:rFonts w:ascii="Arial Unicode MS" w:eastAsia="Arial Unicode MS" w:hAnsi="Arial Unicode MS" w:cs="Arial Unicode MS"/>
                <w:color w:val="4472C4" w:themeColor="accent5"/>
                <w:sz w:val="14"/>
                <w:szCs w:val="14"/>
              </w:rPr>
              <w:t>¹</w:t>
            </w:r>
          </w:p>
        </w:tc>
        <w:tc>
          <w:tcPr>
            <w:tcW w:w="532" w:type="pct"/>
            <w:gridSpan w:val="2"/>
            <w:tcBorders>
              <w:top w:val="nil"/>
              <w:left w:val="nil"/>
              <w:bottom w:val="nil"/>
              <w:right w:val="nil"/>
            </w:tcBorders>
            <w:shd w:val="clear" w:color="auto" w:fill="D5ECF5"/>
          </w:tcPr>
          <w:p w14:paraId="7418B82D"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1.19</w:t>
            </w:r>
          </w:p>
        </w:tc>
        <w:tc>
          <w:tcPr>
            <w:tcW w:w="579" w:type="pct"/>
            <w:tcBorders>
              <w:top w:val="nil"/>
              <w:left w:val="nil"/>
              <w:bottom w:val="nil"/>
              <w:right w:val="nil"/>
            </w:tcBorders>
            <w:shd w:val="clear" w:color="auto" w:fill="D5ECF5"/>
          </w:tcPr>
          <w:p w14:paraId="7418B82E"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1.34</w:t>
            </w:r>
          </w:p>
        </w:tc>
        <w:tc>
          <w:tcPr>
            <w:tcW w:w="442" w:type="pct"/>
            <w:tcBorders>
              <w:top w:val="nil"/>
              <w:left w:val="nil"/>
              <w:bottom w:val="nil"/>
              <w:right w:val="nil"/>
            </w:tcBorders>
            <w:shd w:val="clear" w:color="auto" w:fill="D5ECF5"/>
          </w:tcPr>
          <w:p w14:paraId="7418B82F"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2.78</w:t>
            </w:r>
          </w:p>
        </w:tc>
        <w:tc>
          <w:tcPr>
            <w:tcW w:w="523" w:type="pct"/>
            <w:tcBorders>
              <w:top w:val="nil"/>
              <w:left w:val="nil"/>
              <w:bottom w:val="nil"/>
              <w:right w:val="nil"/>
            </w:tcBorders>
            <w:shd w:val="clear" w:color="auto" w:fill="D5ECF5"/>
          </w:tcPr>
          <w:p w14:paraId="7418B830"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57</w:t>
            </w:r>
          </w:p>
        </w:tc>
        <w:tc>
          <w:tcPr>
            <w:tcW w:w="470" w:type="pct"/>
            <w:tcBorders>
              <w:top w:val="nil"/>
              <w:left w:val="nil"/>
              <w:bottom w:val="nil"/>
              <w:right w:val="nil"/>
            </w:tcBorders>
            <w:shd w:val="clear" w:color="auto" w:fill="D5ECF5"/>
          </w:tcPr>
          <w:p w14:paraId="7418B831"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15th of 35</w:t>
            </w:r>
          </w:p>
        </w:tc>
        <w:tc>
          <w:tcPr>
            <w:tcW w:w="470" w:type="pct"/>
            <w:gridSpan w:val="2"/>
            <w:tcBorders>
              <w:top w:val="nil"/>
              <w:left w:val="nil"/>
              <w:bottom w:val="nil"/>
              <w:right w:val="nil"/>
            </w:tcBorders>
            <w:shd w:val="clear" w:color="auto" w:fill="D5ECF5"/>
          </w:tcPr>
          <w:p w14:paraId="7418B832"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2013</w:t>
            </w:r>
          </w:p>
        </w:tc>
      </w:tr>
      <w:tr w:rsidR="00D471AD" w:rsidRPr="007D285C" w14:paraId="7418B83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834"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Percentage of Business expenditure on R&amp;D (BERD) financed by government, %</w:t>
            </w:r>
            <w:r w:rsidRPr="00507B05">
              <w:rPr>
                <w:rFonts w:ascii="Arial Unicode MS" w:eastAsia="Arial Unicode MS" w:hAnsi="Arial Unicode MS" w:cs="Arial Unicode MS"/>
                <w:color w:val="4472C4" w:themeColor="accent5"/>
                <w:sz w:val="14"/>
                <w:szCs w:val="14"/>
              </w:rPr>
              <w:t>¹</w:t>
            </w:r>
          </w:p>
        </w:tc>
        <w:tc>
          <w:tcPr>
            <w:tcW w:w="532" w:type="pct"/>
            <w:gridSpan w:val="2"/>
            <w:tcBorders>
              <w:top w:val="nil"/>
              <w:left w:val="nil"/>
              <w:bottom w:val="nil"/>
              <w:right w:val="nil"/>
            </w:tcBorders>
            <w:shd w:val="clear" w:color="auto" w:fill="E4F3F9"/>
          </w:tcPr>
          <w:p w14:paraId="7418B835"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2.1</w:t>
            </w:r>
          </w:p>
        </w:tc>
        <w:tc>
          <w:tcPr>
            <w:tcW w:w="579" w:type="pct"/>
            <w:tcBorders>
              <w:top w:val="nil"/>
              <w:left w:val="nil"/>
              <w:bottom w:val="nil"/>
              <w:right w:val="nil"/>
            </w:tcBorders>
            <w:shd w:val="clear" w:color="auto" w:fill="E4F3F9"/>
          </w:tcPr>
          <w:p w14:paraId="7418B836"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7.4</w:t>
            </w:r>
          </w:p>
        </w:tc>
        <w:tc>
          <w:tcPr>
            <w:tcW w:w="442" w:type="pct"/>
            <w:tcBorders>
              <w:top w:val="nil"/>
              <w:left w:val="nil"/>
              <w:bottom w:val="nil"/>
              <w:right w:val="nil"/>
            </w:tcBorders>
            <w:shd w:val="clear" w:color="auto" w:fill="E4F3F9"/>
          </w:tcPr>
          <w:p w14:paraId="7418B837"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13.6</w:t>
            </w:r>
          </w:p>
        </w:tc>
        <w:tc>
          <w:tcPr>
            <w:tcW w:w="523" w:type="pct"/>
            <w:tcBorders>
              <w:top w:val="nil"/>
              <w:left w:val="nil"/>
              <w:bottom w:val="nil"/>
              <w:right w:val="nil"/>
            </w:tcBorders>
            <w:shd w:val="clear" w:color="auto" w:fill="E4F3F9"/>
          </w:tcPr>
          <w:p w14:paraId="7418B838"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84</w:t>
            </w:r>
          </w:p>
        </w:tc>
        <w:tc>
          <w:tcPr>
            <w:tcW w:w="470" w:type="pct"/>
            <w:tcBorders>
              <w:top w:val="nil"/>
              <w:left w:val="nil"/>
              <w:bottom w:val="nil"/>
              <w:right w:val="nil"/>
            </w:tcBorders>
            <w:shd w:val="clear" w:color="auto" w:fill="E4F3F9"/>
          </w:tcPr>
          <w:p w14:paraId="7418B839"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31st of 34</w:t>
            </w:r>
          </w:p>
        </w:tc>
        <w:tc>
          <w:tcPr>
            <w:tcW w:w="470" w:type="pct"/>
            <w:gridSpan w:val="2"/>
            <w:tcBorders>
              <w:top w:val="nil"/>
              <w:left w:val="nil"/>
              <w:bottom w:val="nil"/>
              <w:right w:val="nil"/>
            </w:tcBorders>
            <w:shd w:val="clear" w:color="auto" w:fill="E4F3F9"/>
          </w:tcPr>
          <w:p w14:paraId="7418B83A"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2013</w:t>
            </w:r>
          </w:p>
        </w:tc>
      </w:tr>
      <w:tr w:rsidR="00D471AD" w:rsidRPr="007D285C" w14:paraId="7418B84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83C"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Percentage of innovation-active SME firms, %</w:t>
            </w:r>
            <w:r w:rsidRPr="00507B05">
              <w:rPr>
                <w:rFonts w:ascii="Arial Unicode MS" w:eastAsia="Arial Unicode MS" w:hAnsi="Arial Unicode MS" w:cs="Arial Unicode MS"/>
                <w:color w:val="4472C4" w:themeColor="accent5"/>
                <w:sz w:val="14"/>
                <w:szCs w:val="14"/>
              </w:rPr>
              <w:t>⁴ ²⁸</w:t>
            </w:r>
          </w:p>
        </w:tc>
        <w:tc>
          <w:tcPr>
            <w:tcW w:w="532" w:type="pct"/>
            <w:gridSpan w:val="2"/>
            <w:tcBorders>
              <w:top w:val="nil"/>
              <w:left w:val="nil"/>
              <w:bottom w:val="nil"/>
              <w:right w:val="nil"/>
            </w:tcBorders>
            <w:shd w:val="clear" w:color="auto" w:fill="D5ECF5"/>
          </w:tcPr>
          <w:p w14:paraId="7418B83D"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62.2</w:t>
            </w:r>
          </w:p>
        </w:tc>
        <w:tc>
          <w:tcPr>
            <w:tcW w:w="579" w:type="pct"/>
            <w:tcBorders>
              <w:top w:val="nil"/>
              <w:left w:val="nil"/>
              <w:bottom w:val="nil"/>
              <w:right w:val="nil"/>
            </w:tcBorders>
            <w:shd w:val="clear" w:color="auto" w:fill="D5ECF5"/>
          </w:tcPr>
          <w:p w14:paraId="7418B83E"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48.1</w:t>
            </w:r>
          </w:p>
        </w:tc>
        <w:tc>
          <w:tcPr>
            <w:tcW w:w="442" w:type="pct"/>
            <w:tcBorders>
              <w:top w:val="nil"/>
              <w:left w:val="nil"/>
              <w:bottom w:val="nil"/>
              <w:right w:val="nil"/>
            </w:tcBorders>
            <w:shd w:val="clear" w:color="auto" w:fill="D5ECF5"/>
          </w:tcPr>
          <w:p w14:paraId="7418B83F"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67.4</w:t>
            </w:r>
          </w:p>
        </w:tc>
        <w:tc>
          <w:tcPr>
            <w:tcW w:w="523" w:type="pct"/>
            <w:tcBorders>
              <w:top w:val="nil"/>
              <w:left w:val="nil"/>
              <w:bottom w:val="nil"/>
              <w:right w:val="nil"/>
            </w:tcBorders>
            <w:shd w:val="clear" w:color="auto" w:fill="D5ECF5"/>
          </w:tcPr>
          <w:p w14:paraId="7418B840"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8</w:t>
            </w:r>
          </w:p>
        </w:tc>
        <w:tc>
          <w:tcPr>
            <w:tcW w:w="470" w:type="pct"/>
            <w:tcBorders>
              <w:top w:val="nil"/>
              <w:left w:val="nil"/>
              <w:bottom w:val="nil"/>
              <w:right w:val="nil"/>
            </w:tcBorders>
            <w:shd w:val="clear" w:color="auto" w:fill="D5ECF5"/>
          </w:tcPr>
          <w:p w14:paraId="7418B841"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5th of 31</w:t>
            </w:r>
          </w:p>
        </w:tc>
        <w:tc>
          <w:tcPr>
            <w:tcW w:w="470" w:type="pct"/>
            <w:gridSpan w:val="2"/>
            <w:tcBorders>
              <w:top w:val="nil"/>
              <w:left w:val="nil"/>
              <w:bottom w:val="nil"/>
              <w:right w:val="nil"/>
            </w:tcBorders>
            <w:shd w:val="clear" w:color="auto" w:fill="D5ECF5"/>
          </w:tcPr>
          <w:p w14:paraId="7418B842"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2011</w:t>
            </w:r>
          </w:p>
        </w:tc>
      </w:tr>
      <w:tr w:rsidR="00D471AD" w:rsidRPr="007D285C" w14:paraId="7418B84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844"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 xml:space="preserve">Percentage of innovation-active large firms, </w:t>
            </w:r>
            <w:r w:rsidRPr="00507B05">
              <w:rPr>
                <w:rFonts w:ascii="Arial" w:eastAsia="Arial" w:hAnsi="Arial" w:cs="Arial"/>
                <w:color w:val="4472C4" w:themeColor="accent5"/>
                <w:sz w:val="14"/>
                <w:szCs w:val="14"/>
              </w:rPr>
              <w:t>%</w:t>
            </w:r>
            <w:r w:rsidRPr="00507B05">
              <w:rPr>
                <w:rFonts w:ascii="Arial Unicode MS" w:eastAsia="Arial Unicode MS" w:hAnsi="Arial Unicode MS" w:cs="Arial Unicode MS"/>
                <w:color w:val="4472C4" w:themeColor="accent5"/>
                <w:sz w:val="14"/>
                <w:szCs w:val="14"/>
              </w:rPr>
              <w:t>² ³ ⁴ ⁵ ⁶ ²⁹</w:t>
            </w:r>
          </w:p>
        </w:tc>
        <w:tc>
          <w:tcPr>
            <w:tcW w:w="532" w:type="pct"/>
            <w:gridSpan w:val="2"/>
            <w:tcBorders>
              <w:top w:val="nil"/>
              <w:left w:val="nil"/>
              <w:bottom w:val="nil"/>
              <w:right w:val="nil"/>
            </w:tcBorders>
            <w:shd w:val="clear" w:color="auto" w:fill="E4F3F9"/>
          </w:tcPr>
          <w:p w14:paraId="7418B845"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77.9</w:t>
            </w:r>
          </w:p>
        </w:tc>
        <w:tc>
          <w:tcPr>
            <w:tcW w:w="579" w:type="pct"/>
            <w:tcBorders>
              <w:top w:val="nil"/>
              <w:left w:val="nil"/>
              <w:bottom w:val="nil"/>
              <w:right w:val="nil"/>
            </w:tcBorders>
            <w:shd w:val="clear" w:color="auto" w:fill="E4F3F9"/>
          </w:tcPr>
          <w:p w14:paraId="7418B846"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75</w:t>
            </w:r>
          </w:p>
        </w:tc>
        <w:tc>
          <w:tcPr>
            <w:tcW w:w="442" w:type="pct"/>
            <w:tcBorders>
              <w:top w:val="nil"/>
              <w:left w:val="nil"/>
              <w:bottom w:val="nil"/>
              <w:right w:val="nil"/>
            </w:tcBorders>
            <w:shd w:val="clear" w:color="auto" w:fill="E4F3F9"/>
          </w:tcPr>
          <w:p w14:paraId="7418B847"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55.8</w:t>
            </w:r>
          </w:p>
        </w:tc>
        <w:tc>
          <w:tcPr>
            <w:tcW w:w="523" w:type="pct"/>
            <w:tcBorders>
              <w:top w:val="nil"/>
              <w:left w:val="nil"/>
              <w:bottom w:val="nil"/>
              <w:right w:val="nil"/>
            </w:tcBorders>
            <w:shd w:val="clear" w:color="auto" w:fill="E4F3F9"/>
          </w:tcPr>
          <w:p w14:paraId="7418B848"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40</w:t>
            </w:r>
          </w:p>
        </w:tc>
        <w:tc>
          <w:tcPr>
            <w:tcW w:w="470" w:type="pct"/>
            <w:tcBorders>
              <w:top w:val="nil"/>
              <w:left w:val="nil"/>
              <w:bottom w:val="nil"/>
              <w:right w:val="nil"/>
            </w:tcBorders>
            <w:shd w:val="clear" w:color="auto" w:fill="E4F3F9"/>
          </w:tcPr>
          <w:p w14:paraId="7418B849"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14th of 31</w:t>
            </w:r>
          </w:p>
        </w:tc>
        <w:tc>
          <w:tcPr>
            <w:tcW w:w="470" w:type="pct"/>
            <w:gridSpan w:val="2"/>
            <w:tcBorders>
              <w:top w:val="nil"/>
              <w:left w:val="nil"/>
              <w:bottom w:val="nil"/>
              <w:right w:val="nil"/>
            </w:tcBorders>
            <w:shd w:val="clear" w:color="auto" w:fill="E4F3F9"/>
          </w:tcPr>
          <w:p w14:paraId="7418B84A"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2011</w:t>
            </w:r>
          </w:p>
        </w:tc>
      </w:tr>
      <w:tr w:rsidR="00D471AD" w:rsidRPr="007D285C" w14:paraId="7418B85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84C"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Rate of high-growth enterprises in the construction sector, measured by employment growth (%)</w:t>
            </w:r>
            <w:r w:rsidRPr="00507B05">
              <w:rPr>
                <w:rFonts w:ascii="Arial Unicode MS" w:eastAsia="Arial Unicode MS" w:hAnsi="Arial Unicode MS" w:cs="Arial Unicode MS"/>
                <w:color w:val="4472C4" w:themeColor="accent5"/>
                <w:sz w:val="14"/>
                <w:szCs w:val="14"/>
              </w:rPr>
              <w:t>⁵ ¹⁷ ³²</w:t>
            </w:r>
          </w:p>
        </w:tc>
        <w:tc>
          <w:tcPr>
            <w:tcW w:w="532" w:type="pct"/>
            <w:gridSpan w:val="2"/>
            <w:tcBorders>
              <w:top w:val="nil"/>
              <w:left w:val="nil"/>
              <w:bottom w:val="nil"/>
              <w:right w:val="nil"/>
            </w:tcBorders>
            <w:shd w:val="clear" w:color="auto" w:fill="D5ECF5"/>
          </w:tcPr>
          <w:p w14:paraId="7418B84D"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3.6</w:t>
            </w:r>
          </w:p>
        </w:tc>
        <w:tc>
          <w:tcPr>
            <w:tcW w:w="579" w:type="pct"/>
            <w:tcBorders>
              <w:top w:val="nil"/>
              <w:left w:val="nil"/>
              <w:bottom w:val="nil"/>
              <w:right w:val="nil"/>
            </w:tcBorders>
            <w:shd w:val="clear" w:color="auto" w:fill="D5ECF5"/>
          </w:tcPr>
          <w:p w14:paraId="7418B84E"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4.0</w:t>
            </w:r>
          </w:p>
        </w:tc>
        <w:tc>
          <w:tcPr>
            <w:tcW w:w="442" w:type="pct"/>
            <w:tcBorders>
              <w:top w:val="nil"/>
              <w:left w:val="nil"/>
              <w:bottom w:val="nil"/>
              <w:right w:val="nil"/>
            </w:tcBorders>
            <w:shd w:val="clear" w:color="auto" w:fill="D5ECF5"/>
          </w:tcPr>
          <w:p w14:paraId="7418B84F"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7.9</w:t>
            </w:r>
          </w:p>
        </w:tc>
        <w:tc>
          <w:tcPr>
            <w:tcW w:w="523" w:type="pct"/>
            <w:tcBorders>
              <w:top w:val="nil"/>
              <w:left w:val="nil"/>
              <w:bottom w:val="nil"/>
              <w:right w:val="nil"/>
            </w:tcBorders>
            <w:shd w:val="clear" w:color="auto" w:fill="D5ECF5"/>
          </w:tcPr>
          <w:p w14:paraId="7418B850"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55</w:t>
            </w:r>
          </w:p>
        </w:tc>
        <w:tc>
          <w:tcPr>
            <w:tcW w:w="470" w:type="pct"/>
            <w:tcBorders>
              <w:top w:val="nil"/>
              <w:left w:val="nil"/>
              <w:bottom w:val="nil"/>
              <w:right w:val="nil"/>
            </w:tcBorders>
            <w:shd w:val="clear" w:color="auto" w:fill="D5ECF5"/>
          </w:tcPr>
          <w:p w14:paraId="7418B851"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8th of 19</w:t>
            </w:r>
          </w:p>
        </w:tc>
        <w:tc>
          <w:tcPr>
            <w:tcW w:w="470" w:type="pct"/>
            <w:gridSpan w:val="2"/>
            <w:tcBorders>
              <w:top w:val="nil"/>
              <w:left w:val="nil"/>
              <w:bottom w:val="nil"/>
              <w:right w:val="nil"/>
            </w:tcBorders>
            <w:shd w:val="clear" w:color="auto" w:fill="D5ECF5"/>
          </w:tcPr>
          <w:p w14:paraId="7418B852"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2012</w:t>
            </w:r>
          </w:p>
        </w:tc>
      </w:tr>
      <w:tr w:rsidR="00D471AD" w:rsidRPr="007D285C" w14:paraId="7418B85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854"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 xml:space="preserve">Rate of high-growth enterprises in the industry sector, measured by employment </w:t>
            </w:r>
            <w:r>
              <w:rPr>
                <w:rFonts w:ascii="Arial" w:eastAsia="Arial" w:hAnsi="Arial" w:cs="Arial"/>
                <w:color w:val="4472C4" w:themeColor="accent5"/>
                <w:sz w:val="14"/>
                <w:szCs w:val="14"/>
              </w:rPr>
              <w:br/>
            </w:r>
            <w:r w:rsidRPr="00507B05">
              <w:rPr>
                <w:rFonts w:ascii="Arial" w:eastAsia="Arial" w:hAnsi="Arial" w:cs="Arial" w:hint="eastAsia"/>
                <w:color w:val="4472C4" w:themeColor="accent5"/>
                <w:sz w:val="14"/>
                <w:szCs w:val="14"/>
              </w:rPr>
              <w:t>growth (%)</w:t>
            </w:r>
            <w:r w:rsidRPr="00507B05">
              <w:rPr>
                <w:rFonts w:ascii="Arial Unicode MS" w:eastAsia="Arial Unicode MS" w:hAnsi="Arial Unicode MS" w:cs="Arial Unicode MS"/>
                <w:color w:val="4472C4" w:themeColor="accent5"/>
                <w:sz w:val="14"/>
                <w:szCs w:val="14"/>
              </w:rPr>
              <w:t>⁵ ¹⁷ ³²</w:t>
            </w:r>
          </w:p>
        </w:tc>
        <w:tc>
          <w:tcPr>
            <w:tcW w:w="532" w:type="pct"/>
            <w:gridSpan w:val="2"/>
            <w:tcBorders>
              <w:top w:val="nil"/>
              <w:left w:val="nil"/>
              <w:bottom w:val="nil"/>
              <w:right w:val="nil"/>
            </w:tcBorders>
            <w:shd w:val="clear" w:color="auto" w:fill="E4F3F9"/>
          </w:tcPr>
          <w:p w14:paraId="7418B855"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1.0</w:t>
            </w:r>
          </w:p>
        </w:tc>
        <w:tc>
          <w:tcPr>
            <w:tcW w:w="579" w:type="pct"/>
            <w:tcBorders>
              <w:top w:val="nil"/>
              <w:left w:val="nil"/>
              <w:bottom w:val="nil"/>
              <w:right w:val="nil"/>
            </w:tcBorders>
            <w:shd w:val="clear" w:color="auto" w:fill="E4F3F9"/>
          </w:tcPr>
          <w:p w14:paraId="7418B856"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3.9</w:t>
            </w:r>
          </w:p>
        </w:tc>
        <w:tc>
          <w:tcPr>
            <w:tcW w:w="442" w:type="pct"/>
            <w:tcBorders>
              <w:top w:val="nil"/>
              <w:left w:val="nil"/>
              <w:bottom w:val="nil"/>
              <w:right w:val="nil"/>
            </w:tcBorders>
            <w:shd w:val="clear" w:color="auto" w:fill="E4F3F9"/>
          </w:tcPr>
          <w:p w14:paraId="7418B857"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6.8</w:t>
            </w:r>
          </w:p>
        </w:tc>
        <w:tc>
          <w:tcPr>
            <w:tcW w:w="523" w:type="pct"/>
            <w:tcBorders>
              <w:top w:val="nil"/>
              <w:left w:val="nil"/>
              <w:bottom w:val="nil"/>
              <w:right w:val="nil"/>
            </w:tcBorders>
            <w:shd w:val="clear" w:color="auto" w:fill="E4F3F9"/>
          </w:tcPr>
          <w:p w14:paraId="7418B858"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85</w:t>
            </w:r>
          </w:p>
        </w:tc>
        <w:tc>
          <w:tcPr>
            <w:tcW w:w="470" w:type="pct"/>
            <w:tcBorders>
              <w:top w:val="nil"/>
              <w:left w:val="nil"/>
              <w:bottom w:val="nil"/>
              <w:right w:val="nil"/>
            </w:tcBorders>
            <w:shd w:val="clear" w:color="auto" w:fill="E4F3F9"/>
          </w:tcPr>
          <w:p w14:paraId="7418B859"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19th of 19</w:t>
            </w:r>
          </w:p>
        </w:tc>
        <w:tc>
          <w:tcPr>
            <w:tcW w:w="470" w:type="pct"/>
            <w:gridSpan w:val="2"/>
            <w:tcBorders>
              <w:top w:val="nil"/>
              <w:left w:val="nil"/>
              <w:bottom w:val="nil"/>
              <w:right w:val="nil"/>
            </w:tcBorders>
            <w:shd w:val="clear" w:color="auto" w:fill="E4F3F9"/>
          </w:tcPr>
          <w:p w14:paraId="7418B85A"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2012</w:t>
            </w:r>
          </w:p>
        </w:tc>
      </w:tr>
      <w:tr w:rsidR="00D471AD" w:rsidRPr="007D285C" w14:paraId="7418B86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85C"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Rate of high-growth enterprises in the services sector, measured by employment growth (%)</w:t>
            </w:r>
            <w:r w:rsidRPr="00507B05">
              <w:rPr>
                <w:rFonts w:ascii="Arial Unicode MS" w:eastAsia="Arial Unicode MS" w:hAnsi="Arial Unicode MS" w:cs="Arial Unicode MS"/>
                <w:color w:val="4472C4" w:themeColor="accent5"/>
                <w:sz w:val="14"/>
                <w:szCs w:val="14"/>
              </w:rPr>
              <w:t>⁵ ¹⁷ ³²</w:t>
            </w:r>
          </w:p>
        </w:tc>
        <w:tc>
          <w:tcPr>
            <w:tcW w:w="532" w:type="pct"/>
            <w:gridSpan w:val="2"/>
            <w:tcBorders>
              <w:top w:val="nil"/>
              <w:left w:val="nil"/>
              <w:bottom w:val="nil"/>
              <w:right w:val="nil"/>
            </w:tcBorders>
            <w:shd w:val="clear" w:color="auto" w:fill="D5ECF5"/>
          </w:tcPr>
          <w:p w14:paraId="7418B85D"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1.0</w:t>
            </w:r>
          </w:p>
        </w:tc>
        <w:tc>
          <w:tcPr>
            <w:tcW w:w="579" w:type="pct"/>
            <w:tcBorders>
              <w:top w:val="nil"/>
              <w:left w:val="nil"/>
              <w:bottom w:val="nil"/>
              <w:right w:val="nil"/>
            </w:tcBorders>
            <w:shd w:val="clear" w:color="auto" w:fill="D5ECF5"/>
          </w:tcPr>
          <w:p w14:paraId="7418B85E"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4.4</w:t>
            </w:r>
          </w:p>
        </w:tc>
        <w:tc>
          <w:tcPr>
            <w:tcW w:w="442" w:type="pct"/>
            <w:tcBorders>
              <w:top w:val="nil"/>
              <w:left w:val="nil"/>
              <w:bottom w:val="nil"/>
              <w:right w:val="nil"/>
            </w:tcBorders>
            <w:shd w:val="clear" w:color="auto" w:fill="D5ECF5"/>
          </w:tcPr>
          <w:p w14:paraId="7418B85F"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8.0</w:t>
            </w:r>
          </w:p>
        </w:tc>
        <w:tc>
          <w:tcPr>
            <w:tcW w:w="523" w:type="pct"/>
            <w:tcBorders>
              <w:top w:val="nil"/>
              <w:left w:val="nil"/>
              <w:bottom w:val="nil"/>
              <w:right w:val="nil"/>
            </w:tcBorders>
            <w:shd w:val="clear" w:color="auto" w:fill="D5ECF5"/>
          </w:tcPr>
          <w:p w14:paraId="7418B860"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87</w:t>
            </w:r>
          </w:p>
        </w:tc>
        <w:tc>
          <w:tcPr>
            <w:tcW w:w="470" w:type="pct"/>
            <w:tcBorders>
              <w:top w:val="nil"/>
              <w:left w:val="nil"/>
              <w:bottom w:val="nil"/>
              <w:right w:val="nil"/>
            </w:tcBorders>
            <w:shd w:val="clear" w:color="auto" w:fill="D5ECF5"/>
          </w:tcPr>
          <w:p w14:paraId="7418B861"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18th of 18</w:t>
            </w:r>
          </w:p>
        </w:tc>
        <w:tc>
          <w:tcPr>
            <w:tcW w:w="470" w:type="pct"/>
            <w:gridSpan w:val="2"/>
            <w:tcBorders>
              <w:top w:val="nil"/>
              <w:left w:val="nil"/>
              <w:bottom w:val="nil"/>
              <w:right w:val="nil"/>
            </w:tcBorders>
            <w:shd w:val="clear" w:color="auto" w:fill="D5ECF5"/>
          </w:tcPr>
          <w:p w14:paraId="7418B862"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2012</w:t>
            </w:r>
          </w:p>
        </w:tc>
      </w:tr>
      <w:tr w:rsidR="00D471AD" w:rsidRPr="007D285C" w14:paraId="7418B86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864"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 xml:space="preserve">Rate of high-growth enterprises in the construction sector, measured by turnover </w:t>
            </w:r>
            <w:r>
              <w:rPr>
                <w:rFonts w:ascii="Arial" w:eastAsia="Arial" w:hAnsi="Arial" w:cs="Arial"/>
                <w:color w:val="4472C4" w:themeColor="accent5"/>
                <w:sz w:val="14"/>
                <w:szCs w:val="14"/>
              </w:rPr>
              <w:br/>
            </w:r>
            <w:r w:rsidRPr="00507B05">
              <w:rPr>
                <w:rFonts w:ascii="Arial" w:eastAsia="Arial" w:hAnsi="Arial" w:cs="Arial" w:hint="eastAsia"/>
                <w:color w:val="4472C4" w:themeColor="accent5"/>
                <w:sz w:val="14"/>
                <w:szCs w:val="14"/>
              </w:rPr>
              <w:t>growth (%)</w:t>
            </w:r>
            <w:r w:rsidRPr="00507B05">
              <w:rPr>
                <w:rFonts w:ascii="Arial Unicode MS" w:eastAsia="Arial Unicode MS" w:hAnsi="Arial Unicode MS" w:cs="Arial Unicode MS"/>
                <w:color w:val="4472C4" w:themeColor="accent5"/>
                <w:sz w:val="14"/>
                <w:szCs w:val="14"/>
              </w:rPr>
              <w:t>⁵ ¹⁷ ³³</w:t>
            </w:r>
          </w:p>
        </w:tc>
        <w:tc>
          <w:tcPr>
            <w:tcW w:w="532" w:type="pct"/>
            <w:gridSpan w:val="2"/>
            <w:tcBorders>
              <w:top w:val="nil"/>
              <w:left w:val="nil"/>
              <w:bottom w:val="nil"/>
              <w:right w:val="nil"/>
            </w:tcBorders>
            <w:shd w:val="clear" w:color="auto" w:fill="E4F3F9"/>
          </w:tcPr>
          <w:p w14:paraId="7418B865"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6.0</w:t>
            </w:r>
          </w:p>
        </w:tc>
        <w:tc>
          <w:tcPr>
            <w:tcW w:w="579" w:type="pct"/>
            <w:tcBorders>
              <w:top w:val="nil"/>
              <w:left w:val="nil"/>
              <w:bottom w:val="nil"/>
              <w:right w:val="nil"/>
            </w:tcBorders>
            <w:shd w:val="clear" w:color="auto" w:fill="E4F3F9"/>
          </w:tcPr>
          <w:p w14:paraId="7418B866"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10.6</w:t>
            </w:r>
          </w:p>
        </w:tc>
        <w:tc>
          <w:tcPr>
            <w:tcW w:w="442" w:type="pct"/>
            <w:tcBorders>
              <w:top w:val="nil"/>
              <w:left w:val="nil"/>
              <w:bottom w:val="nil"/>
              <w:right w:val="nil"/>
            </w:tcBorders>
            <w:shd w:val="clear" w:color="auto" w:fill="E4F3F9"/>
          </w:tcPr>
          <w:p w14:paraId="7418B867"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19.6</w:t>
            </w:r>
          </w:p>
        </w:tc>
        <w:tc>
          <w:tcPr>
            <w:tcW w:w="523" w:type="pct"/>
            <w:tcBorders>
              <w:top w:val="nil"/>
              <w:left w:val="nil"/>
              <w:bottom w:val="nil"/>
              <w:right w:val="nil"/>
            </w:tcBorders>
            <w:shd w:val="clear" w:color="auto" w:fill="E4F3F9"/>
          </w:tcPr>
          <w:p w14:paraId="7418B868"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69</w:t>
            </w:r>
          </w:p>
        </w:tc>
        <w:tc>
          <w:tcPr>
            <w:tcW w:w="470" w:type="pct"/>
            <w:tcBorders>
              <w:top w:val="nil"/>
              <w:left w:val="nil"/>
              <w:bottom w:val="nil"/>
              <w:right w:val="nil"/>
            </w:tcBorders>
            <w:shd w:val="clear" w:color="auto" w:fill="E4F3F9"/>
          </w:tcPr>
          <w:p w14:paraId="7418B869"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12th of 15</w:t>
            </w:r>
          </w:p>
        </w:tc>
        <w:tc>
          <w:tcPr>
            <w:tcW w:w="470" w:type="pct"/>
            <w:gridSpan w:val="2"/>
            <w:tcBorders>
              <w:top w:val="nil"/>
              <w:left w:val="nil"/>
              <w:bottom w:val="nil"/>
              <w:right w:val="nil"/>
            </w:tcBorders>
            <w:shd w:val="clear" w:color="auto" w:fill="E4F3F9"/>
          </w:tcPr>
          <w:p w14:paraId="7418B86A"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2012</w:t>
            </w:r>
          </w:p>
        </w:tc>
      </w:tr>
      <w:tr w:rsidR="00D471AD" w:rsidRPr="007D285C" w14:paraId="7418B87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86C"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 xml:space="preserve">Rate of high-growth enterprises in the industry sector, measured by turnover </w:t>
            </w:r>
            <w:r>
              <w:rPr>
                <w:rFonts w:ascii="Arial" w:eastAsia="Arial" w:hAnsi="Arial" w:cs="Arial"/>
                <w:color w:val="4472C4" w:themeColor="accent5"/>
                <w:sz w:val="14"/>
                <w:szCs w:val="14"/>
              </w:rPr>
              <w:br/>
            </w:r>
            <w:r w:rsidRPr="00507B05">
              <w:rPr>
                <w:rFonts w:ascii="Arial" w:eastAsia="Arial" w:hAnsi="Arial" w:cs="Arial" w:hint="eastAsia"/>
                <w:color w:val="4472C4" w:themeColor="accent5"/>
                <w:sz w:val="14"/>
                <w:szCs w:val="14"/>
              </w:rPr>
              <w:t>growth (%)</w:t>
            </w:r>
            <w:r w:rsidRPr="00507B05">
              <w:rPr>
                <w:rFonts w:ascii="Arial Unicode MS" w:eastAsia="Arial Unicode MS" w:hAnsi="Arial Unicode MS" w:cs="Arial Unicode MS"/>
                <w:color w:val="4472C4" w:themeColor="accent5"/>
                <w:sz w:val="14"/>
                <w:szCs w:val="14"/>
              </w:rPr>
              <w:t>⁵ ¹⁷ ³³</w:t>
            </w:r>
          </w:p>
        </w:tc>
        <w:tc>
          <w:tcPr>
            <w:tcW w:w="532" w:type="pct"/>
            <w:gridSpan w:val="2"/>
            <w:tcBorders>
              <w:top w:val="nil"/>
              <w:left w:val="nil"/>
              <w:bottom w:val="nil"/>
              <w:right w:val="nil"/>
            </w:tcBorders>
            <w:shd w:val="clear" w:color="auto" w:fill="D5ECF5"/>
          </w:tcPr>
          <w:p w14:paraId="7418B86D"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1.6</w:t>
            </w:r>
          </w:p>
        </w:tc>
        <w:tc>
          <w:tcPr>
            <w:tcW w:w="579" w:type="pct"/>
            <w:tcBorders>
              <w:top w:val="nil"/>
              <w:left w:val="nil"/>
              <w:bottom w:val="nil"/>
              <w:right w:val="nil"/>
            </w:tcBorders>
            <w:shd w:val="clear" w:color="auto" w:fill="D5ECF5"/>
          </w:tcPr>
          <w:p w14:paraId="7418B86E"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10.2</w:t>
            </w:r>
          </w:p>
        </w:tc>
        <w:tc>
          <w:tcPr>
            <w:tcW w:w="442" w:type="pct"/>
            <w:tcBorders>
              <w:top w:val="nil"/>
              <w:left w:val="nil"/>
              <w:bottom w:val="nil"/>
              <w:right w:val="nil"/>
            </w:tcBorders>
            <w:shd w:val="clear" w:color="auto" w:fill="D5ECF5"/>
          </w:tcPr>
          <w:p w14:paraId="7418B86F"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18.3</w:t>
            </w:r>
          </w:p>
        </w:tc>
        <w:tc>
          <w:tcPr>
            <w:tcW w:w="523" w:type="pct"/>
            <w:tcBorders>
              <w:top w:val="nil"/>
              <w:left w:val="nil"/>
              <w:bottom w:val="nil"/>
              <w:right w:val="nil"/>
            </w:tcBorders>
            <w:shd w:val="clear" w:color="auto" w:fill="D5ECF5"/>
          </w:tcPr>
          <w:p w14:paraId="7418B870"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91</w:t>
            </w:r>
          </w:p>
        </w:tc>
        <w:tc>
          <w:tcPr>
            <w:tcW w:w="470" w:type="pct"/>
            <w:tcBorders>
              <w:top w:val="nil"/>
              <w:left w:val="nil"/>
              <w:bottom w:val="nil"/>
              <w:right w:val="nil"/>
            </w:tcBorders>
            <w:shd w:val="clear" w:color="auto" w:fill="D5ECF5"/>
          </w:tcPr>
          <w:p w14:paraId="7418B871"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15th of 15</w:t>
            </w:r>
          </w:p>
        </w:tc>
        <w:tc>
          <w:tcPr>
            <w:tcW w:w="470" w:type="pct"/>
            <w:gridSpan w:val="2"/>
            <w:tcBorders>
              <w:top w:val="nil"/>
              <w:left w:val="nil"/>
              <w:bottom w:val="nil"/>
              <w:right w:val="nil"/>
            </w:tcBorders>
            <w:shd w:val="clear" w:color="auto" w:fill="D5ECF5"/>
          </w:tcPr>
          <w:p w14:paraId="7418B872"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2012</w:t>
            </w:r>
          </w:p>
        </w:tc>
      </w:tr>
      <w:tr w:rsidR="00D471AD" w:rsidRPr="007D285C" w14:paraId="7418B87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874"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 xml:space="preserve">Rate of high-growth enterprises in the services sector, measured by turnover </w:t>
            </w:r>
            <w:r>
              <w:rPr>
                <w:rFonts w:ascii="Arial" w:eastAsia="Arial" w:hAnsi="Arial" w:cs="Arial"/>
                <w:color w:val="4472C4" w:themeColor="accent5"/>
                <w:sz w:val="14"/>
                <w:szCs w:val="14"/>
              </w:rPr>
              <w:br/>
            </w:r>
            <w:r w:rsidRPr="00507B05">
              <w:rPr>
                <w:rFonts w:ascii="Arial" w:eastAsia="Arial" w:hAnsi="Arial" w:cs="Arial" w:hint="eastAsia"/>
                <w:color w:val="4472C4" w:themeColor="accent5"/>
                <w:sz w:val="14"/>
                <w:szCs w:val="14"/>
              </w:rPr>
              <w:t>growth (%)</w:t>
            </w:r>
            <w:r w:rsidRPr="00507B05">
              <w:rPr>
                <w:rFonts w:ascii="Arial Unicode MS" w:eastAsia="Arial Unicode MS" w:hAnsi="Arial Unicode MS" w:cs="Arial Unicode MS"/>
                <w:color w:val="4472C4" w:themeColor="accent5"/>
                <w:sz w:val="14"/>
                <w:szCs w:val="14"/>
              </w:rPr>
              <w:t>⁵ ¹⁷ ³³</w:t>
            </w:r>
          </w:p>
        </w:tc>
        <w:tc>
          <w:tcPr>
            <w:tcW w:w="532" w:type="pct"/>
            <w:gridSpan w:val="2"/>
            <w:tcBorders>
              <w:top w:val="nil"/>
              <w:left w:val="nil"/>
              <w:bottom w:val="nil"/>
              <w:right w:val="nil"/>
            </w:tcBorders>
            <w:shd w:val="clear" w:color="auto" w:fill="E4F3F9"/>
          </w:tcPr>
          <w:p w14:paraId="7418B875"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1.7</w:t>
            </w:r>
          </w:p>
        </w:tc>
        <w:tc>
          <w:tcPr>
            <w:tcW w:w="579" w:type="pct"/>
            <w:tcBorders>
              <w:top w:val="nil"/>
              <w:left w:val="nil"/>
              <w:bottom w:val="nil"/>
              <w:right w:val="nil"/>
            </w:tcBorders>
            <w:shd w:val="clear" w:color="auto" w:fill="E4F3F9"/>
          </w:tcPr>
          <w:p w14:paraId="7418B876"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8.7</w:t>
            </w:r>
          </w:p>
        </w:tc>
        <w:tc>
          <w:tcPr>
            <w:tcW w:w="442" w:type="pct"/>
            <w:tcBorders>
              <w:top w:val="nil"/>
              <w:left w:val="nil"/>
              <w:bottom w:val="nil"/>
              <w:right w:val="nil"/>
            </w:tcBorders>
            <w:shd w:val="clear" w:color="auto" w:fill="E4F3F9"/>
          </w:tcPr>
          <w:p w14:paraId="7418B877"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15.1</w:t>
            </w:r>
          </w:p>
        </w:tc>
        <w:tc>
          <w:tcPr>
            <w:tcW w:w="523" w:type="pct"/>
            <w:tcBorders>
              <w:top w:val="nil"/>
              <w:left w:val="nil"/>
              <w:bottom w:val="nil"/>
              <w:right w:val="nil"/>
            </w:tcBorders>
            <w:shd w:val="clear" w:color="auto" w:fill="E4F3F9"/>
          </w:tcPr>
          <w:p w14:paraId="7418B878"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89</w:t>
            </w:r>
          </w:p>
        </w:tc>
        <w:tc>
          <w:tcPr>
            <w:tcW w:w="470" w:type="pct"/>
            <w:tcBorders>
              <w:top w:val="nil"/>
              <w:left w:val="nil"/>
              <w:bottom w:val="nil"/>
              <w:right w:val="nil"/>
            </w:tcBorders>
            <w:shd w:val="clear" w:color="auto" w:fill="E4F3F9"/>
          </w:tcPr>
          <w:p w14:paraId="7418B879"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15th of 15</w:t>
            </w:r>
          </w:p>
        </w:tc>
        <w:tc>
          <w:tcPr>
            <w:tcW w:w="470" w:type="pct"/>
            <w:gridSpan w:val="2"/>
            <w:tcBorders>
              <w:top w:val="nil"/>
              <w:left w:val="nil"/>
              <w:bottom w:val="nil"/>
              <w:right w:val="nil"/>
            </w:tcBorders>
            <w:shd w:val="clear" w:color="auto" w:fill="E4F3F9"/>
          </w:tcPr>
          <w:p w14:paraId="7418B87A"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2012</w:t>
            </w:r>
          </w:p>
        </w:tc>
      </w:tr>
      <w:tr w:rsidR="00D471AD" w:rsidRPr="007D285C" w14:paraId="7418B88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87C"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Employer Enterprise Birth Rate, %</w:t>
            </w:r>
            <w:r w:rsidRPr="00507B05">
              <w:rPr>
                <w:rFonts w:ascii="Arial Unicode MS" w:eastAsia="Arial Unicode MS" w:hAnsi="Arial Unicode MS" w:cs="Arial Unicode MS"/>
                <w:color w:val="4472C4" w:themeColor="accent5"/>
                <w:sz w:val="14"/>
                <w:szCs w:val="14"/>
              </w:rPr>
              <w:t>¹⁸ ¹⁹ ²⁰</w:t>
            </w:r>
          </w:p>
        </w:tc>
        <w:tc>
          <w:tcPr>
            <w:tcW w:w="532" w:type="pct"/>
            <w:gridSpan w:val="2"/>
            <w:tcBorders>
              <w:top w:val="nil"/>
              <w:left w:val="nil"/>
              <w:bottom w:val="nil"/>
              <w:right w:val="nil"/>
            </w:tcBorders>
            <w:shd w:val="clear" w:color="auto" w:fill="D5ECF5"/>
          </w:tcPr>
          <w:p w14:paraId="7418B87D"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9.3</w:t>
            </w:r>
          </w:p>
        </w:tc>
        <w:tc>
          <w:tcPr>
            <w:tcW w:w="579" w:type="pct"/>
            <w:tcBorders>
              <w:top w:val="nil"/>
              <w:left w:val="nil"/>
              <w:bottom w:val="nil"/>
              <w:right w:val="nil"/>
            </w:tcBorders>
            <w:shd w:val="clear" w:color="auto" w:fill="D5ECF5"/>
          </w:tcPr>
          <w:p w14:paraId="7418B87E"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10.1</w:t>
            </w:r>
          </w:p>
        </w:tc>
        <w:tc>
          <w:tcPr>
            <w:tcW w:w="442" w:type="pct"/>
            <w:tcBorders>
              <w:top w:val="nil"/>
              <w:left w:val="nil"/>
              <w:bottom w:val="nil"/>
              <w:right w:val="nil"/>
            </w:tcBorders>
            <w:shd w:val="clear" w:color="auto" w:fill="D5ECF5"/>
          </w:tcPr>
          <w:p w14:paraId="7418B87F"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13.4</w:t>
            </w:r>
          </w:p>
        </w:tc>
        <w:tc>
          <w:tcPr>
            <w:tcW w:w="523" w:type="pct"/>
            <w:tcBorders>
              <w:top w:val="nil"/>
              <w:left w:val="nil"/>
              <w:bottom w:val="nil"/>
              <w:right w:val="nil"/>
            </w:tcBorders>
            <w:shd w:val="clear" w:color="auto" w:fill="D5ECF5"/>
          </w:tcPr>
          <w:p w14:paraId="7418B880"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31</w:t>
            </w:r>
          </w:p>
        </w:tc>
        <w:tc>
          <w:tcPr>
            <w:tcW w:w="470" w:type="pct"/>
            <w:tcBorders>
              <w:top w:val="nil"/>
              <w:left w:val="nil"/>
              <w:bottom w:val="nil"/>
              <w:right w:val="nil"/>
            </w:tcBorders>
            <w:shd w:val="clear" w:color="auto" w:fill="D5ECF5"/>
          </w:tcPr>
          <w:p w14:paraId="7418B881"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17th of 25</w:t>
            </w:r>
          </w:p>
        </w:tc>
        <w:tc>
          <w:tcPr>
            <w:tcW w:w="470" w:type="pct"/>
            <w:gridSpan w:val="2"/>
            <w:tcBorders>
              <w:top w:val="nil"/>
              <w:left w:val="nil"/>
              <w:bottom w:val="nil"/>
              <w:right w:val="nil"/>
            </w:tcBorders>
            <w:shd w:val="clear" w:color="auto" w:fill="D5ECF5"/>
          </w:tcPr>
          <w:p w14:paraId="7418B882"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2012</w:t>
            </w:r>
          </w:p>
        </w:tc>
      </w:tr>
      <w:tr w:rsidR="00D471AD" w:rsidRPr="007D285C" w14:paraId="7418B88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884"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Total early-stage entrepreneurship activity (TEA), %</w:t>
            </w:r>
            <w:r w:rsidRPr="00507B05">
              <w:rPr>
                <w:rFonts w:ascii="Arial Unicode MS" w:eastAsia="Arial Unicode MS" w:hAnsi="Arial Unicode MS" w:cs="Arial Unicode MS"/>
                <w:color w:val="4472C4" w:themeColor="accent5"/>
                <w:sz w:val="14"/>
                <w:szCs w:val="14"/>
              </w:rPr>
              <w:t>²¹ ²² ³⁴</w:t>
            </w:r>
          </w:p>
        </w:tc>
        <w:tc>
          <w:tcPr>
            <w:tcW w:w="532" w:type="pct"/>
            <w:gridSpan w:val="2"/>
            <w:tcBorders>
              <w:top w:val="nil"/>
              <w:left w:val="nil"/>
              <w:bottom w:val="nil"/>
              <w:right w:val="nil"/>
            </w:tcBorders>
            <w:shd w:val="clear" w:color="auto" w:fill="E4F3F9"/>
          </w:tcPr>
          <w:p w14:paraId="7418B885"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12.8</w:t>
            </w:r>
          </w:p>
        </w:tc>
        <w:tc>
          <w:tcPr>
            <w:tcW w:w="579" w:type="pct"/>
            <w:tcBorders>
              <w:top w:val="nil"/>
              <w:left w:val="nil"/>
              <w:bottom w:val="nil"/>
              <w:right w:val="nil"/>
            </w:tcBorders>
            <w:shd w:val="clear" w:color="auto" w:fill="E4F3F9"/>
          </w:tcPr>
          <w:p w14:paraId="7418B886"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9.8</w:t>
            </w:r>
          </w:p>
        </w:tc>
        <w:tc>
          <w:tcPr>
            <w:tcW w:w="442" w:type="pct"/>
            <w:tcBorders>
              <w:top w:val="nil"/>
              <w:left w:val="nil"/>
              <w:bottom w:val="nil"/>
              <w:right w:val="nil"/>
            </w:tcBorders>
            <w:shd w:val="clear" w:color="auto" w:fill="E4F3F9"/>
          </w:tcPr>
          <w:p w14:paraId="7418B887"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17.8</w:t>
            </w:r>
          </w:p>
        </w:tc>
        <w:tc>
          <w:tcPr>
            <w:tcW w:w="523" w:type="pct"/>
            <w:tcBorders>
              <w:top w:val="nil"/>
              <w:left w:val="nil"/>
              <w:bottom w:val="nil"/>
              <w:right w:val="nil"/>
            </w:tcBorders>
            <w:shd w:val="clear" w:color="auto" w:fill="E4F3F9"/>
          </w:tcPr>
          <w:p w14:paraId="7418B888"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28</w:t>
            </w:r>
          </w:p>
        </w:tc>
        <w:tc>
          <w:tcPr>
            <w:tcW w:w="470" w:type="pct"/>
            <w:tcBorders>
              <w:top w:val="nil"/>
              <w:left w:val="nil"/>
              <w:bottom w:val="nil"/>
              <w:right w:val="nil"/>
            </w:tcBorders>
            <w:shd w:val="clear" w:color="auto" w:fill="E4F3F9"/>
          </w:tcPr>
          <w:p w14:paraId="7418B889"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7th of 29</w:t>
            </w:r>
          </w:p>
        </w:tc>
        <w:tc>
          <w:tcPr>
            <w:tcW w:w="470" w:type="pct"/>
            <w:gridSpan w:val="2"/>
            <w:tcBorders>
              <w:top w:val="nil"/>
              <w:left w:val="nil"/>
              <w:bottom w:val="nil"/>
              <w:right w:val="nil"/>
            </w:tcBorders>
            <w:shd w:val="clear" w:color="auto" w:fill="E4F3F9"/>
          </w:tcPr>
          <w:p w14:paraId="7418B88A"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2015</w:t>
            </w:r>
          </w:p>
        </w:tc>
      </w:tr>
      <w:tr w:rsidR="00D471AD" w:rsidRPr="007D285C" w14:paraId="7418B89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88C"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Employer Enterprise Death Rate, %</w:t>
            </w:r>
            <w:r w:rsidRPr="00507B05">
              <w:rPr>
                <w:rFonts w:ascii="Arial Unicode MS" w:eastAsia="Arial Unicode MS" w:hAnsi="Arial Unicode MS" w:cs="Arial Unicode MS"/>
                <w:color w:val="4472C4" w:themeColor="accent5"/>
                <w:sz w:val="14"/>
                <w:szCs w:val="14"/>
              </w:rPr>
              <w:t>¹⁸ ¹⁹ ²⁰ ³⁵</w:t>
            </w:r>
          </w:p>
        </w:tc>
        <w:tc>
          <w:tcPr>
            <w:tcW w:w="532" w:type="pct"/>
            <w:gridSpan w:val="2"/>
            <w:tcBorders>
              <w:top w:val="nil"/>
              <w:left w:val="nil"/>
              <w:bottom w:val="nil"/>
              <w:right w:val="nil"/>
            </w:tcBorders>
            <w:shd w:val="clear" w:color="auto" w:fill="D5ECF5"/>
          </w:tcPr>
          <w:p w14:paraId="7418B88D"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9.4</w:t>
            </w:r>
          </w:p>
        </w:tc>
        <w:tc>
          <w:tcPr>
            <w:tcW w:w="579" w:type="pct"/>
            <w:tcBorders>
              <w:top w:val="nil"/>
              <w:left w:val="nil"/>
              <w:bottom w:val="nil"/>
              <w:right w:val="nil"/>
            </w:tcBorders>
            <w:shd w:val="clear" w:color="auto" w:fill="D5ECF5"/>
          </w:tcPr>
          <w:p w14:paraId="7418B88E"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10.4</w:t>
            </w:r>
          </w:p>
        </w:tc>
        <w:tc>
          <w:tcPr>
            <w:tcW w:w="442" w:type="pct"/>
            <w:tcBorders>
              <w:top w:val="nil"/>
              <w:left w:val="nil"/>
              <w:bottom w:val="nil"/>
              <w:right w:val="nil"/>
            </w:tcBorders>
            <w:shd w:val="clear" w:color="auto" w:fill="D5ECF5"/>
          </w:tcPr>
          <w:p w14:paraId="7418B88F"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17.3</w:t>
            </w:r>
          </w:p>
        </w:tc>
        <w:tc>
          <w:tcPr>
            <w:tcW w:w="523" w:type="pct"/>
            <w:tcBorders>
              <w:top w:val="nil"/>
              <w:left w:val="nil"/>
              <w:bottom w:val="nil"/>
              <w:right w:val="nil"/>
            </w:tcBorders>
            <w:shd w:val="clear" w:color="auto" w:fill="D5ECF5"/>
          </w:tcPr>
          <w:p w14:paraId="7418B890"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46</w:t>
            </w:r>
          </w:p>
        </w:tc>
        <w:tc>
          <w:tcPr>
            <w:tcW w:w="470" w:type="pct"/>
            <w:tcBorders>
              <w:top w:val="nil"/>
              <w:left w:val="nil"/>
              <w:bottom w:val="nil"/>
              <w:right w:val="nil"/>
            </w:tcBorders>
            <w:shd w:val="clear" w:color="auto" w:fill="D5ECF5"/>
          </w:tcPr>
          <w:p w14:paraId="7418B891"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15th of 24</w:t>
            </w:r>
          </w:p>
        </w:tc>
        <w:tc>
          <w:tcPr>
            <w:tcW w:w="470" w:type="pct"/>
            <w:gridSpan w:val="2"/>
            <w:tcBorders>
              <w:top w:val="nil"/>
              <w:left w:val="nil"/>
              <w:bottom w:val="nil"/>
              <w:right w:val="nil"/>
            </w:tcBorders>
            <w:shd w:val="clear" w:color="auto" w:fill="D5ECF5"/>
          </w:tcPr>
          <w:p w14:paraId="7418B892"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2012</w:t>
            </w:r>
          </w:p>
        </w:tc>
      </w:tr>
      <w:tr w:rsidR="00D471AD" w:rsidRPr="007D285C" w14:paraId="7418B89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894"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Churn Rate, %</w:t>
            </w:r>
            <w:r w:rsidRPr="00507B05">
              <w:rPr>
                <w:rFonts w:ascii="Arial Unicode MS" w:eastAsia="Arial Unicode MS" w:hAnsi="Arial Unicode MS" w:cs="Arial Unicode MS"/>
                <w:color w:val="4472C4" w:themeColor="accent5"/>
                <w:sz w:val="14"/>
                <w:szCs w:val="14"/>
              </w:rPr>
              <w:t>¹⁸ ¹⁹ ²⁰</w:t>
            </w:r>
          </w:p>
        </w:tc>
        <w:tc>
          <w:tcPr>
            <w:tcW w:w="532" w:type="pct"/>
            <w:gridSpan w:val="2"/>
            <w:tcBorders>
              <w:top w:val="nil"/>
              <w:left w:val="nil"/>
              <w:bottom w:val="nil"/>
              <w:right w:val="nil"/>
            </w:tcBorders>
            <w:shd w:val="clear" w:color="auto" w:fill="E4F3F9"/>
          </w:tcPr>
          <w:p w14:paraId="7418B895"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18.7</w:t>
            </w:r>
          </w:p>
        </w:tc>
        <w:tc>
          <w:tcPr>
            <w:tcW w:w="579" w:type="pct"/>
            <w:tcBorders>
              <w:top w:val="nil"/>
              <w:left w:val="nil"/>
              <w:bottom w:val="nil"/>
              <w:right w:val="nil"/>
            </w:tcBorders>
            <w:shd w:val="clear" w:color="auto" w:fill="E4F3F9"/>
          </w:tcPr>
          <w:p w14:paraId="7418B896"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20.5</w:t>
            </w:r>
          </w:p>
        </w:tc>
        <w:tc>
          <w:tcPr>
            <w:tcW w:w="442" w:type="pct"/>
            <w:tcBorders>
              <w:top w:val="nil"/>
              <w:left w:val="nil"/>
              <w:bottom w:val="nil"/>
              <w:right w:val="nil"/>
            </w:tcBorders>
            <w:shd w:val="clear" w:color="auto" w:fill="E4F3F9"/>
          </w:tcPr>
          <w:p w14:paraId="7418B897"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29.9</w:t>
            </w:r>
          </w:p>
        </w:tc>
        <w:tc>
          <w:tcPr>
            <w:tcW w:w="523" w:type="pct"/>
            <w:tcBorders>
              <w:top w:val="nil"/>
              <w:left w:val="nil"/>
              <w:bottom w:val="nil"/>
              <w:right w:val="nil"/>
            </w:tcBorders>
            <w:shd w:val="clear" w:color="auto" w:fill="E4F3F9"/>
          </w:tcPr>
          <w:p w14:paraId="7418B898"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37</w:t>
            </w:r>
          </w:p>
        </w:tc>
        <w:tc>
          <w:tcPr>
            <w:tcW w:w="470" w:type="pct"/>
            <w:tcBorders>
              <w:top w:val="nil"/>
              <w:left w:val="nil"/>
              <w:bottom w:val="nil"/>
              <w:right w:val="nil"/>
            </w:tcBorders>
            <w:shd w:val="clear" w:color="auto" w:fill="E4F3F9"/>
          </w:tcPr>
          <w:p w14:paraId="7418B899"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15th of 24</w:t>
            </w:r>
          </w:p>
        </w:tc>
        <w:tc>
          <w:tcPr>
            <w:tcW w:w="470" w:type="pct"/>
            <w:gridSpan w:val="2"/>
            <w:tcBorders>
              <w:top w:val="nil"/>
              <w:left w:val="nil"/>
              <w:bottom w:val="nil"/>
              <w:right w:val="nil"/>
            </w:tcBorders>
            <w:shd w:val="clear" w:color="auto" w:fill="E4F3F9"/>
          </w:tcPr>
          <w:p w14:paraId="7418B89A"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2012</w:t>
            </w:r>
          </w:p>
        </w:tc>
      </w:tr>
      <w:tr w:rsidR="00D471AD" w:rsidRPr="007D285C" w14:paraId="7418B8A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89C"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1-year survival rate (employer enterprises), %</w:t>
            </w:r>
            <w:r w:rsidRPr="00507B05">
              <w:rPr>
                <w:rFonts w:ascii="Arial Unicode MS" w:eastAsia="Arial Unicode MS" w:hAnsi="Arial Unicode MS" w:cs="Arial Unicode MS"/>
                <w:color w:val="4472C4" w:themeColor="accent5"/>
                <w:sz w:val="14"/>
                <w:szCs w:val="14"/>
              </w:rPr>
              <w:t>¹⁸ ¹⁹ ²⁰</w:t>
            </w:r>
          </w:p>
        </w:tc>
        <w:tc>
          <w:tcPr>
            <w:tcW w:w="532" w:type="pct"/>
            <w:gridSpan w:val="2"/>
            <w:tcBorders>
              <w:top w:val="nil"/>
              <w:left w:val="nil"/>
              <w:bottom w:val="nil"/>
              <w:right w:val="nil"/>
            </w:tcBorders>
            <w:shd w:val="clear" w:color="auto" w:fill="D5ECF5"/>
          </w:tcPr>
          <w:p w14:paraId="7418B89D"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87.3</w:t>
            </w:r>
          </w:p>
        </w:tc>
        <w:tc>
          <w:tcPr>
            <w:tcW w:w="579" w:type="pct"/>
            <w:tcBorders>
              <w:top w:val="nil"/>
              <w:left w:val="nil"/>
              <w:bottom w:val="nil"/>
              <w:right w:val="nil"/>
            </w:tcBorders>
            <w:shd w:val="clear" w:color="auto" w:fill="D5ECF5"/>
          </w:tcPr>
          <w:p w14:paraId="7418B89E"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78.9</w:t>
            </w:r>
          </w:p>
        </w:tc>
        <w:tc>
          <w:tcPr>
            <w:tcW w:w="442" w:type="pct"/>
            <w:tcBorders>
              <w:top w:val="nil"/>
              <w:left w:val="nil"/>
              <w:bottom w:val="nil"/>
              <w:right w:val="nil"/>
            </w:tcBorders>
            <w:shd w:val="clear" w:color="auto" w:fill="D5ECF5"/>
          </w:tcPr>
          <w:p w14:paraId="7418B89F"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90.5</w:t>
            </w:r>
          </w:p>
        </w:tc>
        <w:tc>
          <w:tcPr>
            <w:tcW w:w="523" w:type="pct"/>
            <w:tcBorders>
              <w:top w:val="nil"/>
              <w:left w:val="nil"/>
              <w:bottom w:val="nil"/>
              <w:right w:val="nil"/>
            </w:tcBorders>
            <w:shd w:val="clear" w:color="auto" w:fill="D5ECF5"/>
          </w:tcPr>
          <w:p w14:paraId="7418B8A0"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4</w:t>
            </w:r>
          </w:p>
        </w:tc>
        <w:tc>
          <w:tcPr>
            <w:tcW w:w="470" w:type="pct"/>
            <w:tcBorders>
              <w:top w:val="nil"/>
              <w:left w:val="nil"/>
              <w:bottom w:val="nil"/>
              <w:right w:val="nil"/>
            </w:tcBorders>
            <w:shd w:val="clear" w:color="auto" w:fill="D5ECF5"/>
          </w:tcPr>
          <w:p w14:paraId="7418B8A1"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4th of 21</w:t>
            </w:r>
          </w:p>
        </w:tc>
        <w:tc>
          <w:tcPr>
            <w:tcW w:w="470" w:type="pct"/>
            <w:gridSpan w:val="2"/>
            <w:tcBorders>
              <w:top w:val="nil"/>
              <w:left w:val="nil"/>
              <w:bottom w:val="nil"/>
              <w:right w:val="nil"/>
            </w:tcBorders>
            <w:shd w:val="clear" w:color="auto" w:fill="D5ECF5"/>
          </w:tcPr>
          <w:p w14:paraId="7418B8A2"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2013</w:t>
            </w:r>
          </w:p>
        </w:tc>
      </w:tr>
      <w:tr w:rsidR="00D471AD" w:rsidRPr="007D285C" w14:paraId="7418B8A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8A4"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Triadic patent families per million population</w:t>
            </w:r>
            <w:r w:rsidRPr="00507B05">
              <w:rPr>
                <w:rFonts w:ascii="Arial Unicode MS" w:eastAsia="Arial Unicode MS" w:hAnsi="Arial Unicode MS" w:cs="Arial Unicode MS"/>
                <w:color w:val="4472C4" w:themeColor="accent5"/>
                <w:sz w:val="14"/>
                <w:szCs w:val="14"/>
              </w:rPr>
              <w:t>¹</w:t>
            </w:r>
          </w:p>
        </w:tc>
        <w:tc>
          <w:tcPr>
            <w:tcW w:w="532" w:type="pct"/>
            <w:gridSpan w:val="2"/>
            <w:tcBorders>
              <w:top w:val="nil"/>
              <w:left w:val="nil"/>
              <w:bottom w:val="nil"/>
              <w:right w:val="nil"/>
            </w:tcBorders>
            <w:shd w:val="clear" w:color="auto" w:fill="E4F3F9"/>
          </w:tcPr>
          <w:p w14:paraId="7418B8A5"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13.6</w:t>
            </w:r>
          </w:p>
        </w:tc>
        <w:tc>
          <w:tcPr>
            <w:tcW w:w="579" w:type="pct"/>
            <w:tcBorders>
              <w:top w:val="nil"/>
              <w:left w:val="nil"/>
              <w:bottom w:val="nil"/>
              <w:right w:val="nil"/>
            </w:tcBorders>
            <w:shd w:val="clear" w:color="auto" w:fill="E4F3F9"/>
          </w:tcPr>
          <w:p w14:paraId="7418B8A6"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30.2</w:t>
            </w:r>
          </w:p>
        </w:tc>
        <w:tc>
          <w:tcPr>
            <w:tcW w:w="442" w:type="pct"/>
            <w:tcBorders>
              <w:top w:val="nil"/>
              <w:left w:val="nil"/>
              <w:bottom w:val="nil"/>
              <w:right w:val="nil"/>
            </w:tcBorders>
            <w:shd w:val="clear" w:color="auto" w:fill="E4F3F9"/>
          </w:tcPr>
          <w:p w14:paraId="7418B8A7"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94</w:t>
            </w:r>
          </w:p>
        </w:tc>
        <w:tc>
          <w:tcPr>
            <w:tcW w:w="523" w:type="pct"/>
            <w:tcBorders>
              <w:top w:val="nil"/>
              <w:left w:val="nil"/>
              <w:bottom w:val="nil"/>
              <w:right w:val="nil"/>
            </w:tcBorders>
            <w:shd w:val="clear" w:color="auto" w:fill="E4F3F9"/>
          </w:tcPr>
          <w:p w14:paraId="7418B8A8"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86</w:t>
            </w:r>
          </w:p>
        </w:tc>
        <w:tc>
          <w:tcPr>
            <w:tcW w:w="470" w:type="pct"/>
            <w:tcBorders>
              <w:top w:val="nil"/>
              <w:left w:val="nil"/>
              <w:bottom w:val="nil"/>
              <w:right w:val="nil"/>
            </w:tcBorders>
            <w:shd w:val="clear" w:color="auto" w:fill="E4F3F9"/>
          </w:tcPr>
          <w:p w14:paraId="7418B8A9"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22nd of 37</w:t>
            </w:r>
          </w:p>
        </w:tc>
        <w:tc>
          <w:tcPr>
            <w:tcW w:w="470" w:type="pct"/>
            <w:gridSpan w:val="2"/>
            <w:tcBorders>
              <w:top w:val="nil"/>
              <w:left w:val="nil"/>
              <w:bottom w:val="nil"/>
              <w:right w:val="nil"/>
            </w:tcBorders>
            <w:shd w:val="clear" w:color="auto" w:fill="E4F3F9"/>
          </w:tcPr>
          <w:p w14:paraId="7418B8AA"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2013</w:t>
            </w:r>
          </w:p>
        </w:tc>
      </w:tr>
      <w:tr w:rsidR="00D471AD" w:rsidRPr="007D285C" w14:paraId="7418B8B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8AC"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Share of world triadic patent families</w:t>
            </w:r>
            <w:r w:rsidRPr="00507B05">
              <w:rPr>
                <w:rFonts w:ascii="Arial Unicode MS" w:eastAsia="Arial Unicode MS" w:hAnsi="Arial Unicode MS" w:cs="Arial Unicode MS"/>
                <w:color w:val="4472C4" w:themeColor="accent5"/>
                <w:sz w:val="14"/>
                <w:szCs w:val="14"/>
              </w:rPr>
              <w:t>¹</w:t>
            </w:r>
          </w:p>
        </w:tc>
        <w:tc>
          <w:tcPr>
            <w:tcW w:w="532" w:type="pct"/>
            <w:gridSpan w:val="2"/>
            <w:tcBorders>
              <w:top w:val="nil"/>
              <w:left w:val="nil"/>
              <w:bottom w:val="nil"/>
              <w:right w:val="nil"/>
            </w:tcBorders>
            <w:shd w:val="clear" w:color="auto" w:fill="D5ECF5"/>
          </w:tcPr>
          <w:p w14:paraId="7418B8AD"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0.6</w:t>
            </w:r>
          </w:p>
        </w:tc>
        <w:tc>
          <w:tcPr>
            <w:tcW w:w="579" w:type="pct"/>
            <w:tcBorders>
              <w:top w:val="nil"/>
              <w:left w:val="nil"/>
              <w:bottom w:val="nil"/>
              <w:right w:val="nil"/>
            </w:tcBorders>
            <w:shd w:val="clear" w:color="auto" w:fill="D5ECF5"/>
          </w:tcPr>
          <w:p w14:paraId="7418B8AE"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2.6</w:t>
            </w:r>
          </w:p>
        </w:tc>
        <w:tc>
          <w:tcPr>
            <w:tcW w:w="442" w:type="pct"/>
            <w:tcBorders>
              <w:top w:val="nil"/>
              <w:left w:val="nil"/>
              <w:bottom w:val="nil"/>
              <w:right w:val="nil"/>
            </w:tcBorders>
            <w:shd w:val="clear" w:color="auto" w:fill="D5ECF5"/>
          </w:tcPr>
          <w:p w14:paraId="7418B8AF"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15.4</w:t>
            </w:r>
          </w:p>
        </w:tc>
        <w:tc>
          <w:tcPr>
            <w:tcW w:w="523" w:type="pct"/>
            <w:tcBorders>
              <w:top w:val="nil"/>
              <w:left w:val="nil"/>
              <w:bottom w:val="nil"/>
              <w:right w:val="nil"/>
            </w:tcBorders>
            <w:shd w:val="clear" w:color="auto" w:fill="D5ECF5"/>
          </w:tcPr>
          <w:p w14:paraId="7418B8B0"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96</w:t>
            </w:r>
          </w:p>
        </w:tc>
        <w:tc>
          <w:tcPr>
            <w:tcW w:w="470" w:type="pct"/>
            <w:tcBorders>
              <w:top w:val="nil"/>
              <w:left w:val="nil"/>
              <w:bottom w:val="nil"/>
              <w:right w:val="nil"/>
            </w:tcBorders>
            <w:shd w:val="clear" w:color="auto" w:fill="D5ECF5"/>
          </w:tcPr>
          <w:p w14:paraId="7418B8B1"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18th of 37</w:t>
            </w:r>
          </w:p>
        </w:tc>
        <w:tc>
          <w:tcPr>
            <w:tcW w:w="470" w:type="pct"/>
            <w:gridSpan w:val="2"/>
            <w:tcBorders>
              <w:top w:val="nil"/>
              <w:left w:val="nil"/>
              <w:bottom w:val="nil"/>
              <w:right w:val="nil"/>
            </w:tcBorders>
            <w:shd w:val="clear" w:color="auto" w:fill="D5ECF5"/>
          </w:tcPr>
          <w:p w14:paraId="7418B8B2"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2013</w:t>
            </w:r>
          </w:p>
        </w:tc>
      </w:tr>
      <w:tr w:rsidR="00D471AD" w:rsidRPr="007D285C" w14:paraId="7418B8B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8B4"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Patent applications filed under PCT per million population</w:t>
            </w:r>
            <w:r w:rsidRPr="00507B05">
              <w:rPr>
                <w:rFonts w:ascii="Arial Unicode MS" w:eastAsia="Arial Unicode MS" w:hAnsi="Arial Unicode MS" w:cs="Arial Unicode MS"/>
                <w:color w:val="4472C4" w:themeColor="accent5"/>
                <w:sz w:val="14"/>
                <w:szCs w:val="14"/>
              </w:rPr>
              <w:t>¹</w:t>
            </w:r>
          </w:p>
        </w:tc>
        <w:tc>
          <w:tcPr>
            <w:tcW w:w="532" w:type="pct"/>
            <w:gridSpan w:val="2"/>
            <w:tcBorders>
              <w:top w:val="nil"/>
              <w:left w:val="nil"/>
              <w:bottom w:val="nil"/>
              <w:right w:val="nil"/>
            </w:tcBorders>
            <w:shd w:val="clear" w:color="auto" w:fill="E4F3F9"/>
          </w:tcPr>
          <w:p w14:paraId="7418B8B5"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77</w:t>
            </w:r>
          </w:p>
        </w:tc>
        <w:tc>
          <w:tcPr>
            <w:tcW w:w="579" w:type="pct"/>
            <w:tcBorders>
              <w:top w:val="nil"/>
              <w:left w:val="nil"/>
              <w:bottom w:val="nil"/>
              <w:right w:val="nil"/>
            </w:tcBorders>
            <w:shd w:val="clear" w:color="auto" w:fill="E4F3F9"/>
          </w:tcPr>
          <w:p w14:paraId="7418B8B6"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112</w:t>
            </w:r>
          </w:p>
        </w:tc>
        <w:tc>
          <w:tcPr>
            <w:tcW w:w="442" w:type="pct"/>
            <w:tcBorders>
              <w:top w:val="nil"/>
              <w:left w:val="nil"/>
              <w:bottom w:val="nil"/>
              <w:right w:val="nil"/>
            </w:tcBorders>
            <w:shd w:val="clear" w:color="auto" w:fill="E4F3F9"/>
          </w:tcPr>
          <w:p w14:paraId="7418B8B7"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290</w:t>
            </w:r>
          </w:p>
        </w:tc>
        <w:tc>
          <w:tcPr>
            <w:tcW w:w="523" w:type="pct"/>
            <w:tcBorders>
              <w:top w:val="nil"/>
              <w:left w:val="nil"/>
              <w:bottom w:val="nil"/>
              <w:right w:val="nil"/>
            </w:tcBorders>
            <w:shd w:val="clear" w:color="auto" w:fill="E4F3F9"/>
          </w:tcPr>
          <w:p w14:paraId="7418B8B8"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74</w:t>
            </w:r>
          </w:p>
        </w:tc>
        <w:tc>
          <w:tcPr>
            <w:tcW w:w="470" w:type="pct"/>
            <w:tcBorders>
              <w:top w:val="nil"/>
              <w:left w:val="nil"/>
              <w:bottom w:val="nil"/>
              <w:right w:val="nil"/>
            </w:tcBorders>
            <w:shd w:val="clear" w:color="auto" w:fill="E4F3F9"/>
          </w:tcPr>
          <w:p w14:paraId="7418B8B9"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22nd of 37</w:t>
            </w:r>
          </w:p>
        </w:tc>
        <w:tc>
          <w:tcPr>
            <w:tcW w:w="470" w:type="pct"/>
            <w:gridSpan w:val="2"/>
            <w:tcBorders>
              <w:top w:val="nil"/>
              <w:left w:val="nil"/>
              <w:bottom w:val="nil"/>
              <w:right w:val="nil"/>
            </w:tcBorders>
            <w:shd w:val="clear" w:color="auto" w:fill="E4F3F9"/>
          </w:tcPr>
          <w:p w14:paraId="7418B8BA"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2013</w:t>
            </w:r>
          </w:p>
        </w:tc>
      </w:tr>
      <w:tr w:rsidR="00D471AD" w:rsidRPr="007D285C" w14:paraId="7418B8C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8BC"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Development of environment-related technologies, % all technologies</w:t>
            </w:r>
            <w:r w:rsidRPr="00507B05">
              <w:rPr>
                <w:rFonts w:ascii="Arial Unicode MS" w:eastAsia="Arial Unicode MS" w:hAnsi="Arial Unicode MS" w:cs="Arial Unicode MS"/>
                <w:color w:val="4472C4" w:themeColor="accent5"/>
                <w:sz w:val="14"/>
                <w:szCs w:val="14"/>
              </w:rPr>
              <w:t>²⁵</w:t>
            </w:r>
          </w:p>
        </w:tc>
        <w:tc>
          <w:tcPr>
            <w:tcW w:w="532" w:type="pct"/>
            <w:gridSpan w:val="2"/>
            <w:tcBorders>
              <w:top w:val="nil"/>
              <w:left w:val="nil"/>
              <w:bottom w:val="nil"/>
              <w:right w:val="nil"/>
            </w:tcBorders>
            <w:shd w:val="clear" w:color="auto" w:fill="D5ECF5"/>
          </w:tcPr>
          <w:p w14:paraId="7418B8BD"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8.63</w:t>
            </w:r>
          </w:p>
        </w:tc>
        <w:tc>
          <w:tcPr>
            <w:tcW w:w="579" w:type="pct"/>
            <w:tcBorders>
              <w:top w:val="nil"/>
              <w:left w:val="nil"/>
              <w:bottom w:val="nil"/>
              <w:right w:val="nil"/>
            </w:tcBorders>
            <w:shd w:val="clear" w:color="auto" w:fill="D5ECF5"/>
          </w:tcPr>
          <w:p w14:paraId="7418B8BE"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11.15</w:t>
            </w:r>
          </w:p>
        </w:tc>
        <w:tc>
          <w:tcPr>
            <w:tcW w:w="442" w:type="pct"/>
            <w:tcBorders>
              <w:top w:val="nil"/>
              <w:left w:val="nil"/>
              <w:bottom w:val="nil"/>
              <w:right w:val="nil"/>
            </w:tcBorders>
            <w:shd w:val="clear" w:color="auto" w:fill="D5ECF5"/>
          </w:tcPr>
          <w:p w14:paraId="7418B8BF"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21.31</w:t>
            </w:r>
          </w:p>
        </w:tc>
        <w:tc>
          <w:tcPr>
            <w:tcW w:w="523" w:type="pct"/>
            <w:tcBorders>
              <w:top w:val="nil"/>
              <w:left w:val="nil"/>
              <w:bottom w:val="nil"/>
              <w:right w:val="nil"/>
            </w:tcBorders>
            <w:shd w:val="clear" w:color="auto" w:fill="D5ECF5"/>
          </w:tcPr>
          <w:p w14:paraId="7418B8C0"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60</w:t>
            </w:r>
          </w:p>
        </w:tc>
        <w:tc>
          <w:tcPr>
            <w:tcW w:w="470" w:type="pct"/>
            <w:tcBorders>
              <w:top w:val="nil"/>
              <w:left w:val="nil"/>
              <w:bottom w:val="nil"/>
              <w:right w:val="nil"/>
            </w:tcBorders>
            <w:shd w:val="clear" w:color="auto" w:fill="D5ECF5"/>
          </w:tcPr>
          <w:p w14:paraId="7418B8C1"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25th of 37</w:t>
            </w:r>
          </w:p>
        </w:tc>
        <w:tc>
          <w:tcPr>
            <w:tcW w:w="470" w:type="pct"/>
            <w:gridSpan w:val="2"/>
            <w:tcBorders>
              <w:top w:val="nil"/>
              <w:left w:val="nil"/>
              <w:bottom w:val="nil"/>
              <w:right w:val="nil"/>
            </w:tcBorders>
            <w:shd w:val="clear" w:color="auto" w:fill="D5ECF5"/>
          </w:tcPr>
          <w:p w14:paraId="7418B8C2"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2012</w:t>
            </w:r>
          </w:p>
        </w:tc>
      </w:tr>
      <w:tr w:rsidR="00D471AD" w:rsidRPr="007D285C" w14:paraId="7418B8C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8C4"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Development of environment-related technologies, inventions per capita</w:t>
            </w:r>
            <w:r w:rsidRPr="00507B05">
              <w:rPr>
                <w:rFonts w:ascii="Arial Unicode MS" w:eastAsia="Arial Unicode MS" w:hAnsi="Arial Unicode MS" w:cs="Arial Unicode MS"/>
                <w:color w:val="4472C4" w:themeColor="accent5"/>
                <w:sz w:val="14"/>
                <w:szCs w:val="14"/>
              </w:rPr>
              <w:t>²⁵</w:t>
            </w:r>
          </w:p>
        </w:tc>
        <w:tc>
          <w:tcPr>
            <w:tcW w:w="532" w:type="pct"/>
            <w:gridSpan w:val="2"/>
            <w:tcBorders>
              <w:top w:val="nil"/>
              <w:left w:val="nil"/>
              <w:bottom w:val="nil"/>
              <w:right w:val="nil"/>
            </w:tcBorders>
            <w:shd w:val="clear" w:color="auto" w:fill="E4F3F9"/>
          </w:tcPr>
          <w:p w14:paraId="7418B8C5"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1.58</w:t>
            </w:r>
          </w:p>
        </w:tc>
        <w:tc>
          <w:tcPr>
            <w:tcW w:w="579" w:type="pct"/>
            <w:tcBorders>
              <w:top w:val="nil"/>
              <w:left w:val="nil"/>
              <w:bottom w:val="nil"/>
              <w:right w:val="nil"/>
            </w:tcBorders>
            <w:shd w:val="clear" w:color="auto" w:fill="E4F3F9"/>
          </w:tcPr>
          <w:p w14:paraId="7418B8C6"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10.71</w:t>
            </w:r>
          </w:p>
        </w:tc>
        <w:tc>
          <w:tcPr>
            <w:tcW w:w="442" w:type="pct"/>
            <w:tcBorders>
              <w:top w:val="nil"/>
              <w:left w:val="nil"/>
              <w:bottom w:val="nil"/>
              <w:right w:val="nil"/>
            </w:tcBorders>
            <w:shd w:val="clear" w:color="auto" w:fill="E4F3F9"/>
          </w:tcPr>
          <w:p w14:paraId="7418B8C7"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35.21</w:t>
            </w:r>
          </w:p>
        </w:tc>
        <w:tc>
          <w:tcPr>
            <w:tcW w:w="523" w:type="pct"/>
            <w:tcBorders>
              <w:top w:val="nil"/>
              <w:left w:val="nil"/>
              <w:bottom w:val="nil"/>
              <w:right w:val="nil"/>
            </w:tcBorders>
            <w:shd w:val="clear" w:color="auto" w:fill="E4F3F9"/>
          </w:tcPr>
          <w:p w14:paraId="7418B8C8"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96</w:t>
            </w:r>
          </w:p>
        </w:tc>
        <w:tc>
          <w:tcPr>
            <w:tcW w:w="470" w:type="pct"/>
            <w:tcBorders>
              <w:top w:val="nil"/>
              <w:left w:val="nil"/>
              <w:bottom w:val="nil"/>
              <w:right w:val="nil"/>
            </w:tcBorders>
            <w:shd w:val="clear" w:color="auto" w:fill="E4F3F9"/>
          </w:tcPr>
          <w:p w14:paraId="7418B8C9"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28th of 37</w:t>
            </w:r>
          </w:p>
        </w:tc>
        <w:tc>
          <w:tcPr>
            <w:tcW w:w="470" w:type="pct"/>
            <w:gridSpan w:val="2"/>
            <w:tcBorders>
              <w:top w:val="nil"/>
              <w:left w:val="nil"/>
              <w:bottom w:val="nil"/>
              <w:right w:val="nil"/>
            </w:tcBorders>
            <w:shd w:val="clear" w:color="auto" w:fill="E4F3F9"/>
          </w:tcPr>
          <w:p w14:paraId="7418B8CA"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2012</w:t>
            </w:r>
          </w:p>
        </w:tc>
      </w:tr>
      <w:tr w:rsidR="00D471AD" w:rsidRPr="007D285C" w14:paraId="7418B8D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8CC"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Diffusion of environment-related technologies, % all technologies</w:t>
            </w:r>
            <w:r w:rsidRPr="00507B05">
              <w:rPr>
                <w:rFonts w:ascii="Arial Unicode MS" w:eastAsia="Arial Unicode MS" w:hAnsi="Arial Unicode MS" w:cs="Arial Unicode MS"/>
                <w:color w:val="4472C4" w:themeColor="accent5"/>
                <w:sz w:val="14"/>
                <w:szCs w:val="14"/>
              </w:rPr>
              <w:t>²⁵</w:t>
            </w:r>
          </w:p>
        </w:tc>
        <w:tc>
          <w:tcPr>
            <w:tcW w:w="532" w:type="pct"/>
            <w:gridSpan w:val="2"/>
            <w:tcBorders>
              <w:top w:val="nil"/>
              <w:left w:val="nil"/>
              <w:bottom w:val="nil"/>
              <w:right w:val="nil"/>
            </w:tcBorders>
            <w:shd w:val="clear" w:color="auto" w:fill="D5ECF5"/>
          </w:tcPr>
          <w:p w14:paraId="7418B8CD"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9.3</w:t>
            </w:r>
          </w:p>
        </w:tc>
        <w:tc>
          <w:tcPr>
            <w:tcW w:w="579" w:type="pct"/>
            <w:tcBorders>
              <w:top w:val="nil"/>
              <w:left w:val="nil"/>
              <w:bottom w:val="nil"/>
              <w:right w:val="nil"/>
            </w:tcBorders>
            <w:shd w:val="clear" w:color="auto" w:fill="D5ECF5"/>
          </w:tcPr>
          <w:p w14:paraId="7418B8CE"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11.9</w:t>
            </w:r>
          </w:p>
        </w:tc>
        <w:tc>
          <w:tcPr>
            <w:tcW w:w="442" w:type="pct"/>
            <w:tcBorders>
              <w:top w:val="nil"/>
              <w:left w:val="nil"/>
              <w:bottom w:val="nil"/>
              <w:right w:val="nil"/>
            </w:tcBorders>
            <w:shd w:val="clear" w:color="auto" w:fill="D5ECF5"/>
          </w:tcPr>
          <w:p w14:paraId="7418B8CF"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20.8</w:t>
            </w:r>
          </w:p>
        </w:tc>
        <w:tc>
          <w:tcPr>
            <w:tcW w:w="523" w:type="pct"/>
            <w:tcBorders>
              <w:top w:val="nil"/>
              <w:left w:val="nil"/>
              <w:bottom w:val="nil"/>
              <w:right w:val="nil"/>
            </w:tcBorders>
            <w:shd w:val="clear" w:color="auto" w:fill="D5ECF5"/>
          </w:tcPr>
          <w:p w14:paraId="7418B8D0"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55</w:t>
            </w:r>
          </w:p>
        </w:tc>
        <w:tc>
          <w:tcPr>
            <w:tcW w:w="470" w:type="pct"/>
            <w:tcBorders>
              <w:top w:val="nil"/>
              <w:left w:val="nil"/>
              <w:bottom w:val="nil"/>
              <w:right w:val="nil"/>
            </w:tcBorders>
            <w:shd w:val="clear" w:color="auto" w:fill="D5ECF5"/>
          </w:tcPr>
          <w:p w14:paraId="7418B8D1"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27th of 36</w:t>
            </w:r>
          </w:p>
        </w:tc>
        <w:tc>
          <w:tcPr>
            <w:tcW w:w="470" w:type="pct"/>
            <w:gridSpan w:val="2"/>
            <w:tcBorders>
              <w:top w:val="nil"/>
              <w:left w:val="nil"/>
              <w:bottom w:val="nil"/>
              <w:right w:val="nil"/>
            </w:tcBorders>
            <w:shd w:val="clear" w:color="auto" w:fill="D5ECF5"/>
          </w:tcPr>
          <w:p w14:paraId="7418B8D2"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2012</w:t>
            </w:r>
          </w:p>
        </w:tc>
      </w:tr>
      <w:tr w:rsidR="00D471AD" w:rsidRPr="007D285C" w14:paraId="7418B8D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8D4"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Environmentally related government R&amp;D budget, % of total government R&amp;D</w:t>
            </w:r>
            <w:r w:rsidRPr="00507B05">
              <w:rPr>
                <w:rFonts w:ascii="Arial Unicode MS" w:eastAsia="Arial Unicode MS" w:hAnsi="Arial Unicode MS" w:cs="Arial Unicode MS"/>
                <w:color w:val="4472C4" w:themeColor="accent5"/>
                <w:sz w:val="14"/>
                <w:szCs w:val="14"/>
              </w:rPr>
              <w:t>²⁵</w:t>
            </w:r>
          </w:p>
        </w:tc>
        <w:tc>
          <w:tcPr>
            <w:tcW w:w="532" w:type="pct"/>
            <w:gridSpan w:val="2"/>
            <w:tcBorders>
              <w:top w:val="nil"/>
              <w:left w:val="nil"/>
              <w:bottom w:val="nil"/>
              <w:right w:val="nil"/>
            </w:tcBorders>
            <w:shd w:val="clear" w:color="auto" w:fill="E4F3F9"/>
          </w:tcPr>
          <w:p w14:paraId="7418B8D5"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4.0</w:t>
            </w:r>
          </w:p>
        </w:tc>
        <w:tc>
          <w:tcPr>
            <w:tcW w:w="579" w:type="pct"/>
            <w:tcBorders>
              <w:top w:val="nil"/>
              <w:left w:val="nil"/>
              <w:bottom w:val="nil"/>
              <w:right w:val="nil"/>
            </w:tcBorders>
            <w:shd w:val="clear" w:color="auto" w:fill="E4F3F9"/>
          </w:tcPr>
          <w:p w14:paraId="7418B8D6"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2.6</w:t>
            </w:r>
          </w:p>
        </w:tc>
        <w:tc>
          <w:tcPr>
            <w:tcW w:w="442" w:type="pct"/>
            <w:tcBorders>
              <w:top w:val="nil"/>
              <w:left w:val="nil"/>
              <w:bottom w:val="nil"/>
              <w:right w:val="nil"/>
            </w:tcBorders>
            <w:shd w:val="clear" w:color="auto" w:fill="E4F3F9"/>
          </w:tcPr>
          <w:p w14:paraId="7418B8D7"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4.9</w:t>
            </w:r>
          </w:p>
        </w:tc>
        <w:tc>
          <w:tcPr>
            <w:tcW w:w="523" w:type="pct"/>
            <w:tcBorders>
              <w:top w:val="nil"/>
              <w:left w:val="nil"/>
              <w:bottom w:val="nil"/>
              <w:right w:val="nil"/>
            </w:tcBorders>
            <w:shd w:val="clear" w:color="auto" w:fill="E4F3F9"/>
          </w:tcPr>
          <w:p w14:paraId="7418B8D8"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17</w:t>
            </w:r>
          </w:p>
        </w:tc>
        <w:tc>
          <w:tcPr>
            <w:tcW w:w="470" w:type="pct"/>
            <w:tcBorders>
              <w:top w:val="nil"/>
              <w:left w:val="nil"/>
              <w:bottom w:val="nil"/>
              <w:right w:val="nil"/>
            </w:tcBorders>
            <w:shd w:val="clear" w:color="auto" w:fill="E4F3F9"/>
          </w:tcPr>
          <w:p w14:paraId="7418B8D9"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2nd of 20</w:t>
            </w:r>
          </w:p>
        </w:tc>
        <w:tc>
          <w:tcPr>
            <w:tcW w:w="470" w:type="pct"/>
            <w:gridSpan w:val="2"/>
            <w:tcBorders>
              <w:top w:val="nil"/>
              <w:left w:val="nil"/>
              <w:bottom w:val="nil"/>
              <w:right w:val="nil"/>
            </w:tcBorders>
            <w:shd w:val="clear" w:color="auto" w:fill="E4F3F9"/>
          </w:tcPr>
          <w:p w14:paraId="7418B8DA"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2014</w:t>
            </w:r>
          </w:p>
        </w:tc>
      </w:tr>
      <w:tr w:rsidR="00D471AD" w:rsidRPr="007D285C" w14:paraId="7418B8E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8DC"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 xml:space="preserve">Renewable energy public research, development and demonstration (RD&amp;D) </w:t>
            </w:r>
            <w:r w:rsidRPr="00507B05">
              <w:rPr>
                <w:rFonts w:ascii="Arial" w:eastAsia="Arial" w:hAnsi="Arial" w:cs="Arial"/>
                <w:color w:val="4472C4" w:themeColor="accent5"/>
                <w:sz w:val="14"/>
                <w:szCs w:val="14"/>
              </w:rPr>
              <w:br/>
            </w:r>
            <w:r w:rsidRPr="00507B05">
              <w:rPr>
                <w:rFonts w:ascii="Arial" w:eastAsia="Arial" w:hAnsi="Arial" w:cs="Arial" w:hint="eastAsia"/>
                <w:color w:val="4472C4" w:themeColor="accent5"/>
                <w:sz w:val="14"/>
                <w:szCs w:val="14"/>
              </w:rPr>
              <w:t>budget, % of total energy public RD&amp;D</w:t>
            </w:r>
            <w:r w:rsidRPr="00507B05">
              <w:rPr>
                <w:rFonts w:ascii="Arial Unicode MS" w:eastAsia="Arial Unicode MS" w:hAnsi="Arial Unicode MS" w:cs="Arial Unicode MS"/>
                <w:color w:val="4472C4" w:themeColor="accent5"/>
                <w:sz w:val="14"/>
                <w:szCs w:val="14"/>
              </w:rPr>
              <w:t>²⁵ ³⁴</w:t>
            </w:r>
          </w:p>
        </w:tc>
        <w:tc>
          <w:tcPr>
            <w:tcW w:w="532" w:type="pct"/>
            <w:gridSpan w:val="2"/>
            <w:tcBorders>
              <w:top w:val="nil"/>
              <w:left w:val="nil"/>
              <w:bottom w:val="nil"/>
              <w:right w:val="nil"/>
            </w:tcBorders>
            <w:shd w:val="clear" w:color="auto" w:fill="D5ECF5"/>
          </w:tcPr>
          <w:p w14:paraId="7418B8DD"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25.5</w:t>
            </w:r>
          </w:p>
        </w:tc>
        <w:tc>
          <w:tcPr>
            <w:tcW w:w="579" w:type="pct"/>
            <w:tcBorders>
              <w:top w:val="nil"/>
              <w:left w:val="nil"/>
              <w:bottom w:val="nil"/>
              <w:right w:val="nil"/>
            </w:tcBorders>
            <w:shd w:val="clear" w:color="auto" w:fill="D5ECF5"/>
          </w:tcPr>
          <w:p w14:paraId="7418B8DE"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29.3</w:t>
            </w:r>
          </w:p>
        </w:tc>
        <w:tc>
          <w:tcPr>
            <w:tcW w:w="442" w:type="pct"/>
            <w:tcBorders>
              <w:top w:val="nil"/>
              <w:left w:val="nil"/>
              <w:bottom w:val="nil"/>
              <w:right w:val="nil"/>
            </w:tcBorders>
            <w:shd w:val="clear" w:color="auto" w:fill="D5ECF5"/>
          </w:tcPr>
          <w:p w14:paraId="7418B8DF"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50.6</w:t>
            </w:r>
          </w:p>
        </w:tc>
        <w:tc>
          <w:tcPr>
            <w:tcW w:w="523" w:type="pct"/>
            <w:tcBorders>
              <w:top w:val="nil"/>
              <w:left w:val="nil"/>
              <w:bottom w:val="nil"/>
              <w:right w:val="nil"/>
            </w:tcBorders>
            <w:shd w:val="clear" w:color="auto" w:fill="D5ECF5"/>
          </w:tcPr>
          <w:p w14:paraId="7418B8E0"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50</w:t>
            </w:r>
          </w:p>
        </w:tc>
        <w:tc>
          <w:tcPr>
            <w:tcW w:w="470" w:type="pct"/>
            <w:tcBorders>
              <w:top w:val="nil"/>
              <w:left w:val="nil"/>
              <w:bottom w:val="nil"/>
              <w:right w:val="nil"/>
            </w:tcBorders>
            <w:shd w:val="clear" w:color="auto" w:fill="D5ECF5"/>
          </w:tcPr>
          <w:p w14:paraId="7418B8E1"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8th of 16</w:t>
            </w:r>
          </w:p>
        </w:tc>
        <w:tc>
          <w:tcPr>
            <w:tcW w:w="470" w:type="pct"/>
            <w:gridSpan w:val="2"/>
            <w:tcBorders>
              <w:top w:val="nil"/>
              <w:left w:val="nil"/>
              <w:bottom w:val="nil"/>
              <w:right w:val="nil"/>
            </w:tcBorders>
            <w:shd w:val="clear" w:color="auto" w:fill="D5ECF5"/>
          </w:tcPr>
          <w:p w14:paraId="7418B8E2"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2014</w:t>
            </w:r>
          </w:p>
        </w:tc>
      </w:tr>
      <w:tr w:rsidR="00D471AD" w:rsidRPr="007D285C" w14:paraId="7418B8E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8E4"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 xml:space="preserve">Energy public research, development and demonstration (RD&amp;D) budget, </w:t>
            </w:r>
            <w:r w:rsidRPr="00507B05">
              <w:rPr>
                <w:rFonts w:ascii="Arial" w:eastAsia="Arial" w:hAnsi="Arial" w:cs="Arial"/>
                <w:color w:val="4472C4" w:themeColor="accent5"/>
                <w:sz w:val="14"/>
                <w:szCs w:val="14"/>
              </w:rPr>
              <w:br/>
            </w:r>
            <w:r w:rsidRPr="00507B05">
              <w:rPr>
                <w:rFonts w:ascii="Arial" w:eastAsia="Arial" w:hAnsi="Arial" w:cs="Arial" w:hint="eastAsia"/>
                <w:color w:val="4472C4" w:themeColor="accent5"/>
                <w:sz w:val="14"/>
                <w:szCs w:val="14"/>
              </w:rPr>
              <w:t>% of GDP</w:t>
            </w:r>
            <w:r w:rsidRPr="00507B05">
              <w:rPr>
                <w:rFonts w:ascii="Arial Unicode MS" w:eastAsia="Arial Unicode MS" w:hAnsi="Arial Unicode MS" w:cs="Arial Unicode MS"/>
                <w:color w:val="4472C4" w:themeColor="accent5"/>
                <w:sz w:val="14"/>
                <w:szCs w:val="14"/>
              </w:rPr>
              <w:t>²⁵ ³⁴</w:t>
            </w:r>
          </w:p>
        </w:tc>
        <w:tc>
          <w:tcPr>
            <w:tcW w:w="532" w:type="pct"/>
            <w:gridSpan w:val="2"/>
            <w:tcBorders>
              <w:top w:val="nil"/>
              <w:left w:val="nil"/>
              <w:bottom w:val="nil"/>
              <w:right w:val="nil"/>
            </w:tcBorders>
            <w:shd w:val="clear" w:color="auto" w:fill="E4F3F9"/>
          </w:tcPr>
          <w:p w14:paraId="7418B8E5"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0.02</w:t>
            </w:r>
          </w:p>
        </w:tc>
        <w:tc>
          <w:tcPr>
            <w:tcW w:w="579" w:type="pct"/>
            <w:tcBorders>
              <w:top w:val="nil"/>
              <w:left w:val="nil"/>
              <w:bottom w:val="nil"/>
              <w:right w:val="nil"/>
            </w:tcBorders>
            <w:shd w:val="clear" w:color="auto" w:fill="E4F3F9"/>
          </w:tcPr>
          <w:p w14:paraId="7418B8E6"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0.04</w:t>
            </w:r>
          </w:p>
        </w:tc>
        <w:tc>
          <w:tcPr>
            <w:tcW w:w="442" w:type="pct"/>
            <w:tcBorders>
              <w:top w:val="nil"/>
              <w:left w:val="nil"/>
              <w:bottom w:val="nil"/>
              <w:right w:val="nil"/>
            </w:tcBorders>
            <w:shd w:val="clear" w:color="auto" w:fill="E4F3F9"/>
          </w:tcPr>
          <w:p w14:paraId="7418B8E7"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0.07</w:t>
            </w:r>
          </w:p>
        </w:tc>
        <w:tc>
          <w:tcPr>
            <w:tcW w:w="523" w:type="pct"/>
            <w:tcBorders>
              <w:top w:val="nil"/>
              <w:left w:val="nil"/>
              <w:bottom w:val="nil"/>
              <w:right w:val="nil"/>
            </w:tcBorders>
            <w:shd w:val="clear" w:color="auto" w:fill="E4F3F9"/>
          </w:tcPr>
          <w:p w14:paraId="7418B8E8"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78</w:t>
            </w:r>
          </w:p>
        </w:tc>
        <w:tc>
          <w:tcPr>
            <w:tcW w:w="470" w:type="pct"/>
            <w:tcBorders>
              <w:top w:val="nil"/>
              <w:left w:val="nil"/>
              <w:bottom w:val="nil"/>
              <w:right w:val="nil"/>
            </w:tcBorders>
            <w:shd w:val="clear" w:color="auto" w:fill="E4F3F9"/>
          </w:tcPr>
          <w:p w14:paraId="7418B8E9"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12th of 16</w:t>
            </w:r>
          </w:p>
        </w:tc>
        <w:tc>
          <w:tcPr>
            <w:tcW w:w="470" w:type="pct"/>
            <w:gridSpan w:val="2"/>
            <w:tcBorders>
              <w:top w:val="nil"/>
              <w:left w:val="nil"/>
              <w:bottom w:val="nil"/>
              <w:right w:val="nil"/>
            </w:tcBorders>
            <w:shd w:val="clear" w:color="auto" w:fill="E4F3F9"/>
          </w:tcPr>
          <w:p w14:paraId="7418B8EA"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2014</w:t>
            </w:r>
          </w:p>
        </w:tc>
      </w:tr>
      <w:tr w:rsidR="00D471AD" w:rsidRPr="007D285C" w14:paraId="7418B8F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8EC"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Madrid system trademark registrations by country of origin</w:t>
            </w:r>
            <w:r w:rsidRPr="00507B05">
              <w:rPr>
                <w:rFonts w:ascii="Arial Unicode MS" w:eastAsia="Arial Unicode MS" w:hAnsi="Arial Unicode MS" w:cs="Arial Unicode MS"/>
                <w:color w:val="4472C4" w:themeColor="accent5"/>
                <w:sz w:val="14"/>
                <w:szCs w:val="14"/>
              </w:rPr>
              <w:t>²⁶</w:t>
            </w:r>
          </w:p>
        </w:tc>
        <w:tc>
          <w:tcPr>
            <w:tcW w:w="532" w:type="pct"/>
            <w:gridSpan w:val="2"/>
            <w:tcBorders>
              <w:top w:val="nil"/>
              <w:left w:val="nil"/>
              <w:bottom w:val="nil"/>
              <w:right w:val="nil"/>
            </w:tcBorders>
            <w:shd w:val="clear" w:color="auto" w:fill="D5ECF5"/>
          </w:tcPr>
          <w:p w14:paraId="7418B8ED"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16.3</w:t>
            </w:r>
          </w:p>
        </w:tc>
        <w:tc>
          <w:tcPr>
            <w:tcW w:w="579" w:type="pct"/>
            <w:tcBorders>
              <w:top w:val="nil"/>
              <w:left w:val="nil"/>
              <w:bottom w:val="nil"/>
              <w:right w:val="nil"/>
            </w:tcBorders>
            <w:shd w:val="clear" w:color="auto" w:fill="D5ECF5"/>
          </w:tcPr>
          <w:p w14:paraId="7418B8EE"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27</w:t>
            </w:r>
          </w:p>
        </w:tc>
        <w:tc>
          <w:tcPr>
            <w:tcW w:w="442" w:type="pct"/>
            <w:tcBorders>
              <w:top w:val="nil"/>
              <w:left w:val="nil"/>
              <w:bottom w:val="nil"/>
              <w:right w:val="nil"/>
            </w:tcBorders>
            <w:shd w:val="clear" w:color="auto" w:fill="D5ECF5"/>
          </w:tcPr>
          <w:p w14:paraId="7418B8EF"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72.2</w:t>
            </w:r>
          </w:p>
        </w:tc>
        <w:tc>
          <w:tcPr>
            <w:tcW w:w="523" w:type="pct"/>
            <w:tcBorders>
              <w:top w:val="nil"/>
              <w:left w:val="nil"/>
              <w:bottom w:val="nil"/>
              <w:right w:val="nil"/>
            </w:tcBorders>
            <w:shd w:val="clear" w:color="auto" w:fill="D5ECF5"/>
          </w:tcPr>
          <w:p w14:paraId="7418B8F0"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77</w:t>
            </w:r>
          </w:p>
        </w:tc>
        <w:tc>
          <w:tcPr>
            <w:tcW w:w="470" w:type="pct"/>
            <w:tcBorders>
              <w:top w:val="nil"/>
              <w:left w:val="nil"/>
              <w:bottom w:val="nil"/>
              <w:right w:val="nil"/>
            </w:tcBorders>
            <w:shd w:val="clear" w:color="auto" w:fill="D5ECF5"/>
          </w:tcPr>
          <w:p w14:paraId="7418B8F1"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19th of 33</w:t>
            </w:r>
          </w:p>
        </w:tc>
        <w:tc>
          <w:tcPr>
            <w:tcW w:w="470" w:type="pct"/>
            <w:gridSpan w:val="2"/>
            <w:tcBorders>
              <w:top w:val="nil"/>
              <w:left w:val="nil"/>
              <w:bottom w:val="nil"/>
              <w:right w:val="nil"/>
            </w:tcBorders>
            <w:shd w:val="clear" w:color="auto" w:fill="D5ECF5"/>
          </w:tcPr>
          <w:p w14:paraId="7418B8F2"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2013</w:t>
            </w:r>
          </w:p>
        </w:tc>
      </w:tr>
      <w:tr w:rsidR="00D471AD" w:rsidRPr="007D285C" w14:paraId="7418B8F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8F4"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Patent Cooperation Treaty resident applications, per billion PPP$ GDP</w:t>
            </w:r>
            <w:r w:rsidRPr="00507B05">
              <w:rPr>
                <w:rFonts w:ascii="Arial Unicode MS" w:eastAsia="Arial Unicode MS" w:hAnsi="Arial Unicode MS" w:cs="Arial Unicode MS"/>
                <w:color w:val="4472C4" w:themeColor="accent5"/>
                <w:sz w:val="14"/>
                <w:szCs w:val="14"/>
              </w:rPr>
              <w:t>²⁶</w:t>
            </w:r>
          </w:p>
        </w:tc>
        <w:tc>
          <w:tcPr>
            <w:tcW w:w="532" w:type="pct"/>
            <w:gridSpan w:val="2"/>
            <w:tcBorders>
              <w:top w:val="nil"/>
              <w:left w:val="nil"/>
              <w:bottom w:val="nil"/>
              <w:right w:val="nil"/>
            </w:tcBorders>
            <w:shd w:val="clear" w:color="auto" w:fill="E4F3F9"/>
          </w:tcPr>
          <w:p w14:paraId="7418B8F5"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21.5</w:t>
            </w:r>
          </w:p>
        </w:tc>
        <w:tc>
          <w:tcPr>
            <w:tcW w:w="579" w:type="pct"/>
            <w:tcBorders>
              <w:top w:val="nil"/>
              <w:left w:val="nil"/>
              <w:bottom w:val="nil"/>
              <w:right w:val="nil"/>
            </w:tcBorders>
            <w:shd w:val="clear" w:color="auto" w:fill="E4F3F9"/>
          </w:tcPr>
          <w:p w14:paraId="7418B8F6"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38.9</w:t>
            </w:r>
          </w:p>
        </w:tc>
        <w:tc>
          <w:tcPr>
            <w:tcW w:w="442" w:type="pct"/>
            <w:tcBorders>
              <w:top w:val="nil"/>
              <w:left w:val="nil"/>
              <w:bottom w:val="nil"/>
              <w:right w:val="nil"/>
            </w:tcBorders>
            <w:shd w:val="clear" w:color="auto" w:fill="E4F3F9"/>
          </w:tcPr>
          <w:p w14:paraId="7418B8F7"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100</w:t>
            </w:r>
          </w:p>
        </w:tc>
        <w:tc>
          <w:tcPr>
            <w:tcW w:w="523" w:type="pct"/>
            <w:tcBorders>
              <w:top w:val="nil"/>
              <w:left w:val="nil"/>
              <w:bottom w:val="nil"/>
              <w:right w:val="nil"/>
            </w:tcBorders>
            <w:shd w:val="clear" w:color="auto" w:fill="E4F3F9"/>
          </w:tcPr>
          <w:p w14:paraId="7418B8F8"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78</w:t>
            </w:r>
          </w:p>
        </w:tc>
        <w:tc>
          <w:tcPr>
            <w:tcW w:w="470" w:type="pct"/>
            <w:tcBorders>
              <w:top w:val="nil"/>
              <w:left w:val="nil"/>
              <w:bottom w:val="nil"/>
              <w:right w:val="nil"/>
            </w:tcBorders>
            <w:shd w:val="clear" w:color="auto" w:fill="E4F3F9"/>
          </w:tcPr>
          <w:p w14:paraId="7418B8F9"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22nd of 37</w:t>
            </w:r>
          </w:p>
        </w:tc>
        <w:tc>
          <w:tcPr>
            <w:tcW w:w="470" w:type="pct"/>
            <w:gridSpan w:val="2"/>
            <w:tcBorders>
              <w:top w:val="nil"/>
              <w:left w:val="nil"/>
              <w:bottom w:val="nil"/>
              <w:right w:val="nil"/>
            </w:tcBorders>
            <w:shd w:val="clear" w:color="auto" w:fill="E4F3F9"/>
          </w:tcPr>
          <w:p w14:paraId="7418B8FA"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2016</w:t>
            </w:r>
          </w:p>
        </w:tc>
      </w:tr>
      <w:tr w:rsidR="00D471AD" w:rsidRPr="007D285C" w14:paraId="7418B90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8FC" w14:textId="77777777" w:rsidR="00D471AD" w:rsidRPr="00507B05" w:rsidRDefault="00D471AD" w:rsidP="004A31A9">
            <w:pPr>
              <w:pStyle w:val="TableParagraph"/>
              <w:spacing w:before="50"/>
              <w:ind w:left="91"/>
              <w:rPr>
                <w:rFonts w:ascii="Arial" w:eastAsia="Arial" w:hAnsi="Arial" w:cs="Arial"/>
                <w:color w:val="4472C4" w:themeColor="accent5"/>
                <w:sz w:val="14"/>
                <w:szCs w:val="14"/>
              </w:rPr>
            </w:pPr>
            <w:r w:rsidRPr="00507B05">
              <w:rPr>
                <w:rFonts w:ascii="Arial" w:eastAsia="Arial" w:hAnsi="Arial" w:cs="Arial" w:hint="eastAsia"/>
                <w:color w:val="4472C4" w:themeColor="accent5"/>
                <w:sz w:val="14"/>
                <w:szCs w:val="14"/>
              </w:rPr>
              <w:t>National office resident trademark registrations, per bn PPP$ GDP</w:t>
            </w:r>
            <w:r w:rsidRPr="00507B05">
              <w:rPr>
                <w:rFonts w:ascii="Arial Unicode MS" w:eastAsia="Arial Unicode MS" w:hAnsi="Arial Unicode MS" w:cs="Arial Unicode MS"/>
                <w:color w:val="4472C4" w:themeColor="accent5"/>
                <w:sz w:val="14"/>
                <w:szCs w:val="14"/>
              </w:rPr>
              <w:t>²⁶</w:t>
            </w:r>
          </w:p>
        </w:tc>
        <w:tc>
          <w:tcPr>
            <w:tcW w:w="532" w:type="pct"/>
            <w:gridSpan w:val="2"/>
            <w:tcBorders>
              <w:top w:val="nil"/>
              <w:left w:val="nil"/>
              <w:bottom w:val="nil"/>
              <w:right w:val="nil"/>
            </w:tcBorders>
            <w:shd w:val="clear" w:color="auto" w:fill="D5ECF5"/>
          </w:tcPr>
          <w:p w14:paraId="7418B8FD"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26</w:t>
            </w:r>
          </w:p>
        </w:tc>
        <w:tc>
          <w:tcPr>
            <w:tcW w:w="579" w:type="pct"/>
            <w:tcBorders>
              <w:top w:val="nil"/>
              <w:left w:val="nil"/>
              <w:bottom w:val="nil"/>
              <w:right w:val="nil"/>
            </w:tcBorders>
            <w:shd w:val="clear" w:color="auto" w:fill="D5ECF5"/>
          </w:tcPr>
          <w:p w14:paraId="7418B8FE"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27</w:t>
            </w:r>
          </w:p>
        </w:tc>
        <w:tc>
          <w:tcPr>
            <w:tcW w:w="442" w:type="pct"/>
            <w:tcBorders>
              <w:top w:val="nil"/>
              <w:left w:val="nil"/>
              <w:bottom w:val="nil"/>
              <w:right w:val="nil"/>
            </w:tcBorders>
            <w:shd w:val="clear" w:color="auto" w:fill="D5ECF5"/>
          </w:tcPr>
          <w:p w14:paraId="7418B8FF"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56</w:t>
            </w:r>
          </w:p>
        </w:tc>
        <w:tc>
          <w:tcPr>
            <w:tcW w:w="523" w:type="pct"/>
            <w:tcBorders>
              <w:top w:val="nil"/>
              <w:left w:val="nil"/>
              <w:bottom w:val="nil"/>
              <w:right w:val="nil"/>
            </w:tcBorders>
            <w:shd w:val="clear" w:color="auto" w:fill="D5ECF5"/>
          </w:tcPr>
          <w:p w14:paraId="7418B900"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54</w:t>
            </w:r>
          </w:p>
        </w:tc>
        <w:tc>
          <w:tcPr>
            <w:tcW w:w="470" w:type="pct"/>
            <w:tcBorders>
              <w:top w:val="nil"/>
              <w:left w:val="nil"/>
              <w:bottom w:val="nil"/>
              <w:right w:val="nil"/>
            </w:tcBorders>
            <w:shd w:val="clear" w:color="auto" w:fill="D5ECF5"/>
          </w:tcPr>
          <w:p w14:paraId="7418B901"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19th of 37</w:t>
            </w:r>
          </w:p>
        </w:tc>
        <w:tc>
          <w:tcPr>
            <w:tcW w:w="470" w:type="pct"/>
            <w:gridSpan w:val="2"/>
            <w:tcBorders>
              <w:top w:val="nil"/>
              <w:left w:val="nil"/>
              <w:bottom w:val="nil"/>
              <w:right w:val="nil"/>
            </w:tcBorders>
            <w:shd w:val="clear" w:color="auto" w:fill="D5ECF5"/>
          </w:tcPr>
          <w:p w14:paraId="7418B902" w14:textId="77777777" w:rsidR="00D471AD" w:rsidRPr="00507B05" w:rsidRDefault="00D471AD" w:rsidP="004A31A9">
            <w:pPr>
              <w:pStyle w:val="TableParagraph"/>
              <w:spacing w:before="50"/>
              <w:ind w:right="99"/>
              <w:jc w:val="right"/>
              <w:rPr>
                <w:rFonts w:ascii="Arial" w:eastAsia="Arial" w:hAnsi="Arial" w:cs="Arial"/>
                <w:color w:val="4472C4" w:themeColor="accent5"/>
                <w:sz w:val="14"/>
                <w:szCs w:val="14"/>
              </w:rPr>
            </w:pPr>
            <w:r w:rsidRPr="00507B05">
              <w:rPr>
                <w:rFonts w:ascii="Arial" w:eastAsia="Arial" w:hAnsi="Arial" w:cs="Arial"/>
                <w:color w:val="4472C4" w:themeColor="accent5"/>
                <w:sz w:val="14"/>
                <w:szCs w:val="14"/>
              </w:rPr>
              <w:t>2013</w:t>
            </w:r>
          </w:p>
        </w:tc>
      </w:tr>
    </w:tbl>
    <w:p w14:paraId="7418B904" w14:textId="77777777" w:rsidR="00D471AD" w:rsidRPr="008B33FB" w:rsidRDefault="00D471AD" w:rsidP="00D471AD">
      <w:pPr>
        <w:spacing w:before="120" w:after="120"/>
        <w:rPr>
          <w:rFonts w:cs="Arial"/>
          <w:color w:val="22789A"/>
          <w:sz w:val="16"/>
          <w:szCs w:val="16"/>
        </w:rPr>
      </w:pPr>
      <w:r w:rsidRPr="008B33FB">
        <w:rPr>
          <w:rFonts w:cs="Arial"/>
          <w:color w:val="22789A"/>
          <w:sz w:val="16"/>
          <w:szCs w:val="16"/>
        </w:rPr>
        <w:t>– = data not available</w:t>
      </w:r>
    </w:p>
    <w:p w14:paraId="7418B905" w14:textId="77777777" w:rsidR="00D471AD" w:rsidRPr="008B33FB" w:rsidRDefault="00D471AD" w:rsidP="00D471AD">
      <w:pPr>
        <w:spacing w:before="120" w:after="120"/>
        <w:rPr>
          <w:rFonts w:eastAsia="Times New Roman" w:cs="Arial"/>
          <w:color w:val="22789A"/>
          <w:sz w:val="16"/>
          <w:szCs w:val="16"/>
          <w:lang w:eastAsia="en-AU"/>
        </w:rPr>
      </w:pPr>
      <w:r w:rsidRPr="008671B7">
        <w:rPr>
          <w:rFonts w:eastAsia="Times New Roman" w:cs="Arial"/>
          <w:b/>
          <w:i/>
          <w:iCs/>
          <w:color w:val="22789A"/>
          <w:sz w:val="16"/>
          <w:szCs w:val="16"/>
          <w:lang w:eastAsia="en-AU"/>
        </w:rPr>
        <w:t>Table notes</w:t>
      </w:r>
      <w:r w:rsidRPr="008671B7">
        <w:rPr>
          <w:rFonts w:eastAsia="Times New Roman" w:cs="Arial"/>
          <w:b/>
          <w:color w:val="22789A"/>
          <w:sz w:val="16"/>
          <w:szCs w:val="16"/>
          <w:lang w:eastAsia="en-AU"/>
        </w:rPr>
        <w:t>:</w:t>
      </w:r>
      <w:r w:rsidRPr="008671B7">
        <w:rPr>
          <w:rFonts w:eastAsia="Times New Roman" w:cs="Arial"/>
          <w:b/>
          <w:bCs/>
          <w:color w:val="22789A"/>
          <w:sz w:val="16"/>
          <w:szCs w:val="16"/>
          <w:lang w:eastAsia="en-AU"/>
        </w:rPr>
        <w:t xml:space="preserve"> (i)</w:t>
      </w:r>
      <w:r w:rsidRPr="008671B7">
        <w:rPr>
          <w:rFonts w:eastAsia="Times New Roman" w:cs="Arial"/>
          <w:color w:val="22789A"/>
          <w:sz w:val="16"/>
          <w:szCs w:val="16"/>
          <w:lang w:eastAsia="en-AU"/>
        </w:rPr>
        <w:t xml:space="preserve"> Data are presented in calendar year format. Where the data are in financial years, it is expressed in terms of the year where the financial year begins e.g. 2010–11 is shown as 2010. </w:t>
      </w:r>
      <w:r w:rsidRPr="008671B7">
        <w:rPr>
          <w:rFonts w:eastAsia="Times New Roman" w:cs="Arial"/>
          <w:b/>
          <w:bCs/>
          <w:color w:val="22789A"/>
          <w:sz w:val="16"/>
          <w:szCs w:val="16"/>
          <w:lang w:eastAsia="en-AU"/>
        </w:rPr>
        <w:t xml:space="preserve">(ii) </w:t>
      </w:r>
      <w:r w:rsidRPr="008671B7">
        <w:rPr>
          <w:rFonts w:eastAsia="Times New Roman" w:cs="Arial"/>
          <w:color w:val="22789A"/>
          <w:sz w:val="16"/>
          <w:szCs w:val="16"/>
          <w:lang w:eastAsia="en-AU"/>
        </w:rPr>
        <w:t>OECD+ includes all countries in the OECD, as well as China, Taiwan and Singapore (where data is available).</w:t>
      </w:r>
      <w:r w:rsidRPr="008671B7">
        <w:rPr>
          <w:rFonts w:eastAsia="Times New Roman" w:cs="Arial"/>
          <w:b/>
          <w:bCs/>
          <w:color w:val="22789A"/>
          <w:sz w:val="16"/>
          <w:szCs w:val="16"/>
          <w:lang w:eastAsia="en-AU"/>
        </w:rPr>
        <w:t xml:space="preserve"> (iii)</w:t>
      </w:r>
      <w:r w:rsidRPr="008671B7">
        <w:rPr>
          <w:rFonts w:eastAsia="Times New Roman" w:cs="Arial"/>
          <w:color w:val="22789A"/>
          <w:sz w:val="16"/>
          <w:szCs w:val="16"/>
          <w:lang w:eastAsia="en-AU"/>
        </w:rPr>
        <w:t xml:space="preserve"> The ‘Australia’s score’ field presents the Australian values used in the OECD+ comparisons. </w:t>
      </w:r>
      <w:r w:rsidRPr="008671B7">
        <w:rPr>
          <w:rFonts w:eastAsia="Times New Roman" w:cs="Arial"/>
          <w:b/>
          <w:bCs/>
          <w:color w:val="22789A"/>
          <w:sz w:val="16"/>
          <w:szCs w:val="16"/>
          <w:lang w:eastAsia="en-AU"/>
        </w:rPr>
        <w:t>(iv)</w:t>
      </w:r>
      <w:r w:rsidRPr="008671B7">
        <w:rPr>
          <w:rFonts w:eastAsia="Times New Roman" w:cs="Arial"/>
          <w:color w:val="22789A"/>
          <w:sz w:val="16"/>
          <w:szCs w:val="16"/>
          <w:lang w:eastAsia="en-AU"/>
        </w:rPr>
        <w:t xml:space="preserve"> This is the arithmetic (simple) average of the OECD+ country scores. </w:t>
      </w:r>
      <w:r w:rsidRPr="008671B7">
        <w:rPr>
          <w:rFonts w:eastAsia="Times New Roman" w:cs="Arial"/>
          <w:b/>
          <w:bCs/>
          <w:color w:val="22789A"/>
          <w:sz w:val="16"/>
          <w:szCs w:val="16"/>
          <w:lang w:eastAsia="en-AU"/>
        </w:rPr>
        <w:t>(v)</w:t>
      </w:r>
      <w:r w:rsidRPr="008671B7">
        <w:rPr>
          <w:rFonts w:eastAsia="Times New Roman" w:cs="Arial"/>
          <w:color w:val="22789A"/>
          <w:sz w:val="16"/>
          <w:szCs w:val="16"/>
          <w:lang w:eastAsia="en-AU"/>
        </w:rPr>
        <w:t xml:space="preserve"> This is the median of the OECD+ country scores </w:t>
      </w:r>
      <w:r w:rsidRPr="008671B7">
        <w:rPr>
          <w:rFonts w:eastAsia="Times New Roman" w:cs="Arial"/>
          <w:b/>
          <w:bCs/>
          <w:color w:val="22789A"/>
          <w:sz w:val="16"/>
          <w:szCs w:val="16"/>
          <w:lang w:eastAsia="en-AU"/>
        </w:rPr>
        <w:t>(vi)</w:t>
      </w:r>
      <w:r w:rsidRPr="008671B7">
        <w:rPr>
          <w:rFonts w:eastAsia="Times New Roman" w:cs="Arial"/>
          <w:color w:val="22789A"/>
          <w:sz w:val="16"/>
          <w:szCs w:val="16"/>
          <w:lang w:eastAsia="en-AU"/>
        </w:rPr>
        <w:t xml:space="preserve"> This is the arithmetic (simple) average of the top five OECD+ countries in a ranked list. </w:t>
      </w:r>
      <w:r w:rsidRPr="008671B7">
        <w:rPr>
          <w:rFonts w:eastAsia="Times New Roman" w:cs="Arial"/>
          <w:b/>
          <w:bCs/>
          <w:color w:val="22789A"/>
          <w:sz w:val="16"/>
          <w:szCs w:val="16"/>
          <w:lang w:eastAsia="en-AU"/>
        </w:rPr>
        <w:t>(vii)</w:t>
      </w:r>
      <w:r w:rsidRPr="008671B7">
        <w:rPr>
          <w:rFonts w:eastAsia="Times New Roman" w:cs="Arial"/>
          <w:color w:val="22789A"/>
          <w:sz w:val="16"/>
          <w:szCs w:val="16"/>
          <w:lang w:eastAsia="en-AU"/>
        </w:rPr>
        <w:t xml:space="preserve"> This represents Australia’s distance from the frontier as defined by the average of the top five ranked OECD+ countries. It is calculated as 100*(Top five average - Australia’s score)/ Top 5 average. Where the solution is a negative value or zero, ‘no gap’ is shown in the cell. </w:t>
      </w:r>
      <w:r w:rsidRPr="008671B7">
        <w:rPr>
          <w:rFonts w:eastAsia="Times New Roman" w:cs="Arial"/>
          <w:b/>
          <w:bCs/>
          <w:color w:val="22789A"/>
          <w:sz w:val="16"/>
          <w:szCs w:val="16"/>
          <w:lang w:eastAsia="en-AU"/>
        </w:rPr>
        <w:t>(viii)</w:t>
      </w:r>
      <w:r w:rsidRPr="008671B7">
        <w:rPr>
          <w:rFonts w:eastAsia="Times New Roman" w:cs="Arial"/>
          <w:color w:val="22789A"/>
          <w:sz w:val="16"/>
          <w:szCs w:val="16"/>
          <w:lang w:eastAsia="en-AU"/>
        </w:rPr>
        <w:t xml:space="preserve"> OECD+ rankings are performed on those OECD+ countries for which data are available. Individual data availability may vary between indicators.</w:t>
      </w:r>
    </w:p>
    <w:p w14:paraId="7418B906" w14:textId="77777777" w:rsidR="00D471AD" w:rsidRPr="008B33FB" w:rsidRDefault="00D471AD" w:rsidP="00D471AD">
      <w:pPr>
        <w:spacing w:before="120" w:after="120"/>
        <w:rPr>
          <w:rFonts w:eastAsia="Times New Roman" w:cs="Arial"/>
          <w:i/>
          <w:iCs/>
          <w:color w:val="22789A"/>
          <w:sz w:val="16"/>
          <w:szCs w:val="16"/>
          <w:lang w:eastAsia="en-AU"/>
        </w:rPr>
      </w:pPr>
      <w:r w:rsidRPr="008671B7">
        <w:rPr>
          <w:rFonts w:eastAsia="Times New Roman" w:cs="Arial"/>
          <w:b/>
          <w:i/>
          <w:iCs/>
          <w:color w:val="22789A"/>
          <w:sz w:val="16"/>
          <w:szCs w:val="16"/>
          <w:lang w:eastAsia="en-AU"/>
        </w:rPr>
        <w:t>Sources</w:t>
      </w:r>
      <w:r w:rsidRPr="008671B7">
        <w:rPr>
          <w:rFonts w:eastAsia="Times New Roman" w:cs="Arial"/>
          <w:b/>
          <w:color w:val="22789A"/>
          <w:sz w:val="16"/>
          <w:szCs w:val="16"/>
          <w:lang w:eastAsia="en-AU"/>
        </w:rPr>
        <w:t xml:space="preserve"> (1 - 26):</w:t>
      </w:r>
      <w:r w:rsidRPr="008671B7">
        <w:rPr>
          <w:rFonts w:eastAsia="Times New Roman" w:cs="Arial"/>
          <w:b/>
          <w:bCs/>
          <w:color w:val="22789A"/>
          <w:sz w:val="16"/>
          <w:szCs w:val="16"/>
          <w:lang w:eastAsia="en-AU"/>
        </w:rPr>
        <w:t xml:space="preserve"> [1] </w:t>
      </w:r>
      <w:r w:rsidRPr="008671B7">
        <w:rPr>
          <w:rFonts w:eastAsia="Times New Roman" w:cs="Arial"/>
          <w:color w:val="22789A"/>
          <w:sz w:val="16"/>
          <w:szCs w:val="16"/>
          <w:lang w:eastAsia="en-AU"/>
        </w:rPr>
        <w:t xml:space="preserve">OECD (2016) Main Science and Technology Indicators, 2016-1, URL: http://stats.oecd.org/; </w:t>
      </w:r>
      <w:r w:rsidRPr="008671B7">
        <w:rPr>
          <w:rFonts w:eastAsia="Times New Roman" w:cs="Arial"/>
          <w:b/>
          <w:bCs/>
          <w:color w:val="22789A"/>
          <w:sz w:val="16"/>
          <w:szCs w:val="16"/>
          <w:lang w:eastAsia="en-AU"/>
        </w:rPr>
        <w:t xml:space="preserve">[2] </w:t>
      </w:r>
      <w:r w:rsidRPr="008671B7">
        <w:rPr>
          <w:rFonts w:eastAsia="Times New Roman" w:cs="Arial"/>
          <w:color w:val="22789A"/>
          <w:sz w:val="16"/>
          <w:szCs w:val="16"/>
          <w:lang w:eastAsia="en-AU"/>
        </w:rPr>
        <w:t>ABS (2008–2014) Summary of IT Use and Innovation in Australian Business, cat. no. 8166.0, 2006–07 - 2012–13, Summary of Innovation in Australian Business, URL: http://www.abs.gov.au/;</w:t>
      </w:r>
      <w:r w:rsidRPr="008671B7">
        <w:rPr>
          <w:rFonts w:eastAsia="Times New Roman" w:cs="Arial"/>
          <w:b/>
          <w:bCs/>
          <w:color w:val="22789A"/>
          <w:sz w:val="16"/>
          <w:szCs w:val="16"/>
          <w:lang w:eastAsia="en-AU"/>
        </w:rPr>
        <w:t xml:space="preserve"> [3]</w:t>
      </w:r>
      <w:r w:rsidRPr="008671B7">
        <w:rPr>
          <w:rFonts w:eastAsia="Times New Roman" w:cs="Arial"/>
          <w:color w:val="22789A"/>
          <w:sz w:val="16"/>
          <w:szCs w:val="16"/>
          <w:lang w:eastAsia="en-AU"/>
        </w:rPr>
        <w:t xml:space="preserve"> ABS (2014–2016) Summary of IT Use and Innovation in Australian Business, cat. no. 8166.0, 2012–13 - 2014–15, Summary of Innovation in Australian Business, by employment size, by industry, URL: http://www.abs.gov.au/; </w:t>
      </w:r>
      <w:r w:rsidRPr="008671B7">
        <w:rPr>
          <w:rFonts w:eastAsia="Times New Roman" w:cs="Arial"/>
          <w:b/>
          <w:bCs/>
          <w:color w:val="22789A"/>
          <w:sz w:val="16"/>
          <w:szCs w:val="16"/>
          <w:lang w:eastAsia="en-AU"/>
        </w:rPr>
        <w:t>[4]</w:t>
      </w:r>
      <w:r w:rsidRPr="008671B7">
        <w:rPr>
          <w:rFonts w:eastAsia="Times New Roman" w:cs="Arial"/>
          <w:color w:val="22789A"/>
          <w:sz w:val="16"/>
          <w:szCs w:val="16"/>
          <w:lang w:eastAsia="en-AU"/>
        </w:rPr>
        <w:t xml:space="preserve"> OECD (2015) Science, Technology and Industry Scoreboard, 2015, DOI: 10.1787/20725345; </w:t>
      </w:r>
      <w:r w:rsidRPr="008671B7">
        <w:rPr>
          <w:rFonts w:eastAsia="Times New Roman" w:cs="Arial"/>
          <w:b/>
          <w:bCs/>
          <w:color w:val="22789A"/>
          <w:sz w:val="16"/>
          <w:szCs w:val="16"/>
          <w:lang w:eastAsia="en-AU"/>
        </w:rPr>
        <w:t xml:space="preserve">[5] </w:t>
      </w:r>
      <w:r w:rsidRPr="008671B7">
        <w:rPr>
          <w:rFonts w:eastAsia="Times New Roman" w:cs="Arial"/>
          <w:color w:val="22789A"/>
          <w:sz w:val="16"/>
          <w:szCs w:val="16"/>
          <w:lang w:eastAsia="en-AU"/>
        </w:rPr>
        <w:t xml:space="preserve">ABS (2015–2016) Special request, 2015-1 - 2016-1; </w:t>
      </w:r>
      <w:r w:rsidRPr="008671B7">
        <w:rPr>
          <w:rFonts w:eastAsia="Times New Roman" w:cs="Arial"/>
          <w:b/>
          <w:bCs/>
          <w:color w:val="22789A"/>
          <w:sz w:val="16"/>
          <w:szCs w:val="16"/>
          <w:lang w:eastAsia="en-AU"/>
        </w:rPr>
        <w:t xml:space="preserve">[6] </w:t>
      </w:r>
      <w:r w:rsidRPr="008671B7">
        <w:rPr>
          <w:rFonts w:eastAsia="Times New Roman" w:cs="Arial"/>
          <w:color w:val="22789A"/>
          <w:sz w:val="16"/>
          <w:szCs w:val="16"/>
          <w:lang w:eastAsia="en-AU"/>
        </w:rPr>
        <w:t xml:space="preserve">OECD (2013) Science, Technology and Industry Scoreboard, 2013, DOI: 10.1787/sti_scoreboard-2013-en; </w:t>
      </w:r>
      <w:r w:rsidRPr="008671B7">
        <w:rPr>
          <w:rFonts w:eastAsia="Times New Roman" w:cs="Arial"/>
          <w:b/>
          <w:bCs/>
          <w:color w:val="22789A"/>
          <w:sz w:val="16"/>
          <w:szCs w:val="16"/>
          <w:lang w:eastAsia="en-AU"/>
        </w:rPr>
        <w:t>[7]</w:t>
      </w:r>
      <w:r w:rsidRPr="008671B7">
        <w:rPr>
          <w:rFonts w:eastAsia="Times New Roman" w:cs="Arial"/>
          <w:color w:val="22789A"/>
          <w:sz w:val="16"/>
          <w:szCs w:val="16"/>
          <w:lang w:eastAsia="en-AU"/>
        </w:rPr>
        <w:t xml:space="preserve"> ABS (2008–2013) Selected Characteristics of Australian Business, cat. no. 8167.0, 2005–06 - 2011–12, Business innovation, URL: http://www.abs.gov.au/; </w:t>
      </w:r>
      <w:r w:rsidRPr="008671B7">
        <w:rPr>
          <w:rFonts w:eastAsia="Times New Roman" w:cs="Arial"/>
          <w:b/>
          <w:bCs/>
          <w:color w:val="22789A"/>
          <w:sz w:val="16"/>
          <w:szCs w:val="16"/>
          <w:lang w:eastAsia="en-AU"/>
        </w:rPr>
        <w:t>[8]</w:t>
      </w:r>
      <w:r w:rsidRPr="008671B7">
        <w:rPr>
          <w:rFonts w:eastAsia="Times New Roman" w:cs="Arial"/>
          <w:color w:val="22789A"/>
          <w:sz w:val="16"/>
          <w:szCs w:val="16"/>
          <w:lang w:eastAsia="en-AU"/>
        </w:rPr>
        <w:t xml:space="preserve"> ABS (2016) Innovation in Australian Business, cat. no. 8158.0, 2014–15, Good and services innovation, URL: http://www.abs.gov.au/; </w:t>
      </w:r>
      <w:r w:rsidRPr="008671B7">
        <w:rPr>
          <w:rFonts w:eastAsia="Times New Roman" w:cs="Arial"/>
          <w:b/>
          <w:bCs/>
          <w:color w:val="22789A"/>
          <w:sz w:val="16"/>
          <w:szCs w:val="16"/>
          <w:lang w:eastAsia="en-AU"/>
        </w:rPr>
        <w:t>[9]</w:t>
      </w:r>
      <w:r w:rsidRPr="008671B7">
        <w:rPr>
          <w:rFonts w:eastAsia="Times New Roman" w:cs="Arial"/>
          <w:color w:val="22789A"/>
          <w:sz w:val="16"/>
          <w:szCs w:val="16"/>
          <w:lang w:eastAsia="en-AU"/>
        </w:rPr>
        <w:t xml:space="preserve"> ABS (2016) Innovation in Australian Business, cat. no. 8158.0, 2014–15, Operational Processes by Innovation, URL: http://www.abs.gov.au/; </w:t>
      </w:r>
      <w:r w:rsidRPr="008671B7">
        <w:rPr>
          <w:rFonts w:eastAsia="Times New Roman" w:cs="Arial"/>
          <w:b/>
          <w:bCs/>
          <w:color w:val="22789A"/>
          <w:sz w:val="16"/>
          <w:szCs w:val="16"/>
          <w:lang w:eastAsia="en-AU"/>
        </w:rPr>
        <w:t>[10]</w:t>
      </w:r>
      <w:r w:rsidRPr="008671B7">
        <w:rPr>
          <w:rFonts w:eastAsia="Times New Roman" w:cs="Arial"/>
          <w:color w:val="22789A"/>
          <w:sz w:val="16"/>
          <w:szCs w:val="16"/>
          <w:lang w:eastAsia="en-AU"/>
        </w:rPr>
        <w:t xml:space="preserve"> ABS (2016) Innovation in Australian Business, cat. no. 8158.0, 2014–15, Organisational/managerial processes, URL: http://www.abs.gov.au/; </w:t>
      </w:r>
      <w:r w:rsidRPr="008671B7">
        <w:rPr>
          <w:rFonts w:eastAsia="Times New Roman" w:cs="Arial"/>
          <w:b/>
          <w:bCs/>
          <w:color w:val="22789A"/>
          <w:sz w:val="16"/>
          <w:szCs w:val="16"/>
          <w:lang w:eastAsia="en-AU"/>
        </w:rPr>
        <w:t xml:space="preserve">[11] </w:t>
      </w:r>
      <w:r w:rsidRPr="008671B7">
        <w:rPr>
          <w:rFonts w:eastAsia="Times New Roman" w:cs="Arial"/>
          <w:color w:val="22789A"/>
          <w:sz w:val="16"/>
          <w:szCs w:val="16"/>
          <w:lang w:eastAsia="en-AU"/>
        </w:rPr>
        <w:t xml:space="preserve">ABS (2016) Innovation in Australian Business, cat. no. 8158.0, 2014–15, Marketing methods innovation., URL: http://www.abs.gov.au/; </w:t>
      </w:r>
      <w:r w:rsidRPr="008671B7">
        <w:rPr>
          <w:rFonts w:eastAsia="Times New Roman" w:cs="Arial"/>
          <w:b/>
          <w:bCs/>
          <w:color w:val="22789A"/>
          <w:sz w:val="16"/>
          <w:szCs w:val="16"/>
          <w:lang w:eastAsia="en-AU"/>
        </w:rPr>
        <w:t>[12]</w:t>
      </w:r>
      <w:r w:rsidRPr="008671B7">
        <w:rPr>
          <w:rFonts w:eastAsia="Times New Roman" w:cs="Arial"/>
          <w:color w:val="22789A"/>
          <w:sz w:val="16"/>
          <w:szCs w:val="16"/>
          <w:lang w:eastAsia="en-AU"/>
        </w:rPr>
        <w:t xml:space="preserve"> ABS (2008–2014) Innovation in Australian Business, cat. no. 8158.0, 2008–13, Drivers of Innovation, URL: http://www.abs.gov.au/;</w:t>
      </w:r>
      <w:r w:rsidRPr="008671B7">
        <w:rPr>
          <w:rFonts w:eastAsia="Times New Roman" w:cs="Arial"/>
          <w:b/>
          <w:bCs/>
          <w:color w:val="22789A"/>
          <w:sz w:val="16"/>
          <w:szCs w:val="16"/>
          <w:lang w:eastAsia="en-AU"/>
        </w:rPr>
        <w:t xml:space="preserve"> [13] </w:t>
      </w:r>
      <w:r w:rsidRPr="008671B7">
        <w:rPr>
          <w:rFonts w:eastAsia="Times New Roman" w:cs="Arial"/>
          <w:color w:val="22789A"/>
          <w:sz w:val="16"/>
          <w:szCs w:val="16"/>
          <w:lang w:eastAsia="en-AU"/>
        </w:rPr>
        <w:t xml:space="preserve">ABS (2016) Innovation in Australian Business, cat. no. 8158.0, 2014–15, Drivers of Innovation , URL: http://www.abs.gov.au/; </w:t>
      </w:r>
      <w:r w:rsidRPr="008671B7">
        <w:rPr>
          <w:rFonts w:eastAsia="Times New Roman" w:cs="Arial"/>
          <w:b/>
          <w:bCs/>
          <w:color w:val="22789A"/>
          <w:sz w:val="16"/>
          <w:szCs w:val="16"/>
          <w:lang w:eastAsia="en-AU"/>
        </w:rPr>
        <w:t>[14]</w:t>
      </w:r>
      <w:r w:rsidRPr="008671B7">
        <w:rPr>
          <w:rFonts w:eastAsia="Times New Roman" w:cs="Arial"/>
          <w:color w:val="22789A"/>
          <w:sz w:val="16"/>
          <w:szCs w:val="16"/>
          <w:lang w:eastAsia="en-AU"/>
        </w:rPr>
        <w:t xml:space="preserve"> ABS (2014) Australian Industry, cat. no. 8155.0, 2012–13, Manufacturing Industry by ANZSIC Class; </w:t>
      </w:r>
      <w:r w:rsidRPr="008671B7">
        <w:rPr>
          <w:rFonts w:eastAsia="Times New Roman" w:cs="Arial"/>
          <w:b/>
          <w:bCs/>
          <w:color w:val="22789A"/>
          <w:sz w:val="16"/>
          <w:szCs w:val="16"/>
          <w:lang w:eastAsia="en-AU"/>
        </w:rPr>
        <w:t>[15]</w:t>
      </w:r>
      <w:r w:rsidRPr="008671B7">
        <w:rPr>
          <w:rFonts w:eastAsia="Times New Roman" w:cs="Arial"/>
          <w:color w:val="22789A"/>
          <w:sz w:val="16"/>
          <w:szCs w:val="16"/>
          <w:lang w:eastAsia="en-AU"/>
        </w:rPr>
        <w:t xml:space="preserve"> ABS (2015–2016) Australian Industry, cat. no. 8155.0, 2013–14 - 2014–15, Manufacturing industry;</w:t>
      </w:r>
      <w:r w:rsidRPr="008671B7">
        <w:rPr>
          <w:rFonts w:eastAsia="Times New Roman" w:cs="Arial"/>
          <w:b/>
          <w:bCs/>
          <w:color w:val="22789A"/>
          <w:sz w:val="16"/>
          <w:szCs w:val="16"/>
          <w:lang w:eastAsia="en-AU"/>
        </w:rPr>
        <w:t xml:space="preserve"> [16] </w:t>
      </w:r>
      <w:r w:rsidRPr="008671B7">
        <w:rPr>
          <w:rFonts w:eastAsia="Times New Roman" w:cs="Arial"/>
          <w:color w:val="22789A"/>
          <w:sz w:val="16"/>
          <w:szCs w:val="16"/>
          <w:lang w:eastAsia="en-AU"/>
        </w:rPr>
        <w:t>ABS (2016) Australian National Accounts: National Income, Expenditure and Product, cat. no. 5206.0, June 2016, Income from GDP and Changes in Inventories, Annual;</w:t>
      </w:r>
      <w:r w:rsidRPr="008671B7">
        <w:rPr>
          <w:rFonts w:eastAsia="Times New Roman" w:cs="Arial"/>
          <w:b/>
          <w:bCs/>
          <w:color w:val="22789A"/>
          <w:sz w:val="16"/>
          <w:szCs w:val="16"/>
          <w:lang w:eastAsia="en-AU"/>
        </w:rPr>
        <w:t xml:space="preserve"> [17]</w:t>
      </w:r>
      <w:r w:rsidRPr="008671B7">
        <w:rPr>
          <w:rFonts w:eastAsia="Times New Roman" w:cs="Arial"/>
          <w:color w:val="22789A"/>
          <w:sz w:val="16"/>
          <w:szCs w:val="16"/>
          <w:lang w:eastAsia="en-AU"/>
        </w:rPr>
        <w:t xml:space="preserve"> OECD (2015) Entrepreneurship at a Glance , 2015, URL: http://www.oecd.org/; </w:t>
      </w:r>
      <w:r w:rsidRPr="008671B7">
        <w:rPr>
          <w:rFonts w:eastAsia="Times New Roman" w:cs="Arial"/>
          <w:b/>
          <w:bCs/>
          <w:color w:val="22789A"/>
          <w:sz w:val="16"/>
          <w:szCs w:val="16"/>
          <w:lang w:eastAsia="en-AU"/>
        </w:rPr>
        <w:t>[18]</w:t>
      </w:r>
      <w:r w:rsidRPr="008671B7">
        <w:rPr>
          <w:rFonts w:eastAsia="Times New Roman" w:cs="Arial"/>
          <w:color w:val="22789A"/>
          <w:sz w:val="16"/>
          <w:szCs w:val="16"/>
          <w:lang w:eastAsia="en-AU"/>
        </w:rPr>
        <w:t xml:space="preserve"> ABS (2007–2015) Counts of Australian Businesses, including Entries and Exits, cat. no. 8165.0, 2007–2014, Businesses by Industry Division, URL: http://www.abs.gov.au/; </w:t>
      </w:r>
      <w:r w:rsidRPr="008671B7">
        <w:rPr>
          <w:rFonts w:eastAsia="Times New Roman" w:cs="Arial"/>
          <w:b/>
          <w:bCs/>
          <w:color w:val="22789A"/>
          <w:sz w:val="16"/>
          <w:szCs w:val="16"/>
          <w:lang w:eastAsia="en-AU"/>
        </w:rPr>
        <w:t>[19]</w:t>
      </w:r>
      <w:r w:rsidRPr="008671B7">
        <w:rPr>
          <w:rFonts w:eastAsia="Times New Roman" w:cs="Arial"/>
          <w:color w:val="22789A"/>
          <w:sz w:val="16"/>
          <w:szCs w:val="16"/>
          <w:lang w:eastAsia="en-AU"/>
        </w:rPr>
        <w:t xml:space="preserve"> ABS (2016) Counts of Australian Businesses, including Entries and Exits, cat. no. 8165.0, 2015, URL: http://www.abs.gov.au/; </w:t>
      </w:r>
      <w:r w:rsidRPr="008671B7">
        <w:rPr>
          <w:rFonts w:eastAsia="Times New Roman" w:cs="Arial"/>
          <w:b/>
          <w:bCs/>
          <w:color w:val="22789A"/>
          <w:sz w:val="16"/>
          <w:szCs w:val="16"/>
          <w:lang w:eastAsia="en-AU"/>
        </w:rPr>
        <w:t xml:space="preserve">[20] </w:t>
      </w:r>
      <w:r w:rsidRPr="008671B7">
        <w:rPr>
          <w:rFonts w:eastAsia="Times New Roman" w:cs="Arial"/>
          <w:color w:val="22789A"/>
          <w:sz w:val="16"/>
          <w:szCs w:val="16"/>
          <w:lang w:eastAsia="en-AU"/>
        </w:rPr>
        <w:t xml:space="preserve">OECD (2016) Structural and Demographic Business Statistics (SDBS) Database, 2016, Business Demography Indicators ISIC 4, URL: http://dx.doi.org/; </w:t>
      </w:r>
      <w:r w:rsidRPr="008671B7">
        <w:rPr>
          <w:rFonts w:eastAsia="Times New Roman" w:cs="Arial"/>
          <w:b/>
          <w:bCs/>
          <w:color w:val="22789A"/>
          <w:sz w:val="16"/>
          <w:szCs w:val="16"/>
          <w:lang w:eastAsia="en-AU"/>
        </w:rPr>
        <w:t>[21]</w:t>
      </w:r>
      <w:r w:rsidRPr="008671B7">
        <w:rPr>
          <w:rFonts w:eastAsia="Times New Roman" w:cs="Arial"/>
          <w:color w:val="22789A"/>
          <w:sz w:val="16"/>
          <w:szCs w:val="16"/>
          <w:lang w:eastAsia="en-AU"/>
        </w:rPr>
        <w:t xml:space="preserve"> Global Entrepreneurship Research Association (GERA) (2015) Global Entrepreneurship Monitor (GEM), 2014, URL: http://www.gemconsortium.org/; </w:t>
      </w:r>
      <w:r w:rsidRPr="008671B7">
        <w:rPr>
          <w:rFonts w:eastAsia="Times New Roman" w:cs="Arial"/>
          <w:b/>
          <w:bCs/>
          <w:color w:val="22789A"/>
          <w:sz w:val="16"/>
          <w:szCs w:val="16"/>
          <w:lang w:eastAsia="en-AU"/>
        </w:rPr>
        <w:t xml:space="preserve">[22] </w:t>
      </w:r>
      <w:r w:rsidRPr="008671B7">
        <w:rPr>
          <w:rFonts w:eastAsia="Times New Roman" w:cs="Arial"/>
          <w:color w:val="22789A"/>
          <w:sz w:val="16"/>
          <w:szCs w:val="16"/>
          <w:lang w:eastAsia="en-AU"/>
        </w:rPr>
        <w:t xml:space="preserve">Global Entrepreneurship Research Association (GERA) (2016) Global Entrepreneurship Monitor (GEM), 2015–16, Adult Population Survey, URL: http://www.gemconsortium.org/; </w:t>
      </w:r>
      <w:r w:rsidRPr="008671B7">
        <w:rPr>
          <w:rFonts w:eastAsia="Times New Roman" w:cs="Arial"/>
          <w:b/>
          <w:bCs/>
          <w:color w:val="22789A"/>
          <w:sz w:val="16"/>
          <w:szCs w:val="16"/>
          <w:lang w:eastAsia="en-AU"/>
        </w:rPr>
        <w:t>[23]</w:t>
      </w:r>
      <w:r w:rsidRPr="008671B7">
        <w:rPr>
          <w:rFonts w:eastAsia="Times New Roman" w:cs="Arial"/>
          <w:color w:val="22789A"/>
          <w:sz w:val="16"/>
          <w:szCs w:val="16"/>
          <w:lang w:eastAsia="en-AU"/>
        </w:rPr>
        <w:t xml:space="preserve"> Australian Government (2014–2015) Special data request from IP Australia, 2014–2015, </w:t>
      </w:r>
      <w:r w:rsidRPr="008671B7">
        <w:rPr>
          <w:rFonts w:eastAsia="Times New Roman" w:cs="Arial"/>
          <w:b/>
          <w:bCs/>
          <w:color w:val="22789A"/>
          <w:sz w:val="16"/>
          <w:szCs w:val="16"/>
          <w:lang w:eastAsia="en-AU"/>
        </w:rPr>
        <w:t xml:space="preserve">[24] </w:t>
      </w:r>
      <w:r w:rsidRPr="008671B7">
        <w:rPr>
          <w:rFonts w:eastAsia="Times New Roman" w:cs="Arial"/>
          <w:color w:val="22789A"/>
          <w:sz w:val="16"/>
          <w:szCs w:val="16"/>
          <w:lang w:eastAsia="en-AU"/>
        </w:rPr>
        <w:t xml:space="preserve">Australian Government (2016) Australian Intellectual Property Report, 2016, URL: https://www.ipaustralia.gov.au; </w:t>
      </w:r>
      <w:r w:rsidRPr="008671B7">
        <w:rPr>
          <w:rFonts w:eastAsia="Times New Roman" w:cs="Arial"/>
          <w:b/>
          <w:bCs/>
          <w:color w:val="22789A"/>
          <w:sz w:val="16"/>
          <w:szCs w:val="16"/>
          <w:lang w:eastAsia="en-AU"/>
        </w:rPr>
        <w:t xml:space="preserve">[25] </w:t>
      </w:r>
      <w:r w:rsidRPr="008671B7">
        <w:rPr>
          <w:rFonts w:eastAsia="Times New Roman" w:cs="Arial"/>
          <w:color w:val="22789A"/>
          <w:sz w:val="16"/>
          <w:szCs w:val="16"/>
          <w:lang w:eastAsia="en-AU"/>
        </w:rPr>
        <w:t>OECD (2016) Green growth indicators, 2016-2, URL: http://www.oecd.org/;</w:t>
      </w:r>
      <w:r w:rsidRPr="008671B7">
        <w:rPr>
          <w:rFonts w:eastAsia="Times New Roman" w:cs="Arial"/>
          <w:b/>
          <w:bCs/>
          <w:color w:val="22789A"/>
          <w:sz w:val="16"/>
          <w:szCs w:val="16"/>
          <w:lang w:eastAsia="en-AU"/>
        </w:rPr>
        <w:t xml:space="preserve"> [26] </w:t>
      </w:r>
      <w:r w:rsidRPr="008671B7">
        <w:rPr>
          <w:rFonts w:eastAsia="Times New Roman" w:cs="Arial"/>
          <w:color w:val="22789A"/>
          <w:sz w:val="16"/>
          <w:szCs w:val="16"/>
          <w:lang w:eastAsia="en-AU"/>
        </w:rPr>
        <w:t>Cornell University, INSEAD, WIPO (2011–2016) Global Innovation Index, GII 2011–2016, URL: http://www.globalinnovationindex.org</w:t>
      </w:r>
    </w:p>
    <w:p w14:paraId="7418B907" w14:textId="77777777" w:rsidR="00D471AD" w:rsidRPr="008B33FB" w:rsidRDefault="00D471AD" w:rsidP="00D471AD">
      <w:pPr>
        <w:spacing w:before="120" w:after="120"/>
        <w:rPr>
          <w:rFonts w:eastAsia="Times New Roman" w:cs="Arial"/>
          <w:i/>
          <w:iCs/>
          <w:color w:val="22789A"/>
          <w:sz w:val="16"/>
          <w:szCs w:val="16"/>
          <w:lang w:eastAsia="en-AU"/>
        </w:rPr>
      </w:pPr>
      <w:r w:rsidRPr="008671B7">
        <w:rPr>
          <w:rFonts w:eastAsia="Times New Roman" w:cs="Arial"/>
          <w:b/>
          <w:i/>
          <w:iCs/>
          <w:color w:val="22789A"/>
          <w:sz w:val="16"/>
          <w:szCs w:val="16"/>
          <w:lang w:eastAsia="en-AU"/>
        </w:rPr>
        <w:t>Indicator notes</w:t>
      </w:r>
      <w:r w:rsidRPr="008671B7">
        <w:rPr>
          <w:rFonts w:eastAsia="Times New Roman" w:cs="Arial"/>
          <w:b/>
          <w:color w:val="22789A"/>
          <w:sz w:val="16"/>
          <w:szCs w:val="16"/>
          <w:lang w:eastAsia="en-AU"/>
        </w:rPr>
        <w:t xml:space="preserve"> (27 - 40):</w:t>
      </w:r>
      <w:r w:rsidRPr="008671B7">
        <w:rPr>
          <w:rFonts w:eastAsia="Times New Roman" w:cs="Arial"/>
          <w:b/>
          <w:bCs/>
          <w:color w:val="22789A"/>
          <w:sz w:val="16"/>
          <w:szCs w:val="16"/>
          <w:lang w:eastAsia="en-AU"/>
        </w:rPr>
        <w:t xml:space="preserve"> [27]</w:t>
      </w:r>
      <w:r w:rsidRPr="008671B7">
        <w:rPr>
          <w:rFonts w:eastAsia="Times New Roman" w:cs="Arial"/>
          <w:color w:val="22789A"/>
          <w:sz w:val="16"/>
          <w:szCs w:val="16"/>
          <w:lang w:eastAsia="en-AU"/>
        </w:rPr>
        <w:t xml:space="preserve"> 0+ employees; </w:t>
      </w:r>
      <w:r w:rsidRPr="008671B7">
        <w:rPr>
          <w:rFonts w:eastAsia="Times New Roman" w:cs="Arial"/>
          <w:b/>
          <w:bCs/>
          <w:color w:val="22789A"/>
          <w:sz w:val="16"/>
          <w:szCs w:val="16"/>
          <w:lang w:eastAsia="en-AU"/>
        </w:rPr>
        <w:t>[28]</w:t>
      </w:r>
      <w:r w:rsidRPr="008671B7">
        <w:rPr>
          <w:rFonts w:eastAsia="Times New Roman" w:cs="Arial"/>
          <w:color w:val="22789A"/>
          <w:sz w:val="16"/>
          <w:szCs w:val="16"/>
          <w:lang w:eastAsia="en-AU"/>
        </w:rPr>
        <w:t xml:space="preserve"> 0-199 employees for Australia-only data points; 10-249 employees OECD Comparison; </w:t>
      </w:r>
      <w:r w:rsidRPr="008671B7">
        <w:rPr>
          <w:rFonts w:eastAsia="Times New Roman" w:cs="Arial"/>
          <w:b/>
          <w:bCs/>
          <w:color w:val="22789A"/>
          <w:sz w:val="16"/>
          <w:szCs w:val="16"/>
          <w:lang w:eastAsia="en-AU"/>
        </w:rPr>
        <w:t>[29]</w:t>
      </w:r>
      <w:r w:rsidRPr="008671B7">
        <w:rPr>
          <w:rFonts w:eastAsia="Times New Roman" w:cs="Arial"/>
          <w:color w:val="22789A"/>
          <w:sz w:val="16"/>
          <w:szCs w:val="16"/>
          <w:lang w:eastAsia="en-AU"/>
        </w:rPr>
        <w:t xml:space="preserve"> 200+ employees for Australia-only data points; 250+ employees OECD Comparison;</w:t>
      </w:r>
      <w:r w:rsidRPr="008671B7">
        <w:rPr>
          <w:rFonts w:eastAsia="Times New Roman" w:cs="Arial"/>
          <w:b/>
          <w:bCs/>
          <w:color w:val="22789A"/>
          <w:sz w:val="16"/>
          <w:szCs w:val="16"/>
          <w:lang w:eastAsia="en-AU"/>
        </w:rPr>
        <w:t xml:space="preserve"> [30]</w:t>
      </w:r>
      <w:r w:rsidRPr="008671B7">
        <w:rPr>
          <w:rFonts w:eastAsia="Times New Roman" w:cs="Arial"/>
          <w:color w:val="22789A"/>
          <w:sz w:val="16"/>
          <w:szCs w:val="16"/>
          <w:lang w:eastAsia="en-AU"/>
        </w:rPr>
        <w:t xml:space="preserve"> Businesses may be counted in more than one category;</w:t>
      </w:r>
      <w:r w:rsidRPr="008671B7">
        <w:rPr>
          <w:rFonts w:eastAsia="Times New Roman" w:cs="Arial"/>
          <w:b/>
          <w:bCs/>
          <w:color w:val="22789A"/>
          <w:sz w:val="16"/>
          <w:szCs w:val="16"/>
          <w:lang w:eastAsia="en-AU"/>
        </w:rPr>
        <w:t xml:space="preserve"> [31]</w:t>
      </w:r>
      <w:r w:rsidRPr="008671B7">
        <w:rPr>
          <w:rFonts w:eastAsia="Times New Roman" w:cs="Arial"/>
          <w:color w:val="22789A"/>
          <w:sz w:val="16"/>
          <w:szCs w:val="16"/>
          <w:lang w:eastAsia="en-AU"/>
        </w:rPr>
        <w:t xml:space="preserve"> Proportions are of all businesses in each output category; </w:t>
      </w:r>
      <w:r w:rsidRPr="008671B7">
        <w:rPr>
          <w:rFonts w:eastAsia="Times New Roman" w:cs="Arial"/>
          <w:b/>
          <w:bCs/>
          <w:color w:val="22789A"/>
          <w:sz w:val="16"/>
          <w:szCs w:val="16"/>
          <w:lang w:eastAsia="en-AU"/>
        </w:rPr>
        <w:t>[32]</w:t>
      </w:r>
      <w:r w:rsidRPr="008671B7">
        <w:rPr>
          <w:rFonts w:eastAsia="Times New Roman" w:cs="Arial"/>
          <w:color w:val="22789A"/>
          <w:sz w:val="16"/>
          <w:szCs w:val="16"/>
          <w:lang w:eastAsia="en-AU"/>
        </w:rPr>
        <w:t xml:space="preserve"> High growth enterprises rate, measured by employment growth, by main sector, average annualised changes (over 3 year period), for total business ecomony (OECD definition basis), firms with 10 or more employees in first time period; </w:t>
      </w:r>
      <w:r w:rsidRPr="008671B7">
        <w:rPr>
          <w:rFonts w:eastAsia="Times New Roman" w:cs="Arial"/>
          <w:b/>
          <w:bCs/>
          <w:color w:val="22789A"/>
          <w:sz w:val="16"/>
          <w:szCs w:val="16"/>
          <w:lang w:eastAsia="en-AU"/>
        </w:rPr>
        <w:t xml:space="preserve">[33] </w:t>
      </w:r>
      <w:r w:rsidRPr="008671B7">
        <w:rPr>
          <w:rFonts w:eastAsia="Times New Roman" w:cs="Arial"/>
          <w:color w:val="22789A"/>
          <w:sz w:val="16"/>
          <w:szCs w:val="16"/>
          <w:lang w:eastAsia="en-AU"/>
        </w:rPr>
        <w:t xml:space="preserve">High growth enterprises rate, measured by sales growth, by main sector, greater than 20% average annualised increase (over 3 year period), for total business ecomony (OECD definition basis), firms with 10 or more employees in first time period; </w:t>
      </w:r>
      <w:r w:rsidRPr="008671B7">
        <w:rPr>
          <w:rFonts w:eastAsia="Times New Roman" w:cs="Arial"/>
          <w:b/>
          <w:bCs/>
          <w:color w:val="22789A"/>
          <w:sz w:val="16"/>
          <w:szCs w:val="16"/>
          <w:lang w:eastAsia="en-AU"/>
        </w:rPr>
        <w:t>[34]</w:t>
      </w:r>
      <w:r w:rsidRPr="008671B7">
        <w:rPr>
          <w:rFonts w:eastAsia="Times New Roman" w:cs="Arial"/>
          <w:color w:val="22789A"/>
          <w:sz w:val="16"/>
          <w:szCs w:val="16"/>
          <w:lang w:eastAsia="en-AU"/>
        </w:rPr>
        <w:t xml:space="preserve"> 2001 data used in place of 2000 data.; </w:t>
      </w:r>
      <w:r w:rsidRPr="008671B7">
        <w:rPr>
          <w:rFonts w:eastAsia="Times New Roman" w:cs="Arial"/>
          <w:b/>
          <w:bCs/>
          <w:color w:val="22789A"/>
          <w:sz w:val="16"/>
          <w:szCs w:val="16"/>
          <w:lang w:eastAsia="en-AU"/>
        </w:rPr>
        <w:t>[35]</w:t>
      </w:r>
      <w:r w:rsidRPr="008671B7">
        <w:rPr>
          <w:rFonts w:eastAsia="Times New Roman" w:cs="Arial"/>
          <w:color w:val="22789A"/>
          <w:sz w:val="16"/>
          <w:szCs w:val="16"/>
          <w:lang w:eastAsia="en-AU"/>
        </w:rPr>
        <w:t xml:space="preserve"> A lower score is better, gap from the top 5 performers represents absolute gap; </w:t>
      </w:r>
      <w:r w:rsidRPr="008671B7">
        <w:rPr>
          <w:rFonts w:eastAsia="Times New Roman" w:cs="Arial"/>
          <w:b/>
          <w:bCs/>
          <w:color w:val="22789A"/>
          <w:sz w:val="16"/>
          <w:szCs w:val="16"/>
          <w:lang w:eastAsia="en-AU"/>
        </w:rPr>
        <w:t>[36]</w:t>
      </w:r>
      <w:r w:rsidRPr="008671B7">
        <w:rPr>
          <w:rFonts w:eastAsia="Times New Roman" w:cs="Arial"/>
          <w:color w:val="22789A"/>
          <w:sz w:val="16"/>
          <w:szCs w:val="16"/>
          <w:lang w:eastAsia="en-AU"/>
        </w:rPr>
        <w:t xml:space="preserve"> IP Australia's databases country codes are not complete for mainframe applications. As a result, the number of Australian grants may be understated prior to 2008;</w:t>
      </w:r>
      <w:r w:rsidRPr="008671B7">
        <w:rPr>
          <w:rFonts w:eastAsia="Times New Roman" w:cs="Arial"/>
          <w:b/>
          <w:bCs/>
          <w:color w:val="22789A"/>
          <w:sz w:val="16"/>
          <w:szCs w:val="16"/>
          <w:lang w:eastAsia="en-AU"/>
        </w:rPr>
        <w:t xml:space="preserve"> [37]</w:t>
      </w:r>
      <w:r w:rsidRPr="008671B7">
        <w:rPr>
          <w:rFonts w:eastAsia="Times New Roman" w:cs="Arial"/>
          <w:color w:val="22789A"/>
          <w:sz w:val="16"/>
          <w:szCs w:val="16"/>
          <w:lang w:eastAsia="en-AU"/>
        </w:rPr>
        <w:t xml:space="preserve"> The innovation patent regime was established in November 2000, and as such the first full year of data available is 2001;</w:t>
      </w:r>
      <w:r w:rsidRPr="008671B7">
        <w:rPr>
          <w:rFonts w:eastAsia="Times New Roman" w:cs="Arial"/>
          <w:b/>
          <w:bCs/>
          <w:color w:val="22789A"/>
          <w:sz w:val="16"/>
          <w:szCs w:val="16"/>
          <w:lang w:eastAsia="en-AU"/>
        </w:rPr>
        <w:t xml:space="preserve"> [38]</w:t>
      </w:r>
      <w:r w:rsidRPr="008671B7">
        <w:rPr>
          <w:rFonts w:eastAsia="Times New Roman" w:cs="Arial"/>
          <w:color w:val="22789A"/>
          <w:sz w:val="16"/>
          <w:szCs w:val="16"/>
          <w:lang w:eastAsia="en-AU"/>
        </w:rPr>
        <w:t xml:space="preserve"> Design certificate was introduced with the 2003 act, so no observations before then; </w:t>
      </w:r>
      <w:r w:rsidRPr="008671B7">
        <w:rPr>
          <w:rFonts w:eastAsia="Times New Roman" w:cs="Arial"/>
          <w:b/>
          <w:bCs/>
          <w:color w:val="22789A"/>
          <w:sz w:val="16"/>
          <w:szCs w:val="16"/>
          <w:lang w:eastAsia="en-AU"/>
        </w:rPr>
        <w:t>[39]</w:t>
      </w:r>
      <w:r w:rsidRPr="008671B7">
        <w:rPr>
          <w:rFonts w:eastAsia="Times New Roman" w:cs="Arial"/>
          <w:color w:val="22789A"/>
          <w:sz w:val="16"/>
          <w:szCs w:val="16"/>
          <w:lang w:eastAsia="en-AU"/>
        </w:rPr>
        <w:t xml:space="preserve"> PCT data is not currently available prior to 2006; Population has been sourced from ABS Cat. No. 3101.0;</w:t>
      </w:r>
      <w:r w:rsidRPr="008671B7">
        <w:rPr>
          <w:rFonts w:eastAsia="Times New Roman" w:cs="Arial"/>
          <w:b/>
          <w:bCs/>
          <w:color w:val="22789A"/>
          <w:sz w:val="16"/>
          <w:szCs w:val="16"/>
          <w:lang w:eastAsia="en-AU"/>
        </w:rPr>
        <w:t xml:space="preserve"> [40]</w:t>
      </w:r>
      <w:r w:rsidRPr="008671B7">
        <w:rPr>
          <w:rFonts w:eastAsia="Times New Roman" w:cs="Arial"/>
          <w:color w:val="22789A"/>
          <w:sz w:val="16"/>
          <w:szCs w:val="16"/>
          <w:lang w:eastAsia="en-AU"/>
        </w:rPr>
        <w:t xml:space="preserve"> Population has been sourced from ABS Cat. No. 3101.0</w:t>
      </w:r>
    </w:p>
    <w:p w14:paraId="7418B908" w14:textId="77777777" w:rsidR="00D471AD" w:rsidRDefault="00D471AD" w:rsidP="00D471AD"/>
    <w:p w14:paraId="7418B909" w14:textId="77777777" w:rsidR="00D471AD" w:rsidRDefault="00D471AD" w:rsidP="00D471AD">
      <w:r>
        <w:br w:type="page"/>
      </w:r>
    </w:p>
    <w:tbl>
      <w:tblPr>
        <w:tblW w:w="5000" w:type="pct"/>
        <w:tblBorders>
          <w:bottom w:val="single" w:sz="4" w:space="0" w:color="auto"/>
        </w:tblBorders>
        <w:tblLook w:val="04A0" w:firstRow="1" w:lastRow="0" w:firstColumn="1" w:lastColumn="0" w:noHBand="0" w:noVBand="1"/>
      </w:tblPr>
      <w:tblGrid>
        <w:gridCol w:w="4309"/>
        <w:gridCol w:w="698"/>
        <w:gridCol w:w="698"/>
        <w:gridCol w:w="698"/>
        <w:gridCol w:w="698"/>
        <w:gridCol w:w="698"/>
        <w:gridCol w:w="698"/>
        <w:gridCol w:w="698"/>
        <w:gridCol w:w="698"/>
        <w:gridCol w:w="698"/>
        <w:gridCol w:w="698"/>
        <w:gridCol w:w="698"/>
        <w:gridCol w:w="698"/>
        <w:gridCol w:w="645"/>
        <w:gridCol w:w="628"/>
      </w:tblGrid>
      <w:tr w:rsidR="00D471AD" w:rsidRPr="00AB1F33" w14:paraId="7418B90B" w14:textId="77777777" w:rsidTr="004A31A9">
        <w:trPr>
          <w:trHeight w:val="300"/>
          <w:tblHeader/>
        </w:trPr>
        <w:tc>
          <w:tcPr>
            <w:tcW w:w="5000" w:type="pct"/>
            <w:gridSpan w:val="15"/>
            <w:tcBorders>
              <w:top w:val="single" w:sz="8" w:space="0" w:color="22789A"/>
              <w:bottom w:val="nil"/>
            </w:tcBorders>
            <w:shd w:val="clear" w:color="auto" w:fill="auto"/>
            <w:vAlign w:val="center"/>
          </w:tcPr>
          <w:p w14:paraId="7418B90A" w14:textId="77777777" w:rsidR="00D471AD" w:rsidRPr="00AB1F33" w:rsidRDefault="00D471AD" w:rsidP="004A31A9">
            <w:pPr>
              <w:widowControl w:val="0"/>
              <w:spacing w:before="42" w:after="0" w:line="240" w:lineRule="auto"/>
              <w:ind w:left="-108"/>
              <w:rPr>
                <w:rFonts w:eastAsia="Calibri" w:hAnsi="Calibri" w:cs="Times New Roman"/>
                <w:i/>
                <w:color w:val="22789A"/>
                <w:spacing w:val="3"/>
                <w:sz w:val="18"/>
                <w:lang w:val="en-US"/>
              </w:rPr>
            </w:pPr>
            <w:r w:rsidRPr="00AB1F33">
              <w:rPr>
                <w:rFonts w:eastAsia="Calibri" w:hAnsi="Calibri" w:cs="Times New Roman"/>
                <w:i/>
                <w:color w:val="22789A"/>
                <w:spacing w:val="3"/>
                <w:sz w:val="18"/>
                <w:lang w:val="en-US"/>
              </w:rPr>
              <w:t>Table A3(a): Main indicators of Australia</w:t>
            </w:r>
            <w:r w:rsidRPr="00AB1F33">
              <w:rPr>
                <w:rFonts w:eastAsia="Calibri" w:hAnsi="Calibri" w:cs="Times New Roman"/>
                <w:i/>
                <w:color w:val="22789A"/>
                <w:spacing w:val="3"/>
                <w:sz w:val="18"/>
                <w:lang w:val="en-US"/>
              </w:rPr>
              <w:t>’</w:t>
            </w:r>
            <w:r w:rsidRPr="00AB1F33">
              <w:rPr>
                <w:rFonts w:eastAsia="Calibri" w:hAnsi="Calibri" w:cs="Times New Roman"/>
                <w:i/>
                <w:color w:val="22789A"/>
                <w:spacing w:val="3"/>
                <w:sz w:val="18"/>
                <w:lang w:val="en-US"/>
              </w:rPr>
              <w:t>s international engagement</w:t>
            </w:r>
          </w:p>
        </w:tc>
      </w:tr>
      <w:tr w:rsidR="00D471AD" w:rsidRPr="00AB1F33" w14:paraId="7418B90D" w14:textId="77777777" w:rsidTr="004A31A9">
        <w:trPr>
          <w:trHeight w:val="300"/>
          <w:tblHeader/>
        </w:trPr>
        <w:tc>
          <w:tcPr>
            <w:tcW w:w="5000" w:type="pct"/>
            <w:gridSpan w:val="15"/>
            <w:tcBorders>
              <w:top w:val="nil"/>
            </w:tcBorders>
            <w:shd w:val="clear" w:color="292B67" w:fill="22789A"/>
            <w:vAlign w:val="center"/>
            <w:hideMark/>
          </w:tcPr>
          <w:p w14:paraId="7418B90C" w14:textId="77777777" w:rsidR="00D471AD" w:rsidRPr="00AB1F33" w:rsidRDefault="00D471AD" w:rsidP="004A31A9">
            <w:pPr>
              <w:widowControl w:val="0"/>
              <w:spacing w:before="42" w:after="0" w:line="240" w:lineRule="auto"/>
              <w:ind w:left="79"/>
              <w:rPr>
                <w:rFonts w:eastAsia="Calibri" w:hAnsi="Calibri" w:cs="Times New Roman"/>
                <w:i/>
                <w:color w:val="FFFFFF"/>
                <w:spacing w:val="3"/>
                <w:sz w:val="18"/>
                <w:lang w:val="en-US"/>
              </w:rPr>
            </w:pPr>
            <w:r w:rsidRPr="00AB1F33">
              <w:rPr>
                <w:rFonts w:eastAsia="Calibri" w:hAnsi="Calibri" w:cs="Times New Roman"/>
                <w:i/>
                <w:color w:val="FFFFFF"/>
                <w:spacing w:val="3"/>
                <w:sz w:val="18"/>
                <w:lang w:val="en-US"/>
              </w:rPr>
              <w:t>Australian Trend Data (i)</w:t>
            </w:r>
          </w:p>
        </w:tc>
      </w:tr>
      <w:tr w:rsidR="00D471AD" w:rsidRPr="00AB1F33" w14:paraId="7418B91D" w14:textId="77777777" w:rsidTr="004A31A9">
        <w:trPr>
          <w:trHeight w:val="300"/>
          <w:tblHeader/>
        </w:trPr>
        <w:tc>
          <w:tcPr>
            <w:tcW w:w="1544" w:type="pct"/>
            <w:shd w:val="clear" w:color="auto" w:fill="E4F3F9"/>
            <w:vAlign w:val="center"/>
            <w:hideMark/>
          </w:tcPr>
          <w:p w14:paraId="7418B90E" w14:textId="77777777" w:rsidR="00D471AD" w:rsidRPr="00AB1F33" w:rsidRDefault="00D471AD" w:rsidP="004A31A9">
            <w:pPr>
              <w:spacing w:after="0" w:line="240" w:lineRule="auto"/>
              <w:rPr>
                <w:rFonts w:eastAsia="Times New Roman" w:cs="Arial"/>
                <w:b/>
                <w:bCs/>
                <w:i/>
                <w:color w:val="7A7B7C"/>
                <w:sz w:val="14"/>
                <w:szCs w:val="14"/>
                <w:lang w:eastAsia="en-AU"/>
              </w:rPr>
            </w:pPr>
            <w:r w:rsidRPr="00AB1F33">
              <w:rPr>
                <w:rFonts w:eastAsia="Times New Roman" w:cs="Arial"/>
                <w:b/>
                <w:bCs/>
                <w:i/>
                <w:color w:val="7A7B7C"/>
                <w:sz w:val="14"/>
                <w:szCs w:val="14"/>
                <w:lang w:eastAsia="en-AU"/>
              </w:rPr>
              <w:t>Indicators</w:t>
            </w:r>
          </w:p>
        </w:tc>
        <w:tc>
          <w:tcPr>
            <w:tcW w:w="250" w:type="pct"/>
            <w:shd w:val="clear" w:color="auto" w:fill="E4F3F9"/>
            <w:vAlign w:val="center"/>
            <w:hideMark/>
          </w:tcPr>
          <w:p w14:paraId="7418B90F"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1995</w:t>
            </w:r>
          </w:p>
        </w:tc>
        <w:tc>
          <w:tcPr>
            <w:tcW w:w="250" w:type="pct"/>
            <w:shd w:val="clear" w:color="auto" w:fill="E4F3F9"/>
            <w:vAlign w:val="center"/>
            <w:hideMark/>
          </w:tcPr>
          <w:p w14:paraId="7418B910"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2000</w:t>
            </w:r>
          </w:p>
        </w:tc>
        <w:tc>
          <w:tcPr>
            <w:tcW w:w="250" w:type="pct"/>
            <w:shd w:val="clear" w:color="auto" w:fill="E4F3F9"/>
            <w:vAlign w:val="center"/>
            <w:hideMark/>
          </w:tcPr>
          <w:p w14:paraId="7418B911"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2005</w:t>
            </w:r>
          </w:p>
        </w:tc>
        <w:tc>
          <w:tcPr>
            <w:tcW w:w="250" w:type="pct"/>
            <w:shd w:val="clear" w:color="auto" w:fill="E4F3F9"/>
            <w:vAlign w:val="center"/>
            <w:hideMark/>
          </w:tcPr>
          <w:p w14:paraId="7418B912"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2006</w:t>
            </w:r>
          </w:p>
        </w:tc>
        <w:tc>
          <w:tcPr>
            <w:tcW w:w="250" w:type="pct"/>
            <w:shd w:val="clear" w:color="auto" w:fill="E4F3F9"/>
            <w:vAlign w:val="center"/>
            <w:hideMark/>
          </w:tcPr>
          <w:p w14:paraId="7418B913"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2007</w:t>
            </w:r>
          </w:p>
        </w:tc>
        <w:tc>
          <w:tcPr>
            <w:tcW w:w="250" w:type="pct"/>
            <w:shd w:val="clear" w:color="auto" w:fill="E4F3F9"/>
            <w:vAlign w:val="center"/>
            <w:hideMark/>
          </w:tcPr>
          <w:p w14:paraId="7418B914"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2008</w:t>
            </w:r>
          </w:p>
        </w:tc>
        <w:tc>
          <w:tcPr>
            <w:tcW w:w="250" w:type="pct"/>
            <w:shd w:val="clear" w:color="auto" w:fill="E4F3F9"/>
            <w:vAlign w:val="center"/>
            <w:hideMark/>
          </w:tcPr>
          <w:p w14:paraId="7418B915"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2009</w:t>
            </w:r>
          </w:p>
        </w:tc>
        <w:tc>
          <w:tcPr>
            <w:tcW w:w="250" w:type="pct"/>
            <w:shd w:val="clear" w:color="auto" w:fill="E4F3F9"/>
            <w:vAlign w:val="center"/>
            <w:hideMark/>
          </w:tcPr>
          <w:p w14:paraId="7418B916"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2010</w:t>
            </w:r>
          </w:p>
        </w:tc>
        <w:tc>
          <w:tcPr>
            <w:tcW w:w="250" w:type="pct"/>
            <w:shd w:val="clear" w:color="auto" w:fill="E4F3F9"/>
            <w:vAlign w:val="center"/>
            <w:hideMark/>
          </w:tcPr>
          <w:p w14:paraId="7418B917"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2011</w:t>
            </w:r>
          </w:p>
        </w:tc>
        <w:tc>
          <w:tcPr>
            <w:tcW w:w="250" w:type="pct"/>
            <w:shd w:val="clear" w:color="auto" w:fill="E4F3F9"/>
            <w:vAlign w:val="center"/>
            <w:hideMark/>
          </w:tcPr>
          <w:p w14:paraId="7418B918"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2012</w:t>
            </w:r>
          </w:p>
        </w:tc>
        <w:tc>
          <w:tcPr>
            <w:tcW w:w="250" w:type="pct"/>
            <w:shd w:val="clear" w:color="auto" w:fill="E4F3F9"/>
            <w:vAlign w:val="center"/>
            <w:hideMark/>
          </w:tcPr>
          <w:p w14:paraId="7418B919"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2013</w:t>
            </w:r>
          </w:p>
        </w:tc>
        <w:tc>
          <w:tcPr>
            <w:tcW w:w="250" w:type="pct"/>
            <w:shd w:val="clear" w:color="auto" w:fill="E4F3F9"/>
            <w:vAlign w:val="center"/>
            <w:hideMark/>
          </w:tcPr>
          <w:p w14:paraId="7418B91A"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2014</w:t>
            </w:r>
          </w:p>
        </w:tc>
        <w:tc>
          <w:tcPr>
            <w:tcW w:w="231" w:type="pct"/>
            <w:shd w:val="clear" w:color="auto" w:fill="E4F3F9"/>
            <w:vAlign w:val="center"/>
            <w:hideMark/>
          </w:tcPr>
          <w:p w14:paraId="7418B91B"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2015</w:t>
            </w:r>
          </w:p>
        </w:tc>
        <w:tc>
          <w:tcPr>
            <w:tcW w:w="225" w:type="pct"/>
            <w:shd w:val="clear" w:color="auto" w:fill="E4F3F9"/>
            <w:vAlign w:val="center"/>
            <w:hideMark/>
          </w:tcPr>
          <w:p w14:paraId="7418B91C"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2016</w:t>
            </w:r>
          </w:p>
        </w:tc>
      </w:tr>
      <w:tr w:rsidR="00D471AD" w:rsidRPr="00AB1F33" w14:paraId="7418B92D" w14:textId="77777777" w:rsidTr="004A31A9">
        <w:trPr>
          <w:trHeight w:val="283"/>
        </w:trPr>
        <w:tc>
          <w:tcPr>
            <w:tcW w:w="1544" w:type="pct"/>
            <w:shd w:val="clear" w:color="auto" w:fill="D5ECF5"/>
            <w:vAlign w:val="center"/>
          </w:tcPr>
          <w:p w14:paraId="7418B91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DHL Global Connectedness Index</w:t>
            </w:r>
            <w:r w:rsidRPr="00AB1F33">
              <w:rPr>
                <w:rFonts w:eastAsia="Arial Unicode MS" w:cs="Arial" w:hint="eastAsia"/>
                <w:color w:val="7A7B7C"/>
                <w:sz w:val="14"/>
                <w:szCs w:val="14"/>
                <w:lang w:eastAsia="en-AU"/>
              </w:rPr>
              <w:t>¹</w:t>
            </w:r>
          </w:p>
        </w:tc>
        <w:tc>
          <w:tcPr>
            <w:tcW w:w="250" w:type="pct"/>
            <w:shd w:val="clear" w:color="auto" w:fill="D5ECF5"/>
            <w:vAlign w:val="center"/>
          </w:tcPr>
          <w:p w14:paraId="7418B91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92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92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54</w:t>
            </w:r>
          </w:p>
        </w:tc>
        <w:tc>
          <w:tcPr>
            <w:tcW w:w="250" w:type="pct"/>
            <w:shd w:val="clear" w:color="auto" w:fill="D5ECF5"/>
            <w:vAlign w:val="center"/>
          </w:tcPr>
          <w:p w14:paraId="7418B92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55</w:t>
            </w:r>
          </w:p>
        </w:tc>
        <w:tc>
          <w:tcPr>
            <w:tcW w:w="250" w:type="pct"/>
            <w:shd w:val="clear" w:color="auto" w:fill="D5ECF5"/>
            <w:vAlign w:val="center"/>
          </w:tcPr>
          <w:p w14:paraId="7418B92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55</w:t>
            </w:r>
          </w:p>
        </w:tc>
        <w:tc>
          <w:tcPr>
            <w:tcW w:w="250" w:type="pct"/>
            <w:shd w:val="clear" w:color="auto" w:fill="D5ECF5"/>
            <w:vAlign w:val="center"/>
          </w:tcPr>
          <w:p w14:paraId="7418B92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58</w:t>
            </w:r>
          </w:p>
        </w:tc>
        <w:tc>
          <w:tcPr>
            <w:tcW w:w="250" w:type="pct"/>
            <w:shd w:val="clear" w:color="auto" w:fill="D5ECF5"/>
            <w:vAlign w:val="center"/>
          </w:tcPr>
          <w:p w14:paraId="7418B92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59</w:t>
            </w:r>
          </w:p>
        </w:tc>
        <w:tc>
          <w:tcPr>
            <w:tcW w:w="250" w:type="pct"/>
            <w:shd w:val="clear" w:color="auto" w:fill="D5ECF5"/>
            <w:vAlign w:val="center"/>
          </w:tcPr>
          <w:p w14:paraId="7418B92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59</w:t>
            </w:r>
          </w:p>
        </w:tc>
        <w:tc>
          <w:tcPr>
            <w:tcW w:w="250" w:type="pct"/>
            <w:shd w:val="clear" w:color="auto" w:fill="D5ECF5"/>
            <w:vAlign w:val="center"/>
          </w:tcPr>
          <w:p w14:paraId="7418B92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58</w:t>
            </w:r>
          </w:p>
        </w:tc>
        <w:tc>
          <w:tcPr>
            <w:tcW w:w="250" w:type="pct"/>
            <w:shd w:val="clear" w:color="auto" w:fill="D5ECF5"/>
            <w:vAlign w:val="center"/>
          </w:tcPr>
          <w:p w14:paraId="7418B92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58</w:t>
            </w:r>
          </w:p>
        </w:tc>
        <w:tc>
          <w:tcPr>
            <w:tcW w:w="250" w:type="pct"/>
            <w:shd w:val="clear" w:color="auto" w:fill="D5ECF5"/>
            <w:vAlign w:val="center"/>
          </w:tcPr>
          <w:p w14:paraId="7418B92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57</w:t>
            </w:r>
          </w:p>
        </w:tc>
        <w:tc>
          <w:tcPr>
            <w:tcW w:w="250" w:type="pct"/>
            <w:shd w:val="clear" w:color="auto" w:fill="D5ECF5"/>
            <w:vAlign w:val="center"/>
          </w:tcPr>
          <w:p w14:paraId="7418B92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31" w:type="pct"/>
            <w:shd w:val="clear" w:color="auto" w:fill="D5ECF5"/>
            <w:vAlign w:val="center"/>
          </w:tcPr>
          <w:p w14:paraId="7418B92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25" w:type="pct"/>
            <w:shd w:val="clear" w:color="auto" w:fill="D5ECF5"/>
            <w:vAlign w:val="center"/>
          </w:tcPr>
          <w:p w14:paraId="7418B92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r w:rsidR="00D471AD" w:rsidRPr="00AB1F33" w14:paraId="7418B93D" w14:textId="77777777" w:rsidTr="004A31A9">
        <w:trPr>
          <w:trHeight w:val="283"/>
        </w:trPr>
        <w:tc>
          <w:tcPr>
            <w:tcW w:w="1544" w:type="pct"/>
            <w:shd w:val="clear" w:color="auto" w:fill="E4F3F9"/>
            <w:vAlign w:val="center"/>
          </w:tcPr>
          <w:p w14:paraId="7418B92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Trade, % of GDP</w:t>
            </w:r>
            <w:r w:rsidRPr="00AB1F33">
              <w:rPr>
                <w:rFonts w:eastAsia="Arial Unicode MS" w:cs="Arial" w:hint="eastAsia"/>
                <w:color w:val="7A7B7C"/>
                <w:sz w:val="14"/>
                <w:szCs w:val="14"/>
                <w:lang w:eastAsia="en-AU"/>
              </w:rPr>
              <w:t>²</w:t>
            </w:r>
          </w:p>
        </w:tc>
        <w:tc>
          <w:tcPr>
            <w:tcW w:w="250" w:type="pct"/>
            <w:shd w:val="clear" w:color="auto" w:fill="E4F3F9"/>
            <w:vAlign w:val="center"/>
          </w:tcPr>
          <w:p w14:paraId="7418B92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38</w:t>
            </w:r>
          </w:p>
        </w:tc>
        <w:tc>
          <w:tcPr>
            <w:tcW w:w="250" w:type="pct"/>
            <w:shd w:val="clear" w:color="auto" w:fill="E4F3F9"/>
            <w:vAlign w:val="center"/>
          </w:tcPr>
          <w:p w14:paraId="7418B93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41</w:t>
            </w:r>
          </w:p>
        </w:tc>
        <w:tc>
          <w:tcPr>
            <w:tcW w:w="250" w:type="pct"/>
            <w:shd w:val="clear" w:color="auto" w:fill="E4F3F9"/>
            <w:vAlign w:val="center"/>
          </w:tcPr>
          <w:p w14:paraId="7418B93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39</w:t>
            </w:r>
          </w:p>
        </w:tc>
        <w:tc>
          <w:tcPr>
            <w:tcW w:w="250" w:type="pct"/>
            <w:shd w:val="clear" w:color="auto" w:fill="E4F3F9"/>
            <w:vAlign w:val="center"/>
          </w:tcPr>
          <w:p w14:paraId="7418B93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41</w:t>
            </w:r>
          </w:p>
        </w:tc>
        <w:tc>
          <w:tcPr>
            <w:tcW w:w="250" w:type="pct"/>
            <w:shd w:val="clear" w:color="auto" w:fill="E4F3F9"/>
            <w:vAlign w:val="center"/>
          </w:tcPr>
          <w:p w14:paraId="7418B93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41</w:t>
            </w:r>
          </w:p>
        </w:tc>
        <w:tc>
          <w:tcPr>
            <w:tcW w:w="250" w:type="pct"/>
            <w:shd w:val="clear" w:color="auto" w:fill="E4F3F9"/>
            <w:vAlign w:val="center"/>
          </w:tcPr>
          <w:p w14:paraId="7418B93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42</w:t>
            </w:r>
          </w:p>
        </w:tc>
        <w:tc>
          <w:tcPr>
            <w:tcW w:w="250" w:type="pct"/>
            <w:shd w:val="clear" w:color="auto" w:fill="E4F3F9"/>
            <w:vAlign w:val="center"/>
          </w:tcPr>
          <w:p w14:paraId="7418B93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45</w:t>
            </w:r>
          </w:p>
        </w:tc>
        <w:tc>
          <w:tcPr>
            <w:tcW w:w="250" w:type="pct"/>
            <w:shd w:val="clear" w:color="auto" w:fill="E4F3F9"/>
            <w:vAlign w:val="center"/>
          </w:tcPr>
          <w:p w14:paraId="7418B93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40</w:t>
            </w:r>
          </w:p>
        </w:tc>
        <w:tc>
          <w:tcPr>
            <w:tcW w:w="250" w:type="pct"/>
            <w:shd w:val="clear" w:color="auto" w:fill="E4F3F9"/>
            <w:vAlign w:val="center"/>
          </w:tcPr>
          <w:p w14:paraId="7418B93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41</w:t>
            </w:r>
          </w:p>
        </w:tc>
        <w:tc>
          <w:tcPr>
            <w:tcW w:w="250" w:type="pct"/>
            <w:shd w:val="clear" w:color="auto" w:fill="E4F3F9"/>
            <w:vAlign w:val="center"/>
          </w:tcPr>
          <w:p w14:paraId="7418B93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43</w:t>
            </w:r>
          </w:p>
        </w:tc>
        <w:tc>
          <w:tcPr>
            <w:tcW w:w="250" w:type="pct"/>
            <w:shd w:val="clear" w:color="auto" w:fill="E4F3F9"/>
            <w:vAlign w:val="center"/>
          </w:tcPr>
          <w:p w14:paraId="7418B93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41</w:t>
            </w:r>
          </w:p>
        </w:tc>
        <w:tc>
          <w:tcPr>
            <w:tcW w:w="250" w:type="pct"/>
            <w:shd w:val="clear" w:color="auto" w:fill="E4F3F9"/>
            <w:vAlign w:val="center"/>
          </w:tcPr>
          <w:p w14:paraId="7418B93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42</w:t>
            </w:r>
          </w:p>
        </w:tc>
        <w:tc>
          <w:tcPr>
            <w:tcW w:w="231" w:type="pct"/>
            <w:shd w:val="clear" w:color="auto" w:fill="E4F3F9"/>
            <w:vAlign w:val="center"/>
          </w:tcPr>
          <w:p w14:paraId="7418B93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41</w:t>
            </w:r>
          </w:p>
        </w:tc>
        <w:tc>
          <w:tcPr>
            <w:tcW w:w="225" w:type="pct"/>
            <w:shd w:val="clear" w:color="auto" w:fill="E4F3F9"/>
            <w:vAlign w:val="center"/>
          </w:tcPr>
          <w:p w14:paraId="7418B93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r w:rsidR="00D471AD" w:rsidRPr="00AB1F33" w14:paraId="7418B94D" w14:textId="77777777" w:rsidTr="004A31A9">
        <w:trPr>
          <w:trHeight w:val="283"/>
        </w:trPr>
        <w:tc>
          <w:tcPr>
            <w:tcW w:w="1544" w:type="pct"/>
            <w:shd w:val="clear" w:color="auto" w:fill="D5ECF5"/>
            <w:vAlign w:val="center"/>
          </w:tcPr>
          <w:p w14:paraId="7418B93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Exports of goods, % of GDP</w:t>
            </w:r>
            <w:r w:rsidRPr="00AB1F33">
              <w:rPr>
                <w:rFonts w:eastAsia="Arial Unicode MS" w:cs="Arial" w:hint="eastAsia"/>
                <w:color w:val="7A7B7C"/>
                <w:sz w:val="14"/>
                <w:szCs w:val="14"/>
                <w:lang w:eastAsia="en-AU"/>
              </w:rPr>
              <w:t>³</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⁴</w:t>
            </w:r>
          </w:p>
        </w:tc>
        <w:tc>
          <w:tcPr>
            <w:tcW w:w="250" w:type="pct"/>
            <w:shd w:val="clear" w:color="auto" w:fill="D5ECF5"/>
            <w:vAlign w:val="center"/>
          </w:tcPr>
          <w:p w14:paraId="7418B93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13.5</w:t>
            </w:r>
          </w:p>
        </w:tc>
        <w:tc>
          <w:tcPr>
            <w:tcW w:w="250" w:type="pct"/>
            <w:shd w:val="clear" w:color="auto" w:fill="D5ECF5"/>
            <w:vAlign w:val="center"/>
          </w:tcPr>
          <w:p w14:paraId="7418B94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15.6</w:t>
            </w:r>
          </w:p>
        </w:tc>
        <w:tc>
          <w:tcPr>
            <w:tcW w:w="250" w:type="pct"/>
            <w:shd w:val="clear" w:color="auto" w:fill="D5ECF5"/>
            <w:vAlign w:val="center"/>
          </w:tcPr>
          <w:p w14:paraId="7418B94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13.9</w:t>
            </w:r>
          </w:p>
        </w:tc>
        <w:tc>
          <w:tcPr>
            <w:tcW w:w="250" w:type="pct"/>
            <w:shd w:val="clear" w:color="auto" w:fill="D5ECF5"/>
            <w:vAlign w:val="center"/>
          </w:tcPr>
          <w:p w14:paraId="7418B94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15.1</w:t>
            </w:r>
          </w:p>
        </w:tc>
        <w:tc>
          <w:tcPr>
            <w:tcW w:w="250" w:type="pct"/>
            <w:shd w:val="clear" w:color="auto" w:fill="D5ECF5"/>
            <w:vAlign w:val="center"/>
          </w:tcPr>
          <w:p w14:paraId="7418B94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14.3</w:t>
            </w:r>
          </w:p>
        </w:tc>
        <w:tc>
          <w:tcPr>
            <w:tcW w:w="250" w:type="pct"/>
            <w:shd w:val="clear" w:color="auto" w:fill="D5ECF5"/>
            <w:vAlign w:val="center"/>
          </w:tcPr>
          <w:p w14:paraId="7418B94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17.6</w:t>
            </w:r>
          </w:p>
        </w:tc>
        <w:tc>
          <w:tcPr>
            <w:tcW w:w="250" w:type="pct"/>
            <w:shd w:val="clear" w:color="auto" w:fill="D5ECF5"/>
            <w:vAlign w:val="center"/>
          </w:tcPr>
          <w:p w14:paraId="7418B94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15.3</w:t>
            </w:r>
          </w:p>
        </w:tc>
        <w:tc>
          <w:tcPr>
            <w:tcW w:w="250" w:type="pct"/>
            <w:shd w:val="clear" w:color="auto" w:fill="D5ECF5"/>
            <w:vAlign w:val="center"/>
          </w:tcPr>
          <w:p w14:paraId="7418B94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16.4</w:t>
            </w:r>
          </w:p>
        </w:tc>
        <w:tc>
          <w:tcPr>
            <w:tcW w:w="250" w:type="pct"/>
            <w:shd w:val="clear" w:color="auto" w:fill="D5ECF5"/>
            <w:vAlign w:val="center"/>
          </w:tcPr>
          <w:p w14:paraId="7418B94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17.5</w:t>
            </w:r>
          </w:p>
        </w:tc>
        <w:tc>
          <w:tcPr>
            <w:tcW w:w="250" w:type="pct"/>
            <w:shd w:val="clear" w:color="auto" w:fill="D5ECF5"/>
            <w:vAlign w:val="center"/>
          </w:tcPr>
          <w:p w14:paraId="7418B94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16.2</w:t>
            </w:r>
          </w:p>
        </w:tc>
        <w:tc>
          <w:tcPr>
            <w:tcW w:w="250" w:type="pct"/>
            <w:shd w:val="clear" w:color="auto" w:fill="D5ECF5"/>
            <w:vAlign w:val="center"/>
          </w:tcPr>
          <w:p w14:paraId="7418B94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16.5</w:t>
            </w:r>
          </w:p>
        </w:tc>
        <w:tc>
          <w:tcPr>
            <w:tcW w:w="250" w:type="pct"/>
            <w:shd w:val="clear" w:color="auto" w:fill="D5ECF5"/>
            <w:vAlign w:val="center"/>
          </w:tcPr>
          <w:p w14:paraId="7418B94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16.6</w:t>
            </w:r>
          </w:p>
        </w:tc>
        <w:tc>
          <w:tcPr>
            <w:tcW w:w="231" w:type="pct"/>
            <w:shd w:val="clear" w:color="auto" w:fill="D5ECF5"/>
            <w:vAlign w:val="center"/>
          </w:tcPr>
          <w:p w14:paraId="7418B94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15.3</w:t>
            </w:r>
          </w:p>
        </w:tc>
        <w:tc>
          <w:tcPr>
            <w:tcW w:w="225" w:type="pct"/>
            <w:shd w:val="clear" w:color="auto" w:fill="D5ECF5"/>
            <w:vAlign w:val="center"/>
          </w:tcPr>
          <w:p w14:paraId="7418B94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r w:rsidR="00D471AD" w:rsidRPr="00AB1F33" w14:paraId="7418B95D" w14:textId="77777777" w:rsidTr="004A31A9">
        <w:trPr>
          <w:trHeight w:val="283"/>
        </w:trPr>
        <w:tc>
          <w:tcPr>
            <w:tcW w:w="1544" w:type="pct"/>
            <w:shd w:val="clear" w:color="auto" w:fill="E4F3F9"/>
            <w:vAlign w:val="center"/>
          </w:tcPr>
          <w:p w14:paraId="7418B94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Exports of services, % of GDP</w:t>
            </w:r>
            <w:r w:rsidRPr="00AB1F33">
              <w:rPr>
                <w:rFonts w:eastAsia="Arial Unicode MS" w:cs="Arial" w:hint="eastAsia"/>
                <w:color w:val="7A7B7C"/>
                <w:sz w:val="14"/>
                <w:szCs w:val="14"/>
                <w:lang w:eastAsia="en-AU"/>
              </w:rPr>
              <w:t>⁴</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⁵</w:t>
            </w:r>
          </w:p>
        </w:tc>
        <w:tc>
          <w:tcPr>
            <w:tcW w:w="250" w:type="pct"/>
            <w:shd w:val="clear" w:color="auto" w:fill="E4F3F9"/>
            <w:vAlign w:val="center"/>
          </w:tcPr>
          <w:p w14:paraId="7418B94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4.3</w:t>
            </w:r>
          </w:p>
        </w:tc>
        <w:tc>
          <w:tcPr>
            <w:tcW w:w="250" w:type="pct"/>
            <w:shd w:val="clear" w:color="auto" w:fill="E4F3F9"/>
            <w:vAlign w:val="center"/>
          </w:tcPr>
          <w:p w14:paraId="7418B95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4.9</w:t>
            </w:r>
          </w:p>
        </w:tc>
        <w:tc>
          <w:tcPr>
            <w:tcW w:w="250" w:type="pct"/>
            <w:shd w:val="clear" w:color="auto" w:fill="E4F3F9"/>
            <w:vAlign w:val="center"/>
          </w:tcPr>
          <w:p w14:paraId="7418B95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4.0</w:t>
            </w:r>
          </w:p>
        </w:tc>
        <w:tc>
          <w:tcPr>
            <w:tcW w:w="250" w:type="pct"/>
            <w:shd w:val="clear" w:color="auto" w:fill="E4F3F9"/>
            <w:vAlign w:val="center"/>
          </w:tcPr>
          <w:p w14:paraId="7418B95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4.0</w:t>
            </w:r>
          </w:p>
        </w:tc>
        <w:tc>
          <w:tcPr>
            <w:tcW w:w="250" w:type="pct"/>
            <w:shd w:val="clear" w:color="auto" w:fill="E4F3F9"/>
            <w:vAlign w:val="center"/>
          </w:tcPr>
          <w:p w14:paraId="7418B95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4.1</w:t>
            </w:r>
          </w:p>
        </w:tc>
        <w:tc>
          <w:tcPr>
            <w:tcW w:w="250" w:type="pct"/>
            <w:shd w:val="clear" w:color="auto" w:fill="E4F3F9"/>
            <w:vAlign w:val="center"/>
          </w:tcPr>
          <w:p w14:paraId="7418B95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4.1</w:t>
            </w:r>
          </w:p>
        </w:tc>
        <w:tc>
          <w:tcPr>
            <w:tcW w:w="250" w:type="pct"/>
            <w:shd w:val="clear" w:color="auto" w:fill="E4F3F9"/>
            <w:vAlign w:val="center"/>
          </w:tcPr>
          <w:p w14:paraId="7418B95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3.9</w:t>
            </w:r>
          </w:p>
        </w:tc>
        <w:tc>
          <w:tcPr>
            <w:tcW w:w="250" w:type="pct"/>
            <w:shd w:val="clear" w:color="auto" w:fill="E4F3F9"/>
            <w:vAlign w:val="center"/>
          </w:tcPr>
          <w:p w14:paraId="7418B95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3.6</w:t>
            </w:r>
          </w:p>
        </w:tc>
        <w:tc>
          <w:tcPr>
            <w:tcW w:w="250" w:type="pct"/>
            <w:shd w:val="clear" w:color="auto" w:fill="E4F3F9"/>
            <w:vAlign w:val="center"/>
          </w:tcPr>
          <w:p w14:paraId="7418B95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3.4</w:t>
            </w:r>
          </w:p>
        </w:tc>
        <w:tc>
          <w:tcPr>
            <w:tcW w:w="250" w:type="pct"/>
            <w:shd w:val="clear" w:color="auto" w:fill="E4F3F9"/>
            <w:vAlign w:val="center"/>
          </w:tcPr>
          <w:p w14:paraId="7418B95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3.4</w:t>
            </w:r>
          </w:p>
        </w:tc>
        <w:tc>
          <w:tcPr>
            <w:tcW w:w="250" w:type="pct"/>
            <w:shd w:val="clear" w:color="auto" w:fill="E4F3F9"/>
            <w:vAlign w:val="center"/>
          </w:tcPr>
          <w:p w14:paraId="7418B95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3.5</w:t>
            </w:r>
          </w:p>
        </w:tc>
        <w:tc>
          <w:tcPr>
            <w:tcW w:w="250" w:type="pct"/>
            <w:shd w:val="clear" w:color="auto" w:fill="E4F3F9"/>
            <w:vAlign w:val="center"/>
          </w:tcPr>
          <w:p w14:paraId="7418B95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3.7</w:t>
            </w:r>
          </w:p>
        </w:tc>
        <w:tc>
          <w:tcPr>
            <w:tcW w:w="231" w:type="pct"/>
            <w:shd w:val="clear" w:color="auto" w:fill="E4F3F9"/>
            <w:vAlign w:val="center"/>
          </w:tcPr>
          <w:p w14:paraId="7418B95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4.0</w:t>
            </w:r>
          </w:p>
        </w:tc>
        <w:tc>
          <w:tcPr>
            <w:tcW w:w="225" w:type="pct"/>
            <w:shd w:val="clear" w:color="auto" w:fill="E4F3F9"/>
            <w:vAlign w:val="center"/>
          </w:tcPr>
          <w:p w14:paraId="7418B95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r w:rsidR="00D471AD" w:rsidRPr="00AB1F33" w14:paraId="7418B96D" w14:textId="77777777" w:rsidTr="004A31A9">
        <w:trPr>
          <w:trHeight w:val="283"/>
        </w:trPr>
        <w:tc>
          <w:tcPr>
            <w:tcW w:w="1544" w:type="pct"/>
            <w:shd w:val="clear" w:color="auto" w:fill="D5ECF5"/>
            <w:vAlign w:val="center"/>
          </w:tcPr>
          <w:p w14:paraId="7418B95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 xml:space="preserve">Exports in raw </w:t>
            </w:r>
            <w:r w:rsidRPr="00AB1F33">
              <w:rPr>
                <w:rFonts w:eastAsia="Arial Unicode MS" w:cs="Arial"/>
                <w:color w:val="7A7B7C"/>
                <w:sz w:val="14"/>
                <w:szCs w:val="14"/>
                <w:lang w:eastAsia="en-AU"/>
              </w:rPr>
              <w:t>commodities</w:t>
            </w:r>
            <w:r w:rsidRPr="00AB1F33">
              <w:rPr>
                <w:rFonts w:eastAsia="Arial Unicode MS" w:cs="Arial" w:hint="eastAsia"/>
                <w:color w:val="7A7B7C"/>
                <w:sz w:val="14"/>
                <w:szCs w:val="14"/>
                <w:lang w:eastAsia="en-AU"/>
              </w:rPr>
              <w:t>, % of GDP</w:t>
            </w:r>
            <w:r w:rsidRPr="00AB1F33">
              <w:rPr>
                <w:rFonts w:eastAsia="Arial Unicode MS" w:cs="Arial" w:hint="eastAsia"/>
                <w:color w:val="7A7B7C"/>
                <w:sz w:val="14"/>
                <w:szCs w:val="14"/>
                <w:lang w:eastAsia="en-AU"/>
              </w:rPr>
              <w:t>⁴</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⁶</w:t>
            </w:r>
          </w:p>
        </w:tc>
        <w:tc>
          <w:tcPr>
            <w:tcW w:w="250" w:type="pct"/>
            <w:shd w:val="clear" w:color="auto" w:fill="D5ECF5"/>
            <w:vAlign w:val="center"/>
          </w:tcPr>
          <w:p w14:paraId="7418B95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96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96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96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96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5.9</w:t>
            </w:r>
          </w:p>
        </w:tc>
        <w:tc>
          <w:tcPr>
            <w:tcW w:w="250" w:type="pct"/>
            <w:shd w:val="clear" w:color="auto" w:fill="D5ECF5"/>
            <w:vAlign w:val="center"/>
          </w:tcPr>
          <w:p w14:paraId="7418B96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9.5</w:t>
            </w:r>
          </w:p>
        </w:tc>
        <w:tc>
          <w:tcPr>
            <w:tcW w:w="250" w:type="pct"/>
            <w:shd w:val="clear" w:color="auto" w:fill="D5ECF5"/>
            <w:vAlign w:val="center"/>
          </w:tcPr>
          <w:p w14:paraId="7418B96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8.1</w:t>
            </w:r>
          </w:p>
        </w:tc>
        <w:tc>
          <w:tcPr>
            <w:tcW w:w="250" w:type="pct"/>
            <w:shd w:val="clear" w:color="auto" w:fill="D5ECF5"/>
            <w:vAlign w:val="center"/>
          </w:tcPr>
          <w:p w14:paraId="7418B96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9.6</w:t>
            </w:r>
          </w:p>
        </w:tc>
        <w:tc>
          <w:tcPr>
            <w:tcW w:w="250" w:type="pct"/>
            <w:shd w:val="clear" w:color="auto" w:fill="D5ECF5"/>
            <w:vAlign w:val="center"/>
          </w:tcPr>
          <w:p w14:paraId="7418B96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10.8</w:t>
            </w:r>
          </w:p>
        </w:tc>
        <w:tc>
          <w:tcPr>
            <w:tcW w:w="250" w:type="pct"/>
            <w:shd w:val="clear" w:color="auto" w:fill="D5ECF5"/>
            <w:vAlign w:val="center"/>
          </w:tcPr>
          <w:p w14:paraId="7418B96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9.6</w:t>
            </w:r>
          </w:p>
        </w:tc>
        <w:tc>
          <w:tcPr>
            <w:tcW w:w="250" w:type="pct"/>
            <w:shd w:val="clear" w:color="auto" w:fill="D5ECF5"/>
            <w:vAlign w:val="center"/>
          </w:tcPr>
          <w:p w14:paraId="7418B96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10.0</w:t>
            </w:r>
          </w:p>
        </w:tc>
        <w:tc>
          <w:tcPr>
            <w:tcW w:w="250" w:type="pct"/>
            <w:shd w:val="clear" w:color="auto" w:fill="D5ECF5"/>
            <w:vAlign w:val="center"/>
          </w:tcPr>
          <w:p w14:paraId="7418B96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10.0</w:t>
            </w:r>
          </w:p>
        </w:tc>
        <w:tc>
          <w:tcPr>
            <w:tcW w:w="231" w:type="pct"/>
            <w:shd w:val="clear" w:color="auto" w:fill="D5ECF5"/>
            <w:vAlign w:val="center"/>
          </w:tcPr>
          <w:p w14:paraId="7418B96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8.2</w:t>
            </w:r>
          </w:p>
        </w:tc>
        <w:tc>
          <w:tcPr>
            <w:tcW w:w="225" w:type="pct"/>
            <w:shd w:val="clear" w:color="auto" w:fill="D5ECF5"/>
            <w:vAlign w:val="center"/>
          </w:tcPr>
          <w:p w14:paraId="7418B96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r w:rsidR="00D471AD" w:rsidRPr="00AB1F33" w14:paraId="7418B97D" w14:textId="77777777" w:rsidTr="004A31A9">
        <w:trPr>
          <w:trHeight w:val="283"/>
        </w:trPr>
        <w:tc>
          <w:tcPr>
            <w:tcW w:w="1544" w:type="pct"/>
            <w:shd w:val="clear" w:color="auto" w:fill="E4F3F9"/>
            <w:vAlign w:val="center"/>
          </w:tcPr>
          <w:p w14:paraId="7418B96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Net Foreign Direct Investment Inflows, % of GDP</w:t>
            </w:r>
            <w:r w:rsidRPr="00AB1F33">
              <w:rPr>
                <w:rFonts w:eastAsia="Arial Unicode MS" w:cs="Arial" w:hint="eastAsia"/>
                <w:color w:val="7A7B7C"/>
                <w:sz w:val="14"/>
                <w:szCs w:val="14"/>
                <w:lang w:eastAsia="en-AU"/>
              </w:rPr>
              <w:t>⁷</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⁸</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⁹</w:t>
            </w:r>
          </w:p>
        </w:tc>
        <w:tc>
          <w:tcPr>
            <w:tcW w:w="250" w:type="pct"/>
            <w:shd w:val="clear" w:color="auto" w:fill="E4F3F9"/>
            <w:vAlign w:val="center"/>
          </w:tcPr>
          <w:p w14:paraId="7418B96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1.3</w:t>
            </w:r>
          </w:p>
        </w:tc>
        <w:tc>
          <w:tcPr>
            <w:tcW w:w="250" w:type="pct"/>
            <w:shd w:val="clear" w:color="auto" w:fill="E4F3F9"/>
            <w:vAlign w:val="center"/>
          </w:tcPr>
          <w:p w14:paraId="7418B97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1.7</w:t>
            </w:r>
          </w:p>
        </w:tc>
        <w:tc>
          <w:tcPr>
            <w:tcW w:w="250" w:type="pct"/>
            <w:shd w:val="clear" w:color="auto" w:fill="E4F3F9"/>
            <w:vAlign w:val="center"/>
          </w:tcPr>
          <w:p w14:paraId="7418B97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-3.7</w:t>
            </w:r>
          </w:p>
        </w:tc>
        <w:tc>
          <w:tcPr>
            <w:tcW w:w="250" w:type="pct"/>
            <w:shd w:val="clear" w:color="auto" w:fill="E4F3F9"/>
            <w:vAlign w:val="center"/>
          </w:tcPr>
          <w:p w14:paraId="7418B97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3.2</w:t>
            </w:r>
          </w:p>
        </w:tc>
        <w:tc>
          <w:tcPr>
            <w:tcW w:w="250" w:type="pct"/>
            <w:shd w:val="clear" w:color="auto" w:fill="E4F3F9"/>
            <w:vAlign w:val="center"/>
          </w:tcPr>
          <w:p w14:paraId="7418B97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4.2</w:t>
            </w:r>
          </w:p>
        </w:tc>
        <w:tc>
          <w:tcPr>
            <w:tcW w:w="250" w:type="pct"/>
            <w:shd w:val="clear" w:color="auto" w:fill="E4F3F9"/>
            <w:vAlign w:val="center"/>
          </w:tcPr>
          <w:p w14:paraId="7418B97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4.4</w:t>
            </w:r>
          </w:p>
        </w:tc>
        <w:tc>
          <w:tcPr>
            <w:tcW w:w="250" w:type="pct"/>
            <w:shd w:val="clear" w:color="auto" w:fill="E4F3F9"/>
            <w:vAlign w:val="center"/>
          </w:tcPr>
          <w:p w14:paraId="7418B97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3.1</w:t>
            </w:r>
          </w:p>
        </w:tc>
        <w:tc>
          <w:tcPr>
            <w:tcW w:w="250" w:type="pct"/>
            <w:shd w:val="clear" w:color="auto" w:fill="E4F3F9"/>
            <w:vAlign w:val="center"/>
          </w:tcPr>
          <w:p w14:paraId="7418B97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2.8</w:t>
            </w:r>
          </w:p>
        </w:tc>
        <w:tc>
          <w:tcPr>
            <w:tcW w:w="250" w:type="pct"/>
            <w:shd w:val="clear" w:color="auto" w:fill="E4F3F9"/>
            <w:vAlign w:val="center"/>
          </w:tcPr>
          <w:p w14:paraId="7418B97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3.8</w:t>
            </w:r>
          </w:p>
        </w:tc>
        <w:tc>
          <w:tcPr>
            <w:tcW w:w="250" w:type="pct"/>
            <w:shd w:val="clear" w:color="auto" w:fill="E4F3F9"/>
            <w:vAlign w:val="center"/>
          </w:tcPr>
          <w:p w14:paraId="7418B97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3.7</w:t>
            </w:r>
          </w:p>
        </w:tc>
        <w:tc>
          <w:tcPr>
            <w:tcW w:w="250" w:type="pct"/>
            <w:shd w:val="clear" w:color="auto" w:fill="E4F3F9"/>
            <w:vAlign w:val="center"/>
          </w:tcPr>
          <w:p w14:paraId="7418B97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3.7</w:t>
            </w:r>
          </w:p>
        </w:tc>
        <w:tc>
          <w:tcPr>
            <w:tcW w:w="250" w:type="pct"/>
            <w:shd w:val="clear" w:color="auto" w:fill="E4F3F9"/>
            <w:vAlign w:val="center"/>
          </w:tcPr>
          <w:p w14:paraId="7418B97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2.7</w:t>
            </w:r>
          </w:p>
        </w:tc>
        <w:tc>
          <w:tcPr>
            <w:tcW w:w="231" w:type="pct"/>
            <w:shd w:val="clear" w:color="auto" w:fill="E4F3F9"/>
            <w:vAlign w:val="center"/>
          </w:tcPr>
          <w:p w14:paraId="7418B97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1.8</w:t>
            </w:r>
          </w:p>
        </w:tc>
        <w:tc>
          <w:tcPr>
            <w:tcW w:w="225" w:type="pct"/>
            <w:shd w:val="clear" w:color="auto" w:fill="E4F3F9"/>
            <w:vAlign w:val="center"/>
          </w:tcPr>
          <w:p w14:paraId="7418B97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r w:rsidR="00D471AD" w:rsidRPr="00AB1F33" w14:paraId="7418B98D" w14:textId="77777777" w:rsidTr="004A31A9">
        <w:trPr>
          <w:trHeight w:val="283"/>
        </w:trPr>
        <w:tc>
          <w:tcPr>
            <w:tcW w:w="1544" w:type="pct"/>
            <w:shd w:val="clear" w:color="auto" w:fill="D5ECF5"/>
            <w:vAlign w:val="center"/>
          </w:tcPr>
          <w:p w14:paraId="7418B97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FDI and technology transfer, score ranges from 1-7 (best)</w:t>
            </w:r>
            <w:r w:rsidRPr="00AB1F33">
              <w:rPr>
                <w:rFonts w:eastAsia="Arial Unicode MS" w:cs="Arial" w:hint="eastAsia"/>
                <w:color w:val="7A7B7C"/>
                <w:sz w:val="14"/>
                <w:szCs w:val="14"/>
                <w:lang w:eastAsia="en-AU"/>
              </w:rPr>
              <w:t>¹⁰</w:t>
            </w:r>
          </w:p>
        </w:tc>
        <w:tc>
          <w:tcPr>
            <w:tcW w:w="250" w:type="pct"/>
            <w:shd w:val="clear" w:color="auto" w:fill="D5ECF5"/>
            <w:vAlign w:val="center"/>
          </w:tcPr>
          <w:p w14:paraId="7418B97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98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98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98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5.2</w:t>
            </w:r>
          </w:p>
        </w:tc>
        <w:tc>
          <w:tcPr>
            <w:tcW w:w="250" w:type="pct"/>
            <w:shd w:val="clear" w:color="auto" w:fill="D5ECF5"/>
            <w:vAlign w:val="center"/>
          </w:tcPr>
          <w:p w14:paraId="7418B98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5.4</w:t>
            </w:r>
          </w:p>
        </w:tc>
        <w:tc>
          <w:tcPr>
            <w:tcW w:w="250" w:type="pct"/>
            <w:shd w:val="clear" w:color="auto" w:fill="D5ECF5"/>
            <w:vAlign w:val="center"/>
          </w:tcPr>
          <w:p w14:paraId="7418B98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5.5</w:t>
            </w:r>
          </w:p>
        </w:tc>
        <w:tc>
          <w:tcPr>
            <w:tcW w:w="250" w:type="pct"/>
            <w:shd w:val="clear" w:color="auto" w:fill="D5ECF5"/>
            <w:vAlign w:val="center"/>
          </w:tcPr>
          <w:p w14:paraId="7418B98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5.4</w:t>
            </w:r>
          </w:p>
        </w:tc>
        <w:tc>
          <w:tcPr>
            <w:tcW w:w="250" w:type="pct"/>
            <w:shd w:val="clear" w:color="auto" w:fill="D5ECF5"/>
            <w:vAlign w:val="center"/>
          </w:tcPr>
          <w:p w14:paraId="7418B98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5.2</w:t>
            </w:r>
          </w:p>
        </w:tc>
        <w:tc>
          <w:tcPr>
            <w:tcW w:w="250" w:type="pct"/>
            <w:shd w:val="clear" w:color="auto" w:fill="D5ECF5"/>
            <w:vAlign w:val="center"/>
          </w:tcPr>
          <w:p w14:paraId="7418B98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5.1</w:t>
            </w:r>
          </w:p>
        </w:tc>
        <w:tc>
          <w:tcPr>
            <w:tcW w:w="250" w:type="pct"/>
            <w:shd w:val="clear" w:color="auto" w:fill="D5ECF5"/>
            <w:vAlign w:val="center"/>
          </w:tcPr>
          <w:p w14:paraId="7418B98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5.0</w:t>
            </w:r>
          </w:p>
        </w:tc>
        <w:tc>
          <w:tcPr>
            <w:tcW w:w="250" w:type="pct"/>
            <w:shd w:val="clear" w:color="auto" w:fill="D5ECF5"/>
            <w:vAlign w:val="center"/>
          </w:tcPr>
          <w:p w14:paraId="7418B98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5.2</w:t>
            </w:r>
          </w:p>
        </w:tc>
        <w:tc>
          <w:tcPr>
            <w:tcW w:w="250" w:type="pct"/>
            <w:shd w:val="clear" w:color="auto" w:fill="D5ECF5"/>
            <w:vAlign w:val="center"/>
          </w:tcPr>
          <w:p w14:paraId="7418B98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5.1</w:t>
            </w:r>
          </w:p>
        </w:tc>
        <w:tc>
          <w:tcPr>
            <w:tcW w:w="231" w:type="pct"/>
            <w:shd w:val="clear" w:color="auto" w:fill="D5ECF5"/>
            <w:vAlign w:val="center"/>
          </w:tcPr>
          <w:p w14:paraId="7418B98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4.8</w:t>
            </w:r>
          </w:p>
        </w:tc>
        <w:tc>
          <w:tcPr>
            <w:tcW w:w="225" w:type="pct"/>
            <w:shd w:val="clear" w:color="auto" w:fill="D5ECF5"/>
            <w:vAlign w:val="center"/>
          </w:tcPr>
          <w:p w14:paraId="7418B98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4.8</w:t>
            </w:r>
          </w:p>
        </w:tc>
      </w:tr>
      <w:tr w:rsidR="00D471AD" w:rsidRPr="00AB1F33" w14:paraId="7418B99D" w14:textId="77777777" w:rsidTr="004A31A9">
        <w:trPr>
          <w:trHeight w:val="283"/>
        </w:trPr>
        <w:tc>
          <w:tcPr>
            <w:tcW w:w="1544" w:type="pct"/>
            <w:shd w:val="clear" w:color="auto" w:fill="E4F3F9"/>
            <w:vAlign w:val="center"/>
          </w:tcPr>
          <w:p w14:paraId="7418B98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Business impact of rules on FDI, score ranges from 1-7 (best)</w:t>
            </w:r>
            <w:r w:rsidRPr="00AB1F33">
              <w:rPr>
                <w:rFonts w:eastAsia="Arial Unicode MS" w:cs="Arial" w:hint="eastAsia"/>
                <w:color w:val="7A7B7C"/>
                <w:sz w:val="14"/>
                <w:szCs w:val="14"/>
                <w:lang w:eastAsia="en-AU"/>
              </w:rPr>
              <w:t>¹⁰</w:t>
            </w:r>
          </w:p>
        </w:tc>
        <w:tc>
          <w:tcPr>
            <w:tcW w:w="250" w:type="pct"/>
            <w:shd w:val="clear" w:color="auto" w:fill="E4F3F9"/>
            <w:vAlign w:val="center"/>
          </w:tcPr>
          <w:p w14:paraId="7418B98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E4F3F9"/>
            <w:vAlign w:val="center"/>
          </w:tcPr>
          <w:p w14:paraId="7418B99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E4F3F9"/>
            <w:vAlign w:val="center"/>
          </w:tcPr>
          <w:p w14:paraId="7418B99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E4F3F9"/>
            <w:vAlign w:val="center"/>
          </w:tcPr>
          <w:p w14:paraId="7418B99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5.4</w:t>
            </w:r>
          </w:p>
        </w:tc>
        <w:tc>
          <w:tcPr>
            <w:tcW w:w="250" w:type="pct"/>
            <w:shd w:val="clear" w:color="auto" w:fill="E4F3F9"/>
            <w:vAlign w:val="center"/>
          </w:tcPr>
          <w:p w14:paraId="7418B99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5.3</w:t>
            </w:r>
          </w:p>
        </w:tc>
        <w:tc>
          <w:tcPr>
            <w:tcW w:w="250" w:type="pct"/>
            <w:shd w:val="clear" w:color="auto" w:fill="E4F3F9"/>
            <w:vAlign w:val="center"/>
          </w:tcPr>
          <w:p w14:paraId="7418B99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5.4</w:t>
            </w:r>
          </w:p>
        </w:tc>
        <w:tc>
          <w:tcPr>
            <w:tcW w:w="250" w:type="pct"/>
            <w:shd w:val="clear" w:color="auto" w:fill="E4F3F9"/>
            <w:vAlign w:val="center"/>
          </w:tcPr>
          <w:p w14:paraId="7418B99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5.1</w:t>
            </w:r>
          </w:p>
        </w:tc>
        <w:tc>
          <w:tcPr>
            <w:tcW w:w="250" w:type="pct"/>
            <w:shd w:val="clear" w:color="auto" w:fill="E4F3F9"/>
            <w:vAlign w:val="center"/>
          </w:tcPr>
          <w:p w14:paraId="7418B99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4.9</w:t>
            </w:r>
          </w:p>
        </w:tc>
        <w:tc>
          <w:tcPr>
            <w:tcW w:w="250" w:type="pct"/>
            <w:shd w:val="clear" w:color="auto" w:fill="E4F3F9"/>
            <w:vAlign w:val="center"/>
          </w:tcPr>
          <w:p w14:paraId="7418B99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4.9</w:t>
            </w:r>
          </w:p>
        </w:tc>
        <w:tc>
          <w:tcPr>
            <w:tcW w:w="250" w:type="pct"/>
            <w:shd w:val="clear" w:color="auto" w:fill="E4F3F9"/>
            <w:vAlign w:val="center"/>
          </w:tcPr>
          <w:p w14:paraId="7418B99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5.0</w:t>
            </w:r>
          </w:p>
        </w:tc>
        <w:tc>
          <w:tcPr>
            <w:tcW w:w="250" w:type="pct"/>
            <w:shd w:val="clear" w:color="auto" w:fill="E4F3F9"/>
            <w:vAlign w:val="center"/>
          </w:tcPr>
          <w:p w14:paraId="7418B99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4.9</w:t>
            </w:r>
          </w:p>
        </w:tc>
        <w:tc>
          <w:tcPr>
            <w:tcW w:w="250" w:type="pct"/>
            <w:shd w:val="clear" w:color="auto" w:fill="E4F3F9"/>
            <w:vAlign w:val="center"/>
          </w:tcPr>
          <w:p w14:paraId="7418B99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4.6</w:t>
            </w:r>
          </w:p>
        </w:tc>
        <w:tc>
          <w:tcPr>
            <w:tcW w:w="231" w:type="pct"/>
            <w:shd w:val="clear" w:color="auto" w:fill="E4F3F9"/>
            <w:vAlign w:val="center"/>
          </w:tcPr>
          <w:p w14:paraId="7418B99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4.8</w:t>
            </w:r>
          </w:p>
        </w:tc>
        <w:tc>
          <w:tcPr>
            <w:tcW w:w="225" w:type="pct"/>
            <w:shd w:val="clear" w:color="auto" w:fill="E4F3F9"/>
            <w:vAlign w:val="center"/>
          </w:tcPr>
          <w:p w14:paraId="7418B99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4.9</w:t>
            </w:r>
          </w:p>
        </w:tc>
      </w:tr>
      <w:tr w:rsidR="00D471AD" w:rsidRPr="00AB1F33" w14:paraId="7418B9AD" w14:textId="77777777" w:rsidTr="004A31A9">
        <w:trPr>
          <w:trHeight w:val="283"/>
        </w:trPr>
        <w:tc>
          <w:tcPr>
            <w:tcW w:w="1544" w:type="pct"/>
            <w:shd w:val="clear" w:color="auto" w:fill="D5ECF5"/>
            <w:vAlign w:val="center"/>
          </w:tcPr>
          <w:p w14:paraId="7418B99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Technology balance of payments - (receipts minus payments), % of GDP</w:t>
            </w:r>
            <w:r w:rsidRPr="00AB1F33">
              <w:rPr>
                <w:rFonts w:eastAsia="Arial Unicode MS" w:cs="Arial" w:hint="eastAsia"/>
                <w:color w:val="7A7B7C"/>
                <w:sz w:val="14"/>
                <w:szCs w:val="14"/>
                <w:lang w:eastAsia="en-AU"/>
              </w:rPr>
              <w:t>⁹</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²¹</w:t>
            </w:r>
          </w:p>
        </w:tc>
        <w:tc>
          <w:tcPr>
            <w:tcW w:w="250" w:type="pct"/>
            <w:shd w:val="clear" w:color="auto" w:fill="D5ECF5"/>
            <w:vAlign w:val="center"/>
          </w:tcPr>
          <w:p w14:paraId="7418B99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-0.049</w:t>
            </w:r>
          </w:p>
        </w:tc>
        <w:tc>
          <w:tcPr>
            <w:tcW w:w="250" w:type="pct"/>
            <w:shd w:val="clear" w:color="auto" w:fill="D5ECF5"/>
            <w:vAlign w:val="center"/>
          </w:tcPr>
          <w:p w14:paraId="7418B9A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-0.167</w:t>
            </w:r>
          </w:p>
        </w:tc>
        <w:tc>
          <w:tcPr>
            <w:tcW w:w="250" w:type="pct"/>
            <w:shd w:val="clear" w:color="auto" w:fill="D5ECF5"/>
            <w:vAlign w:val="center"/>
          </w:tcPr>
          <w:p w14:paraId="7418B9A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-0.093</w:t>
            </w:r>
          </w:p>
        </w:tc>
        <w:tc>
          <w:tcPr>
            <w:tcW w:w="250" w:type="pct"/>
            <w:shd w:val="clear" w:color="auto" w:fill="D5ECF5"/>
            <w:vAlign w:val="center"/>
          </w:tcPr>
          <w:p w14:paraId="7418B9A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-0.023</w:t>
            </w:r>
          </w:p>
        </w:tc>
        <w:tc>
          <w:tcPr>
            <w:tcW w:w="250" w:type="pct"/>
            <w:shd w:val="clear" w:color="auto" w:fill="D5ECF5"/>
            <w:vAlign w:val="center"/>
          </w:tcPr>
          <w:p w14:paraId="7418B9A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-0.134</w:t>
            </w:r>
          </w:p>
        </w:tc>
        <w:tc>
          <w:tcPr>
            <w:tcW w:w="250" w:type="pct"/>
            <w:shd w:val="clear" w:color="auto" w:fill="D5ECF5"/>
            <w:vAlign w:val="center"/>
          </w:tcPr>
          <w:p w14:paraId="7418B9A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-0.194</w:t>
            </w:r>
          </w:p>
        </w:tc>
        <w:tc>
          <w:tcPr>
            <w:tcW w:w="250" w:type="pct"/>
            <w:shd w:val="clear" w:color="auto" w:fill="D5ECF5"/>
            <w:vAlign w:val="center"/>
          </w:tcPr>
          <w:p w14:paraId="7418B9A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-0.182</w:t>
            </w:r>
          </w:p>
        </w:tc>
        <w:tc>
          <w:tcPr>
            <w:tcW w:w="250" w:type="pct"/>
            <w:shd w:val="clear" w:color="auto" w:fill="D5ECF5"/>
            <w:vAlign w:val="center"/>
          </w:tcPr>
          <w:p w14:paraId="7418B9A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-0.211</w:t>
            </w:r>
          </w:p>
        </w:tc>
        <w:tc>
          <w:tcPr>
            <w:tcW w:w="250" w:type="pct"/>
            <w:shd w:val="clear" w:color="auto" w:fill="D5ECF5"/>
            <w:vAlign w:val="center"/>
          </w:tcPr>
          <w:p w14:paraId="7418B9A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-0.245</w:t>
            </w:r>
          </w:p>
        </w:tc>
        <w:tc>
          <w:tcPr>
            <w:tcW w:w="250" w:type="pct"/>
            <w:shd w:val="clear" w:color="auto" w:fill="D5ECF5"/>
            <w:vAlign w:val="center"/>
          </w:tcPr>
          <w:p w14:paraId="7418B9A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-0.264</w:t>
            </w:r>
          </w:p>
        </w:tc>
        <w:tc>
          <w:tcPr>
            <w:tcW w:w="250" w:type="pct"/>
            <w:shd w:val="clear" w:color="auto" w:fill="D5ECF5"/>
            <w:vAlign w:val="center"/>
          </w:tcPr>
          <w:p w14:paraId="7418B9A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-0.326</w:t>
            </w:r>
          </w:p>
        </w:tc>
        <w:tc>
          <w:tcPr>
            <w:tcW w:w="250" w:type="pct"/>
            <w:shd w:val="clear" w:color="auto" w:fill="D5ECF5"/>
            <w:vAlign w:val="center"/>
          </w:tcPr>
          <w:p w14:paraId="7418B9A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-0.306</w:t>
            </w:r>
          </w:p>
        </w:tc>
        <w:tc>
          <w:tcPr>
            <w:tcW w:w="231" w:type="pct"/>
            <w:shd w:val="clear" w:color="auto" w:fill="D5ECF5"/>
            <w:vAlign w:val="center"/>
          </w:tcPr>
          <w:p w14:paraId="7418B9A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25" w:type="pct"/>
            <w:shd w:val="clear" w:color="auto" w:fill="D5ECF5"/>
            <w:vAlign w:val="center"/>
          </w:tcPr>
          <w:p w14:paraId="7418B9A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r w:rsidR="00D471AD" w:rsidRPr="00AB1F33" w14:paraId="7418B9BD" w14:textId="77777777" w:rsidTr="004A31A9">
        <w:trPr>
          <w:trHeight w:val="283"/>
        </w:trPr>
        <w:tc>
          <w:tcPr>
            <w:tcW w:w="1544" w:type="pct"/>
            <w:shd w:val="clear" w:color="auto" w:fill="E4F3F9"/>
            <w:vAlign w:val="center"/>
          </w:tcPr>
          <w:p w14:paraId="7418B9A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Intellectual property balance of payments, million A$</w:t>
            </w:r>
            <w:r w:rsidRPr="00AB1F33">
              <w:rPr>
                <w:rFonts w:eastAsia="Arial Unicode MS" w:cs="Arial" w:hint="eastAsia"/>
                <w:color w:val="7A7B7C"/>
                <w:sz w:val="14"/>
                <w:szCs w:val="14"/>
                <w:lang w:eastAsia="en-AU"/>
              </w:rPr>
              <w:t>¹¹</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¹²</w:t>
            </w:r>
          </w:p>
        </w:tc>
        <w:tc>
          <w:tcPr>
            <w:tcW w:w="250" w:type="pct"/>
            <w:shd w:val="clear" w:color="auto" w:fill="E4F3F9"/>
            <w:vAlign w:val="center"/>
          </w:tcPr>
          <w:p w14:paraId="7418B9A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E4F3F9"/>
            <w:vAlign w:val="center"/>
          </w:tcPr>
          <w:p w14:paraId="7418B9B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-1,319</w:t>
            </w:r>
          </w:p>
        </w:tc>
        <w:tc>
          <w:tcPr>
            <w:tcW w:w="250" w:type="pct"/>
            <w:shd w:val="clear" w:color="auto" w:fill="E4F3F9"/>
            <w:vAlign w:val="center"/>
          </w:tcPr>
          <w:p w14:paraId="7418B9B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-1,832</w:t>
            </w:r>
          </w:p>
        </w:tc>
        <w:tc>
          <w:tcPr>
            <w:tcW w:w="250" w:type="pct"/>
            <w:shd w:val="clear" w:color="auto" w:fill="E4F3F9"/>
            <w:vAlign w:val="center"/>
          </w:tcPr>
          <w:p w14:paraId="7418B9B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-2,001</w:t>
            </w:r>
          </w:p>
        </w:tc>
        <w:tc>
          <w:tcPr>
            <w:tcW w:w="250" w:type="pct"/>
            <w:shd w:val="clear" w:color="auto" w:fill="E4F3F9"/>
            <w:vAlign w:val="center"/>
          </w:tcPr>
          <w:p w14:paraId="7418B9B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-2,492</w:t>
            </w:r>
          </w:p>
        </w:tc>
        <w:tc>
          <w:tcPr>
            <w:tcW w:w="250" w:type="pct"/>
            <w:shd w:val="clear" w:color="auto" w:fill="E4F3F9"/>
            <w:vAlign w:val="center"/>
          </w:tcPr>
          <w:p w14:paraId="7418B9B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-2,656</w:t>
            </w:r>
          </w:p>
        </w:tc>
        <w:tc>
          <w:tcPr>
            <w:tcW w:w="250" w:type="pct"/>
            <w:shd w:val="clear" w:color="auto" w:fill="E4F3F9"/>
            <w:vAlign w:val="center"/>
          </w:tcPr>
          <w:p w14:paraId="7418B9B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-2,588</w:t>
            </w:r>
          </w:p>
        </w:tc>
        <w:tc>
          <w:tcPr>
            <w:tcW w:w="250" w:type="pct"/>
            <w:shd w:val="clear" w:color="auto" w:fill="E4F3F9"/>
            <w:vAlign w:val="center"/>
          </w:tcPr>
          <w:p w14:paraId="7418B9B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-2,659</w:t>
            </w:r>
          </w:p>
        </w:tc>
        <w:tc>
          <w:tcPr>
            <w:tcW w:w="250" w:type="pct"/>
            <w:shd w:val="clear" w:color="auto" w:fill="E4F3F9"/>
            <w:vAlign w:val="center"/>
          </w:tcPr>
          <w:p w14:paraId="7418B9B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-3,065</w:t>
            </w:r>
          </w:p>
        </w:tc>
        <w:tc>
          <w:tcPr>
            <w:tcW w:w="250" w:type="pct"/>
            <w:shd w:val="clear" w:color="auto" w:fill="E4F3F9"/>
            <w:vAlign w:val="center"/>
          </w:tcPr>
          <w:p w14:paraId="7418B9B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-3,213</w:t>
            </w:r>
          </w:p>
        </w:tc>
        <w:tc>
          <w:tcPr>
            <w:tcW w:w="250" w:type="pct"/>
            <w:shd w:val="clear" w:color="auto" w:fill="E4F3F9"/>
            <w:vAlign w:val="center"/>
          </w:tcPr>
          <w:p w14:paraId="7418B9B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-3,280</w:t>
            </w:r>
          </w:p>
        </w:tc>
        <w:tc>
          <w:tcPr>
            <w:tcW w:w="250" w:type="pct"/>
            <w:shd w:val="clear" w:color="auto" w:fill="E4F3F9"/>
            <w:vAlign w:val="center"/>
          </w:tcPr>
          <w:p w14:paraId="7418B9B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-3,476</w:t>
            </w:r>
          </w:p>
        </w:tc>
        <w:tc>
          <w:tcPr>
            <w:tcW w:w="231" w:type="pct"/>
            <w:shd w:val="clear" w:color="auto" w:fill="E4F3F9"/>
            <w:vAlign w:val="center"/>
          </w:tcPr>
          <w:p w14:paraId="7418B9B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-3,589</w:t>
            </w:r>
          </w:p>
        </w:tc>
        <w:tc>
          <w:tcPr>
            <w:tcW w:w="225" w:type="pct"/>
            <w:shd w:val="clear" w:color="auto" w:fill="E4F3F9"/>
            <w:vAlign w:val="center"/>
          </w:tcPr>
          <w:p w14:paraId="7418B9B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r w:rsidR="00D471AD" w:rsidRPr="00AB1F33" w14:paraId="7418B9CD" w14:textId="77777777" w:rsidTr="004A31A9">
        <w:trPr>
          <w:trHeight w:val="283"/>
        </w:trPr>
        <w:tc>
          <w:tcPr>
            <w:tcW w:w="1544" w:type="pct"/>
            <w:shd w:val="clear" w:color="auto" w:fill="D5ECF5"/>
            <w:vAlign w:val="center"/>
          </w:tcPr>
          <w:p w14:paraId="7418B9B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Percentage of Gross Expenditure on R&amp;D (GERD) financed by abroad, %</w:t>
            </w:r>
            <w:r w:rsidRPr="00AB1F33">
              <w:rPr>
                <w:rFonts w:eastAsia="Arial Unicode MS" w:cs="Arial" w:hint="eastAsia"/>
                <w:color w:val="7A7B7C"/>
                <w:sz w:val="14"/>
                <w:szCs w:val="14"/>
                <w:lang w:eastAsia="en-AU"/>
              </w:rPr>
              <w:t>⁹</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²¹</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²²</w:t>
            </w:r>
          </w:p>
        </w:tc>
        <w:tc>
          <w:tcPr>
            <w:tcW w:w="250" w:type="pct"/>
            <w:shd w:val="clear" w:color="auto" w:fill="D5ECF5"/>
            <w:vAlign w:val="center"/>
          </w:tcPr>
          <w:p w14:paraId="7418B9B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2.1</w:t>
            </w:r>
          </w:p>
        </w:tc>
        <w:tc>
          <w:tcPr>
            <w:tcW w:w="250" w:type="pct"/>
            <w:shd w:val="clear" w:color="auto" w:fill="D5ECF5"/>
            <w:vAlign w:val="center"/>
          </w:tcPr>
          <w:p w14:paraId="7418B9C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3.5</w:t>
            </w:r>
          </w:p>
        </w:tc>
        <w:tc>
          <w:tcPr>
            <w:tcW w:w="250" w:type="pct"/>
            <w:shd w:val="clear" w:color="auto" w:fill="D5ECF5"/>
            <w:vAlign w:val="center"/>
          </w:tcPr>
          <w:p w14:paraId="7418B9C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2.9</w:t>
            </w:r>
          </w:p>
        </w:tc>
        <w:tc>
          <w:tcPr>
            <w:tcW w:w="250" w:type="pct"/>
            <w:shd w:val="clear" w:color="auto" w:fill="D5ECF5"/>
            <w:vAlign w:val="center"/>
          </w:tcPr>
          <w:p w14:paraId="7418B9C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2.4</w:t>
            </w:r>
          </w:p>
        </w:tc>
        <w:tc>
          <w:tcPr>
            <w:tcW w:w="250" w:type="pct"/>
            <w:shd w:val="clear" w:color="auto" w:fill="D5ECF5"/>
            <w:vAlign w:val="center"/>
          </w:tcPr>
          <w:p w14:paraId="7418B9C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9C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1.6</w:t>
            </w:r>
          </w:p>
        </w:tc>
        <w:tc>
          <w:tcPr>
            <w:tcW w:w="250" w:type="pct"/>
            <w:shd w:val="clear" w:color="auto" w:fill="D5ECF5"/>
            <w:vAlign w:val="center"/>
          </w:tcPr>
          <w:p w14:paraId="7418B9C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9C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9C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9C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9C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9C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31" w:type="pct"/>
            <w:shd w:val="clear" w:color="auto" w:fill="D5ECF5"/>
            <w:vAlign w:val="center"/>
          </w:tcPr>
          <w:p w14:paraId="7418B9C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25" w:type="pct"/>
            <w:shd w:val="clear" w:color="auto" w:fill="D5ECF5"/>
            <w:vAlign w:val="center"/>
          </w:tcPr>
          <w:p w14:paraId="7418B9C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r w:rsidR="00D471AD" w:rsidRPr="00AB1F33" w14:paraId="7418B9DD" w14:textId="77777777" w:rsidTr="004A31A9">
        <w:trPr>
          <w:trHeight w:val="283"/>
        </w:trPr>
        <w:tc>
          <w:tcPr>
            <w:tcW w:w="1544" w:type="pct"/>
            <w:shd w:val="clear" w:color="auto" w:fill="E4F3F9"/>
            <w:vAlign w:val="center"/>
          </w:tcPr>
          <w:p w14:paraId="7418B9C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Percentage of Business expenditure on R&amp;D (BERD) financed by abroad, %</w:t>
            </w:r>
            <w:r w:rsidRPr="00AB1F33">
              <w:rPr>
                <w:rFonts w:eastAsia="Arial Unicode MS" w:cs="Arial" w:hint="eastAsia"/>
                <w:color w:val="7A7B7C"/>
                <w:sz w:val="14"/>
                <w:szCs w:val="14"/>
                <w:lang w:eastAsia="en-AU"/>
              </w:rPr>
              <w:t>⁹</w:t>
            </w:r>
          </w:p>
        </w:tc>
        <w:tc>
          <w:tcPr>
            <w:tcW w:w="250" w:type="pct"/>
            <w:shd w:val="clear" w:color="auto" w:fill="E4F3F9"/>
            <w:vAlign w:val="center"/>
          </w:tcPr>
          <w:p w14:paraId="7418B9C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3.0</w:t>
            </w:r>
          </w:p>
        </w:tc>
        <w:tc>
          <w:tcPr>
            <w:tcW w:w="250" w:type="pct"/>
            <w:shd w:val="clear" w:color="auto" w:fill="E4F3F9"/>
            <w:vAlign w:val="center"/>
          </w:tcPr>
          <w:p w14:paraId="7418B9D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4.7</w:t>
            </w:r>
          </w:p>
        </w:tc>
        <w:tc>
          <w:tcPr>
            <w:tcW w:w="250" w:type="pct"/>
            <w:shd w:val="clear" w:color="auto" w:fill="E4F3F9"/>
            <w:vAlign w:val="center"/>
          </w:tcPr>
          <w:p w14:paraId="7418B9D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1.6</w:t>
            </w:r>
          </w:p>
        </w:tc>
        <w:tc>
          <w:tcPr>
            <w:tcW w:w="250" w:type="pct"/>
            <w:shd w:val="clear" w:color="auto" w:fill="E4F3F9"/>
            <w:vAlign w:val="center"/>
          </w:tcPr>
          <w:p w14:paraId="7418B9D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1.9</w:t>
            </w:r>
          </w:p>
        </w:tc>
        <w:tc>
          <w:tcPr>
            <w:tcW w:w="250" w:type="pct"/>
            <w:shd w:val="clear" w:color="auto" w:fill="E4F3F9"/>
            <w:vAlign w:val="center"/>
          </w:tcPr>
          <w:p w14:paraId="7418B9D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1.2</w:t>
            </w:r>
          </w:p>
        </w:tc>
        <w:tc>
          <w:tcPr>
            <w:tcW w:w="250" w:type="pct"/>
            <w:shd w:val="clear" w:color="auto" w:fill="E4F3F9"/>
            <w:vAlign w:val="center"/>
          </w:tcPr>
          <w:p w14:paraId="7418B9D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1.0</w:t>
            </w:r>
          </w:p>
        </w:tc>
        <w:tc>
          <w:tcPr>
            <w:tcW w:w="250" w:type="pct"/>
            <w:shd w:val="clear" w:color="auto" w:fill="E4F3F9"/>
            <w:vAlign w:val="center"/>
          </w:tcPr>
          <w:p w14:paraId="7418B9D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1.0</w:t>
            </w:r>
          </w:p>
        </w:tc>
        <w:tc>
          <w:tcPr>
            <w:tcW w:w="250" w:type="pct"/>
            <w:shd w:val="clear" w:color="auto" w:fill="E4F3F9"/>
            <w:vAlign w:val="center"/>
          </w:tcPr>
          <w:p w14:paraId="7418B9D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0.9</w:t>
            </w:r>
          </w:p>
        </w:tc>
        <w:tc>
          <w:tcPr>
            <w:tcW w:w="250" w:type="pct"/>
            <w:shd w:val="clear" w:color="auto" w:fill="E4F3F9"/>
            <w:vAlign w:val="center"/>
          </w:tcPr>
          <w:p w14:paraId="7418B9D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1.2</w:t>
            </w:r>
          </w:p>
        </w:tc>
        <w:tc>
          <w:tcPr>
            <w:tcW w:w="250" w:type="pct"/>
            <w:shd w:val="clear" w:color="auto" w:fill="E4F3F9"/>
            <w:vAlign w:val="center"/>
          </w:tcPr>
          <w:p w14:paraId="7418B9D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E4F3F9"/>
            <w:vAlign w:val="center"/>
          </w:tcPr>
          <w:p w14:paraId="7418B9D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1.6</w:t>
            </w:r>
          </w:p>
        </w:tc>
        <w:tc>
          <w:tcPr>
            <w:tcW w:w="250" w:type="pct"/>
            <w:shd w:val="clear" w:color="auto" w:fill="E4F3F9"/>
            <w:vAlign w:val="center"/>
          </w:tcPr>
          <w:p w14:paraId="7418B9D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31" w:type="pct"/>
            <w:shd w:val="clear" w:color="auto" w:fill="E4F3F9"/>
            <w:vAlign w:val="center"/>
          </w:tcPr>
          <w:p w14:paraId="7418B9D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25" w:type="pct"/>
            <w:shd w:val="clear" w:color="auto" w:fill="E4F3F9"/>
            <w:vAlign w:val="center"/>
          </w:tcPr>
          <w:p w14:paraId="7418B9D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r w:rsidR="00D471AD" w:rsidRPr="00AB1F33" w14:paraId="7418B9ED" w14:textId="77777777" w:rsidTr="004A31A9">
        <w:trPr>
          <w:trHeight w:val="283"/>
        </w:trPr>
        <w:tc>
          <w:tcPr>
            <w:tcW w:w="1544" w:type="pct"/>
            <w:shd w:val="clear" w:color="auto" w:fill="D5ECF5"/>
            <w:vAlign w:val="center"/>
          </w:tcPr>
          <w:p w14:paraId="7418B9D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Proportion of patents with foreign co-inventors, %</w:t>
            </w:r>
            <w:r w:rsidRPr="00AB1F33">
              <w:rPr>
                <w:rFonts w:eastAsia="Arial Unicode MS" w:cs="Arial" w:hint="eastAsia"/>
                <w:color w:val="7A7B7C"/>
                <w:sz w:val="14"/>
                <w:szCs w:val="14"/>
                <w:lang w:eastAsia="en-AU"/>
              </w:rPr>
              <w:t>¹³</w:t>
            </w:r>
          </w:p>
        </w:tc>
        <w:tc>
          <w:tcPr>
            <w:tcW w:w="250" w:type="pct"/>
            <w:shd w:val="clear" w:color="auto" w:fill="D5ECF5"/>
            <w:vAlign w:val="center"/>
          </w:tcPr>
          <w:p w14:paraId="7418B9D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9.3</w:t>
            </w:r>
          </w:p>
        </w:tc>
        <w:tc>
          <w:tcPr>
            <w:tcW w:w="250" w:type="pct"/>
            <w:shd w:val="clear" w:color="auto" w:fill="D5ECF5"/>
            <w:vAlign w:val="center"/>
          </w:tcPr>
          <w:p w14:paraId="7418B9E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13.2</w:t>
            </w:r>
          </w:p>
        </w:tc>
        <w:tc>
          <w:tcPr>
            <w:tcW w:w="250" w:type="pct"/>
            <w:shd w:val="clear" w:color="auto" w:fill="D5ECF5"/>
            <w:vAlign w:val="center"/>
          </w:tcPr>
          <w:p w14:paraId="7418B9E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15.3</w:t>
            </w:r>
          </w:p>
        </w:tc>
        <w:tc>
          <w:tcPr>
            <w:tcW w:w="250" w:type="pct"/>
            <w:shd w:val="clear" w:color="auto" w:fill="D5ECF5"/>
            <w:vAlign w:val="center"/>
          </w:tcPr>
          <w:p w14:paraId="7418B9E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16.7</w:t>
            </w:r>
          </w:p>
        </w:tc>
        <w:tc>
          <w:tcPr>
            <w:tcW w:w="250" w:type="pct"/>
            <w:shd w:val="clear" w:color="auto" w:fill="D5ECF5"/>
            <w:vAlign w:val="center"/>
          </w:tcPr>
          <w:p w14:paraId="7418B9E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16.1</w:t>
            </w:r>
          </w:p>
        </w:tc>
        <w:tc>
          <w:tcPr>
            <w:tcW w:w="250" w:type="pct"/>
            <w:shd w:val="clear" w:color="auto" w:fill="D5ECF5"/>
            <w:vAlign w:val="center"/>
          </w:tcPr>
          <w:p w14:paraId="7418B9E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16.1</w:t>
            </w:r>
          </w:p>
        </w:tc>
        <w:tc>
          <w:tcPr>
            <w:tcW w:w="250" w:type="pct"/>
            <w:shd w:val="clear" w:color="auto" w:fill="D5ECF5"/>
            <w:vAlign w:val="center"/>
          </w:tcPr>
          <w:p w14:paraId="7418B9E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17.3</w:t>
            </w:r>
          </w:p>
        </w:tc>
        <w:tc>
          <w:tcPr>
            <w:tcW w:w="250" w:type="pct"/>
            <w:shd w:val="clear" w:color="auto" w:fill="D5ECF5"/>
            <w:vAlign w:val="center"/>
          </w:tcPr>
          <w:p w14:paraId="7418B9E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18.6</w:t>
            </w:r>
          </w:p>
        </w:tc>
        <w:tc>
          <w:tcPr>
            <w:tcW w:w="250" w:type="pct"/>
            <w:shd w:val="clear" w:color="auto" w:fill="D5ECF5"/>
            <w:vAlign w:val="center"/>
          </w:tcPr>
          <w:p w14:paraId="7418B9E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18.5</w:t>
            </w:r>
          </w:p>
        </w:tc>
        <w:tc>
          <w:tcPr>
            <w:tcW w:w="250" w:type="pct"/>
            <w:shd w:val="clear" w:color="auto" w:fill="D5ECF5"/>
            <w:vAlign w:val="center"/>
          </w:tcPr>
          <w:p w14:paraId="7418B9E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17.4</w:t>
            </w:r>
          </w:p>
        </w:tc>
        <w:tc>
          <w:tcPr>
            <w:tcW w:w="250" w:type="pct"/>
            <w:shd w:val="clear" w:color="auto" w:fill="D5ECF5"/>
            <w:vAlign w:val="center"/>
          </w:tcPr>
          <w:p w14:paraId="7418B9E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16.2</w:t>
            </w:r>
          </w:p>
        </w:tc>
        <w:tc>
          <w:tcPr>
            <w:tcW w:w="250" w:type="pct"/>
            <w:shd w:val="clear" w:color="auto" w:fill="D5ECF5"/>
            <w:vAlign w:val="center"/>
          </w:tcPr>
          <w:p w14:paraId="7418B9E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31" w:type="pct"/>
            <w:shd w:val="clear" w:color="auto" w:fill="D5ECF5"/>
            <w:vAlign w:val="center"/>
          </w:tcPr>
          <w:p w14:paraId="7418B9E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25" w:type="pct"/>
            <w:shd w:val="clear" w:color="auto" w:fill="D5ECF5"/>
            <w:vAlign w:val="center"/>
          </w:tcPr>
          <w:p w14:paraId="7418B9E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r w:rsidR="00D471AD" w:rsidRPr="00AB1F33" w14:paraId="7418B9FD" w14:textId="77777777" w:rsidTr="004A31A9">
        <w:trPr>
          <w:trHeight w:val="283"/>
        </w:trPr>
        <w:tc>
          <w:tcPr>
            <w:tcW w:w="1544" w:type="pct"/>
            <w:shd w:val="clear" w:color="auto" w:fill="E4F3F9"/>
            <w:vAlign w:val="center"/>
          </w:tcPr>
          <w:p w14:paraId="7418B9E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R&amp;D expenditure of foreign affiliates, % of R&amp;D expenditure of the enterprise</w:t>
            </w:r>
            <w:r w:rsidRPr="00AB1F33">
              <w:rPr>
                <w:rFonts w:eastAsia="Arial Unicode MS" w:cs="Arial" w:hint="eastAsia"/>
                <w:color w:val="7A7B7C"/>
                <w:sz w:val="14"/>
                <w:szCs w:val="14"/>
                <w:lang w:eastAsia="en-AU"/>
              </w:rPr>
              <w:t>¹⁴</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¹⁵</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¹⁶</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¹⁷</w:t>
            </w:r>
          </w:p>
        </w:tc>
        <w:tc>
          <w:tcPr>
            <w:tcW w:w="250" w:type="pct"/>
            <w:shd w:val="clear" w:color="auto" w:fill="E4F3F9"/>
            <w:vAlign w:val="center"/>
          </w:tcPr>
          <w:p w14:paraId="7418B9E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E4F3F9"/>
            <w:vAlign w:val="center"/>
          </w:tcPr>
          <w:p w14:paraId="7418B9F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E4F3F9"/>
            <w:vAlign w:val="center"/>
          </w:tcPr>
          <w:p w14:paraId="7418B9F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E4F3F9"/>
            <w:vAlign w:val="center"/>
          </w:tcPr>
          <w:p w14:paraId="7418B9F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36.5</w:t>
            </w:r>
          </w:p>
        </w:tc>
        <w:tc>
          <w:tcPr>
            <w:tcW w:w="250" w:type="pct"/>
            <w:shd w:val="clear" w:color="auto" w:fill="E4F3F9"/>
            <w:vAlign w:val="center"/>
          </w:tcPr>
          <w:p w14:paraId="7418B9F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36.5</w:t>
            </w:r>
          </w:p>
        </w:tc>
        <w:tc>
          <w:tcPr>
            <w:tcW w:w="250" w:type="pct"/>
            <w:shd w:val="clear" w:color="auto" w:fill="E4F3F9"/>
            <w:vAlign w:val="center"/>
          </w:tcPr>
          <w:p w14:paraId="7418B9F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35.5</w:t>
            </w:r>
          </w:p>
        </w:tc>
        <w:tc>
          <w:tcPr>
            <w:tcW w:w="250" w:type="pct"/>
            <w:shd w:val="clear" w:color="auto" w:fill="E4F3F9"/>
            <w:vAlign w:val="center"/>
          </w:tcPr>
          <w:p w14:paraId="7418B9F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32.1</w:t>
            </w:r>
          </w:p>
        </w:tc>
        <w:tc>
          <w:tcPr>
            <w:tcW w:w="250" w:type="pct"/>
            <w:shd w:val="clear" w:color="auto" w:fill="E4F3F9"/>
            <w:vAlign w:val="center"/>
          </w:tcPr>
          <w:p w14:paraId="7418B9F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29.5</w:t>
            </w:r>
          </w:p>
        </w:tc>
        <w:tc>
          <w:tcPr>
            <w:tcW w:w="250" w:type="pct"/>
            <w:shd w:val="clear" w:color="auto" w:fill="E4F3F9"/>
            <w:vAlign w:val="center"/>
          </w:tcPr>
          <w:p w14:paraId="7418B9F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30.5</w:t>
            </w:r>
          </w:p>
        </w:tc>
        <w:tc>
          <w:tcPr>
            <w:tcW w:w="250" w:type="pct"/>
            <w:shd w:val="clear" w:color="auto" w:fill="E4F3F9"/>
            <w:vAlign w:val="center"/>
          </w:tcPr>
          <w:p w14:paraId="7418B9F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E4F3F9"/>
            <w:vAlign w:val="center"/>
          </w:tcPr>
          <w:p w14:paraId="7418B9F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27.2</w:t>
            </w:r>
          </w:p>
        </w:tc>
        <w:tc>
          <w:tcPr>
            <w:tcW w:w="250" w:type="pct"/>
            <w:shd w:val="clear" w:color="auto" w:fill="E4F3F9"/>
            <w:vAlign w:val="center"/>
          </w:tcPr>
          <w:p w14:paraId="7418B9F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31" w:type="pct"/>
            <w:shd w:val="clear" w:color="auto" w:fill="E4F3F9"/>
            <w:vAlign w:val="center"/>
          </w:tcPr>
          <w:p w14:paraId="7418B9F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25" w:type="pct"/>
            <w:shd w:val="clear" w:color="auto" w:fill="E4F3F9"/>
            <w:vAlign w:val="center"/>
          </w:tcPr>
          <w:p w14:paraId="7418B9F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r w:rsidR="00D471AD" w:rsidRPr="00AB1F33" w14:paraId="7418BA0D" w14:textId="77777777" w:rsidTr="004A31A9">
        <w:trPr>
          <w:trHeight w:val="283"/>
        </w:trPr>
        <w:tc>
          <w:tcPr>
            <w:tcW w:w="1544" w:type="pct"/>
            <w:shd w:val="clear" w:color="auto" w:fill="D5ECF5"/>
            <w:vAlign w:val="center"/>
          </w:tcPr>
          <w:p w14:paraId="7418B9F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Net gains of skilled people through migration, '000s</w:t>
            </w:r>
            <w:r w:rsidRPr="00AB1F33">
              <w:rPr>
                <w:rFonts w:eastAsia="Arial Unicode MS" w:cs="Arial" w:hint="eastAsia"/>
                <w:color w:val="7A7B7C"/>
                <w:sz w:val="14"/>
                <w:szCs w:val="14"/>
                <w:lang w:eastAsia="en-AU"/>
              </w:rPr>
              <w:t>¹⁸</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¹⁹</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²³</w:t>
            </w:r>
          </w:p>
        </w:tc>
        <w:tc>
          <w:tcPr>
            <w:tcW w:w="250" w:type="pct"/>
            <w:shd w:val="clear" w:color="auto" w:fill="D5ECF5"/>
            <w:vAlign w:val="center"/>
          </w:tcPr>
          <w:p w14:paraId="7418B9F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A0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c>
          <w:tcPr>
            <w:tcW w:w="250" w:type="pct"/>
            <w:shd w:val="clear" w:color="auto" w:fill="D5ECF5"/>
            <w:vAlign w:val="center"/>
          </w:tcPr>
          <w:p w14:paraId="7418BA0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29.0</w:t>
            </w:r>
          </w:p>
        </w:tc>
        <w:tc>
          <w:tcPr>
            <w:tcW w:w="250" w:type="pct"/>
            <w:shd w:val="clear" w:color="auto" w:fill="D5ECF5"/>
            <w:vAlign w:val="center"/>
          </w:tcPr>
          <w:p w14:paraId="7418BA0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36.0</w:t>
            </w:r>
          </w:p>
        </w:tc>
        <w:tc>
          <w:tcPr>
            <w:tcW w:w="250" w:type="pct"/>
            <w:shd w:val="clear" w:color="auto" w:fill="D5ECF5"/>
            <w:vAlign w:val="center"/>
          </w:tcPr>
          <w:p w14:paraId="7418BA0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40.4</w:t>
            </w:r>
          </w:p>
        </w:tc>
        <w:tc>
          <w:tcPr>
            <w:tcW w:w="250" w:type="pct"/>
            <w:shd w:val="clear" w:color="auto" w:fill="D5ECF5"/>
            <w:vAlign w:val="center"/>
          </w:tcPr>
          <w:p w14:paraId="7418BA0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44.2</w:t>
            </w:r>
          </w:p>
        </w:tc>
        <w:tc>
          <w:tcPr>
            <w:tcW w:w="250" w:type="pct"/>
            <w:shd w:val="clear" w:color="auto" w:fill="D5ECF5"/>
            <w:vAlign w:val="center"/>
          </w:tcPr>
          <w:p w14:paraId="7418BA0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41.1</w:t>
            </w:r>
          </w:p>
        </w:tc>
        <w:tc>
          <w:tcPr>
            <w:tcW w:w="250" w:type="pct"/>
            <w:shd w:val="clear" w:color="auto" w:fill="D5ECF5"/>
            <w:vAlign w:val="center"/>
          </w:tcPr>
          <w:p w14:paraId="7418BA0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32.2</w:t>
            </w:r>
          </w:p>
        </w:tc>
        <w:tc>
          <w:tcPr>
            <w:tcW w:w="250" w:type="pct"/>
            <w:shd w:val="clear" w:color="auto" w:fill="D5ECF5"/>
            <w:vAlign w:val="center"/>
          </w:tcPr>
          <w:p w14:paraId="7418BA0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25.2</w:t>
            </w:r>
          </w:p>
        </w:tc>
        <w:tc>
          <w:tcPr>
            <w:tcW w:w="250" w:type="pct"/>
            <w:shd w:val="clear" w:color="auto" w:fill="D5ECF5"/>
            <w:vAlign w:val="center"/>
          </w:tcPr>
          <w:p w14:paraId="7418BA0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33.6</w:t>
            </w:r>
          </w:p>
        </w:tc>
        <w:tc>
          <w:tcPr>
            <w:tcW w:w="250" w:type="pct"/>
            <w:shd w:val="clear" w:color="auto" w:fill="D5ECF5"/>
            <w:vAlign w:val="center"/>
          </w:tcPr>
          <w:p w14:paraId="7418BA0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30.8</w:t>
            </w:r>
          </w:p>
        </w:tc>
        <w:tc>
          <w:tcPr>
            <w:tcW w:w="250" w:type="pct"/>
            <w:shd w:val="clear" w:color="auto" w:fill="D5ECF5"/>
            <w:vAlign w:val="center"/>
          </w:tcPr>
          <w:p w14:paraId="7418BA0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30.4</w:t>
            </w:r>
          </w:p>
        </w:tc>
        <w:tc>
          <w:tcPr>
            <w:tcW w:w="231" w:type="pct"/>
            <w:shd w:val="clear" w:color="auto" w:fill="D5ECF5"/>
            <w:vAlign w:val="center"/>
          </w:tcPr>
          <w:p w14:paraId="7418BA0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30.4</w:t>
            </w:r>
          </w:p>
        </w:tc>
        <w:tc>
          <w:tcPr>
            <w:tcW w:w="225" w:type="pct"/>
            <w:shd w:val="clear" w:color="auto" w:fill="D5ECF5"/>
            <w:vAlign w:val="center"/>
          </w:tcPr>
          <w:p w14:paraId="7418BA0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r w:rsidR="00D471AD" w:rsidRPr="00AB1F33" w14:paraId="7418BA1D" w14:textId="77777777" w:rsidTr="004A31A9">
        <w:trPr>
          <w:trHeight w:val="283"/>
        </w:trPr>
        <w:tc>
          <w:tcPr>
            <w:tcW w:w="1544" w:type="pct"/>
            <w:shd w:val="clear" w:color="auto" w:fill="E4F3F9"/>
            <w:vAlign w:val="center"/>
          </w:tcPr>
          <w:p w14:paraId="7418BA0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Short term education trips churn, '000s</w:t>
            </w:r>
            <w:r w:rsidRPr="00AB1F33">
              <w:rPr>
                <w:rFonts w:eastAsia="Arial Unicode MS" w:cs="Arial" w:hint="eastAsia"/>
                <w:color w:val="7A7B7C"/>
                <w:sz w:val="14"/>
                <w:szCs w:val="14"/>
                <w:lang w:eastAsia="en-AU"/>
              </w:rPr>
              <w:t>²⁰</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²⁴</w:t>
            </w:r>
          </w:p>
        </w:tc>
        <w:tc>
          <w:tcPr>
            <w:tcW w:w="250" w:type="pct"/>
            <w:shd w:val="clear" w:color="auto" w:fill="E4F3F9"/>
            <w:vAlign w:val="center"/>
          </w:tcPr>
          <w:p w14:paraId="7418BA0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156</w:t>
            </w:r>
          </w:p>
        </w:tc>
        <w:tc>
          <w:tcPr>
            <w:tcW w:w="250" w:type="pct"/>
            <w:shd w:val="clear" w:color="auto" w:fill="E4F3F9"/>
            <w:vAlign w:val="center"/>
          </w:tcPr>
          <w:p w14:paraId="7418BA1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249</w:t>
            </w:r>
          </w:p>
        </w:tc>
        <w:tc>
          <w:tcPr>
            <w:tcW w:w="250" w:type="pct"/>
            <w:shd w:val="clear" w:color="auto" w:fill="E4F3F9"/>
            <w:vAlign w:val="center"/>
          </w:tcPr>
          <w:p w14:paraId="7418BA1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328</w:t>
            </w:r>
          </w:p>
        </w:tc>
        <w:tc>
          <w:tcPr>
            <w:tcW w:w="250" w:type="pct"/>
            <w:shd w:val="clear" w:color="auto" w:fill="E4F3F9"/>
            <w:vAlign w:val="center"/>
          </w:tcPr>
          <w:p w14:paraId="7418BA1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346</w:t>
            </w:r>
          </w:p>
        </w:tc>
        <w:tc>
          <w:tcPr>
            <w:tcW w:w="250" w:type="pct"/>
            <w:shd w:val="clear" w:color="auto" w:fill="E4F3F9"/>
            <w:vAlign w:val="center"/>
          </w:tcPr>
          <w:p w14:paraId="7418BA1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371</w:t>
            </w:r>
          </w:p>
        </w:tc>
        <w:tc>
          <w:tcPr>
            <w:tcW w:w="250" w:type="pct"/>
            <w:shd w:val="clear" w:color="auto" w:fill="E4F3F9"/>
            <w:vAlign w:val="center"/>
          </w:tcPr>
          <w:p w14:paraId="7418BA1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400</w:t>
            </w:r>
          </w:p>
        </w:tc>
        <w:tc>
          <w:tcPr>
            <w:tcW w:w="250" w:type="pct"/>
            <w:shd w:val="clear" w:color="auto" w:fill="E4F3F9"/>
            <w:vAlign w:val="center"/>
          </w:tcPr>
          <w:p w14:paraId="7418BA1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429</w:t>
            </w:r>
          </w:p>
        </w:tc>
        <w:tc>
          <w:tcPr>
            <w:tcW w:w="250" w:type="pct"/>
            <w:shd w:val="clear" w:color="auto" w:fill="E4F3F9"/>
            <w:vAlign w:val="center"/>
          </w:tcPr>
          <w:p w14:paraId="7418BA1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442</w:t>
            </w:r>
          </w:p>
        </w:tc>
        <w:tc>
          <w:tcPr>
            <w:tcW w:w="250" w:type="pct"/>
            <w:shd w:val="clear" w:color="auto" w:fill="E4F3F9"/>
            <w:vAlign w:val="center"/>
          </w:tcPr>
          <w:p w14:paraId="7418BA1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438</w:t>
            </w:r>
          </w:p>
        </w:tc>
        <w:tc>
          <w:tcPr>
            <w:tcW w:w="250" w:type="pct"/>
            <w:shd w:val="clear" w:color="auto" w:fill="E4F3F9"/>
            <w:vAlign w:val="center"/>
          </w:tcPr>
          <w:p w14:paraId="7418BA1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465</w:t>
            </w:r>
          </w:p>
        </w:tc>
        <w:tc>
          <w:tcPr>
            <w:tcW w:w="250" w:type="pct"/>
            <w:shd w:val="clear" w:color="auto" w:fill="E4F3F9"/>
            <w:vAlign w:val="center"/>
          </w:tcPr>
          <w:p w14:paraId="7418BA1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465</w:t>
            </w:r>
          </w:p>
        </w:tc>
        <w:tc>
          <w:tcPr>
            <w:tcW w:w="250" w:type="pct"/>
            <w:shd w:val="clear" w:color="auto" w:fill="E4F3F9"/>
            <w:vAlign w:val="center"/>
          </w:tcPr>
          <w:p w14:paraId="7418BA1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465</w:t>
            </w:r>
          </w:p>
        </w:tc>
        <w:tc>
          <w:tcPr>
            <w:tcW w:w="231" w:type="pct"/>
            <w:shd w:val="clear" w:color="auto" w:fill="E4F3F9"/>
            <w:vAlign w:val="center"/>
          </w:tcPr>
          <w:p w14:paraId="7418BA1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516</w:t>
            </w:r>
          </w:p>
        </w:tc>
        <w:tc>
          <w:tcPr>
            <w:tcW w:w="225" w:type="pct"/>
            <w:shd w:val="clear" w:color="auto" w:fill="E4F3F9"/>
            <w:vAlign w:val="center"/>
          </w:tcPr>
          <w:p w14:paraId="7418BA1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r w:rsidR="00D471AD" w:rsidRPr="00AB1F33" w14:paraId="7418BA2D" w14:textId="77777777" w:rsidTr="004A31A9">
        <w:trPr>
          <w:trHeight w:val="283"/>
        </w:trPr>
        <w:tc>
          <w:tcPr>
            <w:tcW w:w="1544" w:type="pct"/>
            <w:shd w:val="clear" w:color="auto" w:fill="D5ECF5"/>
            <w:vAlign w:val="center"/>
          </w:tcPr>
          <w:p w14:paraId="7418BA1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Short term convention and conferences trips churn, '000s</w:t>
            </w:r>
            <w:r w:rsidRPr="00AB1F33">
              <w:rPr>
                <w:rFonts w:eastAsia="Arial Unicode MS" w:cs="Arial" w:hint="eastAsia"/>
                <w:color w:val="7A7B7C"/>
                <w:sz w:val="14"/>
                <w:szCs w:val="14"/>
                <w:lang w:eastAsia="en-AU"/>
              </w:rPr>
              <w:t>²⁰</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²⁴</w:t>
            </w:r>
          </w:p>
        </w:tc>
        <w:tc>
          <w:tcPr>
            <w:tcW w:w="250" w:type="pct"/>
            <w:shd w:val="clear" w:color="auto" w:fill="D5ECF5"/>
            <w:vAlign w:val="center"/>
          </w:tcPr>
          <w:p w14:paraId="7418BA1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205</w:t>
            </w:r>
          </w:p>
        </w:tc>
        <w:tc>
          <w:tcPr>
            <w:tcW w:w="250" w:type="pct"/>
            <w:shd w:val="clear" w:color="auto" w:fill="D5ECF5"/>
            <w:vAlign w:val="center"/>
          </w:tcPr>
          <w:p w14:paraId="7418BA2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292</w:t>
            </w:r>
          </w:p>
        </w:tc>
        <w:tc>
          <w:tcPr>
            <w:tcW w:w="250" w:type="pct"/>
            <w:shd w:val="clear" w:color="auto" w:fill="D5ECF5"/>
            <w:vAlign w:val="center"/>
          </w:tcPr>
          <w:p w14:paraId="7418BA2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357</w:t>
            </w:r>
          </w:p>
        </w:tc>
        <w:tc>
          <w:tcPr>
            <w:tcW w:w="250" w:type="pct"/>
            <w:shd w:val="clear" w:color="auto" w:fill="D5ECF5"/>
            <w:vAlign w:val="center"/>
          </w:tcPr>
          <w:p w14:paraId="7418BA2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378</w:t>
            </w:r>
          </w:p>
        </w:tc>
        <w:tc>
          <w:tcPr>
            <w:tcW w:w="250" w:type="pct"/>
            <w:shd w:val="clear" w:color="auto" w:fill="D5ECF5"/>
            <w:vAlign w:val="center"/>
          </w:tcPr>
          <w:p w14:paraId="7418BA2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394</w:t>
            </w:r>
          </w:p>
        </w:tc>
        <w:tc>
          <w:tcPr>
            <w:tcW w:w="250" w:type="pct"/>
            <w:shd w:val="clear" w:color="auto" w:fill="D5ECF5"/>
            <w:vAlign w:val="center"/>
          </w:tcPr>
          <w:p w14:paraId="7418BA2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353</w:t>
            </w:r>
          </w:p>
        </w:tc>
        <w:tc>
          <w:tcPr>
            <w:tcW w:w="250" w:type="pct"/>
            <w:shd w:val="clear" w:color="auto" w:fill="D5ECF5"/>
            <w:vAlign w:val="center"/>
          </w:tcPr>
          <w:p w14:paraId="7418BA2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355</w:t>
            </w:r>
          </w:p>
        </w:tc>
        <w:tc>
          <w:tcPr>
            <w:tcW w:w="250" w:type="pct"/>
            <w:shd w:val="clear" w:color="auto" w:fill="D5ECF5"/>
            <w:vAlign w:val="center"/>
          </w:tcPr>
          <w:p w14:paraId="7418BA2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393</w:t>
            </w:r>
          </w:p>
        </w:tc>
        <w:tc>
          <w:tcPr>
            <w:tcW w:w="250" w:type="pct"/>
            <w:shd w:val="clear" w:color="auto" w:fill="D5ECF5"/>
            <w:vAlign w:val="center"/>
          </w:tcPr>
          <w:p w14:paraId="7418BA2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415</w:t>
            </w:r>
          </w:p>
        </w:tc>
        <w:tc>
          <w:tcPr>
            <w:tcW w:w="250" w:type="pct"/>
            <w:shd w:val="clear" w:color="auto" w:fill="D5ECF5"/>
            <w:vAlign w:val="center"/>
          </w:tcPr>
          <w:p w14:paraId="7418BA2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444</w:t>
            </w:r>
          </w:p>
        </w:tc>
        <w:tc>
          <w:tcPr>
            <w:tcW w:w="250" w:type="pct"/>
            <w:shd w:val="clear" w:color="auto" w:fill="D5ECF5"/>
            <w:vAlign w:val="center"/>
          </w:tcPr>
          <w:p w14:paraId="7418BA2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450</w:t>
            </w:r>
          </w:p>
        </w:tc>
        <w:tc>
          <w:tcPr>
            <w:tcW w:w="250" w:type="pct"/>
            <w:shd w:val="clear" w:color="auto" w:fill="D5ECF5"/>
            <w:vAlign w:val="center"/>
          </w:tcPr>
          <w:p w14:paraId="7418BA2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450</w:t>
            </w:r>
          </w:p>
        </w:tc>
        <w:tc>
          <w:tcPr>
            <w:tcW w:w="231" w:type="pct"/>
            <w:shd w:val="clear" w:color="auto" w:fill="D5ECF5"/>
            <w:vAlign w:val="center"/>
          </w:tcPr>
          <w:p w14:paraId="7418BA2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485</w:t>
            </w:r>
          </w:p>
        </w:tc>
        <w:tc>
          <w:tcPr>
            <w:tcW w:w="225" w:type="pct"/>
            <w:shd w:val="clear" w:color="auto" w:fill="D5ECF5"/>
            <w:vAlign w:val="center"/>
          </w:tcPr>
          <w:p w14:paraId="7418BA2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r w:rsidR="00D471AD" w:rsidRPr="00AB1F33" w14:paraId="7418BA3D" w14:textId="77777777" w:rsidTr="004A31A9">
        <w:trPr>
          <w:trHeight w:val="283"/>
        </w:trPr>
        <w:tc>
          <w:tcPr>
            <w:tcW w:w="1544" w:type="pct"/>
            <w:shd w:val="clear" w:color="auto" w:fill="E4F3F9"/>
            <w:vAlign w:val="center"/>
          </w:tcPr>
          <w:p w14:paraId="7418BA2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Short term employment trip churn, '000s</w:t>
            </w:r>
            <w:r w:rsidRPr="00AB1F33">
              <w:rPr>
                <w:rFonts w:eastAsia="Arial Unicode MS" w:cs="Arial" w:hint="eastAsia"/>
                <w:color w:val="7A7B7C"/>
                <w:sz w:val="14"/>
                <w:szCs w:val="14"/>
                <w:lang w:eastAsia="en-AU"/>
              </w:rPr>
              <w:t>²⁰</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²⁴</w:t>
            </w:r>
          </w:p>
        </w:tc>
        <w:tc>
          <w:tcPr>
            <w:tcW w:w="250" w:type="pct"/>
            <w:shd w:val="clear" w:color="auto" w:fill="E4F3F9"/>
            <w:vAlign w:val="center"/>
          </w:tcPr>
          <w:p w14:paraId="7418BA2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99</w:t>
            </w:r>
          </w:p>
        </w:tc>
        <w:tc>
          <w:tcPr>
            <w:tcW w:w="250" w:type="pct"/>
            <w:shd w:val="clear" w:color="auto" w:fill="E4F3F9"/>
            <w:vAlign w:val="center"/>
          </w:tcPr>
          <w:p w14:paraId="7418BA3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144</w:t>
            </w:r>
          </w:p>
        </w:tc>
        <w:tc>
          <w:tcPr>
            <w:tcW w:w="250" w:type="pct"/>
            <w:shd w:val="clear" w:color="auto" w:fill="E4F3F9"/>
            <w:vAlign w:val="center"/>
          </w:tcPr>
          <w:p w14:paraId="7418BA3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247</w:t>
            </w:r>
          </w:p>
        </w:tc>
        <w:tc>
          <w:tcPr>
            <w:tcW w:w="250" w:type="pct"/>
            <w:shd w:val="clear" w:color="auto" w:fill="E4F3F9"/>
            <w:vAlign w:val="center"/>
          </w:tcPr>
          <w:p w14:paraId="7418BA3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284</w:t>
            </w:r>
          </w:p>
        </w:tc>
        <w:tc>
          <w:tcPr>
            <w:tcW w:w="250" w:type="pct"/>
            <w:shd w:val="clear" w:color="auto" w:fill="E4F3F9"/>
            <w:vAlign w:val="center"/>
          </w:tcPr>
          <w:p w14:paraId="7418BA3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302</w:t>
            </w:r>
          </w:p>
        </w:tc>
        <w:tc>
          <w:tcPr>
            <w:tcW w:w="250" w:type="pct"/>
            <w:shd w:val="clear" w:color="auto" w:fill="E4F3F9"/>
            <w:vAlign w:val="center"/>
          </w:tcPr>
          <w:p w14:paraId="7418BA3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300</w:t>
            </w:r>
          </w:p>
        </w:tc>
        <w:tc>
          <w:tcPr>
            <w:tcW w:w="250" w:type="pct"/>
            <w:shd w:val="clear" w:color="auto" w:fill="E4F3F9"/>
            <w:vAlign w:val="center"/>
          </w:tcPr>
          <w:p w14:paraId="7418BA3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297</w:t>
            </w:r>
          </w:p>
        </w:tc>
        <w:tc>
          <w:tcPr>
            <w:tcW w:w="250" w:type="pct"/>
            <w:shd w:val="clear" w:color="auto" w:fill="E4F3F9"/>
            <w:vAlign w:val="center"/>
          </w:tcPr>
          <w:p w14:paraId="7418BA3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317</w:t>
            </w:r>
          </w:p>
        </w:tc>
        <w:tc>
          <w:tcPr>
            <w:tcW w:w="250" w:type="pct"/>
            <w:shd w:val="clear" w:color="auto" w:fill="E4F3F9"/>
            <w:vAlign w:val="center"/>
          </w:tcPr>
          <w:p w14:paraId="7418BA3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338</w:t>
            </w:r>
          </w:p>
        </w:tc>
        <w:tc>
          <w:tcPr>
            <w:tcW w:w="250" w:type="pct"/>
            <w:shd w:val="clear" w:color="auto" w:fill="E4F3F9"/>
            <w:vAlign w:val="center"/>
          </w:tcPr>
          <w:p w14:paraId="7418BA3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374</w:t>
            </w:r>
          </w:p>
        </w:tc>
        <w:tc>
          <w:tcPr>
            <w:tcW w:w="250" w:type="pct"/>
            <w:shd w:val="clear" w:color="auto" w:fill="E4F3F9"/>
            <w:vAlign w:val="center"/>
          </w:tcPr>
          <w:p w14:paraId="7418BA3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371</w:t>
            </w:r>
          </w:p>
        </w:tc>
        <w:tc>
          <w:tcPr>
            <w:tcW w:w="250" w:type="pct"/>
            <w:shd w:val="clear" w:color="auto" w:fill="E4F3F9"/>
            <w:vAlign w:val="center"/>
          </w:tcPr>
          <w:p w14:paraId="7418BA3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371</w:t>
            </w:r>
          </w:p>
        </w:tc>
        <w:tc>
          <w:tcPr>
            <w:tcW w:w="231" w:type="pct"/>
            <w:shd w:val="clear" w:color="auto" w:fill="E4F3F9"/>
            <w:vAlign w:val="center"/>
          </w:tcPr>
          <w:p w14:paraId="7418BA3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490</w:t>
            </w:r>
          </w:p>
        </w:tc>
        <w:tc>
          <w:tcPr>
            <w:tcW w:w="225" w:type="pct"/>
            <w:shd w:val="clear" w:color="auto" w:fill="E4F3F9"/>
            <w:vAlign w:val="center"/>
          </w:tcPr>
          <w:p w14:paraId="7418BA3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r w:rsidR="00D471AD" w:rsidRPr="00AB1F33" w14:paraId="7418BA4D" w14:textId="77777777" w:rsidTr="004A31A9">
        <w:trPr>
          <w:trHeight w:val="283"/>
        </w:trPr>
        <w:tc>
          <w:tcPr>
            <w:tcW w:w="1544" w:type="pct"/>
            <w:tcBorders>
              <w:bottom w:val="single" w:sz="8" w:space="0" w:color="22789A"/>
            </w:tcBorders>
            <w:shd w:val="clear" w:color="auto" w:fill="D5ECF5"/>
            <w:vAlign w:val="center"/>
          </w:tcPr>
          <w:p w14:paraId="7418BA3E" w14:textId="77777777" w:rsidR="00D471AD" w:rsidRPr="00AB1F33" w:rsidRDefault="00D471AD" w:rsidP="004A31A9">
            <w:pPr>
              <w:spacing w:after="0" w:line="240" w:lineRule="auto"/>
              <w:rPr>
                <w:rFonts w:eastAsia="Arial Unicode MS" w:cs="Arial"/>
                <w:color w:val="7A7B7C"/>
                <w:sz w:val="14"/>
                <w:szCs w:val="14"/>
                <w:lang w:eastAsia="en-AU"/>
              </w:rPr>
            </w:pPr>
            <w:r w:rsidRPr="00AB1F33">
              <w:rPr>
                <w:rFonts w:eastAsia="Arial Unicode MS" w:cs="Arial" w:hint="eastAsia"/>
                <w:color w:val="7A7B7C"/>
                <w:sz w:val="14"/>
                <w:szCs w:val="14"/>
                <w:lang w:eastAsia="en-AU"/>
              </w:rPr>
              <w:t>Short term business trips churn, '000s</w:t>
            </w:r>
            <w:r w:rsidRPr="00AB1F33">
              <w:rPr>
                <w:rFonts w:eastAsia="Arial Unicode MS" w:cs="Arial" w:hint="eastAsia"/>
                <w:color w:val="7A7B7C"/>
                <w:sz w:val="14"/>
                <w:szCs w:val="14"/>
                <w:lang w:eastAsia="en-AU"/>
              </w:rPr>
              <w:t>²⁰</w:t>
            </w:r>
            <w:r w:rsidRPr="00AB1F33">
              <w:rPr>
                <w:rFonts w:eastAsia="Arial Unicode MS" w:cs="Arial" w:hint="eastAsia"/>
                <w:color w:val="7A7B7C"/>
                <w:sz w:val="14"/>
                <w:szCs w:val="14"/>
                <w:lang w:eastAsia="en-AU"/>
              </w:rPr>
              <w:t xml:space="preserve"> </w:t>
            </w:r>
            <w:r w:rsidRPr="00AB1F33">
              <w:rPr>
                <w:rFonts w:eastAsia="Arial Unicode MS" w:cs="Arial" w:hint="eastAsia"/>
                <w:color w:val="7A7B7C"/>
                <w:sz w:val="14"/>
                <w:szCs w:val="14"/>
                <w:lang w:eastAsia="en-AU"/>
              </w:rPr>
              <w:t>²⁴</w:t>
            </w:r>
          </w:p>
        </w:tc>
        <w:tc>
          <w:tcPr>
            <w:tcW w:w="250" w:type="pct"/>
            <w:tcBorders>
              <w:bottom w:val="single" w:sz="8" w:space="0" w:color="22789A"/>
            </w:tcBorders>
            <w:shd w:val="clear" w:color="auto" w:fill="D5ECF5"/>
            <w:vAlign w:val="center"/>
          </w:tcPr>
          <w:p w14:paraId="7418BA3F"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850</w:t>
            </w:r>
          </w:p>
        </w:tc>
        <w:tc>
          <w:tcPr>
            <w:tcW w:w="250" w:type="pct"/>
            <w:tcBorders>
              <w:bottom w:val="single" w:sz="8" w:space="0" w:color="22789A"/>
            </w:tcBorders>
            <w:shd w:val="clear" w:color="auto" w:fill="D5ECF5"/>
            <w:vAlign w:val="center"/>
          </w:tcPr>
          <w:p w14:paraId="7418BA40"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1,043</w:t>
            </w:r>
          </w:p>
        </w:tc>
        <w:tc>
          <w:tcPr>
            <w:tcW w:w="250" w:type="pct"/>
            <w:tcBorders>
              <w:bottom w:val="single" w:sz="8" w:space="0" w:color="22789A"/>
            </w:tcBorders>
            <w:shd w:val="clear" w:color="auto" w:fill="D5ECF5"/>
            <w:vAlign w:val="center"/>
          </w:tcPr>
          <w:p w14:paraId="7418BA41"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1,315</w:t>
            </w:r>
          </w:p>
        </w:tc>
        <w:tc>
          <w:tcPr>
            <w:tcW w:w="250" w:type="pct"/>
            <w:tcBorders>
              <w:bottom w:val="single" w:sz="8" w:space="0" w:color="22789A"/>
            </w:tcBorders>
            <w:shd w:val="clear" w:color="auto" w:fill="D5ECF5"/>
            <w:vAlign w:val="center"/>
          </w:tcPr>
          <w:p w14:paraId="7418BA42"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1,394</w:t>
            </w:r>
          </w:p>
        </w:tc>
        <w:tc>
          <w:tcPr>
            <w:tcW w:w="250" w:type="pct"/>
            <w:tcBorders>
              <w:bottom w:val="single" w:sz="8" w:space="0" w:color="22789A"/>
            </w:tcBorders>
            <w:shd w:val="clear" w:color="auto" w:fill="D5ECF5"/>
            <w:vAlign w:val="center"/>
          </w:tcPr>
          <w:p w14:paraId="7418BA43"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1,438</w:t>
            </w:r>
          </w:p>
        </w:tc>
        <w:tc>
          <w:tcPr>
            <w:tcW w:w="250" w:type="pct"/>
            <w:tcBorders>
              <w:bottom w:val="single" w:sz="8" w:space="0" w:color="22789A"/>
            </w:tcBorders>
            <w:shd w:val="clear" w:color="auto" w:fill="D5ECF5"/>
            <w:vAlign w:val="center"/>
          </w:tcPr>
          <w:p w14:paraId="7418BA44"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1,294</w:t>
            </w:r>
          </w:p>
        </w:tc>
        <w:tc>
          <w:tcPr>
            <w:tcW w:w="250" w:type="pct"/>
            <w:tcBorders>
              <w:bottom w:val="single" w:sz="8" w:space="0" w:color="22789A"/>
            </w:tcBorders>
            <w:shd w:val="clear" w:color="auto" w:fill="D5ECF5"/>
            <w:vAlign w:val="center"/>
          </w:tcPr>
          <w:p w14:paraId="7418BA45"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1,353</w:t>
            </w:r>
          </w:p>
        </w:tc>
        <w:tc>
          <w:tcPr>
            <w:tcW w:w="250" w:type="pct"/>
            <w:tcBorders>
              <w:bottom w:val="single" w:sz="8" w:space="0" w:color="22789A"/>
            </w:tcBorders>
            <w:shd w:val="clear" w:color="auto" w:fill="D5ECF5"/>
            <w:vAlign w:val="center"/>
          </w:tcPr>
          <w:p w14:paraId="7418BA46"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1,472</w:t>
            </w:r>
          </w:p>
        </w:tc>
        <w:tc>
          <w:tcPr>
            <w:tcW w:w="250" w:type="pct"/>
            <w:tcBorders>
              <w:bottom w:val="single" w:sz="8" w:space="0" w:color="22789A"/>
            </w:tcBorders>
            <w:shd w:val="clear" w:color="auto" w:fill="D5ECF5"/>
            <w:vAlign w:val="center"/>
          </w:tcPr>
          <w:p w14:paraId="7418BA47"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1,501</w:t>
            </w:r>
          </w:p>
        </w:tc>
        <w:tc>
          <w:tcPr>
            <w:tcW w:w="250" w:type="pct"/>
            <w:tcBorders>
              <w:bottom w:val="single" w:sz="8" w:space="0" w:color="22789A"/>
            </w:tcBorders>
            <w:shd w:val="clear" w:color="auto" w:fill="D5ECF5"/>
            <w:vAlign w:val="center"/>
          </w:tcPr>
          <w:p w14:paraId="7418BA48"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1,453</w:t>
            </w:r>
          </w:p>
        </w:tc>
        <w:tc>
          <w:tcPr>
            <w:tcW w:w="250" w:type="pct"/>
            <w:tcBorders>
              <w:bottom w:val="single" w:sz="8" w:space="0" w:color="22789A"/>
            </w:tcBorders>
            <w:shd w:val="clear" w:color="auto" w:fill="D5ECF5"/>
            <w:vAlign w:val="center"/>
          </w:tcPr>
          <w:p w14:paraId="7418BA49"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1,478</w:t>
            </w:r>
          </w:p>
        </w:tc>
        <w:tc>
          <w:tcPr>
            <w:tcW w:w="250" w:type="pct"/>
            <w:tcBorders>
              <w:bottom w:val="single" w:sz="8" w:space="0" w:color="22789A"/>
            </w:tcBorders>
            <w:shd w:val="clear" w:color="auto" w:fill="D5ECF5"/>
            <w:vAlign w:val="center"/>
          </w:tcPr>
          <w:p w14:paraId="7418BA4A"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1,478</w:t>
            </w:r>
          </w:p>
        </w:tc>
        <w:tc>
          <w:tcPr>
            <w:tcW w:w="231" w:type="pct"/>
            <w:tcBorders>
              <w:bottom w:val="single" w:sz="8" w:space="0" w:color="22789A"/>
            </w:tcBorders>
            <w:shd w:val="clear" w:color="auto" w:fill="D5ECF5"/>
            <w:vAlign w:val="center"/>
          </w:tcPr>
          <w:p w14:paraId="7418BA4B"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1,485</w:t>
            </w:r>
          </w:p>
        </w:tc>
        <w:tc>
          <w:tcPr>
            <w:tcW w:w="225" w:type="pct"/>
            <w:tcBorders>
              <w:bottom w:val="single" w:sz="8" w:space="0" w:color="22789A"/>
            </w:tcBorders>
            <w:shd w:val="clear" w:color="auto" w:fill="D5ECF5"/>
            <w:vAlign w:val="center"/>
          </w:tcPr>
          <w:p w14:paraId="7418BA4C" w14:textId="77777777" w:rsidR="00D471AD" w:rsidRPr="00AB1F33" w:rsidRDefault="00D471AD" w:rsidP="004A31A9">
            <w:pPr>
              <w:spacing w:after="0" w:line="240" w:lineRule="auto"/>
              <w:jc w:val="right"/>
              <w:rPr>
                <w:rFonts w:eastAsia="Times New Roman" w:cs="Arial"/>
                <w:color w:val="7A7B7C"/>
                <w:sz w:val="14"/>
                <w:szCs w:val="14"/>
                <w:lang w:eastAsia="en-AU"/>
              </w:rPr>
            </w:pPr>
            <w:r w:rsidRPr="00AB1F33">
              <w:rPr>
                <w:rFonts w:eastAsia="Times New Roman" w:cs="Arial"/>
                <w:color w:val="7A7B7C"/>
                <w:sz w:val="14"/>
                <w:szCs w:val="14"/>
                <w:lang w:eastAsia="en-AU"/>
              </w:rPr>
              <w:t>–</w:t>
            </w:r>
          </w:p>
        </w:tc>
      </w:tr>
    </w:tbl>
    <w:p w14:paraId="7418BA4E" w14:textId="77777777" w:rsidR="00D471AD" w:rsidRDefault="00D471AD" w:rsidP="00D471AD"/>
    <w:p w14:paraId="7418BA4F" w14:textId="77777777" w:rsidR="00D471AD" w:rsidRDefault="00D471AD" w:rsidP="00D471AD"/>
    <w:tbl>
      <w:tblPr>
        <w:tblW w:w="5000" w:type="pct"/>
        <w:tblBorders>
          <w:bottom w:val="single" w:sz="4" w:space="0" w:color="auto"/>
        </w:tblBorders>
        <w:tblLook w:val="04A0" w:firstRow="1" w:lastRow="0" w:firstColumn="1" w:lastColumn="0" w:noHBand="0" w:noVBand="1"/>
      </w:tblPr>
      <w:tblGrid>
        <w:gridCol w:w="5539"/>
        <w:gridCol w:w="1312"/>
        <w:gridCol w:w="173"/>
        <w:gridCol w:w="1616"/>
        <w:gridCol w:w="1234"/>
        <w:gridCol w:w="1460"/>
        <w:gridCol w:w="1312"/>
        <w:gridCol w:w="1245"/>
        <w:gridCol w:w="67"/>
      </w:tblGrid>
      <w:tr w:rsidR="00D471AD" w:rsidRPr="00051CAA" w14:paraId="7418BA51" w14:textId="77777777" w:rsidTr="004A31A9">
        <w:trPr>
          <w:gridAfter w:val="1"/>
          <w:wAfter w:w="24" w:type="pct"/>
          <w:trHeight w:val="300"/>
          <w:tblHeader/>
        </w:trPr>
        <w:tc>
          <w:tcPr>
            <w:tcW w:w="4976" w:type="pct"/>
            <w:gridSpan w:val="8"/>
            <w:tcBorders>
              <w:top w:val="single" w:sz="8" w:space="0" w:color="22789A"/>
              <w:bottom w:val="nil"/>
            </w:tcBorders>
            <w:shd w:val="clear" w:color="auto" w:fill="auto"/>
            <w:vAlign w:val="center"/>
          </w:tcPr>
          <w:p w14:paraId="7418BA50" w14:textId="77777777" w:rsidR="00D471AD" w:rsidRPr="00C10561" w:rsidRDefault="00D471AD" w:rsidP="004A31A9">
            <w:pPr>
              <w:pStyle w:val="TableParagraph"/>
              <w:spacing w:before="42"/>
              <w:ind w:left="-108"/>
              <w:rPr>
                <w:rFonts w:ascii="Arial"/>
                <w:i/>
                <w:color w:val="22789A"/>
                <w:spacing w:val="3"/>
                <w:sz w:val="18"/>
              </w:rPr>
            </w:pPr>
            <w:r w:rsidRPr="008F7EDC">
              <w:rPr>
                <w:rFonts w:ascii="Arial"/>
                <w:i/>
                <w:color w:val="22789A"/>
                <w:spacing w:val="3"/>
                <w:sz w:val="18"/>
              </w:rPr>
              <w:t>Table A3(b): Main indicators of Australia</w:t>
            </w:r>
            <w:r w:rsidRPr="008F7EDC">
              <w:rPr>
                <w:rFonts w:ascii="Arial"/>
                <w:i/>
                <w:color w:val="22789A"/>
                <w:spacing w:val="3"/>
                <w:sz w:val="18"/>
              </w:rPr>
              <w:t>’</w:t>
            </w:r>
            <w:r w:rsidRPr="008F7EDC">
              <w:rPr>
                <w:rFonts w:ascii="Arial"/>
                <w:i/>
                <w:color w:val="22789A"/>
                <w:spacing w:val="3"/>
                <w:sz w:val="18"/>
              </w:rPr>
              <w:t>s international engagement</w:t>
            </w:r>
          </w:p>
        </w:tc>
      </w:tr>
      <w:tr w:rsidR="00D471AD" w14:paraId="7418BA55"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369"/>
          <w:tblHeader/>
        </w:trPr>
        <w:tc>
          <w:tcPr>
            <w:tcW w:w="1984" w:type="pct"/>
            <w:tcBorders>
              <w:top w:val="nil"/>
              <w:left w:val="nil"/>
              <w:bottom w:val="nil"/>
              <w:right w:val="nil"/>
            </w:tcBorders>
            <w:shd w:val="clear" w:color="auto" w:fill="22789A"/>
          </w:tcPr>
          <w:p w14:paraId="7418BA52" w14:textId="77777777" w:rsidR="00D471AD" w:rsidRDefault="00D471AD" w:rsidP="004A31A9">
            <w:pPr>
              <w:pStyle w:val="TableParagraph"/>
              <w:spacing w:before="42"/>
              <w:ind w:left="79"/>
              <w:rPr>
                <w:rFonts w:ascii="Arial" w:eastAsia="Arial" w:hAnsi="Arial" w:cs="Arial"/>
                <w:sz w:val="18"/>
                <w:szCs w:val="18"/>
              </w:rPr>
            </w:pPr>
            <w:r>
              <w:rPr>
                <w:rFonts w:ascii="Arial"/>
                <w:i/>
                <w:color w:val="FFFFFF"/>
                <w:spacing w:val="3"/>
                <w:sz w:val="18"/>
              </w:rPr>
              <w:t>OECD+</w:t>
            </w:r>
            <w:r>
              <w:rPr>
                <w:rFonts w:ascii="Arial"/>
                <w:i/>
                <w:color w:val="FFFFFF"/>
                <w:spacing w:val="8"/>
                <w:sz w:val="18"/>
              </w:rPr>
              <w:t xml:space="preserve"> </w:t>
            </w:r>
            <w:r>
              <w:rPr>
                <w:rFonts w:ascii="Arial"/>
                <w:i/>
                <w:color w:val="FFFFFF"/>
                <w:spacing w:val="3"/>
                <w:sz w:val="18"/>
              </w:rPr>
              <w:t>Comparisons</w:t>
            </w:r>
            <w:r>
              <w:rPr>
                <w:rFonts w:ascii="Arial"/>
                <w:i/>
                <w:color w:val="FFFFFF"/>
                <w:spacing w:val="9"/>
                <w:sz w:val="18"/>
              </w:rPr>
              <w:t xml:space="preserve"> </w:t>
            </w:r>
            <w:r>
              <w:rPr>
                <w:rFonts w:ascii="Arial"/>
                <w:i/>
                <w:color w:val="FFFFFF"/>
                <w:spacing w:val="4"/>
                <w:sz w:val="18"/>
              </w:rPr>
              <w:t>(ii)</w:t>
            </w:r>
          </w:p>
        </w:tc>
        <w:tc>
          <w:tcPr>
            <w:tcW w:w="470" w:type="pct"/>
            <w:tcBorders>
              <w:top w:val="nil"/>
              <w:left w:val="nil"/>
              <w:bottom w:val="nil"/>
              <w:right w:val="nil"/>
            </w:tcBorders>
            <w:shd w:val="clear" w:color="auto" w:fill="22789A"/>
          </w:tcPr>
          <w:p w14:paraId="7418BA53" w14:textId="77777777" w:rsidR="00D471AD" w:rsidRDefault="00D471AD" w:rsidP="004A31A9"/>
        </w:tc>
        <w:tc>
          <w:tcPr>
            <w:tcW w:w="2546" w:type="pct"/>
            <w:gridSpan w:val="7"/>
            <w:tcBorders>
              <w:top w:val="nil"/>
              <w:left w:val="nil"/>
              <w:bottom w:val="nil"/>
              <w:right w:val="nil"/>
            </w:tcBorders>
            <w:shd w:val="clear" w:color="auto" w:fill="22789A"/>
          </w:tcPr>
          <w:p w14:paraId="7418BA54" w14:textId="77777777" w:rsidR="00D471AD" w:rsidRDefault="00D471AD" w:rsidP="004A31A9"/>
        </w:tc>
      </w:tr>
      <w:tr w:rsidR="00D471AD" w14:paraId="7418BA5F"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610"/>
          <w:tblHeader/>
        </w:trPr>
        <w:tc>
          <w:tcPr>
            <w:tcW w:w="1984" w:type="pct"/>
            <w:tcBorders>
              <w:top w:val="nil"/>
              <w:left w:val="nil"/>
              <w:bottom w:val="nil"/>
              <w:right w:val="nil"/>
            </w:tcBorders>
            <w:shd w:val="clear" w:color="auto" w:fill="E4F3F9"/>
          </w:tcPr>
          <w:p w14:paraId="7418BA56" w14:textId="77777777" w:rsidR="00D471AD" w:rsidRPr="0065715E" w:rsidRDefault="00D471AD" w:rsidP="004A31A9">
            <w:pPr>
              <w:pStyle w:val="TableParagraph"/>
              <w:spacing w:before="50"/>
              <w:ind w:left="91"/>
              <w:contextualSpacing/>
              <w:rPr>
                <w:rFonts w:ascii="Arial" w:eastAsia="Arial" w:hAnsi="Arial" w:cs="Arial"/>
                <w:color w:val="44546A" w:themeColor="text2"/>
                <w:sz w:val="14"/>
                <w:szCs w:val="14"/>
              </w:rPr>
            </w:pPr>
            <w:r w:rsidRPr="0065715E">
              <w:rPr>
                <w:rFonts w:ascii="Arial"/>
                <w:i/>
                <w:color w:val="44546A" w:themeColor="text2"/>
                <w:sz w:val="14"/>
              </w:rPr>
              <w:t>Indicators</w:t>
            </w:r>
          </w:p>
        </w:tc>
        <w:tc>
          <w:tcPr>
            <w:tcW w:w="532" w:type="pct"/>
            <w:gridSpan w:val="2"/>
            <w:tcBorders>
              <w:top w:val="nil"/>
              <w:left w:val="nil"/>
              <w:bottom w:val="nil"/>
              <w:right w:val="nil"/>
            </w:tcBorders>
            <w:shd w:val="clear" w:color="auto" w:fill="E4F3F9"/>
          </w:tcPr>
          <w:p w14:paraId="7418BA57" w14:textId="77777777" w:rsidR="00D471AD" w:rsidRPr="0065715E" w:rsidRDefault="00D471AD" w:rsidP="004A31A9">
            <w:pPr>
              <w:pStyle w:val="TableParagraph"/>
              <w:spacing w:before="100" w:beforeAutospacing="1"/>
              <w:ind w:left="205"/>
              <w:contextualSpacing/>
              <w:rPr>
                <w:rFonts w:ascii="Arial" w:eastAsia="Arial" w:hAnsi="Arial" w:cs="Arial"/>
                <w:color w:val="44546A" w:themeColor="text2"/>
                <w:sz w:val="14"/>
                <w:szCs w:val="14"/>
              </w:rPr>
            </w:pPr>
            <w:r w:rsidRPr="0065715E">
              <w:rPr>
                <w:rFonts w:ascii="Arial"/>
                <w:i/>
                <w:color w:val="44546A" w:themeColor="text2"/>
                <w:sz w:val="14"/>
              </w:rPr>
              <w:t>Australia's</w:t>
            </w:r>
            <w:r w:rsidRPr="0065715E">
              <w:rPr>
                <w:rFonts w:ascii="Arial"/>
                <w:i/>
                <w:color w:val="44546A" w:themeColor="text2"/>
                <w:spacing w:val="-1"/>
                <w:sz w:val="14"/>
              </w:rPr>
              <w:t xml:space="preserve"> </w:t>
            </w:r>
            <w:r w:rsidRPr="0065715E">
              <w:rPr>
                <w:rFonts w:ascii="Arial"/>
                <w:i/>
                <w:color w:val="44546A" w:themeColor="text2"/>
                <w:sz w:val="14"/>
              </w:rPr>
              <w:t>score</w:t>
            </w:r>
            <w:r w:rsidRPr="0065715E">
              <w:rPr>
                <w:rFonts w:ascii="Arial"/>
                <w:i/>
                <w:color w:val="44546A" w:themeColor="text2"/>
                <w:spacing w:val="-1"/>
                <w:sz w:val="14"/>
              </w:rPr>
              <w:t xml:space="preserve"> </w:t>
            </w:r>
            <w:r w:rsidRPr="0065715E">
              <w:rPr>
                <w:rFonts w:ascii="Arial"/>
                <w:i/>
                <w:color w:val="44546A" w:themeColor="text2"/>
                <w:sz w:val="14"/>
              </w:rPr>
              <w:t>(iii)</w:t>
            </w:r>
          </w:p>
        </w:tc>
        <w:tc>
          <w:tcPr>
            <w:tcW w:w="579" w:type="pct"/>
            <w:tcBorders>
              <w:top w:val="nil"/>
              <w:left w:val="nil"/>
              <w:bottom w:val="nil"/>
              <w:right w:val="nil"/>
            </w:tcBorders>
            <w:shd w:val="clear" w:color="auto" w:fill="E4F3F9"/>
          </w:tcPr>
          <w:p w14:paraId="7418BA58" w14:textId="77777777" w:rsidR="00D471AD" w:rsidRPr="0065715E" w:rsidRDefault="00D471AD" w:rsidP="004A31A9">
            <w:pPr>
              <w:pStyle w:val="TableParagraph"/>
              <w:spacing w:before="100" w:beforeAutospacing="1"/>
              <w:ind w:left="100"/>
              <w:contextualSpacing/>
              <w:rPr>
                <w:rFonts w:ascii="Arial" w:eastAsia="Arial" w:hAnsi="Arial" w:cs="Arial"/>
                <w:color w:val="44546A" w:themeColor="text2"/>
                <w:sz w:val="14"/>
                <w:szCs w:val="14"/>
              </w:rPr>
            </w:pPr>
            <w:r w:rsidRPr="0065715E">
              <w:rPr>
                <w:rFonts w:ascii="Arial"/>
                <w:i/>
                <w:color w:val="44546A" w:themeColor="text2"/>
                <w:sz w:val="14"/>
              </w:rPr>
              <w:t>OECD+</w:t>
            </w:r>
            <w:r w:rsidRPr="0065715E">
              <w:rPr>
                <w:rFonts w:ascii="Arial"/>
                <w:i/>
                <w:color w:val="44546A" w:themeColor="text2"/>
                <w:spacing w:val="-7"/>
                <w:sz w:val="14"/>
              </w:rPr>
              <w:t xml:space="preserve"> </w:t>
            </w:r>
            <w:r w:rsidRPr="0065715E">
              <w:rPr>
                <w:rFonts w:ascii="Arial"/>
                <w:i/>
                <w:color w:val="44546A" w:themeColor="text2"/>
                <w:spacing w:val="-1"/>
                <w:sz w:val="14"/>
              </w:rPr>
              <w:t xml:space="preserve">Average </w:t>
            </w:r>
            <w:r w:rsidRPr="0065715E">
              <w:rPr>
                <w:rFonts w:ascii="Arial"/>
                <w:i/>
                <w:color w:val="44546A" w:themeColor="text2"/>
                <w:sz w:val="14"/>
              </w:rPr>
              <w:t>(iv)</w:t>
            </w:r>
          </w:p>
        </w:tc>
        <w:tc>
          <w:tcPr>
            <w:tcW w:w="442" w:type="pct"/>
            <w:tcBorders>
              <w:top w:val="nil"/>
              <w:left w:val="nil"/>
              <w:bottom w:val="nil"/>
              <w:right w:val="nil"/>
            </w:tcBorders>
            <w:shd w:val="clear" w:color="auto" w:fill="E4F3F9"/>
          </w:tcPr>
          <w:p w14:paraId="7418BA59" w14:textId="77777777" w:rsidR="00D471AD" w:rsidRPr="0065715E" w:rsidRDefault="00D471AD" w:rsidP="004A31A9">
            <w:pPr>
              <w:pStyle w:val="NoSpacing"/>
              <w:jc w:val="right"/>
              <w:rPr>
                <w:rFonts w:ascii="Arial" w:eastAsia="Arial" w:hAnsi="Arial" w:cs="Arial"/>
                <w:i/>
                <w:color w:val="44546A" w:themeColor="text2"/>
                <w:sz w:val="14"/>
                <w:szCs w:val="14"/>
              </w:rPr>
            </w:pPr>
            <w:r w:rsidRPr="0065715E">
              <w:rPr>
                <w:rFonts w:ascii="Arial" w:hAnsi="Arial" w:cs="Arial"/>
                <w:i/>
                <w:color w:val="44546A" w:themeColor="text2"/>
                <w:sz w:val="14"/>
                <w:szCs w:val="14"/>
              </w:rPr>
              <w:t>OECD+</w:t>
            </w:r>
            <w:r w:rsidRPr="0065715E">
              <w:rPr>
                <w:rFonts w:ascii="Arial" w:hAnsi="Arial" w:cs="Arial"/>
                <w:i/>
                <w:color w:val="44546A" w:themeColor="text2"/>
                <w:spacing w:val="-1"/>
                <w:sz w:val="14"/>
                <w:szCs w:val="14"/>
              </w:rPr>
              <w:t xml:space="preserve"> </w:t>
            </w:r>
            <w:r w:rsidRPr="0065715E">
              <w:rPr>
                <w:rFonts w:ascii="Arial" w:hAnsi="Arial" w:cs="Arial"/>
                <w:i/>
                <w:color w:val="44546A" w:themeColor="text2"/>
                <w:sz w:val="14"/>
                <w:szCs w:val="14"/>
              </w:rPr>
              <w:t>top</w:t>
            </w:r>
            <w:r w:rsidRPr="0065715E">
              <w:rPr>
                <w:rFonts w:ascii="Arial" w:hAnsi="Arial" w:cs="Arial"/>
                <w:i/>
                <w:color w:val="44546A" w:themeColor="text2"/>
                <w:spacing w:val="-1"/>
                <w:sz w:val="14"/>
                <w:szCs w:val="14"/>
              </w:rPr>
              <w:t xml:space="preserve"> </w:t>
            </w:r>
            <w:r w:rsidRPr="0065715E">
              <w:rPr>
                <w:rFonts w:ascii="Arial" w:hAnsi="Arial" w:cs="Arial"/>
                <w:i/>
                <w:color w:val="44546A" w:themeColor="text2"/>
                <w:sz w:val="14"/>
                <w:szCs w:val="14"/>
              </w:rPr>
              <w:t xml:space="preserve">5 </w:t>
            </w:r>
            <w:r w:rsidRPr="0065715E">
              <w:rPr>
                <w:rFonts w:ascii="Arial" w:hAnsi="Arial" w:cs="Arial"/>
                <w:i/>
                <w:color w:val="44546A" w:themeColor="text2"/>
                <w:spacing w:val="-1"/>
                <w:sz w:val="14"/>
                <w:szCs w:val="14"/>
              </w:rPr>
              <w:t>average</w:t>
            </w:r>
            <w:r w:rsidRPr="0065715E">
              <w:rPr>
                <w:rFonts w:ascii="Arial" w:hAnsi="Arial" w:cs="Arial"/>
                <w:i/>
                <w:color w:val="44546A" w:themeColor="text2"/>
                <w:sz w:val="14"/>
                <w:szCs w:val="14"/>
              </w:rPr>
              <w:t xml:space="preserve"> (vi)</w:t>
            </w:r>
          </w:p>
        </w:tc>
        <w:tc>
          <w:tcPr>
            <w:tcW w:w="523" w:type="pct"/>
            <w:tcBorders>
              <w:top w:val="nil"/>
              <w:left w:val="nil"/>
              <w:bottom w:val="nil"/>
              <w:right w:val="nil"/>
            </w:tcBorders>
            <w:shd w:val="clear" w:color="auto" w:fill="E4F3F9"/>
          </w:tcPr>
          <w:p w14:paraId="7418BA5A" w14:textId="77777777" w:rsidR="00D471AD" w:rsidRPr="0065715E" w:rsidRDefault="00D471AD" w:rsidP="004A31A9">
            <w:pPr>
              <w:pStyle w:val="NoSpacing"/>
              <w:jc w:val="right"/>
              <w:rPr>
                <w:rFonts w:ascii="Arial" w:hAnsi="Arial" w:cs="Arial"/>
                <w:i/>
                <w:color w:val="44546A" w:themeColor="text2"/>
                <w:sz w:val="14"/>
                <w:szCs w:val="14"/>
              </w:rPr>
            </w:pPr>
            <w:r w:rsidRPr="0065715E">
              <w:rPr>
                <w:rFonts w:ascii="Arial" w:hAnsi="Arial" w:cs="Arial"/>
                <w:i/>
                <w:color w:val="44546A" w:themeColor="text2"/>
                <w:sz w:val="14"/>
                <w:szCs w:val="14"/>
              </w:rPr>
              <w:t>Gap from the top 5 OECD+ performers</w:t>
            </w:r>
          </w:p>
          <w:p w14:paraId="7418BA5B" w14:textId="77777777" w:rsidR="00D471AD" w:rsidRPr="0065715E" w:rsidRDefault="00D471AD" w:rsidP="004A31A9">
            <w:pPr>
              <w:pStyle w:val="NoSpacing"/>
              <w:jc w:val="right"/>
              <w:rPr>
                <w:rFonts w:ascii="Arial" w:hAnsi="Arial" w:cs="Arial"/>
                <w:i/>
                <w:color w:val="44546A" w:themeColor="text2"/>
                <w:sz w:val="14"/>
                <w:szCs w:val="14"/>
              </w:rPr>
            </w:pPr>
            <w:r w:rsidRPr="0065715E">
              <w:rPr>
                <w:rFonts w:ascii="Arial" w:hAnsi="Arial" w:cs="Arial"/>
                <w:i/>
                <w:color w:val="44546A" w:themeColor="text2"/>
                <w:sz w:val="14"/>
                <w:szCs w:val="14"/>
              </w:rPr>
              <w:t>(per cent) (vii)</w:t>
            </w:r>
          </w:p>
        </w:tc>
        <w:tc>
          <w:tcPr>
            <w:tcW w:w="470" w:type="pct"/>
            <w:tcBorders>
              <w:top w:val="nil"/>
              <w:left w:val="nil"/>
              <w:bottom w:val="nil"/>
              <w:right w:val="nil"/>
            </w:tcBorders>
            <w:shd w:val="clear" w:color="auto" w:fill="E4F3F9"/>
          </w:tcPr>
          <w:p w14:paraId="7418BA5C" w14:textId="77777777" w:rsidR="00D471AD" w:rsidRPr="0065715E" w:rsidRDefault="00D471AD" w:rsidP="004A31A9">
            <w:pPr>
              <w:pStyle w:val="NoSpacing"/>
              <w:jc w:val="right"/>
              <w:rPr>
                <w:rFonts w:ascii="Arial" w:hAnsi="Arial" w:cs="Arial"/>
                <w:i/>
                <w:color w:val="44546A" w:themeColor="text2"/>
                <w:sz w:val="14"/>
                <w:szCs w:val="14"/>
              </w:rPr>
            </w:pPr>
            <w:r w:rsidRPr="0065715E">
              <w:rPr>
                <w:rFonts w:ascii="Arial" w:hAnsi="Arial" w:cs="Arial"/>
                <w:i/>
                <w:color w:val="44546A" w:themeColor="text2"/>
                <w:sz w:val="14"/>
                <w:szCs w:val="14"/>
              </w:rPr>
              <w:t>Ranking against OECD+ countries</w:t>
            </w:r>
          </w:p>
          <w:p w14:paraId="7418BA5D" w14:textId="77777777" w:rsidR="00D471AD" w:rsidRPr="0065715E" w:rsidRDefault="00D471AD" w:rsidP="004A31A9">
            <w:pPr>
              <w:pStyle w:val="NoSpacing"/>
              <w:jc w:val="right"/>
              <w:rPr>
                <w:rFonts w:ascii="Arial" w:hAnsi="Arial" w:cs="Arial"/>
                <w:i/>
                <w:color w:val="44546A" w:themeColor="text2"/>
                <w:sz w:val="14"/>
                <w:szCs w:val="14"/>
              </w:rPr>
            </w:pPr>
            <w:r w:rsidRPr="0065715E">
              <w:rPr>
                <w:rFonts w:ascii="Arial" w:hAnsi="Arial" w:cs="Arial"/>
                <w:i/>
                <w:color w:val="44546A" w:themeColor="text2"/>
                <w:sz w:val="14"/>
                <w:szCs w:val="14"/>
              </w:rPr>
              <w:t>(viii)</w:t>
            </w:r>
          </w:p>
        </w:tc>
        <w:tc>
          <w:tcPr>
            <w:tcW w:w="470" w:type="pct"/>
            <w:gridSpan w:val="2"/>
            <w:tcBorders>
              <w:top w:val="nil"/>
              <w:left w:val="nil"/>
              <w:bottom w:val="nil"/>
              <w:right w:val="nil"/>
            </w:tcBorders>
            <w:shd w:val="clear" w:color="auto" w:fill="E4F3F9"/>
          </w:tcPr>
          <w:p w14:paraId="7418BA5E" w14:textId="77777777" w:rsidR="00D471AD" w:rsidRPr="0065715E" w:rsidRDefault="00D471AD" w:rsidP="004A31A9">
            <w:pPr>
              <w:pStyle w:val="NoSpacing"/>
              <w:jc w:val="right"/>
              <w:rPr>
                <w:rFonts w:ascii="Arial" w:hAnsi="Arial" w:cs="Arial"/>
                <w:i/>
                <w:color w:val="44546A" w:themeColor="text2"/>
                <w:sz w:val="14"/>
                <w:szCs w:val="14"/>
              </w:rPr>
            </w:pPr>
            <w:r w:rsidRPr="0065715E">
              <w:rPr>
                <w:rFonts w:ascii="Arial" w:hAnsi="Arial" w:cs="Arial"/>
                <w:i/>
                <w:color w:val="44546A" w:themeColor="text2"/>
                <w:sz w:val="14"/>
                <w:szCs w:val="14"/>
              </w:rPr>
              <w:t>Year of OECD+ comparison</w:t>
            </w:r>
          </w:p>
        </w:tc>
      </w:tr>
      <w:tr w:rsidR="00D471AD" w:rsidRPr="005015FA" w14:paraId="7418BA67"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A60" w14:textId="77777777" w:rsidR="00D471AD" w:rsidRPr="0065715E" w:rsidRDefault="00D471AD" w:rsidP="004A31A9">
            <w:pPr>
              <w:pStyle w:val="TableParagraph"/>
              <w:spacing w:before="50"/>
              <w:ind w:left="91"/>
              <w:rPr>
                <w:rFonts w:ascii="Arial" w:eastAsia="Arial" w:hAnsi="Arial" w:cs="Arial"/>
                <w:color w:val="44546A" w:themeColor="text2"/>
                <w:sz w:val="14"/>
                <w:szCs w:val="14"/>
              </w:rPr>
            </w:pPr>
            <w:r w:rsidRPr="0065715E">
              <w:rPr>
                <w:rFonts w:ascii="Arial" w:eastAsia="Arial" w:hAnsi="Arial" w:cs="Arial" w:hint="eastAsia"/>
                <w:color w:val="44546A" w:themeColor="text2"/>
                <w:sz w:val="14"/>
                <w:szCs w:val="14"/>
              </w:rPr>
              <w:t>DHL Global Connectedness Index</w:t>
            </w:r>
            <w:r w:rsidRPr="0065715E">
              <w:rPr>
                <w:rFonts w:ascii="Arial Unicode MS" w:eastAsia="Arial Unicode MS" w:hAnsi="Arial Unicode MS" w:cs="Arial Unicode MS"/>
                <w:color w:val="44546A" w:themeColor="text2"/>
                <w:sz w:val="14"/>
                <w:szCs w:val="14"/>
              </w:rPr>
              <w:t>¹</w:t>
            </w:r>
          </w:p>
        </w:tc>
        <w:tc>
          <w:tcPr>
            <w:tcW w:w="532" w:type="pct"/>
            <w:gridSpan w:val="2"/>
            <w:tcBorders>
              <w:top w:val="nil"/>
              <w:left w:val="nil"/>
              <w:bottom w:val="nil"/>
              <w:right w:val="nil"/>
            </w:tcBorders>
            <w:shd w:val="clear" w:color="auto" w:fill="D5ECF5"/>
          </w:tcPr>
          <w:p w14:paraId="7418BA61"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57</w:t>
            </w:r>
          </w:p>
        </w:tc>
        <w:tc>
          <w:tcPr>
            <w:tcW w:w="579" w:type="pct"/>
            <w:tcBorders>
              <w:top w:val="nil"/>
              <w:left w:val="nil"/>
              <w:bottom w:val="nil"/>
              <w:right w:val="nil"/>
            </w:tcBorders>
            <w:shd w:val="clear" w:color="auto" w:fill="D5ECF5"/>
          </w:tcPr>
          <w:p w14:paraId="7418BA62"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64</w:t>
            </w:r>
          </w:p>
        </w:tc>
        <w:tc>
          <w:tcPr>
            <w:tcW w:w="442" w:type="pct"/>
            <w:tcBorders>
              <w:top w:val="nil"/>
              <w:left w:val="nil"/>
              <w:bottom w:val="nil"/>
              <w:right w:val="nil"/>
            </w:tcBorders>
            <w:shd w:val="clear" w:color="auto" w:fill="D5ECF5"/>
          </w:tcPr>
          <w:p w14:paraId="7418BA63"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83</w:t>
            </w:r>
          </w:p>
        </w:tc>
        <w:tc>
          <w:tcPr>
            <w:tcW w:w="523" w:type="pct"/>
            <w:tcBorders>
              <w:top w:val="nil"/>
              <w:left w:val="nil"/>
              <w:bottom w:val="nil"/>
              <w:right w:val="nil"/>
            </w:tcBorders>
            <w:shd w:val="clear" w:color="auto" w:fill="D5ECF5"/>
          </w:tcPr>
          <w:p w14:paraId="7418BA64"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32</w:t>
            </w:r>
          </w:p>
        </w:tc>
        <w:tc>
          <w:tcPr>
            <w:tcW w:w="470" w:type="pct"/>
            <w:tcBorders>
              <w:top w:val="nil"/>
              <w:left w:val="nil"/>
              <w:bottom w:val="nil"/>
              <w:right w:val="nil"/>
            </w:tcBorders>
            <w:shd w:val="clear" w:color="auto" w:fill="D5ECF5"/>
          </w:tcPr>
          <w:p w14:paraId="7418BA65"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26th of 38</w:t>
            </w:r>
          </w:p>
        </w:tc>
        <w:tc>
          <w:tcPr>
            <w:tcW w:w="470" w:type="pct"/>
            <w:gridSpan w:val="2"/>
            <w:tcBorders>
              <w:top w:val="nil"/>
              <w:left w:val="nil"/>
              <w:bottom w:val="nil"/>
              <w:right w:val="nil"/>
            </w:tcBorders>
            <w:shd w:val="clear" w:color="auto" w:fill="D5ECF5"/>
          </w:tcPr>
          <w:p w14:paraId="7418BA66"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2013</w:t>
            </w:r>
          </w:p>
        </w:tc>
      </w:tr>
      <w:tr w:rsidR="00D471AD" w:rsidRPr="005015FA" w14:paraId="7418BA6F"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A68" w14:textId="77777777" w:rsidR="00D471AD" w:rsidRPr="0065715E" w:rsidRDefault="00D471AD" w:rsidP="004A31A9">
            <w:pPr>
              <w:pStyle w:val="TableParagraph"/>
              <w:spacing w:before="50"/>
              <w:ind w:left="91"/>
              <w:rPr>
                <w:rFonts w:ascii="Arial" w:eastAsia="Arial" w:hAnsi="Arial" w:cs="Arial"/>
                <w:color w:val="44546A" w:themeColor="text2"/>
                <w:sz w:val="14"/>
                <w:szCs w:val="14"/>
              </w:rPr>
            </w:pPr>
            <w:r w:rsidRPr="0065715E">
              <w:rPr>
                <w:rFonts w:ascii="Arial" w:eastAsia="Arial" w:hAnsi="Arial" w:cs="Arial" w:hint="eastAsia"/>
                <w:color w:val="44546A" w:themeColor="text2"/>
                <w:sz w:val="14"/>
                <w:szCs w:val="14"/>
              </w:rPr>
              <w:t>Trade, % of GDP</w:t>
            </w:r>
            <w:r w:rsidRPr="0065715E">
              <w:rPr>
                <w:rFonts w:ascii="Arial Unicode MS" w:eastAsia="Arial Unicode MS" w:hAnsi="Arial Unicode MS" w:cs="Arial Unicode MS"/>
                <w:color w:val="44546A" w:themeColor="text2"/>
                <w:sz w:val="14"/>
                <w:szCs w:val="14"/>
              </w:rPr>
              <w:t>²</w:t>
            </w:r>
          </w:p>
        </w:tc>
        <w:tc>
          <w:tcPr>
            <w:tcW w:w="532" w:type="pct"/>
            <w:gridSpan w:val="2"/>
            <w:tcBorders>
              <w:top w:val="nil"/>
              <w:left w:val="nil"/>
              <w:bottom w:val="nil"/>
              <w:right w:val="nil"/>
            </w:tcBorders>
            <w:shd w:val="clear" w:color="auto" w:fill="E4F3F9"/>
          </w:tcPr>
          <w:p w14:paraId="7418BA69"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41</w:t>
            </w:r>
          </w:p>
        </w:tc>
        <w:tc>
          <w:tcPr>
            <w:tcW w:w="579" w:type="pct"/>
            <w:tcBorders>
              <w:top w:val="nil"/>
              <w:left w:val="nil"/>
              <w:bottom w:val="nil"/>
              <w:right w:val="nil"/>
            </w:tcBorders>
            <w:shd w:val="clear" w:color="auto" w:fill="E4F3F9"/>
          </w:tcPr>
          <w:p w14:paraId="7418BA6A"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108</w:t>
            </w:r>
          </w:p>
        </w:tc>
        <w:tc>
          <w:tcPr>
            <w:tcW w:w="442" w:type="pct"/>
            <w:tcBorders>
              <w:top w:val="nil"/>
              <w:left w:val="nil"/>
              <w:bottom w:val="nil"/>
              <w:right w:val="nil"/>
            </w:tcBorders>
            <w:shd w:val="clear" w:color="auto" w:fill="E4F3F9"/>
          </w:tcPr>
          <w:p w14:paraId="7418BA6B"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258</w:t>
            </w:r>
          </w:p>
        </w:tc>
        <w:tc>
          <w:tcPr>
            <w:tcW w:w="523" w:type="pct"/>
            <w:tcBorders>
              <w:top w:val="nil"/>
              <w:left w:val="nil"/>
              <w:bottom w:val="nil"/>
              <w:right w:val="nil"/>
            </w:tcBorders>
            <w:shd w:val="clear" w:color="auto" w:fill="E4F3F9"/>
          </w:tcPr>
          <w:p w14:paraId="7418BA6C"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84</w:t>
            </w:r>
          </w:p>
        </w:tc>
        <w:tc>
          <w:tcPr>
            <w:tcW w:w="470" w:type="pct"/>
            <w:tcBorders>
              <w:top w:val="nil"/>
              <w:left w:val="nil"/>
              <w:bottom w:val="nil"/>
              <w:right w:val="nil"/>
            </w:tcBorders>
            <w:shd w:val="clear" w:color="auto" w:fill="E4F3F9"/>
          </w:tcPr>
          <w:p w14:paraId="7418BA6D"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33rd of 35</w:t>
            </w:r>
          </w:p>
        </w:tc>
        <w:tc>
          <w:tcPr>
            <w:tcW w:w="470" w:type="pct"/>
            <w:gridSpan w:val="2"/>
            <w:tcBorders>
              <w:top w:val="nil"/>
              <w:left w:val="nil"/>
              <w:bottom w:val="nil"/>
              <w:right w:val="nil"/>
            </w:tcBorders>
            <w:shd w:val="clear" w:color="auto" w:fill="E4F3F9"/>
          </w:tcPr>
          <w:p w14:paraId="7418BA6E"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2015</w:t>
            </w:r>
          </w:p>
        </w:tc>
      </w:tr>
      <w:tr w:rsidR="00D471AD" w:rsidRPr="005015FA" w14:paraId="7418BA77"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A70" w14:textId="77777777" w:rsidR="00D471AD" w:rsidRPr="0065715E" w:rsidRDefault="00D471AD" w:rsidP="004A31A9">
            <w:pPr>
              <w:pStyle w:val="TableParagraph"/>
              <w:spacing w:before="50"/>
              <w:ind w:left="91"/>
              <w:rPr>
                <w:rFonts w:ascii="Arial" w:eastAsia="Arial" w:hAnsi="Arial" w:cs="Arial"/>
                <w:color w:val="44546A" w:themeColor="text2"/>
                <w:sz w:val="14"/>
                <w:szCs w:val="14"/>
              </w:rPr>
            </w:pPr>
            <w:r w:rsidRPr="0065715E">
              <w:rPr>
                <w:rFonts w:ascii="Arial" w:eastAsia="Arial" w:hAnsi="Arial" w:cs="Arial" w:hint="eastAsia"/>
                <w:color w:val="44546A" w:themeColor="text2"/>
                <w:sz w:val="14"/>
                <w:szCs w:val="14"/>
              </w:rPr>
              <w:t>Exports of goods, % of GDP</w:t>
            </w:r>
            <w:r w:rsidRPr="0065715E">
              <w:rPr>
                <w:rFonts w:ascii="Arial Unicode MS" w:eastAsia="Arial Unicode MS" w:hAnsi="Arial Unicode MS" w:cs="Arial Unicode MS"/>
                <w:color w:val="44546A" w:themeColor="text2"/>
                <w:sz w:val="14"/>
                <w:szCs w:val="14"/>
              </w:rPr>
              <w:t>³ ⁴</w:t>
            </w:r>
          </w:p>
        </w:tc>
        <w:tc>
          <w:tcPr>
            <w:tcW w:w="532" w:type="pct"/>
            <w:gridSpan w:val="2"/>
            <w:tcBorders>
              <w:top w:val="nil"/>
              <w:left w:val="nil"/>
              <w:bottom w:val="nil"/>
              <w:right w:val="nil"/>
            </w:tcBorders>
            <w:shd w:val="clear" w:color="auto" w:fill="D5ECF5"/>
          </w:tcPr>
          <w:p w14:paraId="7418BA71"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15.3</w:t>
            </w:r>
          </w:p>
        </w:tc>
        <w:tc>
          <w:tcPr>
            <w:tcW w:w="579" w:type="pct"/>
            <w:tcBorders>
              <w:top w:val="nil"/>
              <w:left w:val="nil"/>
              <w:bottom w:val="nil"/>
              <w:right w:val="nil"/>
            </w:tcBorders>
            <w:shd w:val="clear" w:color="auto" w:fill="D5ECF5"/>
          </w:tcPr>
          <w:p w14:paraId="7418BA72"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37.1</w:t>
            </w:r>
          </w:p>
        </w:tc>
        <w:tc>
          <w:tcPr>
            <w:tcW w:w="442" w:type="pct"/>
            <w:tcBorders>
              <w:top w:val="nil"/>
              <w:left w:val="nil"/>
              <w:bottom w:val="nil"/>
              <w:right w:val="nil"/>
            </w:tcBorders>
            <w:shd w:val="clear" w:color="auto" w:fill="D5ECF5"/>
          </w:tcPr>
          <w:p w14:paraId="7418BA73"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84.1</w:t>
            </w:r>
          </w:p>
        </w:tc>
        <w:tc>
          <w:tcPr>
            <w:tcW w:w="523" w:type="pct"/>
            <w:tcBorders>
              <w:top w:val="nil"/>
              <w:left w:val="nil"/>
              <w:bottom w:val="nil"/>
              <w:right w:val="nil"/>
            </w:tcBorders>
            <w:shd w:val="clear" w:color="auto" w:fill="D5ECF5"/>
          </w:tcPr>
          <w:p w14:paraId="7418BA74"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82</w:t>
            </w:r>
          </w:p>
        </w:tc>
        <w:tc>
          <w:tcPr>
            <w:tcW w:w="470" w:type="pct"/>
            <w:tcBorders>
              <w:top w:val="nil"/>
              <w:left w:val="nil"/>
              <w:bottom w:val="nil"/>
              <w:right w:val="nil"/>
            </w:tcBorders>
            <w:shd w:val="clear" w:color="auto" w:fill="D5ECF5"/>
          </w:tcPr>
          <w:p w14:paraId="7418BA75"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32nd of 36</w:t>
            </w:r>
          </w:p>
        </w:tc>
        <w:tc>
          <w:tcPr>
            <w:tcW w:w="470" w:type="pct"/>
            <w:gridSpan w:val="2"/>
            <w:tcBorders>
              <w:top w:val="nil"/>
              <w:left w:val="nil"/>
              <w:bottom w:val="nil"/>
              <w:right w:val="nil"/>
            </w:tcBorders>
            <w:shd w:val="clear" w:color="auto" w:fill="D5ECF5"/>
          </w:tcPr>
          <w:p w14:paraId="7418BA76"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2015</w:t>
            </w:r>
          </w:p>
        </w:tc>
      </w:tr>
      <w:tr w:rsidR="00D471AD" w:rsidRPr="005015FA" w14:paraId="7418BA7F"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A78" w14:textId="77777777" w:rsidR="00D471AD" w:rsidRPr="0065715E" w:rsidRDefault="00D471AD" w:rsidP="004A31A9">
            <w:pPr>
              <w:pStyle w:val="TableParagraph"/>
              <w:spacing w:before="50"/>
              <w:ind w:left="91"/>
              <w:rPr>
                <w:rFonts w:ascii="Arial" w:eastAsia="Arial" w:hAnsi="Arial" w:cs="Arial"/>
                <w:color w:val="44546A" w:themeColor="text2"/>
                <w:sz w:val="14"/>
                <w:szCs w:val="14"/>
              </w:rPr>
            </w:pPr>
            <w:r w:rsidRPr="0065715E">
              <w:rPr>
                <w:rFonts w:ascii="Arial" w:eastAsia="Arial" w:hAnsi="Arial" w:cs="Arial" w:hint="eastAsia"/>
                <w:color w:val="44546A" w:themeColor="text2"/>
                <w:sz w:val="14"/>
                <w:szCs w:val="14"/>
              </w:rPr>
              <w:t>Exports of services, % of GDP</w:t>
            </w:r>
            <w:r w:rsidRPr="0065715E">
              <w:rPr>
                <w:rFonts w:ascii="Arial Unicode MS" w:eastAsia="Arial Unicode MS" w:hAnsi="Arial Unicode MS" w:cs="Arial Unicode MS"/>
                <w:color w:val="44546A" w:themeColor="text2"/>
                <w:sz w:val="14"/>
                <w:szCs w:val="14"/>
              </w:rPr>
              <w:t>⁴ ⁵</w:t>
            </w:r>
          </w:p>
        </w:tc>
        <w:tc>
          <w:tcPr>
            <w:tcW w:w="532" w:type="pct"/>
            <w:gridSpan w:val="2"/>
            <w:tcBorders>
              <w:top w:val="nil"/>
              <w:left w:val="nil"/>
              <w:bottom w:val="nil"/>
              <w:right w:val="nil"/>
            </w:tcBorders>
            <w:shd w:val="clear" w:color="auto" w:fill="E4F3F9"/>
          </w:tcPr>
          <w:p w14:paraId="7418BA79"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4.0</w:t>
            </w:r>
          </w:p>
        </w:tc>
        <w:tc>
          <w:tcPr>
            <w:tcW w:w="579" w:type="pct"/>
            <w:tcBorders>
              <w:top w:val="nil"/>
              <w:left w:val="nil"/>
              <w:bottom w:val="nil"/>
              <w:right w:val="nil"/>
            </w:tcBorders>
            <w:shd w:val="clear" w:color="auto" w:fill="E4F3F9"/>
          </w:tcPr>
          <w:p w14:paraId="7418BA7A"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17.5</w:t>
            </w:r>
          </w:p>
        </w:tc>
        <w:tc>
          <w:tcPr>
            <w:tcW w:w="442" w:type="pct"/>
            <w:tcBorders>
              <w:top w:val="nil"/>
              <w:left w:val="nil"/>
              <w:bottom w:val="nil"/>
              <w:right w:val="nil"/>
            </w:tcBorders>
            <w:shd w:val="clear" w:color="auto" w:fill="E4F3F9"/>
          </w:tcPr>
          <w:p w14:paraId="7418BA7B"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57.9</w:t>
            </w:r>
          </w:p>
        </w:tc>
        <w:tc>
          <w:tcPr>
            <w:tcW w:w="523" w:type="pct"/>
            <w:tcBorders>
              <w:top w:val="nil"/>
              <w:left w:val="nil"/>
              <w:bottom w:val="nil"/>
              <w:right w:val="nil"/>
            </w:tcBorders>
            <w:shd w:val="clear" w:color="auto" w:fill="E4F3F9"/>
          </w:tcPr>
          <w:p w14:paraId="7418BA7C"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93</w:t>
            </w:r>
          </w:p>
        </w:tc>
        <w:tc>
          <w:tcPr>
            <w:tcW w:w="470" w:type="pct"/>
            <w:tcBorders>
              <w:top w:val="nil"/>
              <w:left w:val="nil"/>
              <w:bottom w:val="nil"/>
              <w:right w:val="nil"/>
            </w:tcBorders>
            <w:shd w:val="clear" w:color="auto" w:fill="E4F3F9"/>
          </w:tcPr>
          <w:p w14:paraId="7418BA7D"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33rd of 35</w:t>
            </w:r>
          </w:p>
        </w:tc>
        <w:tc>
          <w:tcPr>
            <w:tcW w:w="470" w:type="pct"/>
            <w:gridSpan w:val="2"/>
            <w:tcBorders>
              <w:top w:val="nil"/>
              <w:left w:val="nil"/>
              <w:bottom w:val="nil"/>
              <w:right w:val="nil"/>
            </w:tcBorders>
            <w:shd w:val="clear" w:color="auto" w:fill="E4F3F9"/>
          </w:tcPr>
          <w:p w14:paraId="7418BA7E"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2015</w:t>
            </w:r>
          </w:p>
        </w:tc>
      </w:tr>
      <w:tr w:rsidR="00D471AD" w:rsidRPr="005015FA" w14:paraId="7418BA87"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A80" w14:textId="77777777" w:rsidR="00D471AD" w:rsidRPr="0065715E" w:rsidRDefault="00D471AD" w:rsidP="004A31A9">
            <w:pPr>
              <w:pStyle w:val="TableParagraph"/>
              <w:spacing w:before="50"/>
              <w:ind w:left="91"/>
              <w:rPr>
                <w:rFonts w:ascii="Arial" w:eastAsia="Arial" w:hAnsi="Arial" w:cs="Arial"/>
                <w:color w:val="44546A" w:themeColor="text2"/>
                <w:sz w:val="14"/>
                <w:szCs w:val="14"/>
              </w:rPr>
            </w:pPr>
            <w:r w:rsidRPr="0065715E">
              <w:rPr>
                <w:rFonts w:ascii="Arial" w:eastAsia="Arial" w:hAnsi="Arial" w:cs="Arial" w:hint="eastAsia"/>
                <w:color w:val="44546A" w:themeColor="text2"/>
                <w:sz w:val="14"/>
                <w:szCs w:val="14"/>
              </w:rPr>
              <w:t xml:space="preserve">Exports in raw </w:t>
            </w:r>
            <w:r w:rsidRPr="0065715E">
              <w:rPr>
                <w:rFonts w:ascii="Arial" w:eastAsia="Arial" w:hAnsi="Arial" w:cs="Arial"/>
                <w:color w:val="44546A" w:themeColor="text2"/>
                <w:sz w:val="14"/>
                <w:szCs w:val="14"/>
              </w:rPr>
              <w:t>commodities</w:t>
            </w:r>
            <w:r w:rsidRPr="0065715E">
              <w:rPr>
                <w:rFonts w:ascii="Arial" w:eastAsia="Arial" w:hAnsi="Arial" w:cs="Arial" w:hint="eastAsia"/>
                <w:color w:val="44546A" w:themeColor="text2"/>
                <w:sz w:val="14"/>
                <w:szCs w:val="14"/>
              </w:rPr>
              <w:t>, % of GDP</w:t>
            </w:r>
            <w:r w:rsidRPr="0065715E">
              <w:rPr>
                <w:rFonts w:ascii="Arial Unicode MS" w:eastAsia="Arial Unicode MS" w:hAnsi="Arial Unicode MS" w:cs="Arial Unicode MS"/>
                <w:color w:val="44546A" w:themeColor="text2"/>
                <w:sz w:val="14"/>
                <w:szCs w:val="14"/>
              </w:rPr>
              <w:t>⁴ ⁶</w:t>
            </w:r>
          </w:p>
        </w:tc>
        <w:tc>
          <w:tcPr>
            <w:tcW w:w="532" w:type="pct"/>
            <w:gridSpan w:val="2"/>
            <w:tcBorders>
              <w:top w:val="nil"/>
              <w:left w:val="nil"/>
              <w:bottom w:val="nil"/>
              <w:right w:val="nil"/>
            </w:tcBorders>
            <w:shd w:val="clear" w:color="auto" w:fill="D5ECF5"/>
          </w:tcPr>
          <w:p w14:paraId="7418BA81"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8.2</w:t>
            </w:r>
          </w:p>
        </w:tc>
        <w:tc>
          <w:tcPr>
            <w:tcW w:w="579" w:type="pct"/>
            <w:tcBorders>
              <w:top w:val="nil"/>
              <w:left w:val="nil"/>
              <w:bottom w:val="nil"/>
              <w:right w:val="nil"/>
            </w:tcBorders>
            <w:shd w:val="clear" w:color="auto" w:fill="D5ECF5"/>
          </w:tcPr>
          <w:p w14:paraId="7418BA82"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3.1</w:t>
            </w:r>
          </w:p>
        </w:tc>
        <w:tc>
          <w:tcPr>
            <w:tcW w:w="442" w:type="pct"/>
            <w:tcBorders>
              <w:top w:val="nil"/>
              <w:left w:val="nil"/>
              <w:bottom w:val="nil"/>
              <w:right w:val="nil"/>
            </w:tcBorders>
            <w:shd w:val="clear" w:color="auto" w:fill="D5ECF5"/>
          </w:tcPr>
          <w:p w14:paraId="7418BA83"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9.7</w:t>
            </w:r>
          </w:p>
        </w:tc>
        <w:tc>
          <w:tcPr>
            <w:tcW w:w="523" w:type="pct"/>
            <w:tcBorders>
              <w:top w:val="nil"/>
              <w:left w:val="nil"/>
              <w:bottom w:val="nil"/>
              <w:right w:val="nil"/>
            </w:tcBorders>
            <w:shd w:val="clear" w:color="auto" w:fill="D5ECF5"/>
          </w:tcPr>
          <w:p w14:paraId="7418BA84"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15</w:t>
            </w:r>
          </w:p>
        </w:tc>
        <w:tc>
          <w:tcPr>
            <w:tcW w:w="470" w:type="pct"/>
            <w:tcBorders>
              <w:top w:val="nil"/>
              <w:left w:val="nil"/>
              <w:bottom w:val="nil"/>
              <w:right w:val="nil"/>
            </w:tcBorders>
            <w:shd w:val="clear" w:color="auto" w:fill="D5ECF5"/>
          </w:tcPr>
          <w:p w14:paraId="7418BA85"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3rd of 34</w:t>
            </w:r>
          </w:p>
        </w:tc>
        <w:tc>
          <w:tcPr>
            <w:tcW w:w="470" w:type="pct"/>
            <w:gridSpan w:val="2"/>
            <w:tcBorders>
              <w:top w:val="nil"/>
              <w:left w:val="nil"/>
              <w:bottom w:val="nil"/>
              <w:right w:val="nil"/>
            </w:tcBorders>
            <w:shd w:val="clear" w:color="auto" w:fill="D5ECF5"/>
          </w:tcPr>
          <w:p w14:paraId="7418BA86"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2015</w:t>
            </w:r>
          </w:p>
        </w:tc>
      </w:tr>
      <w:tr w:rsidR="00D471AD" w:rsidRPr="005015FA" w14:paraId="7418BA8F"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A88" w14:textId="77777777" w:rsidR="00D471AD" w:rsidRPr="0065715E" w:rsidRDefault="00D471AD" w:rsidP="004A31A9">
            <w:pPr>
              <w:pStyle w:val="TableParagraph"/>
              <w:spacing w:before="50"/>
              <w:ind w:left="91"/>
              <w:rPr>
                <w:rFonts w:ascii="Arial" w:eastAsia="Arial" w:hAnsi="Arial" w:cs="Arial"/>
                <w:color w:val="44546A" w:themeColor="text2"/>
                <w:sz w:val="14"/>
                <w:szCs w:val="14"/>
              </w:rPr>
            </w:pPr>
            <w:r w:rsidRPr="0065715E">
              <w:rPr>
                <w:rFonts w:ascii="Arial" w:eastAsia="Arial" w:hAnsi="Arial" w:cs="Arial" w:hint="eastAsia"/>
                <w:color w:val="44546A" w:themeColor="text2"/>
                <w:sz w:val="14"/>
                <w:szCs w:val="14"/>
              </w:rPr>
              <w:t>Net Foreign Direct Investment Inflows, % of GDP</w:t>
            </w:r>
            <w:r w:rsidRPr="0065715E">
              <w:rPr>
                <w:rFonts w:ascii="Arial Unicode MS" w:eastAsia="Arial Unicode MS" w:hAnsi="Arial Unicode MS" w:cs="Arial Unicode MS"/>
                <w:color w:val="44546A" w:themeColor="text2"/>
                <w:sz w:val="14"/>
                <w:szCs w:val="14"/>
              </w:rPr>
              <w:t>⁷ ⁸ ⁹</w:t>
            </w:r>
          </w:p>
        </w:tc>
        <w:tc>
          <w:tcPr>
            <w:tcW w:w="532" w:type="pct"/>
            <w:gridSpan w:val="2"/>
            <w:tcBorders>
              <w:top w:val="nil"/>
              <w:left w:val="nil"/>
              <w:bottom w:val="nil"/>
              <w:right w:val="nil"/>
            </w:tcBorders>
            <w:shd w:val="clear" w:color="auto" w:fill="E4F3F9"/>
          </w:tcPr>
          <w:p w14:paraId="7418BA89"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1.8</w:t>
            </w:r>
          </w:p>
        </w:tc>
        <w:tc>
          <w:tcPr>
            <w:tcW w:w="579" w:type="pct"/>
            <w:tcBorders>
              <w:top w:val="nil"/>
              <w:left w:val="nil"/>
              <w:bottom w:val="nil"/>
              <w:right w:val="nil"/>
            </w:tcBorders>
            <w:shd w:val="clear" w:color="auto" w:fill="E4F3F9"/>
          </w:tcPr>
          <w:p w14:paraId="7418BA8A"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4.4</w:t>
            </w:r>
          </w:p>
        </w:tc>
        <w:tc>
          <w:tcPr>
            <w:tcW w:w="442" w:type="pct"/>
            <w:tcBorders>
              <w:top w:val="nil"/>
              <w:left w:val="nil"/>
              <w:bottom w:val="nil"/>
              <w:right w:val="nil"/>
            </w:tcBorders>
            <w:shd w:val="clear" w:color="auto" w:fill="E4F3F9"/>
          </w:tcPr>
          <w:p w14:paraId="7418BA8B"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24.1</w:t>
            </w:r>
          </w:p>
        </w:tc>
        <w:tc>
          <w:tcPr>
            <w:tcW w:w="523" w:type="pct"/>
            <w:tcBorders>
              <w:top w:val="nil"/>
              <w:left w:val="nil"/>
              <w:bottom w:val="nil"/>
              <w:right w:val="nil"/>
            </w:tcBorders>
            <w:shd w:val="clear" w:color="auto" w:fill="E4F3F9"/>
          </w:tcPr>
          <w:p w14:paraId="7418BA8C"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93</w:t>
            </w:r>
          </w:p>
        </w:tc>
        <w:tc>
          <w:tcPr>
            <w:tcW w:w="470" w:type="pct"/>
            <w:tcBorders>
              <w:top w:val="nil"/>
              <w:left w:val="nil"/>
              <w:bottom w:val="nil"/>
              <w:right w:val="nil"/>
            </w:tcBorders>
            <w:shd w:val="clear" w:color="auto" w:fill="E4F3F9"/>
          </w:tcPr>
          <w:p w14:paraId="7418BA8D"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13th of 35</w:t>
            </w:r>
          </w:p>
        </w:tc>
        <w:tc>
          <w:tcPr>
            <w:tcW w:w="470" w:type="pct"/>
            <w:gridSpan w:val="2"/>
            <w:tcBorders>
              <w:top w:val="nil"/>
              <w:left w:val="nil"/>
              <w:bottom w:val="nil"/>
              <w:right w:val="nil"/>
            </w:tcBorders>
            <w:shd w:val="clear" w:color="auto" w:fill="E4F3F9"/>
          </w:tcPr>
          <w:p w14:paraId="7418BA8E"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2015</w:t>
            </w:r>
          </w:p>
        </w:tc>
      </w:tr>
      <w:tr w:rsidR="00D471AD" w:rsidRPr="005015FA" w14:paraId="7418BA97"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A90" w14:textId="77777777" w:rsidR="00D471AD" w:rsidRPr="0065715E" w:rsidRDefault="00D471AD" w:rsidP="004A31A9">
            <w:pPr>
              <w:pStyle w:val="TableParagraph"/>
              <w:spacing w:before="50"/>
              <w:ind w:left="91"/>
              <w:rPr>
                <w:rFonts w:ascii="Arial" w:eastAsia="Arial" w:hAnsi="Arial" w:cs="Arial"/>
                <w:color w:val="44546A" w:themeColor="text2"/>
                <w:sz w:val="14"/>
                <w:szCs w:val="14"/>
              </w:rPr>
            </w:pPr>
            <w:r w:rsidRPr="0065715E">
              <w:rPr>
                <w:rFonts w:ascii="Arial" w:eastAsia="Arial" w:hAnsi="Arial" w:cs="Arial" w:hint="eastAsia"/>
                <w:color w:val="44546A" w:themeColor="text2"/>
                <w:sz w:val="14"/>
                <w:szCs w:val="14"/>
              </w:rPr>
              <w:t>FDI and technology transfer, score ranges from 1-7 (best)</w:t>
            </w:r>
            <w:r w:rsidRPr="0065715E">
              <w:rPr>
                <w:rFonts w:ascii="Arial Unicode MS" w:eastAsia="Arial Unicode MS" w:hAnsi="Arial Unicode MS" w:cs="Arial Unicode MS"/>
                <w:color w:val="44546A" w:themeColor="text2"/>
                <w:sz w:val="14"/>
                <w:szCs w:val="14"/>
              </w:rPr>
              <w:t>¹⁰</w:t>
            </w:r>
          </w:p>
        </w:tc>
        <w:tc>
          <w:tcPr>
            <w:tcW w:w="532" w:type="pct"/>
            <w:gridSpan w:val="2"/>
            <w:tcBorders>
              <w:top w:val="nil"/>
              <w:left w:val="nil"/>
              <w:bottom w:val="nil"/>
              <w:right w:val="nil"/>
            </w:tcBorders>
            <w:shd w:val="clear" w:color="auto" w:fill="D5ECF5"/>
          </w:tcPr>
          <w:p w14:paraId="7418BA91"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4.8</w:t>
            </w:r>
          </w:p>
        </w:tc>
        <w:tc>
          <w:tcPr>
            <w:tcW w:w="579" w:type="pct"/>
            <w:tcBorders>
              <w:top w:val="nil"/>
              <w:left w:val="nil"/>
              <w:bottom w:val="nil"/>
              <w:right w:val="nil"/>
            </w:tcBorders>
            <w:shd w:val="clear" w:color="auto" w:fill="D5ECF5"/>
          </w:tcPr>
          <w:p w14:paraId="7418BA92"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4.9</w:t>
            </w:r>
          </w:p>
        </w:tc>
        <w:tc>
          <w:tcPr>
            <w:tcW w:w="442" w:type="pct"/>
            <w:tcBorders>
              <w:top w:val="nil"/>
              <w:left w:val="nil"/>
              <w:bottom w:val="nil"/>
              <w:right w:val="nil"/>
            </w:tcBorders>
            <w:shd w:val="clear" w:color="auto" w:fill="D5ECF5"/>
          </w:tcPr>
          <w:p w14:paraId="7418BA93"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5.7</w:t>
            </w:r>
          </w:p>
        </w:tc>
        <w:tc>
          <w:tcPr>
            <w:tcW w:w="523" w:type="pct"/>
            <w:tcBorders>
              <w:top w:val="nil"/>
              <w:left w:val="nil"/>
              <w:bottom w:val="nil"/>
              <w:right w:val="nil"/>
            </w:tcBorders>
            <w:shd w:val="clear" w:color="auto" w:fill="D5ECF5"/>
          </w:tcPr>
          <w:p w14:paraId="7418BA94"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17</w:t>
            </w:r>
          </w:p>
        </w:tc>
        <w:tc>
          <w:tcPr>
            <w:tcW w:w="470" w:type="pct"/>
            <w:tcBorders>
              <w:top w:val="nil"/>
              <w:left w:val="nil"/>
              <w:bottom w:val="nil"/>
              <w:right w:val="nil"/>
            </w:tcBorders>
            <w:shd w:val="clear" w:color="auto" w:fill="D5ECF5"/>
          </w:tcPr>
          <w:p w14:paraId="7418BA95"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25th of 38</w:t>
            </w:r>
          </w:p>
        </w:tc>
        <w:tc>
          <w:tcPr>
            <w:tcW w:w="470" w:type="pct"/>
            <w:gridSpan w:val="2"/>
            <w:tcBorders>
              <w:top w:val="nil"/>
              <w:left w:val="nil"/>
              <w:bottom w:val="nil"/>
              <w:right w:val="nil"/>
            </w:tcBorders>
            <w:shd w:val="clear" w:color="auto" w:fill="D5ECF5"/>
          </w:tcPr>
          <w:p w14:paraId="7418BA96"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2016</w:t>
            </w:r>
          </w:p>
        </w:tc>
      </w:tr>
      <w:tr w:rsidR="00D471AD" w:rsidRPr="005015FA" w14:paraId="7418BA9F"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A98" w14:textId="77777777" w:rsidR="00D471AD" w:rsidRPr="0065715E" w:rsidRDefault="00D471AD" w:rsidP="004A31A9">
            <w:pPr>
              <w:pStyle w:val="TableParagraph"/>
              <w:spacing w:before="50"/>
              <w:ind w:left="91"/>
              <w:rPr>
                <w:rFonts w:ascii="Arial" w:eastAsia="Arial" w:hAnsi="Arial" w:cs="Arial"/>
                <w:color w:val="44546A" w:themeColor="text2"/>
                <w:sz w:val="14"/>
                <w:szCs w:val="14"/>
              </w:rPr>
            </w:pPr>
            <w:r w:rsidRPr="0065715E">
              <w:rPr>
                <w:rFonts w:ascii="Arial" w:eastAsia="Arial" w:hAnsi="Arial" w:cs="Arial" w:hint="eastAsia"/>
                <w:color w:val="44546A" w:themeColor="text2"/>
                <w:sz w:val="14"/>
                <w:szCs w:val="14"/>
              </w:rPr>
              <w:t>Business impact of rules on FDI, score ranges from 1-7 (best)</w:t>
            </w:r>
            <w:r w:rsidRPr="0065715E">
              <w:rPr>
                <w:rFonts w:ascii="Arial Unicode MS" w:eastAsia="Arial Unicode MS" w:hAnsi="Arial Unicode MS" w:cs="Arial Unicode MS"/>
                <w:color w:val="44546A" w:themeColor="text2"/>
                <w:sz w:val="14"/>
                <w:szCs w:val="14"/>
              </w:rPr>
              <w:t>¹⁰</w:t>
            </w:r>
          </w:p>
        </w:tc>
        <w:tc>
          <w:tcPr>
            <w:tcW w:w="532" w:type="pct"/>
            <w:gridSpan w:val="2"/>
            <w:tcBorders>
              <w:top w:val="nil"/>
              <w:left w:val="nil"/>
              <w:bottom w:val="nil"/>
              <w:right w:val="nil"/>
            </w:tcBorders>
            <w:shd w:val="clear" w:color="auto" w:fill="E4F3F9"/>
          </w:tcPr>
          <w:p w14:paraId="7418BA99"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4.8</w:t>
            </w:r>
          </w:p>
        </w:tc>
        <w:tc>
          <w:tcPr>
            <w:tcW w:w="579" w:type="pct"/>
            <w:tcBorders>
              <w:top w:val="nil"/>
              <w:left w:val="nil"/>
              <w:bottom w:val="nil"/>
              <w:right w:val="nil"/>
            </w:tcBorders>
            <w:shd w:val="clear" w:color="auto" w:fill="E4F3F9"/>
          </w:tcPr>
          <w:p w14:paraId="7418BA9A"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5.1</w:t>
            </w:r>
          </w:p>
        </w:tc>
        <w:tc>
          <w:tcPr>
            <w:tcW w:w="442" w:type="pct"/>
            <w:tcBorders>
              <w:top w:val="nil"/>
              <w:left w:val="nil"/>
              <w:bottom w:val="nil"/>
              <w:right w:val="nil"/>
            </w:tcBorders>
            <w:shd w:val="clear" w:color="auto" w:fill="E4F3F9"/>
          </w:tcPr>
          <w:p w14:paraId="7418BA9B"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6.1</w:t>
            </w:r>
          </w:p>
        </w:tc>
        <w:tc>
          <w:tcPr>
            <w:tcW w:w="523" w:type="pct"/>
            <w:tcBorders>
              <w:top w:val="nil"/>
              <w:left w:val="nil"/>
              <w:bottom w:val="nil"/>
              <w:right w:val="nil"/>
            </w:tcBorders>
            <w:shd w:val="clear" w:color="auto" w:fill="E4F3F9"/>
          </w:tcPr>
          <w:p w14:paraId="7418BA9C"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21</w:t>
            </w:r>
          </w:p>
        </w:tc>
        <w:tc>
          <w:tcPr>
            <w:tcW w:w="470" w:type="pct"/>
            <w:tcBorders>
              <w:top w:val="nil"/>
              <w:left w:val="nil"/>
              <w:bottom w:val="nil"/>
              <w:right w:val="nil"/>
            </w:tcBorders>
            <w:shd w:val="clear" w:color="auto" w:fill="E4F3F9"/>
          </w:tcPr>
          <w:p w14:paraId="7418BA9D"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27th of 38</w:t>
            </w:r>
          </w:p>
        </w:tc>
        <w:tc>
          <w:tcPr>
            <w:tcW w:w="470" w:type="pct"/>
            <w:gridSpan w:val="2"/>
            <w:tcBorders>
              <w:top w:val="nil"/>
              <w:left w:val="nil"/>
              <w:bottom w:val="nil"/>
              <w:right w:val="nil"/>
            </w:tcBorders>
            <w:shd w:val="clear" w:color="auto" w:fill="E4F3F9"/>
          </w:tcPr>
          <w:p w14:paraId="7418BA9E"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2016</w:t>
            </w:r>
          </w:p>
        </w:tc>
      </w:tr>
      <w:tr w:rsidR="00D471AD" w:rsidRPr="005015FA" w14:paraId="7418BAA7"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AA0" w14:textId="77777777" w:rsidR="00D471AD" w:rsidRPr="0065715E" w:rsidRDefault="00D471AD" w:rsidP="004A31A9">
            <w:pPr>
              <w:pStyle w:val="TableParagraph"/>
              <w:spacing w:before="50"/>
              <w:ind w:left="91"/>
              <w:rPr>
                <w:rFonts w:ascii="Arial" w:eastAsia="Arial" w:hAnsi="Arial" w:cs="Arial"/>
                <w:color w:val="44546A" w:themeColor="text2"/>
                <w:sz w:val="14"/>
                <w:szCs w:val="14"/>
              </w:rPr>
            </w:pPr>
            <w:r w:rsidRPr="0065715E">
              <w:rPr>
                <w:rFonts w:ascii="Arial" w:eastAsia="Arial" w:hAnsi="Arial" w:cs="Arial" w:hint="eastAsia"/>
                <w:color w:val="44546A" w:themeColor="text2"/>
                <w:sz w:val="14"/>
                <w:szCs w:val="14"/>
              </w:rPr>
              <w:t>Technology balance of payments - (receipts minus payments), % of GDP</w:t>
            </w:r>
            <w:r w:rsidRPr="0065715E">
              <w:rPr>
                <w:rFonts w:ascii="Arial Unicode MS" w:eastAsia="Arial Unicode MS" w:hAnsi="Arial Unicode MS" w:cs="Arial Unicode MS"/>
                <w:color w:val="44546A" w:themeColor="text2"/>
                <w:sz w:val="14"/>
                <w:szCs w:val="14"/>
              </w:rPr>
              <w:t>⁹ ²¹</w:t>
            </w:r>
          </w:p>
        </w:tc>
        <w:tc>
          <w:tcPr>
            <w:tcW w:w="532" w:type="pct"/>
            <w:gridSpan w:val="2"/>
            <w:tcBorders>
              <w:top w:val="nil"/>
              <w:left w:val="nil"/>
              <w:bottom w:val="nil"/>
              <w:right w:val="nil"/>
            </w:tcBorders>
            <w:shd w:val="clear" w:color="auto" w:fill="D5ECF5"/>
          </w:tcPr>
          <w:p w14:paraId="7418BAA1"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-0.306</w:t>
            </w:r>
          </w:p>
        </w:tc>
        <w:tc>
          <w:tcPr>
            <w:tcW w:w="579" w:type="pct"/>
            <w:tcBorders>
              <w:top w:val="nil"/>
              <w:left w:val="nil"/>
              <w:bottom w:val="nil"/>
              <w:right w:val="nil"/>
            </w:tcBorders>
            <w:shd w:val="clear" w:color="auto" w:fill="D5ECF5"/>
          </w:tcPr>
          <w:p w14:paraId="7418BAA2"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0.566</w:t>
            </w:r>
          </w:p>
        </w:tc>
        <w:tc>
          <w:tcPr>
            <w:tcW w:w="442" w:type="pct"/>
            <w:tcBorders>
              <w:top w:val="nil"/>
              <w:left w:val="nil"/>
              <w:bottom w:val="nil"/>
              <w:right w:val="nil"/>
            </w:tcBorders>
            <w:shd w:val="clear" w:color="auto" w:fill="D5ECF5"/>
          </w:tcPr>
          <w:p w14:paraId="7418BAA3"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2.412</w:t>
            </w:r>
          </w:p>
        </w:tc>
        <w:tc>
          <w:tcPr>
            <w:tcW w:w="523" w:type="pct"/>
            <w:tcBorders>
              <w:top w:val="nil"/>
              <w:left w:val="nil"/>
              <w:bottom w:val="nil"/>
              <w:right w:val="nil"/>
            </w:tcBorders>
            <w:shd w:val="clear" w:color="auto" w:fill="D5ECF5"/>
          </w:tcPr>
          <w:p w14:paraId="7418BAA4"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113</w:t>
            </w:r>
          </w:p>
        </w:tc>
        <w:tc>
          <w:tcPr>
            <w:tcW w:w="470" w:type="pct"/>
            <w:tcBorders>
              <w:top w:val="nil"/>
              <w:left w:val="nil"/>
              <w:bottom w:val="nil"/>
              <w:right w:val="nil"/>
            </w:tcBorders>
            <w:shd w:val="clear" w:color="auto" w:fill="D5ECF5"/>
          </w:tcPr>
          <w:p w14:paraId="7418BAA5"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21st of 24</w:t>
            </w:r>
          </w:p>
        </w:tc>
        <w:tc>
          <w:tcPr>
            <w:tcW w:w="470" w:type="pct"/>
            <w:gridSpan w:val="2"/>
            <w:tcBorders>
              <w:top w:val="nil"/>
              <w:left w:val="nil"/>
              <w:bottom w:val="nil"/>
              <w:right w:val="nil"/>
            </w:tcBorders>
            <w:shd w:val="clear" w:color="auto" w:fill="D5ECF5"/>
          </w:tcPr>
          <w:p w14:paraId="7418BAA6"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2014</w:t>
            </w:r>
          </w:p>
        </w:tc>
      </w:tr>
      <w:tr w:rsidR="00D471AD" w:rsidRPr="005015FA" w14:paraId="7418BAAF"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AA8" w14:textId="77777777" w:rsidR="00D471AD" w:rsidRPr="0065715E" w:rsidRDefault="00D471AD" w:rsidP="004A31A9">
            <w:pPr>
              <w:pStyle w:val="TableParagraph"/>
              <w:spacing w:before="50"/>
              <w:ind w:left="91"/>
              <w:rPr>
                <w:rFonts w:ascii="Arial" w:eastAsia="Arial" w:hAnsi="Arial" w:cs="Arial"/>
                <w:color w:val="44546A" w:themeColor="text2"/>
                <w:sz w:val="14"/>
                <w:szCs w:val="14"/>
              </w:rPr>
            </w:pPr>
            <w:r w:rsidRPr="0065715E">
              <w:rPr>
                <w:rFonts w:ascii="Arial" w:eastAsia="Arial" w:hAnsi="Arial" w:cs="Arial" w:hint="eastAsia"/>
                <w:color w:val="44546A" w:themeColor="text2"/>
                <w:sz w:val="14"/>
                <w:szCs w:val="14"/>
              </w:rPr>
              <w:t>Percentage of Gross Expenditure on R&amp;D (GERD) financed by abroad, %</w:t>
            </w:r>
            <w:r w:rsidRPr="0065715E">
              <w:rPr>
                <w:rFonts w:ascii="Arial Unicode MS" w:eastAsia="Arial Unicode MS" w:hAnsi="Arial Unicode MS" w:cs="Arial Unicode MS"/>
                <w:color w:val="44546A" w:themeColor="text2"/>
                <w:sz w:val="14"/>
                <w:szCs w:val="14"/>
              </w:rPr>
              <w:t>⁹ ²¹ ²²</w:t>
            </w:r>
          </w:p>
        </w:tc>
        <w:tc>
          <w:tcPr>
            <w:tcW w:w="532" w:type="pct"/>
            <w:gridSpan w:val="2"/>
            <w:tcBorders>
              <w:top w:val="nil"/>
              <w:left w:val="nil"/>
              <w:bottom w:val="nil"/>
              <w:right w:val="nil"/>
            </w:tcBorders>
            <w:shd w:val="clear" w:color="auto" w:fill="E4F3F9"/>
          </w:tcPr>
          <w:p w14:paraId="7418BAA9"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1.6</w:t>
            </w:r>
          </w:p>
        </w:tc>
        <w:tc>
          <w:tcPr>
            <w:tcW w:w="579" w:type="pct"/>
            <w:tcBorders>
              <w:top w:val="nil"/>
              <w:left w:val="nil"/>
              <w:bottom w:val="nil"/>
              <w:right w:val="nil"/>
            </w:tcBorders>
            <w:shd w:val="clear" w:color="auto" w:fill="E4F3F9"/>
          </w:tcPr>
          <w:p w14:paraId="7418BAAA"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7.4</w:t>
            </w:r>
          </w:p>
        </w:tc>
        <w:tc>
          <w:tcPr>
            <w:tcW w:w="442" w:type="pct"/>
            <w:tcBorders>
              <w:top w:val="nil"/>
              <w:left w:val="nil"/>
              <w:bottom w:val="nil"/>
              <w:right w:val="nil"/>
            </w:tcBorders>
            <w:shd w:val="clear" w:color="auto" w:fill="E4F3F9"/>
          </w:tcPr>
          <w:p w14:paraId="7418BAAB"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18.6</w:t>
            </w:r>
          </w:p>
        </w:tc>
        <w:tc>
          <w:tcPr>
            <w:tcW w:w="523" w:type="pct"/>
            <w:tcBorders>
              <w:top w:val="nil"/>
              <w:left w:val="nil"/>
              <w:bottom w:val="nil"/>
              <w:right w:val="nil"/>
            </w:tcBorders>
            <w:shd w:val="clear" w:color="auto" w:fill="E4F3F9"/>
          </w:tcPr>
          <w:p w14:paraId="7418BAAC"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91</w:t>
            </w:r>
          </w:p>
        </w:tc>
        <w:tc>
          <w:tcPr>
            <w:tcW w:w="470" w:type="pct"/>
            <w:tcBorders>
              <w:top w:val="nil"/>
              <w:left w:val="nil"/>
              <w:bottom w:val="nil"/>
              <w:right w:val="nil"/>
            </w:tcBorders>
            <w:shd w:val="clear" w:color="auto" w:fill="E4F3F9"/>
          </w:tcPr>
          <w:p w14:paraId="7418BAAD"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25th of 30</w:t>
            </w:r>
          </w:p>
        </w:tc>
        <w:tc>
          <w:tcPr>
            <w:tcW w:w="470" w:type="pct"/>
            <w:gridSpan w:val="2"/>
            <w:tcBorders>
              <w:top w:val="nil"/>
              <w:left w:val="nil"/>
              <w:bottom w:val="nil"/>
              <w:right w:val="nil"/>
            </w:tcBorders>
            <w:shd w:val="clear" w:color="auto" w:fill="E4F3F9"/>
          </w:tcPr>
          <w:p w14:paraId="7418BAAE"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2008</w:t>
            </w:r>
          </w:p>
        </w:tc>
      </w:tr>
      <w:tr w:rsidR="00D471AD" w:rsidRPr="005015FA" w14:paraId="7418BAB7"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AB0" w14:textId="77777777" w:rsidR="00D471AD" w:rsidRPr="0065715E" w:rsidRDefault="00D471AD" w:rsidP="004A31A9">
            <w:pPr>
              <w:pStyle w:val="TableParagraph"/>
              <w:spacing w:before="50"/>
              <w:ind w:left="91"/>
              <w:rPr>
                <w:rFonts w:ascii="Arial" w:eastAsia="Arial" w:hAnsi="Arial" w:cs="Arial"/>
                <w:color w:val="44546A" w:themeColor="text2"/>
                <w:sz w:val="14"/>
                <w:szCs w:val="14"/>
              </w:rPr>
            </w:pPr>
            <w:r w:rsidRPr="0065715E">
              <w:rPr>
                <w:rFonts w:ascii="Arial" w:eastAsia="Arial" w:hAnsi="Arial" w:cs="Arial" w:hint="eastAsia"/>
                <w:color w:val="44546A" w:themeColor="text2"/>
                <w:sz w:val="14"/>
                <w:szCs w:val="14"/>
              </w:rPr>
              <w:t>Percentage of Business expenditure on R&amp;D (BERD) financed by abroad, %</w:t>
            </w:r>
            <w:r w:rsidRPr="0065715E">
              <w:rPr>
                <w:rFonts w:ascii="Arial Unicode MS" w:eastAsia="Arial Unicode MS" w:hAnsi="Arial Unicode MS" w:cs="Arial Unicode MS"/>
                <w:color w:val="44546A" w:themeColor="text2"/>
                <w:sz w:val="14"/>
                <w:szCs w:val="14"/>
              </w:rPr>
              <w:t>⁹</w:t>
            </w:r>
          </w:p>
        </w:tc>
        <w:tc>
          <w:tcPr>
            <w:tcW w:w="532" w:type="pct"/>
            <w:gridSpan w:val="2"/>
            <w:tcBorders>
              <w:top w:val="nil"/>
              <w:left w:val="nil"/>
              <w:bottom w:val="nil"/>
              <w:right w:val="nil"/>
            </w:tcBorders>
            <w:shd w:val="clear" w:color="auto" w:fill="D5ECF5"/>
          </w:tcPr>
          <w:p w14:paraId="7418BAB1"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1.6</w:t>
            </w:r>
          </w:p>
        </w:tc>
        <w:tc>
          <w:tcPr>
            <w:tcW w:w="579" w:type="pct"/>
            <w:tcBorders>
              <w:top w:val="nil"/>
              <w:left w:val="nil"/>
              <w:bottom w:val="nil"/>
              <w:right w:val="nil"/>
            </w:tcBorders>
            <w:shd w:val="clear" w:color="auto" w:fill="D5ECF5"/>
          </w:tcPr>
          <w:p w14:paraId="7418BAB2"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11.1</w:t>
            </w:r>
          </w:p>
        </w:tc>
        <w:tc>
          <w:tcPr>
            <w:tcW w:w="442" w:type="pct"/>
            <w:tcBorders>
              <w:top w:val="nil"/>
              <w:left w:val="nil"/>
              <w:bottom w:val="nil"/>
              <w:right w:val="nil"/>
            </w:tcBorders>
            <w:shd w:val="clear" w:color="auto" w:fill="D5ECF5"/>
          </w:tcPr>
          <w:p w14:paraId="7418BAB3"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29.2</w:t>
            </w:r>
          </w:p>
        </w:tc>
        <w:tc>
          <w:tcPr>
            <w:tcW w:w="523" w:type="pct"/>
            <w:tcBorders>
              <w:top w:val="nil"/>
              <w:left w:val="nil"/>
              <w:bottom w:val="nil"/>
              <w:right w:val="nil"/>
            </w:tcBorders>
            <w:shd w:val="clear" w:color="auto" w:fill="D5ECF5"/>
          </w:tcPr>
          <w:p w14:paraId="7418BAB4"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95</w:t>
            </w:r>
          </w:p>
        </w:tc>
        <w:tc>
          <w:tcPr>
            <w:tcW w:w="470" w:type="pct"/>
            <w:tcBorders>
              <w:top w:val="nil"/>
              <w:left w:val="nil"/>
              <w:bottom w:val="nil"/>
              <w:right w:val="nil"/>
            </w:tcBorders>
            <w:shd w:val="clear" w:color="auto" w:fill="D5ECF5"/>
          </w:tcPr>
          <w:p w14:paraId="7418BAB5"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28th of 34</w:t>
            </w:r>
          </w:p>
        </w:tc>
        <w:tc>
          <w:tcPr>
            <w:tcW w:w="470" w:type="pct"/>
            <w:gridSpan w:val="2"/>
            <w:tcBorders>
              <w:top w:val="nil"/>
              <w:left w:val="nil"/>
              <w:bottom w:val="nil"/>
              <w:right w:val="nil"/>
            </w:tcBorders>
            <w:shd w:val="clear" w:color="auto" w:fill="D5ECF5"/>
          </w:tcPr>
          <w:p w14:paraId="7418BAB6"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2013</w:t>
            </w:r>
          </w:p>
        </w:tc>
      </w:tr>
      <w:tr w:rsidR="00D471AD" w:rsidRPr="005015FA" w14:paraId="7418BABF"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single" w:sz="8" w:space="0" w:color="22789A"/>
              <w:right w:val="nil"/>
            </w:tcBorders>
            <w:shd w:val="clear" w:color="auto" w:fill="E4F3F9"/>
          </w:tcPr>
          <w:p w14:paraId="7418BAB8" w14:textId="77777777" w:rsidR="00D471AD" w:rsidRPr="0065715E" w:rsidRDefault="00D471AD" w:rsidP="004A31A9">
            <w:pPr>
              <w:pStyle w:val="TableParagraph"/>
              <w:spacing w:before="50"/>
              <w:ind w:left="91"/>
              <w:rPr>
                <w:rFonts w:ascii="Arial" w:eastAsia="Arial" w:hAnsi="Arial" w:cs="Arial"/>
                <w:color w:val="44546A" w:themeColor="text2"/>
                <w:sz w:val="14"/>
                <w:szCs w:val="14"/>
              </w:rPr>
            </w:pPr>
            <w:r w:rsidRPr="0065715E">
              <w:rPr>
                <w:rFonts w:ascii="Arial" w:eastAsia="Arial" w:hAnsi="Arial" w:cs="Arial" w:hint="eastAsia"/>
                <w:color w:val="44546A" w:themeColor="text2"/>
                <w:sz w:val="14"/>
                <w:szCs w:val="14"/>
              </w:rPr>
              <w:t>Proportion of patents with foreign co-inventors, %</w:t>
            </w:r>
            <w:r w:rsidRPr="0065715E">
              <w:rPr>
                <w:rFonts w:ascii="Arial Unicode MS" w:eastAsia="Arial Unicode MS" w:hAnsi="Arial Unicode MS" w:cs="Arial Unicode MS"/>
                <w:color w:val="44546A" w:themeColor="text2"/>
                <w:sz w:val="14"/>
                <w:szCs w:val="14"/>
              </w:rPr>
              <w:t>¹³</w:t>
            </w:r>
          </w:p>
        </w:tc>
        <w:tc>
          <w:tcPr>
            <w:tcW w:w="532" w:type="pct"/>
            <w:gridSpan w:val="2"/>
            <w:tcBorders>
              <w:top w:val="nil"/>
              <w:left w:val="nil"/>
              <w:bottom w:val="single" w:sz="8" w:space="0" w:color="22789A"/>
              <w:right w:val="nil"/>
            </w:tcBorders>
            <w:shd w:val="clear" w:color="auto" w:fill="E4F3F9"/>
          </w:tcPr>
          <w:p w14:paraId="7418BAB9"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16.2</w:t>
            </w:r>
          </w:p>
        </w:tc>
        <w:tc>
          <w:tcPr>
            <w:tcW w:w="579" w:type="pct"/>
            <w:tcBorders>
              <w:top w:val="nil"/>
              <w:left w:val="nil"/>
              <w:bottom w:val="single" w:sz="8" w:space="0" w:color="22789A"/>
              <w:right w:val="nil"/>
            </w:tcBorders>
            <w:shd w:val="clear" w:color="auto" w:fill="E4F3F9"/>
          </w:tcPr>
          <w:p w14:paraId="7418BABA"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24.5</w:t>
            </w:r>
          </w:p>
        </w:tc>
        <w:tc>
          <w:tcPr>
            <w:tcW w:w="442" w:type="pct"/>
            <w:tcBorders>
              <w:top w:val="nil"/>
              <w:left w:val="nil"/>
              <w:bottom w:val="single" w:sz="8" w:space="0" w:color="22789A"/>
              <w:right w:val="nil"/>
            </w:tcBorders>
            <w:shd w:val="clear" w:color="auto" w:fill="E4F3F9"/>
          </w:tcPr>
          <w:p w14:paraId="7418BABB"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45.3</w:t>
            </w:r>
          </w:p>
        </w:tc>
        <w:tc>
          <w:tcPr>
            <w:tcW w:w="523" w:type="pct"/>
            <w:tcBorders>
              <w:top w:val="nil"/>
              <w:left w:val="nil"/>
              <w:bottom w:val="single" w:sz="8" w:space="0" w:color="22789A"/>
              <w:right w:val="nil"/>
            </w:tcBorders>
            <w:shd w:val="clear" w:color="auto" w:fill="E4F3F9"/>
          </w:tcPr>
          <w:p w14:paraId="7418BABC"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64</w:t>
            </w:r>
          </w:p>
        </w:tc>
        <w:tc>
          <w:tcPr>
            <w:tcW w:w="470" w:type="pct"/>
            <w:tcBorders>
              <w:top w:val="nil"/>
              <w:left w:val="nil"/>
              <w:bottom w:val="single" w:sz="8" w:space="0" w:color="22789A"/>
              <w:right w:val="nil"/>
            </w:tcBorders>
            <w:shd w:val="clear" w:color="auto" w:fill="E4F3F9"/>
          </w:tcPr>
          <w:p w14:paraId="7418BABD"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28th of 38</w:t>
            </w:r>
          </w:p>
        </w:tc>
        <w:tc>
          <w:tcPr>
            <w:tcW w:w="470" w:type="pct"/>
            <w:gridSpan w:val="2"/>
            <w:tcBorders>
              <w:top w:val="nil"/>
              <w:left w:val="nil"/>
              <w:bottom w:val="single" w:sz="8" w:space="0" w:color="22789A"/>
              <w:right w:val="nil"/>
            </w:tcBorders>
            <w:shd w:val="clear" w:color="auto" w:fill="E4F3F9"/>
          </w:tcPr>
          <w:p w14:paraId="7418BABE" w14:textId="77777777" w:rsidR="00D471AD" w:rsidRPr="0065715E" w:rsidRDefault="00D471AD" w:rsidP="004A31A9">
            <w:pPr>
              <w:pStyle w:val="TableParagraph"/>
              <w:spacing w:before="50"/>
              <w:ind w:right="99"/>
              <w:jc w:val="right"/>
              <w:rPr>
                <w:rFonts w:ascii="Arial" w:eastAsia="Arial" w:hAnsi="Arial" w:cs="Arial"/>
                <w:color w:val="44546A" w:themeColor="text2"/>
                <w:sz w:val="14"/>
                <w:szCs w:val="14"/>
              </w:rPr>
            </w:pPr>
            <w:r w:rsidRPr="0065715E">
              <w:rPr>
                <w:rFonts w:ascii="Arial" w:eastAsia="Arial" w:hAnsi="Arial" w:cs="Arial"/>
                <w:color w:val="44546A" w:themeColor="text2"/>
                <w:sz w:val="14"/>
                <w:szCs w:val="14"/>
              </w:rPr>
              <w:t>2013</w:t>
            </w:r>
          </w:p>
        </w:tc>
      </w:tr>
    </w:tbl>
    <w:p w14:paraId="7418BAC0" w14:textId="77777777" w:rsidR="00D471AD" w:rsidRPr="008B33FB" w:rsidRDefault="00D471AD" w:rsidP="00D471AD">
      <w:pPr>
        <w:spacing w:before="120" w:after="120"/>
        <w:rPr>
          <w:rFonts w:cs="Arial"/>
          <w:color w:val="22789A"/>
          <w:sz w:val="16"/>
          <w:szCs w:val="16"/>
        </w:rPr>
      </w:pPr>
      <w:r w:rsidRPr="008B33FB">
        <w:rPr>
          <w:rFonts w:cs="Arial"/>
          <w:color w:val="22789A"/>
          <w:sz w:val="16"/>
          <w:szCs w:val="16"/>
        </w:rPr>
        <w:t>– = data not available</w:t>
      </w:r>
    </w:p>
    <w:p w14:paraId="7418BAC1" w14:textId="77777777" w:rsidR="00D471AD" w:rsidRPr="008B33FB" w:rsidRDefault="00D471AD" w:rsidP="00D471AD">
      <w:pPr>
        <w:spacing w:before="120" w:after="120"/>
        <w:rPr>
          <w:rFonts w:eastAsia="Times New Roman" w:cs="Arial"/>
          <w:color w:val="22789A"/>
          <w:sz w:val="16"/>
          <w:szCs w:val="16"/>
          <w:lang w:eastAsia="en-AU"/>
        </w:rPr>
      </w:pPr>
      <w:r w:rsidRPr="008671B7">
        <w:rPr>
          <w:rFonts w:eastAsia="Times New Roman" w:cs="Arial"/>
          <w:b/>
          <w:i/>
          <w:iCs/>
          <w:color w:val="22789A"/>
          <w:sz w:val="16"/>
          <w:szCs w:val="16"/>
          <w:lang w:eastAsia="en-AU"/>
        </w:rPr>
        <w:t>Table notes</w:t>
      </w:r>
      <w:r w:rsidRPr="008671B7">
        <w:rPr>
          <w:rFonts w:eastAsia="Times New Roman" w:cs="Arial"/>
          <w:i/>
          <w:iCs/>
          <w:color w:val="22789A"/>
          <w:sz w:val="16"/>
          <w:szCs w:val="16"/>
          <w:lang w:eastAsia="en-AU"/>
        </w:rPr>
        <w:t>:</w:t>
      </w:r>
      <w:r w:rsidRPr="008671B7">
        <w:rPr>
          <w:rFonts w:eastAsia="Times New Roman" w:cs="Arial"/>
          <w:color w:val="22789A"/>
          <w:sz w:val="16"/>
          <w:szCs w:val="16"/>
          <w:lang w:eastAsia="en-AU"/>
        </w:rPr>
        <w:t xml:space="preserve"> </w:t>
      </w:r>
      <w:r w:rsidRPr="008671B7">
        <w:rPr>
          <w:rFonts w:eastAsia="Times New Roman" w:cs="Arial"/>
          <w:b/>
          <w:bCs/>
          <w:color w:val="22789A"/>
          <w:sz w:val="16"/>
          <w:szCs w:val="16"/>
          <w:lang w:eastAsia="en-AU"/>
        </w:rPr>
        <w:t xml:space="preserve">(i) </w:t>
      </w:r>
      <w:r w:rsidRPr="008671B7">
        <w:rPr>
          <w:rFonts w:eastAsia="Times New Roman" w:cs="Arial"/>
          <w:color w:val="22789A"/>
          <w:sz w:val="16"/>
          <w:szCs w:val="16"/>
          <w:lang w:eastAsia="en-AU"/>
        </w:rPr>
        <w:t xml:space="preserve">Data are presented in calendar year format. Where the data are in financial years, it is expressed in terms of the year where the financial year begins e.g. 2010–11 is shown as 2010. </w:t>
      </w:r>
      <w:r w:rsidRPr="008671B7">
        <w:rPr>
          <w:rFonts w:eastAsia="Times New Roman" w:cs="Arial"/>
          <w:b/>
          <w:bCs/>
          <w:color w:val="22789A"/>
          <w:sz w:val="16"/>
          <w:szCs w:val="16"/>
          <w:lang w:eastAsia="en-AU"/>
        </w:rPr>
        <w:t xml:space="preserve">(ii) </w:t>
      </w:r>
      <w:r w:rsidRPr="008671B7">
        <w:rPr>
          <w:rFonts w:eastAsia="Times New Roman" w:cs="Arial"/>
          <w:color w:val="22789A"/>
          <w:sz w:val="16"/>
          <w:szCs w:val="16"/>
          <w:lang w:eastAsia="en-AU"/>
        </w:rPr>
        <w:t xml:space="preserve">OECD+ includes all countries in the OECD, as well as China, Taiwan and Singapore (where data is available). </w:t>
      </w:r>
      <w:r w:rsidRPr="008671B7">
        <w:rPr>
          <w:rFonts w:eastAsia="Times New Roman" w:cs="Arial"/>
          <w:b/>
          <w:bCs/>
          <w:color w:val="22789A"/>
          <w:sz w:val="16"/>
          <w:szCs w:val="16"/>
          <w:lang w:eastAsia="en-AU"/>
        </w:rPr>
        <w:t>(iii)</w:t>
      </w:r>
      <w:r w:rsidRPr="008671B7">
        <w:rPr>
          <w:rFonts w:eastAsia="Times New Roman" w:cs="Arial"/>
          <w:color w:val="22789A"/>
          <w:sz w:val="16"/>
          <w:szCs w:val="16"/>
          <w:lang w:eastAsia="en-AU"/>
        </w:rPr>
        <w:t xml:space="preserve"> The ‘Australia’s score’ field presents the Australian values used in the OECD+ comparisons. </w:t>
      </w:r>
      <w:r w:rsidRPr="008671B7">
        <w:rPr>
          <w:rFonts w:eastAsia="Times New Roman" w:cs="Arial"/>
          <w:b/>
          <w:bCs/>
          <w:color w:val="22789A"/>
          <w:sz w:val="16"/>
          <w:szCs w:val="16"/>
          <w:lang w:eastAsia="en-AU"/>
        </w:rPr>
        <w:t>(iv)</w:t>
      </w:r>
      <w:r w:rsidRPr="008671B7">
        <w:rPr>
          <w:rFonts w:eastAsia="Times New Roman" w:cs="Arial"/>
          <w:color w:val="22789A"/>
          <w:sz w:val="16"/>
          <w:szCs w:val="16"/>
          <w:lang w:eastAsia="en-AU"/>
        </w:rPr>
        <w:t xml:space="preserve"> This is the arithmetic (simple) average of the OECD+ country scores.</w:t>
      </w:r>
      <w:r w:rsidRPr="008671B7">
        <w:rPr>
          <w:rFonts w:eastAsia="Times New Roman" w:cs="Arial"/>
          <w:b/>
          <w:bCs/>
          <w:color w:val="22789A"/>
          <w:sz w:val="16"/>
          <w:szCs w:val="16"/>
          <w:lang w:eastAsia="en-AU"/>
        </w:rPr>
        <w:t xml:space="preserve"> (v) </w:t>
      </w:r>
      <w:r w:rsidRPr="008671B7">
        <w:rPr>
          <w:rFonts w:eastAsia="Times New Roman" w:cs="Arial"/>
          <w:color w:val="22789A"/>
          <w:sz w:val="16"/>
          <w:szCs w:val="16"/>
          <w:lang w:eastAsia="en-AU"/>
        </w:rPr>
        <w:t xml:space="preserve">This is the median of the OECD+ country scores </w:t>
      </w:r>
      <w:r w:rsidRPr="008671B7">
        <w:rPr>
          <w:rFonts w:eastAsia="Times New Roman" w:cs="Arial"/>
          <w:b/>
          <w:bCs/>
          <w:color w:val="22789A"/>
          <w:sz w:val="16"/>
          <w:szCs w:val="16"/>
          <w:lang w:eastAsia="en-AU"/>
        </w:rPr>
        <w:t xml:space="preserve">(vi) </w:t>
      </w:r>
      <w:r w:rsidRPr="008671B7">
        <w:rPr>
          <w:rFonts w:eastAsia="Times New Roman" w:cs="Arial"/>
          <w:color w:val="22789A"/>
          <w:sz w:val="16"/>
          <w:szCs w:val="16"/>
          <w:lang w:eastAsia="en-AU"/>
        </w:rPr>
        <w:t>This is the arithmetic (simple) average of the top five OECD+ countries in a ranked list.</w:t>
      </w:r>
      <w:r w:rsidRPr="008671B7">
        <w:rPr>
          <w:rFonts w:eastAsia="Times New Roman" w:cs="Arial"/>
          <w:b/>
          <w:bCs/>
          <w:color w:val="22789A"/>
          <w:sz w:val="16"/>
          <w:szCs w:val="16"/>
          <w:lang w:eastAsia="en-AU"/>
        </w:rPr>
        <w:t xml:space="preserve"> (vii)</w:t>
      </w:r>
      <w:r w:rsidRPr="008671B7">
        <w:rPr>
          <w:rFonts w:eastAsia="Times New Roman" w:cs="Arial"/>
          <w:color w:val="22789A"/>
          <w:sz w:val="16"/>
          <w:szCs w:val="16"/>
          <w:lang w:eastAsia="en-AU"/>
        </w:rPr>
        <w:t xml:space="preserve"> This represents Australia’s distance from the frontier as defined by the average of the top five ranked OECD+ countries. It is calculated as 100*(Top five average - Australia’s score)/ Top 5 average. Where the solution is a negative value or zero, ‘no gap’ is shown in the cell. </w:t>
      </w:r>
      <w:r w:rsidRPr="008671B7">
        <w:rPr>
          <w:rFonts w:eastAsia="Times New Roman" w:cs="Arial"/>
          <w:b/>
          <w:bCs/>
          <w:color w:val="22789A"/>
          <w:sz w:val="16"/>
          <w:szCs w:val="16"/>
          <w:lang w:eastAsia="en-AU"/>
        </w:rPr>
        <w:t>(viii)</w:t>
      </w:r>
      <w:r w:rsidRPr="008671B7">
        <w:rPr>
          <w:rFonts w:eastAsia="Times New Roman" w:cs="Arial"/>
          <w:color w:val="22789A"/>
          <w:sz w:val="16"/>
          <w:szCs w:val="16"/>
          <w:lang w:eastAsia="en-AU"/>
        </w:rPr>
        <w:t xml:space="preserve"> OECD+ rankings are performed on those OECD+ countries for which data are available. Individual data availability may vary between indicators.</w:t>
      </w:r>
    </w:p>
    <w:p w14:paraId="7418BAC2" w14:textId="77777777" w:rsidR="00D471AD" w:rsidRPr="008B33FB" w:rsidRDefault="00D471AD" w:rsidP="00D471AD">
      <w:pPr>
        <w:spacing w:before="120" w:after="120"/>
        <w:rPr>
          <w:rFonts w:eastAsia="Times New Roman" w:cs="Arial"/>
          <w:i/>
          <w:iCs/>
          <w:color w:val="22789A"/>
          <w:sz w:val="16"/>
          <w:szCs w:val="16"/>
          <w:lang w:eastAsia="en-AU"/>
        </w:rPr>
      </w:pPr>
      <w:r w:rsidRPr="008671B7">
        <w:rPr>
          <w:rFonts w:eastAsia="Times New Roman" w:cs="Arial"/>
          <w:b/>
          <w:i/>
          <w:iCs/>
          <w:color w:val="22789A"/>
          <w:sz w:val="16"/>
          <w:szCs w:val="16"/>
          <w:lang w:eastAsia="en-AU"/>
        </w:rPr>
        <w:t>Sources</w:t>
      </w:r>
      <w:r w:rsidRPr="008671B7">
        <w:rPr>
          <w:rFonts w:eastAsia="Times New Roman" w:cs="Arial"/>
          <w:b/>
          <w:color w:val="22789A"/>
          <w:sz w:val="16"/>
          <w:szCs w:val="16"/>
          <w:lang w:eastAsia="en-AU"/>
        </w:rPr>
        <w:t xml:space="preserve"> (1 - 20):</w:t>
      </w:r>
      <w:r w:rsidRPr="008671B7">
        <w:rPr>
          <w:rFonts w:eastAsia="Times New Roman" w:cs="Arial"/>
          <w:color w:val="22789A"/>
          <w:sz w:val="16"/>
          <w:szCs w:val="16"/>
          <w:lang w:eastAsia="en-AU"/>
        </w:rPr>
        <w:t xml:space="preserve"> </w:t>
      </w:r>
      <w:r w:rsidRPr="008671B7">
        <w:rPr>
          <w:rFonts w:eastAsia="Times New Roman" w:cs="Arial"/>
          <w:b/>
          <w:bCs/>
          <w:color w:val="22789A"/>
          <w:sz w:val="16"/>
          <w:szCs w:val="16"/>
          <w:lang w:eastAsia="en-AU"/>
        </w:rPr>
        <w:t>[1]</w:t>
      </w:r>
      <w:r w:rsidRPr="008671B7">
        <w:rPr>
          <w:rFonts w:eastAsia="Times New Roman" w:cs="Arial"/>
          <w:color w:val="22789A"/>
          <w:sz w:val="16"/>
          <w:szCs w:val="16"/>
          <w:lang w:eastAsia="en-AU"/>
        </w:rPr>
        <w:t xml:space="preserve"> DHL (2014) DHL Global Connectedness Index, 2014, URL: http://www.dhl.com/;</w:t>
      </w:r>
      <w:r w:rsidRPr="008671B7">
        <w:rPr>
          <w:rFonts w:eastAsia="Times New Roman" w:cs="Arial"/>
          <w:b/>
          <w:bCs/>
          <w:color w:val="22789A"/>
          <w:sz w:val="16"/>
          <w:szCs w:val="16"/>
          <w:lang w:eastAsia="en-AU"/>
        </w:rPr>
        <w:t xml:space="preserve"> [2]</w:t>
      </w:r>
      <w:r w:rsidRPr="008671B7">
        <w:rPr>
          <w:rFonts w:eastAsia="Times New Roman" w:cs="Arial"/>
          <w:color w:val="22789A"/>
          <w:sz w:val="16"/>
          <w:szCs w:val="16"/>
          <w:lang w:eastAsia="en-AU"/>
        </w:rPr>
        <w:t xml:space="preserve"> World Bank (2016) World Development Indicators, 2016, URL: http://data.worldbank.org/; </w:t>
      </w:r>
      <w:r w:rsidRPr="008671B7">
        <w:rPr>
          <w:rFonts w:eastAsia="Times New Roman" w:cs="Arial"/>
          <w:b/>
          <w:bCs/>
          <w:color w:val="22789A"/>
          <w:sz w:val="16"/>
          <w:szCs w:val="16"/>
          <w:lang w:eastAsia="en-AU"/>
        </w:rPr>
        <w:t>[3]</w:t>
      </w:r>
      <w:r w:rsidRPr="008671B7">
        <w:rPr>
          <w:rFonts w:eastAsia="Times New Roman" w:cs="Arial"/>
          <w:color w:val="22789A"/>
          <w:sz w:val="16"/>
          <w:szCs w:val="16"/>
          <w:lang w:eastAsia="en-AU"/>
        </w:rPr>
        <w:t xml:space="preserve"> OECD (2016) International Trade and Balance of Payments, 2016, International Trade (MEI), URL: http://stats.oecd.org/; </w:t>
      </w:r>
      <w:r w:rsidRPr="008671B7">
        <w:rPr>
          <w:rFonts w:eastAsia="Times New Roman" w:cs="Arial"/>
          <w:b/>
          <w:bCs/>
          <w:color w:val="22789A"/>
          <w:sz w:val="16"/>
          <w:szCs w:val="16"/>
          <w:lang w:eastAsia="en-AU"/>
        </w:rPr>
        <w:t>[4]</w:t>
      </w:r>
      <w:r w:rsidRPr="008671B7">
        <w:rPr>
          <w:rFonts w:eastAsia="Times New Roman" w:cs="Arial"/>
          <w:color w:val="22789A"/>
          <w:sz w:val="16"/>
          <w:szCs w:val="16"/>
          <w:lang w:eastAsia="en-AU"/>
        </w:rPr>
        <w:t xml:space="preserve"> OECD (2016) National Accounts, 2016, 1. Gross domestic product (GDP), URL: http://stats.oecd.org/;</w:t>
      </w:r>
      <w:r w:rsidRPr="008671B7">
        <w:rPr>
          <w:rFonts w:eastAsia="Times New Roman" w:cs="Arial"/>
          <w:b/>
          <w:bCs/>
          <w:color w:val="22789A"/>
          <w:sz w:val="16"/>
          <w:szCs w:val="16"/>
          <w:lang w:eastAsia="en-AU"/>
        </w:rPr>
        <w:t xml:space="preserve"> [5] </w:t>
      </w:r>
      <w:r w:rsidRPr="008671B7">
        <w:rPr>
          <w:rFonts w:eastAsia="Times New Roman" w:cs="Arial"/>
          <w:color w:val="22789A"/>
          <w:sz w:val="16"/>
          <w:szCs w:val="16"/>
          <w:lang w:eastAsia="en-AU"/>
        </w:rPr>
        <w:t xml:space="preserve">OECD (2016) Balance of Payments (MEI), 2016, URL: http://stats.oecd.org/; </w:t>
      </w:r>
      <w:r w:rsidRPr="008671B7">
        <w:rPr>
          <w:rFonts w:eastAsia="Times New Roman" w:cs="Arial"/>
          <w:b/>
          <w:bCs/>
          <w:color w:val="22789A"/>
          <w:sz w:val="16"/>
          <w:szCs w:val="16"/>
          <w:lang w:eastAsia="en-AU"/>
        </w:rPr>
        <w:t>[6]</w:t>
      </w:r>
      <w:r w:rsidRPr="008671B7">
        <w:rPr>
          <w:rFonts w:eastAsia="Times New Roman" w:cs="Arial"/>
          <w:color w:val="22789A"/>
          <w:sz w:val="16"/>
          <w:szCs w:val="16"/>
          <w:lang w:eastAsia="en-AU"/>
        </w:rPr>
        <w:t xml:space="preserve"> OECD (2016) International Trade by Commodity Statistics, 2016-1, Harmonised system 2007, URL: http://www.oecd.org/; </w:t>
      </w:r>
      <w:r w:rsidRPr="008671B7">
        <w:rPr>
          <w:rFonts w:eastAsia="Times New Roman" w:cs="Arial"/>
          <w:b/>
          <w:bCs/>
          <w:color w:val="22789A"/>
          <w:sz w:val="16"/>
          <w:szCs w:val="16"/>
          <w:lang w:eastAsia="en-AU"/>
        </w:rPr>
        <w:t>[7]</w:t>
      </w:r>
      <w:r w:rsidRPr="008671B7">
        <w:rPr>
          <w:rFonts w:eastAsia="Times New Roman" w:cs="Arial"/>
          <w:color w:val="22789A"/>
          <w:sz w:val="16"/>
          <w:szCs w:val="16"/>
          <w:lang w:eastAsia="en-AU"/>
        </w:rPr>
        <w:t xml:space="preserve"> OECD (2014) Foreign Direct Investment Statistics, 2013, URL: http://stats.oecd.org/;</w:t>
      </w:r>
      <w:r w:rsidRPr="008671B7">
        <w:rPr>
          <w:rFonts w:eastAsia="Times New Roman" w:cs="Arial"/>
          <w:b/>
          <w:bCs/>
          <w:color w:val="22789A"/>
          <w:sz w:val="16"/>
          <w:szCs w:val="16"/>
          <w:lang w:eastAsia="en-AU"/>
        </w:rPr>
        <w:t xml:space="preserve"> [8]</w:t>
      </w:r>
      <w:r w:rsidRPr="008671B7">
        <w:rPr>
          <w:rFonts w:eastAsia="Times New Roman" w:cs="Arial"/>
          <w:color w:val="22789A"/>
          <w:sz w:val="16"/>
          <w:szCs w:val="16"/>
          <w:lang w:eastAsia="en-AU"/>
        </w:rPr>
        <w:t xml:space="preserve"> OECD (2016) Foreign Direct Investment Statistics, April 2016, FDI financial flows, main aggregates BMD4, URL: http://stats.oecd.org/; </w:t>
      </w:r>
      <w:r w:rsidRPr="008671B7">
        <w:rPr>
          <w:rFonts w:eastAsia="Times New Roman" w:cs="Arial"/>
          <w:b/>
          <w:bCs/>
          <w:color w:val="22789A"/>
          <w:sz w:val="16"/>
          <w:szCs w:val="16"/>
          <w:lang w:eastAsia="en-AU"/>
        </w:rPr>
        <w:t>[9]</w:t>
      </w:r>
      <w:r w:rsidRPr="008671B7">
        <w:rPr>
          <w:rFonts w:eastAsia="Times New Roman" w:cs="Arial"/>
          <w:color w:val="22789A"/>
          <w:sz w:val="16"/>
          <w:szCs w:val="16"/>
          <w:lang w:eastAsia="en-AU"/>
        </w:rPr>
        <w:t xml:space="preserve"> OECD (2016) Main Science and Technology Indicators, 2016-1, URL: http://stats.oecd.org/;</w:t>
      </w:r>
      <w:r w:rsidRPr="008671B7">
        <w:rPr>
          <w:rFonts w:eastAsia="Times New Roman" w:cs="Arial"/>
          <w:b/>
          <w:bCs/>
          <w:color w:val="22789A"/>
          <w:sz w:val="16"/>
          <w:szCs w:val="16"/>
          <w:lang w:eastAsia="en-AU"/>
        </w:rPr>
        <w:t xml:space="preserve"> [10]</w:t>
      </w:r>
      <w:r w:rsidRPr="008671B7">
        <w:rPr>
          <w:rFonts w:eastAsia="Times New Roman" w:cs="Arial"/>
          <w:color w:val="22789A"/>
          <w:sz w:val="16"/>
          <w:szCs w:val="16"/>
          <w:lang w:eastAsia="en-AU"/>
        </w:rPr>
        <w:t xml:space="preserve"> World Economic Forum (2014–2016) Global Competitiveness Index, 2014–15 - 2016–17, URL: http://www.weforum.org/; </w:t>
      </w:r>
      <w:r w:rsidRPr="008671B7">
        <w:rPr>
          <w:rFonts w:eastAsia="Times New Roman" w:cs="Arial"/>
          <w:b/>
          <w:bCs/>
          <w:color w:val="22789A"/>
          <w:sz w:val="16"/>
          <w:szCs w:val="16"/>
          <w:lang w:eastAsia="en-AU"/>
        </w:rPr>
        <w:t>[11]</w:t>
      </w:r>
      <w:r w:rsidRPr="008671B7">
        <w:rPr>
          <w:rFonts w:eastAsia="Times New Roman" w:cs="Arial"/>
          <w:color w:val="22789A"/>
          <w:sz w:val="16"/>
          <w:szCs w:val="16"/>
          <w:lang w:eastAsia="en-AU"/>
        </w:rPr>
        <w:t xml:space="preserve"> ABS (2014–2016) International Trade in Services by Country, by State and by Detailed Services Category, Calendar Year, cat. no. 5368.0.55.004, 2013–2015, International Trade in Services, Credits, Calendar Year by Country &amp; Service, URL: http://www.abs.gov.au/;</w:t>
      </w:r>
      <w:r w:rsidRPr="008671B7">
        <w:rPr>
          <w:rFonts w:eastAsia="Times New Roman" w:cs="Arial"/>
          <w:b/>
          <w:bCs/>
          <w:color w:val="22789A"/>
          <w:sz w:val="16"/>
          <w:szCs w:val="16"/>
          <w:lang w:eastAsia="en-AU"/>
        </w:rPr>
        <w:t xml:space="preserve"> [12]</w:t>
      </w:r>
      <w:r w:rsidRPr="008671B7">
        <w:rPr>
          <w:rFonts w:eastAsia="Times New Roman" w:cs="Arial"/>
          <w:color w:val="22789A"/>
          <w:sz w:val="16"/>
          <w:szCs w:val="16"/>
          <w:lang w:eastAsia="en-AU"/>
        </w:rPr>
        <w:t xml:space="preserve"> ABS (2014–2016) International Trade in Services by Country, by State and by Detailed Services Category, Calendar Year, cat. no. 5368.0.55.004, 2013–2015, International Trade in Services, Debits, Calendar Year by Country &amp; Service, URL: http://www.abs.gov.au/;</w:t>
      </w:r>
      <w:r w:rsidRPr="008671B7">
        <w:rPr>
          <w:rFonts w:eastAsia="Times New Roman" w:cs="Arial"/>
          <w:b/>
          <w:bCs/>
          <w:color w:val="22789A"/>
          <w:sz w:val="16"/>
          <w:szCs w:val="16"/>
          <w:lang w:eastAsia="en-AU"/>
        </w:rPr>
        <w:t xml:space="preserve"> [13]</w:t>
      </w:r>
      <w:r w:rsidRPr="008671B7">
        <w:rPr>
          <w:rFonts w:eastAsia="Times New Roman" w:cs="Arial"/>
          <w:color w:val="22789A"/>
          <w:sz w:val="16"/>
          <w:szCs w:val="16"/>
          <w:lang w:eastAsia="en-AU"/>
        </w:rPr>
        <w:t xml:space="preserve"> OECD (2015–2016) Indicators of international co-operation in patents, 2015–2016, URL: http://stats.oecd.org/; </w:t>
      </w:r>
      <w:r w:rsidRPr="008671B7">
        <w:rPr>
          <w:rFonts w:eastAsia="Times New Roman" w:cs="Arial"/>
          <w:b/>
          <w:bCs/>
          <w:color w:val="22789A"/>
          <w:sz w:val="16"/>
          <w:szCs w:val="16"/>
          <w:lang w:eastAsia="en-AU"/>
        </w:rPr>
        <w:t xml:space="preserve">[14] </w:t>
      </w:r>
      <w:r w:rsidRPr="008671B7">
        <w:rPr>
          <w:rFonts w:eastAsia="Times New Roman" w:cs="Arial"/>
          <w:color w:val="22789A"/>
          <w:sz w:val="16"/>
          <w:szCs w:val="16"/>
          <w:lang w:eastAsia="en-AU"/>
        </w:rPr>
        <w:t xml:space="preserve">ABS (2013) Research and Experimental Development, Businesses, Australia, cat. no. 8104.0, 2013, Business expenditure of R&amp;D, summary statistics, URL: http://www.abs.gov.au/; </w:t>
      </w:r>
      <w:r w:rsidRPr="008671B7">
        <w:rPr>
          <w:rFonts w:eastAsia="Times New Roman" w:cs="Arial"/>
          <w:b/>
          <w:bCs/>
          <w:color w:val="22789A"/>
          <w:sz w:val="16"/>
          <w:szCs w:val="16"/>
          <w:lang w:eastAsia="en-AU"/>
        </w:rPr>
        <w:t>[15]</w:t>
      </w:r>
      <w:r w:rsidRPr="008671B7">
        <w:rPr>
          <w:rFonts w:eastAsia="Times New Roman" w:cs="Arial"/>
          <w:color w:val="22789A"/>
          <w:sz w:val="16"/>
          <w:szCs w:val="16"/>
          <w:lang w:eastAsia="en-AU"/>
        </w:rPr>
        <w:t xml:space="preserve"> ABS (2013) Research and Experimental Development, Businesses, Australia, cat. no. 8104.0, 2013, Business resources devoted to R&amp;D, by level of foreign ownership, URL: http://www.abs.gov.au/; </w:t>
      </w:r>
      <w:r w:rsidRPr="008671B7">
        <w:rPr>
          <w:rFonts w:eastAsia="Times New Roman" w:cs="Arial"/>
          <w:b/>
          <w:bCs/>
          <w:color w:val="22789A"/>
          <w:sz w:val="16"/>
          <w:szCs w:val="16"/>
          <w:lang w:eastAsia="en-AU"/>
        </w:rPr>
        <w:t>[16]</w:t>
      </w:r>
      <w:r w:rsidRPr="008671B7">
        <w:rPr>
          <w:rFonts w:eastAsia="Times New Roman" w:cs="Arial"/>
          <w:color w:val="22789A"/>
          <w:sz w:val="16"/>
          <w:szCs w:val="16"/>
          <w:lang w:eastAsia="en-AU"/>
        </w:rPr>
        <w:t xml:space="preserve"> ABS (2015) Research and Experimental Development, Businesses, Australia, cat. no. 8104.0, 2013–14, Business expenditure on R&amp;D, summary statistics, URL: http://www.abs.gov.au/; </w:t>
      </w:r>
      <w:r w:rsidRPr="008671B7">
        <w:rPr>
          <w:rFonts w:eastAsia="Times New Roman" w:cs="Arial"/>
          <w:b/>
          <w:bCs/>
          <w:color w:val="22789A"/>
          <w:sz w:val="16"/>
          <w:szCs w:val="16"/>
          <w:lang w:eastAsia="en-AU"/>
        </w:rPr>
        <w:t xml:space="preserve">[17] </w:t>
      </w:r>
      <w:r w:rsidRPr="008671B7">
        <w:rPr>
          <w:rFonts w:eastAsia="Times New Roman" w:cs="Arial"/>
          <w:color w:val="22789A"/>
          <w:sz w:val="16"/>
          <w:szCs w:val="16"/>
          <w:lang w:eastAsia="en-AU"/>
        </w:rPr>
        <w:t xml:space="preserve">ABS (2015) Research and Experimental Development, Businesses, Australia, cat. no. 8104.0, 2013–14, Business resources devoted to R&amp;D, by level of foreign ownership - summary statistics, URL: http://www.abs.gov.au/; </w:t>
      </w:r>
      <w:r w:rsidRPr="008671B7">
        <w:rPr>
          <w:rFonts w:eastAsia="Times New Roman" w:cs="Arial"/>
          <w:b/>
          <w:bCs/>
          <w:color w:val="22789A"/>
          <w:sz w:val="16"/>
          <w:szCs w:val="16"/>
          <w:lang w:eastAsia="en-AU"/>
        </w:rPr>
        <w:t xml:space="preserve">[18] </w:t>
      </w:r>
      <w:r w:rsidRPr="008671B7">
        <w:rPr>
          <w:rFonts w:eastAsia="Times New Roman" w:cs="Arial"/>
          <w:color w:val="22789A"/>
          <w:sz w:val="16"/>
          <w:szCs w:val="16"/>
          <w:lang w:eastAsia="en-AU"/>
        </w:rPr>
        <w:t xml:space="preserve">Australian Government (2014) Special data request from Department of Immigration, 2014 </w:t>
      </w:r>
      <w:r w:rsidRPr="008671B7">
        <w:rPr>
          <w:rFonts w:eastAsia="Times New Roman" w:cs="Arial"/>
          <w:b/>
          <w:bCs/>
          <w:color w:val="22789A"/>
          <w:sz w:val="16"/>
          <w:szCs w:val="16"/>
          <w:lang w:eastAsia="en-AU"/>
        </w:rPr>
        <w:t>[19]</w:t>
      </w:r>
      <w:r w:rsidRPr="008671B7">
        <w:rPr>
          <w:rFonts w:eastAsia="Times New Roman" w:cs="Arial"/>
          <w:color w:val="22789A"/>
          <w:sz w:val="16"/>
          <w:szCs w:val="16"/>
          <w:lang w:eastAsia="en-AU"/>
        </w:rPr>
        <w:t xml:space="preserve"> Australian Government (2015) Special data request from Department of Immigration, 2015, Outlook for Net Overseas Migration </w:t>
      </w:r>
      <w:r w:rsidRPr="008671B7">
        <w:rPr>
          <w:rFonts w:eastAsia="Times New Roman" w:cs="Arial"/>
          <w:b/>
          <w:bCs/>
          <w:color w:val="22789A"/>
          <w:sz w:val="16"/>
          <w:szCs w:val="16"/>
          <w:lang w:eastAsia="en-AU"/>
        </w:rPr>
        <w:t>[20]</w:t>
      </w:r>
      <w:r w:rsidRPr="008671B7">
        <w:rPr>
          <w:rFonts w:eastAsia="Times New Roman" w:cs="Arial"/>
          <w:color w:val="22789A"/>
          <w:sz w:val="16"/>
          <w:szCs w:val="16"/>
          <w:lang w:eastAsia="en-AU"/>
        </w:rPr>
        <w:t xml:space="preserve"> ABS (2010–2016) Overseas Arrivals and Departures, Australia, June 2010 - June 2016, Overseas Arrivals and Departures Tables, URL: http://www.abs.gov.au/</w:t>
      </w:r>
    </w:p>
    <w:p w14:paraId="7418BAC3" w14:textId="77777777" w:rsidR="00D471AD" w:rsidRPr="008B33FB" w:rsidRDefault="00D471AD" w:rsidP="00D471AD">
      <w:pPr>
        <w:spacing w:before="120" w:after="120"/>
        <w:rPr>
          <w:rFonts w:eastAsia="Times New Roman" w:cs="Arial"/>
          <w:i/>
          <w:iCs/>
          <w:color w:val="22789A"/>
          <w:sz w:val="16"/>
          <w:szCs w:val="16"/>
          <w:lang w:eastAsia="en-AU"/>
        </w:rPr>
      </w:pPr>
      <w:r w:rsidRPr="008671B7">
        <w:rPr>
          <w:rFonts w:eastAsia="Times New Roman" w:cs="Arial"/>
          <w:b/>
          <w:i/>
          <w:iCs/>
          <w:color w:val="22789A"/>
          <w:sz w:val="16"/>
          <w:szCs w:val="16"/>
          <w:lang w:eastAsia="en-AU"/>
        </w:rPr>
        <w:t>Indicator notes</w:t>
      </w:r>
      <w:r w:rsidRPr="008671B7">
        <w:rPr>
          <w:rFonts w:eastAsia="Times New Roman" w:cs="Arial"/>
          <w:b/>
          <w:color w:val="22789A"/>
          <w:sz w:val="16"/>
          <w:szCs w:val="16"/>
          <w:lang w:eastAsia="en-AU"/>
        </w:rPr>
        <w:t xml:space="preserve"> (21 - 24):</w:t>
      </w:r>
      <w:r w:rsidRPr="008671B7">
        <w:rPr>
          <w:rFonts w:eastAsia="Times New Roman" w:cs="Arial"/>
          <w:b/>
          <w:bCs/>
          <w:color w:val="22789A"/>
          <w:sz w:val="16"/>
          <w:szCs w:val="16"/>
          <w:lang w:eastAsia="en-AU"/>
        </w:rPr>
        <w:t xml:space="preserve"> [21] </w:t>
      </w:r>
      <w:r w:rsidRPr="008671B7">
        <w:rPr>
          <w:rFonts w:eastAsia="Times New Roman" w:cs="Arial"/>
          <w:color w:val="22789A"/>
          <w:sz w:val="16"/>
          <w:szCs w:val="16"/>
          <w:lang w:eastAsia="en-AU"/>
        </w:rPr>
        <w:t xml:space="preserve">1996 data used in place of 1995 data.; </w:t>
      </w:r>
      <w:r w:rsidRPr="008671B7">
        <w:rPr>
          <w:rFonts w:eastAsia="Times New Roman" w:cs="Arial"/>
          <w:b/>
          <w:bCs/>
          <w:color w:val="22789A"/>
          <w:sz w:val="16"/>
          <w:szCs w:val="16"/>
          <w:lang w:eastAsia="en-AU"/>
        </w:rPr>
        <w:t>[22]</w:t>
      </w:r>
      <w:r w:rsidRPr="008671B7">
        <w:rPr>
          <w:rFonts w:eastAsia="Times New Roman" w:cs="Arial"/>
          <w:color w:val="22789A"/>
          <w:sz w:val="16"/>
          <w:szCs w:val="16"/>
          <w:lang w:eastAsia="en-AU"/>
        </w:rPr>
        <w:t xml:space="preserve"> 2004 data used in place of 2005 data.; </w:t>
      </w:r>
      <w:r w:rsidRPr="008671B7">
        <w:rPr>
          <w:rFonts w:eastAsia="Times New Roman" w:cs="Arial"/>
          <w:b/>
          <w:bCs/>
          <w:color w:val="22789A"/>
          <w:sz w:val="16"/>
          <w:szCs w:val="16"/>
          <w:lang w:eastAsia="en-AU"/>
        </w:rPr>
        <w:t xml:space="preserve">[23] </w:t>
      </w:r>
      <w:r w:rsidRPr="008671B7">
        <w:rPr>
          <w:rFonts w:eastAsia="Times New Roman" w:cs="Arial"/>
          <w:color w:val="22789A"/>
          <w:sz w:val="16"/>
          <w:szCs w:val="16"/>
          <w:lang w:eastAsia="en-AU"/>
        </w:rPr>
        <w:t xml:space="preserve">A new method of categorising visas was introduced in May 2014. The new method assigns visas previously categorised as 'Other' to more appropriate categories, resulting in more visas being included in the category "Skilled". As a result, the data has been historically revised, and is not comparable to the data presented in the 2013 Australian Innovation System Report; </w:t>
      </w:r>
      <w:r w:rsidRPr="008671B7">
        <w:rPr>
          <w:rFonts w:eastAsia="Times New Roman" w:cs="Arial"/>
          <w:b/>
          <w:bCs/>
          <w:color w:val="22789A"/>
          <w:sz w:val="16"/>
          <w:szCs w:val="16"/>
          <w:lang w:eastAsia="en-AU"/>
        </w:rPr>
        <w:t xml:space="preserve">[24] </w:t>
      </w:r>
      <w:r w:rsidRPr="008671B7">
        <w:rPr>
          <w:rFonts w:eastAsia="Times New Roman" w:cs="Arial"/>
          <w:color w:val="22789A"/>
          <w:sz w:val="16"/>
          <w:szCs w:val="16"/>
          <w:lang w:eastAsia="en-AU"/>
        </w:rPr>
        <w:t>Churn is calculated as Arrivals + Departures</w:t>
      </w:r>
    </w:p>
    <w:p w14:paraId="7418BAC4" w14:textId="77777777" w:rsidR="00D471AD" w:rsidRDefault="00D471AD" w:rsidP="00D471AD">
      <w:r>
        <w:br w:type="page"/>
      </w:r>
    </w:p>
    <w:tbl>
      <w:tblPr>
        <w:tblW w:w="4981" w:type="pct"/>
        <w:tblBorders>
          <w:bottom w:val="single" w:sz="4" w:space="0" w:color="auto"/>
        </w:tblBorders>
        <w:tblLook w:val="04A0" w:firstRow="1" w:lastRow="0" w:firstColumn="1" w:lastColumn="0" w:noHBand="0" w:noVBand="1"/>
      </w:tblPr>
      <w:tblGrid>
        <w:gridCol w:w="5529"/>
        <w:gridCol w:w="698"/>
        <w:gridCol w:w="698"/>
        <w:gridCol w:w="698"/>
        <w:gridCol w:w="698"/>
        <w:gridCol w:w="698"/>
        <w:gridCol w:w="698"/>
        <w:gridCol w:w="698"/>
        <w:gridCol w:w="698"/>
        <w:gridCol w:w="698"/>
        <w:gridCol w:w="698"/>
        <w:gridCol w:w="698"/>
        <w:gridCol w:w="698"/>
      </w:tblGrid>
      <w:tr w:rsidR="00D471AD" w:rsidRPr="00AB1F33" w14:paraId="7418BAC6" w14:textId="77777777" w:rsidTr="004A31A9">
        <w:trPr>
          <w:trHeight w:val="300"/>
          <w:tblHeader/>
        </w:trPr>
        <w:tc>
          <w:tcPr>
            <w:tcW w:w="5000" w:type="pct"/>
            <w:gridSpan w:val="13"/>
            <w:tcBorders>
              <w:top w:val="single" w:sz="8" w:space="0" w:color="22789A"/>
              <w:bottom w:val="nil"/>
            </w:tcBorders>
            <w:shd w:val="clear" w:color="auto" w:fill="auto"/>
            <w:vAlign w:val="center"/>
          </w:tcPr>
          <w:p w14:paraId="7418BAC5" w14:textId="77777777" w:rsidR="00D471AD" w:rsidRPr="00AB1F33" w:rsidRDefault="00D471AD" w:rsidP="004A31A9">
            <w:pPr>
              <w:widowControl w:val="0"/>
              <w:spacing w:before="42" w:after="0" w:line="240" w:lineRule="auto"/>
              <w:ind w:left="-108"/>
              <w:rPr>
                <w:rFonts w:eastAsia="Calibri" w:hAnsi="Calibri" w:cs="Times New Roman"/>
                <w:i/>
                <w:color w:val="22789A"/>
                <w:spacing w:val="3"/>
                <w:sz w:val="18"/>
                <w:lang w:val="en-US"/>
              </w:rPr>
            </w:pPr>
            <w:r w:rsidRPr="00AB1F33">
              <w:rPr>
                <w:rFonts w:eastAsia="Calibri" w:hAnsi="Calibri" w:cs="Times New Roman"/>
                <w:i/>
                <w:color w:val="22789A"/>
                <w:spacing w:val="3"/>
                <w:sz w:val="18"/>
                <w:lang w:val="en-US"/>
              </w:rPr>
              <w:t>Table A4(a): Indicators of Australia</w:t>
            </w:r>
            <w:r w:rsidRPr="00AB1F33">
              <w:rPr>
                <w:rFonts w:eastAsia="Calibri" w:hAnsi="Calibri" w:cs="Times New Roman"/>
                <w:i/>
                <w:color w:val="22789A"/>
                <w:spacing w:val="3"/>
                <w:sz w:val="18"/>
                <w:lang w:val="en-US"/>
              </w:rPr>
              <w:t>’</w:t>
            </w:r>
            <w:r w:rsidRPr="00AB1F33">
              <w:rPr>
                <w:rFonts w:eastAsia="Calibri" w:hAnsi="Calibri" w:cs="Times New Roman"/>
                <w:i/>
                <w:color w:val="22789A"/>
                <w:spacing w:val="3"/>
                <w:sz w:val="18"/>
                <w:lang w:val="en-US"/>
              </w:rPr>
              <w:t>s business collaboration activity by innovation-active businesses</w:t>
            </w:r>
          </w:p>
        </w:tc>
      </w:tr>
      <w:tr w:rsidR="00D471AD" w:rsidRPr="00AB1F33" w14:paraId="7418BAC8" w14:textId="77777777" w:rsidTr="004A31A9">
        <w:trPr>
          <w:trHeight w:val="300"/>
          <w:tblHeader/>
        </w:trPr>
        <w:tc>
          <w:tcPr>
            <w:tcW w:w="5000" w:type="pct"/>
            <w:gridSpan w:val="13"/>
            <w:tcBorders>
              <w:top w:val="nil"/>
            </w:tcBorders>
            <w:shd w:val="clear" w:color="292B67" w:fill="22789A"/>
            <w:vAlign w:val="center"/>
            <w:hideMark/>
          </w:tcPr>
          <w:p w14:paraId="7418BAC7" w14:textId="77777777" w:rsidR="00D471AD" w:rsidRPr="00AB1F33" w:rsidRDefault="00D471AD" w:rsidP="004A31A9">
            <w:pPr>
              <w:widowControl w:val="0"/>
              <w:spacing w:before="42" w:after="0" w:line="240" w:lineRule="auto"/>
              <w:ind w:left="79"/>
              <w:rPr>
                <w:rFonts w:eastAsia="Calibri" w:hAnsi="Calibri" w:cs="Times New Roman"/>
                <w:i/>
                <w:color w:val="FFFFFF"/>
                <w:spacing w:val="3"/>
                <w:sz w:val="18"/>
                <w:lang w:val="en-US"/>
              </w:rPr>
            </w:pPr>
            <w:r w:rsidRPr="00AB1F33">
              <w:rPr>
                <w:rFonts w:eastAsia="Calibri" w:hAnsi="Calibri" w:cs="Times New Roman"/>
                <w:i/>
                <w:color w:val="FFFFFF"/>
                <w:spacing w:val="3"/>
                <w:sz w:val="18"/>
                <w:lang w:val="en-US"/>
              </w:rPr>
              <w:t>Australian Trend Data (i)</w:t>
            </w:r>
          </w:p>
        </w:tc>
      </w:tr>
      <w:tr w:rsidR="00D471AD" w:rsidRPr="00AB1F33" w14:paraId="7418BAD6" w14:textId="77777777" w:rsidTr="004A31A9">
        <w:trPr>
          <w:trHeight w:val="300"/>
          <w:tblHeader/>
        </w:trPr>
        <w:tc>
          <w:tcPr>
            <w:tcW w:w="1988" w:type="pct"/>
            <w:shd w:val="clear" w:color="auto" w:fill="E4F3F9"/>
            <w:vAlign w:val="center"/>
            <w:hideMark/>
          </w:tcPr>
          <w:p w14:paraId="7418BAC9" w14:textId="77777777" w:rsidR="00D471AD" w:rsidRPr="00AB1F33" w:rsidRDefault="00D471AD" w:rsidP="004A31A9">
            <w:pPr>
              <w:spacing w:after="0" w:line="240" w:lineRule="auto"/>
              <w:rPr>
                <w:rFonts w:eastAsia="Times New Roman" w:cs="Arial"/>
                <w:b/>
                <w:bCs/>
                <w:i/>
                <w:color w:val="7A7B7C"/>
                <w:sz w:val="14"/>
                <w:szCs w:val="14"/>
                <w:lang w:eastAsia="en-AU"/>
              </w:rPr>
            </w:pPr>
            <w:r w:rsidRPr="00AB1F33">
              <w:rPr>
                <w:rFonts w:eastAsia="Times New Roman" w:cs="Arial"/>
                <w:b/>
                <w:bCs/>
                <w:i/>
                <w:color w:val="7A7B7C"/>
                <w:sz w:val="14"/>
                <w:szCs w:val="14"/>
                <w:lang w:eastAsia="en-AU"/>
              </w:rPr>
              <w:t>Indicators</w:t>
            </w:r>
          </w:p>
        </w:tc>
        <w:tc>
          <w:tcPr>
            <w:tcW w:w="251" w:type="pct"/>
            <w:shd w:val="clear" w:color="auto" w:fill="E4F3F9"/>
            <w:vAlign w:val="center"/>
            <w:hideMark/>
          </w:tcPr>
          <w:p w14:paraId="7418BACA"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1995</w:t>
            </w:r>
          </w:p>
        </w:tc>
        <w:tc>
          <w:tcPr>
            <w:tcW w:w="251" w:type="pct"/>
            <w:shd w:val="clear" w:color="auto" w:fill="E4F3F9"/>
            <w:vAlign w:val="center"/>
            <w:hideMark/>
          </w:tcPr>
          <w:p w14:paraId="7418BACB"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2000</w:t>
            </w:r>
          </w:p>
        </w:tc>
        <w:tc>
          <w:tcPr>
            <w:tcW w:w="251" w:type="pct"/>
            <w:shd w:val="clear" w:color="auto" w:fill="E4F3F9"/>
            <w:vAlign w:val="center"/>
            <w:hideMark/>
          </w:tcPr>
          <w:p w14:paraId="7418BACC"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2005</w:t>
            </w:r>
          </w:p>
        </w:tc>
        <w:tc>
          <w:tcPr>
            <w:tcW w:w="251" w:type="pct"/>
            <w:shd w:val="clear" w:color="auto" w:fill="E4F3F9"/>
            <w:vAlign w:val="center"/>
            <w:hideMark/>
          </w:tcPr>
          <w:p w14:paraId="7418BACD"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2006</w:t>
            </w:r>
          </w:p>
        </w:tc>
        <w:tc>
          <w:tcPr>
            <w:tcW w:w="251" w:type="pct"/>
            <w:shd w:val="clear" w:color="auto" w:fill="E4F3F9"/>
            <w:vAlign w:val="center"/>
            <w:hideMark/>
          </w:tcPr>
          <w:p w14:paraId="7418BACE"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2007</w:t>
            </w:r>
          </w:p>
        </w:tc>
        <w:tc>
          <w:tcPr>
            <w:tcW w:w="251" w:type="pct"/>
            <w:shd w:val="clear" w:color="auto" w:fill="E4F3F9"/>
            <w:vAlign w:val="center"/>
            <w:hideMark/>
          </w:tcPr>
          <w:p w14:paraId="7418BACF"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2008</w:t>
            </w:r>
          </w:p>
        </w:tc>
        <w:tc>
          <w:tcPr>
            <w:tcW w:w="251" w:type="pct"/>
            <w:shd w:val="clear" w:color="auto" w:fill="E4F3F9"/>
            <w:vAlign w:val="center"/>
            <w:hideMark/>
          </w:tcPr>
          <w:p w14:paraId="7418BAD0"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2009</w:t>
            </w:r>
          </w:p>
        </w:tc>
        <w:tc>
          <w:tcPr>
            <w:tcW w:w="251" w:type="pct"/>
            <w:shd w:val="clear" w:color="auto" w:fill="E4F3F9"/>
            <w:vAlign w:val="center"/>
            <w:hideMark/>
          </w:tcPr>
          <w:p w14:paraId="7418BAD1"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2010</w:t>
            </w:r>
          </w:p>
        </w:tc>
        <w:tc>
          <w:tcPr>
            <w:tcW w:w="251" w:type="pct"/>
            <w:shd w:val="clear" w:color="auto" w:fill="E4F3F9"/>
            <w:vAlign w:val="center"/>
            <w:hideMark/>
          </w:tcPr>
          <w:p w14:paraId="7418BAD2"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2011</w:t>
            </w:r>
          </w:p>
        </w:tc>
        <w:tc>
          <w:tcPr>
            <w:tcW w:w="251" w:type="pct"/>
            <w:shd w:val="clear" w:color="auto" w:fill="E4F3F9"/>
            <w:vAlign w:val="center"/>
            <w:hideMark/>
          </w:tcPr>
          <w:p w14:paraId="7418BAD3"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2012</w:t>
            </w:r>
          </w:p>
        </w:tc>
        <w:tc>
          <w:tcPr>
            <w:tcW w:w="251" w:type="pct"/>
            <w:shd w:val="clear" w:color="auto" w:fill="E4F3F9"/>
            <w:vAlign w:val="center"/>
            <w:hideMark/>
          </w:tcPr>
          <w:p w14:paraId="7418BAD4"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2013</w:t>
            </w:r>
          </w:p>
        </w:tc>
        <w:tc>
          <w:tcPr>
            <w:tcW w:w="251" w:type="pct"/>
            <w:shd w:val="clear" w:color="auto" w:fill="E4F3F9"/>
            <w:vAlign w:val="center"/>
            <w:hideMark/>
          </w:tcPr>
          <w:p w14:paraId="7418BAD5" w14:textId="77777777" w:rsidR="00D471AD" w:rsidRPr="00AB1F33" w:rsidRDefault="00D471AD" w:rsidP="004A31A9">
            <w:pPr>
              <w:spacing w:after="0" w:line="240" w:lineRule="auto"/>
              <w:jc w:val="right"/>
              <w:rPr>
                <w:rFonts w:eastAsia="Times New Roman" w:cs="Arial"/>
                <w:b/>
                <w:bCs/>
                <w:i/>
                <w:color w:val="7A7B7C"/>
                <w:sz w:val="14"/>
                <w:szCs w:val="14"/>
                <w:lang w:eastAsia="en-AU"/>
              </w:rPr>
            </w:pPr>
            <w:r w:rsidRPr="00AB1F33">
              <w:rPr>
                <w:rFonts w:eastAsia="Times New Roman" w:cs="Arial"/>
                <w:b/>
                <w:bCs/>
                <w:i/>
                <w:color w:val="7A7B7C"/>
                <w:sz w:val="14"/>
                <w:szCs w:val="14"/>
                <w:lang w:eastAsia="en-AU"/>
              </w:rPr>
              <w:t>2014</w:t>
            </w:r>
          </w:p>
        </w:tc>
      </w:tr>
      <w:tr w:rsidR="00D471AD" w:rsidRPr="00AB1F33" w14:paraId="7418BAE4" w14:textId="77777777" w:rsidTr="004A31A9">
        <w:trPr>
          <w:trHeight w:val="300"/>
          <w:tblHeader/>
        </w:trPr>
        <w:tc>
          <w:tcPr>
            <w:tcW w:w="1988" w:type="pct"/>
            <w:shd w:val="clear" w:color="auto" w:fill="D5ECF5"/>
            <w:vAlign w:val="center"/>
            <w:hideMark/>
          </w:tcPr>
          <w:p w14:paraId="7418BAD7" w14:textId="77777777" w:rsidR="00D471AD" w:rsidRPr="00AB1F33" w:rsidRDefault="00D471AD" w:rsidP="004A31A9">
            <w:pPr>
              <w:spacing w:after="0" w:line="240" w:lineRule="auto"/>
              <w:rPr>
                <w:rFonts w:eastAsia="Times New Roman" w:cs="Arial"/>
                <w:bCs/>
                <w:color w:val="7A7B7C"/>
                <w:sz w:val="14"/>
                <w:szCs w:val="14"/>
                <w:lang w:eastAsia="en-AU"/>
              </w:rPr>
            </w:pPr>
            <w:r w:rsidRPr="00AB1F33">
              <w:rPr>
                <w:rFonts w:eastAsia="Times New Roman" w:cs="Arial" w:hint="eastAsia"/>
                <w:bCs/>
                <w:color w:val="7A7B7C"/>
                <w:sz w:val="14"/>
                <w:szCs w:val="14"/>
                <w:lang w:eastAsia="en-AU"/>
              </w:rPr>
              <w:t xml:space="preserve">Percentage of innovation-active total businesses collaborating on </w:t>
            </w:r>
            <w:r w:rsidRPr="00AB1F33">
              <w:rPr>
                <w:rFonts w:eastAsia="Times New Roman" w:cs="Arial"/>
                <w:bCs/>
                <w:color w:val="7A7B7C"/>
                <w:sz w:val="14"/>
                <w:szCs w:val="14"/>
                <w:lang w:eastAsia="en-AU"/>
              </w:rPr>
              <w:br/>
            </w:r>
            <w:r w:rsidRPr="00AB1F33">
              <w:rPr>
                <w:rFonts w:eastAsia="Times New Roman" w:cs="Arial" w:hint="eastAsia"/>
                <w:bCs/>
                <w:color w:val="7A7B7C"/>
                <w:sz w:val="14"/>
                <w:szCs w:val="14"/>
                <w:lang w:eastAsia="en-AU"/>
              </w:rPr>
              <w:t>innovation, %</w:t>
            </w:r>
            <w:r w:rsidRPr="00AB1F33">
              <w:rPr>
                <w:rFonts w:ascii="Arial Unicode MS" w:eastAsia="Arial Unicode MS" w:hAnsi="Arial Unicode MS" w:cs="Arial Unicode MS" w:hint="eastAsia"/>
                <w:bCs/>
                <w:color w:val="7A7B7C"/>
                <w:sz w:val="14"/>
                <w:szCs w:val="14"/>
                <w:lang w:eastAsia="en-AU"/>
              </w:rPr>
              <w:t>¹ ² ³ ¹</w:t>
            </w:r>
            <w:r w:rsidRPr="00AB1F33">
              <w:rPr>
                <w:rFonts w:ascii="Arial Unicode MS" w:eastAsia="Arial Unicode MS" w:hAnsi="Arial Unicode MS" w:cs="Arial Unicode MS"/>
                <w:bCs/>
                <w:color w:val="7A7B7C"/>
                <w:sz w:val="14"/>
                <w:szCs w:val="14"/>
                <w:lang w:eastAsia="en-AU"/>
              </w:rPr>
              <w:t>⁰</w:t>
            </w:r>
            <w:r w:rsidRPr="00AB1F33">
              <w:rPr>
                <w:rFonts w:ascii="Arial Unicode MS" w:eastAsia="Arial Unicode MS" w:hAnsi="Arial Unicode MS" w:cs="Arial Unicode MS" w:hint="eastAsia"/>
                <w:bCs/>
                <w:color w:val="7A7B7C"/>
                <w:sz w:val="14"/>
                <w:szCs w:val="14"/>
                <w:lang w:eastAsia="en-AU"/>
              </w:rPr>
              <w:t xml:space="preserve"> </w:t>
            </w:r>
            <w:r w:rsidRPr="00AB1F33">
              <w:rPr>
                <w:rFonts w:ascii="Arial Unicode MS" w:eastAsia="Arial Unicode MS" w:hAnsi="Arial Unicode MS" w:cs="Arial Unicode MS"/>
                <w:bCs/>
                <w:color w:val="7A7B7C"/>
                <w:sz w:val="14"/>
                <w:szCs w:val="14"/>
                <w:lang w:eastAsia="en-AU"/>
              </w:rPr>
              <w:t>¹¹</w:t>
            </w:r>
          </w:p>
        </w:tc>
        <w:tc>
          <w:tcPr>
            <w:tcW w:w="251" w:type="pct"/>
            <w:shd w:val="clear" w:color="auto" w:fill="D5ECF5"/>
            <w:vAlign w:val="center"/>
            <w:hideMark/>
          </w:tcPr>
          <w:p w14:paraId="7418BAD8"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AD9"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ADA"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ADB"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17.0</w:t>
            </w:r>
          </w:p>
        </w:tc>
        <w:tc>
          <w:tcPr>
            <w:tcW w:w="251" w:type="pct"/>
            <w:shd w:val="clear" w:color="auto" w:fill="D5ECF5"/>
            <w:vAlign w:val="center"/>
            <w:hideMark/>
          </w:tcPr>
          <w:p w14:paraId="7418BADC"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ADD"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16.9</w:t>
            </w:r>
          </w:p>
        </w:tc>
        <w:tc>
          <w:tcPr>
            <w:tcW w:w="251" w:type="pct"/>
            <w:shd w:val="clear" w:color="auto" w:fill="D5ECF5"/>
            <w:vAlign w:val="center"/>
            <w:hideMark/>
          </w:tcPr>
          <w:p w14:paraId="7418BADE"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ADF"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23.6</w:t>
            </w:r>
          </w:p>
        </w:tc>
        <w:tc>
          <w:tcPr>
            <w:tcW w:w="251" w:type="pct"/>
            <w:shd w:val="clear" w:color="auto" w:fill="D5ECF5"/>
            <w:vAlign w:val="center"/>
            <w:hideMark/>
          </w:tcPr>
          <w:p w14:paraId="7418BAE0"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AE1"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20.3</w:t>
            </w:r>
          </w:p>
        </w:tc>
        <w:tc>
          <w:tcPr>
            <w:tcW w:w="251" w:type="pct"/>
            <w:shd w:val="clear" w:color="auto" w:fill="D5ECF5"/>
            <w:vAlign w:val="center"/>
            <w:hideMark/>
          </w:tcPr>
          <w:p w14:paraId="7418BAE2"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AE3"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20.1</w:t>
            </w:r>
          </w:p>
        </w:tc>
      </w:tr>
      <w:tr w:rsidR="00D471AD" w:rsidRPr="00AB1F33" w14:paraId="7418BAF2" w14:textId="77777777" w:rsidTr="004A31A9">
        <w:trPr>
          <w:trHeight w:val="300"/>
          <w:tblHeader/>
        </w:trPr>
        <w:tc>
          <w:tcPr>
            <w:tcW w:w="1988" w:type="pct"/>
            <w:shd w:val="clear" w:color="auto" w:fill="E4F3F9"/>
            <w:vAlign w:val="center"/>
            <w:hideMark/>
          </w:tcPr>
          <w:p w14:paraId="7418BAE5" w14:textId="77777777" w:rsidR="00D471AD" w:rsidRPr="00AB1F33" w:rsidRDefault="00D471AD" w:rsidP="004A31A9">
            <w:pPr>
              <w:spacing w:after="0" w:line="240" w:lineRule="auto"/>
              <w:rPr>
                <w:rFonts w:eastAsia="Times New Roman" w:cs="Arial"/>
                <w:bCs/>
                <w:color w:val="7A7B7C"/>
                <w:sz w:val="14"/>
                <w:szCs w:val="14"/>
                <w:lang w:eastAsia="en-AU"/>
              </w:rPr>
            </w:pPr>
            <w:r w:rsidRPr="00AB1F33">
              <w:rPr>
                <w:rFonts w:eastAsia="Times New Roman" w:cs="Arial" w:hint="eastAsia"/>
                <w:bCs/>
                <w:color w:val="7A7B7C"/>
                <w:sz w:val="14"/>
                <w:szCs w:val="14"/>
                <w:lang w:eastAsia="en-AU"/>
              </w:rPr>
              <w:t>Percentage of innovation-active SMEs collaborating on innovation, %</w:t>
            </w:r>
            <w:r w:rsidRPr="00AB1F33">
              <w:rPr>
                <w:rFonts w:ascii="Arial Unicode MS" w:eastAsia="Arial Unicode MS" w:hAnsi="Arial Unicode MS" w:cs="Arial Unicode MS" w:hint="eastAsia"/>
                <w:bCs/>
                <w:color w:val="7A7B7C"/>
                <w:sz w:val="14"/>
                <w:szCs w:val="14"/>
                <w:lang w:eastAsia="en-AU"/>
              </w:rPr>
              <w:t xml:space="preserve">² </w:t>
            </w:r>
            <w:r w:rsidRPr="00AB1F33">
              <w:rPr>
                <w:rFonts w:ascii="Arial Unicode MS" w:eastAsia="Arial Unicode MS" w:hAnsi="Arial Unicode MS" w:cs="Arial Unicode MS"/>
                <w:bCs/>
                <w:color w:val="7A7B7C"/>
                <w:sz w:val="14"/>
                <w:szCs w:val="14"/>
                <w:lang w:eastAsia="en-AU"/>
              </w:rPr>
              <w:t>⁴</w:t>
            </w:r>
            <w:r w:rsidRPr="00AB1F33">
              <w:rPr>
                <w:rFonts w:ascii="Arial Unicode MS" w:eastAsia="Arial Unicode MS" w:hAnsi="Arial Unicode MS" w:cs="Arial Unicode MS" w:hint="eastAsia"/>
                <w:bCs/>
                <w:color w:val="7A7B7C"/>
                <w:sz w:val="14"/>
                <w:szCs w:val="14"/>
                <w:lang w:eastAsia="en-AU"/>
              </w:rPr>
              <w:t xml:space="preserve"> </w:t>
            </w:r>
            <w:r w:rsidRPr="00AB1F33">
              <w:rPr>
                <w:rFonts w:ascii="Arial Unicode MS" w:eastAsia="Arial Unicode MS" w:hAnsi="Arial Unicode MS" w:cs="Arial Unicode MS"/>
                <w:bCs/>
                <w:color w:val="7A7B7C"/>
                <w:sz w:val="14"/>
                <w:szCs w:val="14"/>
                <w:lang w:eastAsia="en-AU"/>
              </w:rPr>
              <w:t>¹²</w:t>
            </w:r>
          </w:p>
        </w:tc>
        <w:tc>
          <w:tcPr>
            <w:tcW w:w="251" w:type="pct"/>
            <w:shd w:val="clear" w:color="auto" w:fill="E4F3F9"/>
            <w:vAlign w:val="center"/>
            <w:hideMark/>
          </w:tcPr>
          <w:p w14:paraId="7418BAE6"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AE7"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AE8"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AE9"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17.0</w:t>
            </w:r>
          </w:p>
        </w:tc>
        <w:tc>
          <w:tcPr>
            <w:tcW w:w="251" w:type="pct"/>
            <w:shd w:val="clear" w:color="auto" w:fill="E4F3F9"/>
            <w:vAlign w:val="center"/>
            <w:hideMark/>
          </w:tcPr>
          <w:p w14:paraId="7418BAEA"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AEB"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16.8</w:t>
            </w:r>
          </w:p>
        </w:tc>
        <w:tc>
          <w:tcPr>
            <w:tcW w:w="251" w:type="pct"/>
            <w:shd w:val="clear" w:color="auto" w:fill="E4F3F9"/>
            <w:vAlign w:val="center"/>
            <w:hideMark/>
          </w:tcPr>
          <w:p w14:paraId="7418BAEC"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AED"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23.6</w:t>
            </w:r>
          </w:p>
        </w:tc>
        <w:tc>
          <w:tcPr>
            <w:tcW w:w="251" w:type="pct"/>
            <w:shd w:val="clear" w:color="auto" w:fill="E4F3F9"/>
            <w:vAlign w:val="center"/>
            <w:hideMark/>
          </w:tcPr>
          <w:p w14:paraId="7418BAEE"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AEF"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20.1</w:t>
            </w:r>
          </w:p>
        </w:tc>
        <w:tc>
          <w:tcPr>
            <w:tcW w:w="251" w:type="pct"/>
            <w:shd w:val="clear" w:color="auto" w:fill="E4F3F9"/>
            <w:vAlign w:val="center"/>
            <w:hideMark/>
          </w:tcPr>
          <w:p w14:paraId="7418BAF0"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19.7</w:t>
            </w:r>
          </w:p>
        </w:tc>
        <w:tc>
          <w:tcPr>
            <w:tcW w:w="251" w:type="pct"/>
            <w:shd w:val="clear" w:color="auto" w:fill="E4F3F9"/>
            <w:vAlign w:val="center"/>
            <w:hideMark/>
          </w:tcPr>
          <w:p w14:paraId="7418BAF1"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r>
      <w:tr w:rsidR="00D471AD" w:rsidRPr="00AB1F33" w14:paraId="7418BB00" w14:textId="77777777" w:rsidTr="004A31A9">
        <w:trPr>
          <w:trHeight w:val="300"/>
          <w:tblHeader/>
        </w:trPr>
        <w:tc>
          <w:tcPr>
            <w:tcW w:w="1988" w:type="pct"/>
            <w:shd w:val="clear" w:color="auto" w:fill="D5ECF5"/>
            <w:vAlign w:val="center"/>
            <w:hideMark/>
          </w:tcPr>
          <w:p w14:paraId="7418BAF3" w14:textId="77777777" w:rsidR="00D471AD" w:rsidRPr="00AB1F33" w:rsidRDefault="00D471AD" w:rsidP="004A31A9">
            <w:pPr>
              <w:spacing w:after="0" w:line="240" w:lineRule="auto"/>
              <w:rPr>
                <w:rFonts w:eastAsia="Times New Roman" w:cs="Arial"/>
                <w:bCs/>
                <w:color w:val="7A7B7C"/>
                <w:sz w:val="14"/>
                <w:szCs w:val="14"/>
                <w:lang w:eastAsia="en-AU"/>
              </w:rPr>
            </w:pPr>
            <w:r w:rsidRPr="00AB1F33">
              <w:rPr>
                <w:rFonts w:eastAsia="Times New Roman" w:cs="Arial" w:hint="eastAsia"/>
                <w:bCs/>
                <w:color w:val="7A7B7C"/>
                <w:sz w:val="14"/>
                <w:szCs w:val="14"/>
                <w:lang w:eastAsia="en-AU"/>
              </w:rPr>
              <w:t>Percentage of innovation-active large firms collaborating on innovation, %</w:t>
            </w:r>
            <w:r w:rsidRPr="00AB1F33">
              <w:rPr>
                <w:rFonts w:ascii="Arial Unicode MS" w:eastAsia="Arial Unicode MS" w:hAnsi="Arial Unicode MS" w:cs="Arial Unicode MS" w:hint="eastAsia"/>
                <w:bCs/>
                <w:color w:val="7A7B7C"/>
                <w:sz w:val="14"/>
                <w:szCs w:val="14"/>
                <w:lang w:eastAsia="en-AU"/>
              </w:rPr>
              <w:t xml:space="preserve">¹ ² ³ </w:t>
            </w:r>
            <w:r w:rsidRPr="00AB1F33">
              <w:rPr>
                <w:rFonts w:ascii="Arial Unicode MS" w:eastAsia="Arial Unicode MS" w:hAnsi="Arial Unicode MS" w:cs="Arial Unicode MS"/>
                <w:bCs/>
                <w:color w:val="7A7B7C"/>
                <w:sz w:val="14"/>
                <w:szCs w:val="14"/>
                <w:lang w:eastAsia="en-AU"/>
              </w:rPr>
              <w:t>⁴</w:t>
            </w:r>
            <w:r w:rsidRPr="00AB1F33">
              <w:rPr>
                <w:rFonts w:ascii="Arial Unicode MS" w:eastAsia="Arial Unicode MS" w:hAnsi="Arial Unicode MS" w:cs="Arial Unicode MS" w:hint="eastAsia"/>
                <w:bCs/>
                <w:color w:val="7A7B7C"/>
                <w:sz w:val="14"/>
                <w:szCs w:val="14"/>
                <w:lang w:eastAsia="en-AU"/>
              </w:rPr>
              <w:t xml:space="preserve"> </w:t>
            </w:r>
            <w:r w:rsidRPr="00AB1F33">
              <w:rPr>
                <w:rFonts w:ascii="Arial Unicode MS" w:eastAsia="Arial Unicode MS" w:hAnsi="Arial Unicode MS" w:cs="Arial Unicode MS"/>
                <w:bCs/>
                <w:color w:val="7A7B7C"/>
                <w:sz w:val="14"/>
                <w:szCs w:val="14"/>
                <w:lang w:eastAsia="en-AU"/>
              </w:rPr>
              <w:t>¹³</w:t>
            </w:r>
          </w:p>
        </w:tc>
        <w:tc>
          <w:tcPr>
            <w:tcW w:w="251" w:type="pct"/>
            <w:shd w:val="clear" w:color="auto" w:fill="D5ECF5"/>
            <w:vAlign w:val="center"/>
            <w:hideMark/>
          </w:tcPr>
          <w:p w14:paraId="7418BAF4"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AF5"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AF6"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AF7"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22.4</w:t>
            </w:r>
          </w:p>
        </w:tc>
        <w:tc>
          <w:tcPr>
            <w:tcW w:w="251" w:type="pct"/>
            <w:shd w:val="clear" w:color="auto" w:fill="D5ECF5"/>
            <w:vAlign w:val="center"/>
            <w:hideMark/>
          </w:tcPr>
          <w:p w14:paraId="7418BAF8"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AF9"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23.2</w:t>
            </w:r>
          </w:p>
        </w:tc>
        <w:tc>
          <w:tcPr>
            <w:tcW w:w="251" w:type="pct"/>
            <w:shd w:val="clear" w:color="auto" w:fill="D5ECF5"/>
            <w:vAlign w:val="center"/>
            <w:hideMark/>
          </w:tcPr>
          <w:p w14:paraId="7418BAFA"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AFB"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24.4</w:t>
            </w:r>
          </w:p>
        </w:tc>
        <w:tc>
          <w:tcPr>
            <w:tcW w:w="251" w:type="pct"/>
            <w:shd w:val="clear" w:color="auto" w:fill="D5ECF5"/>
            <w:vAlign w:val="center"/>
            <w:hideMark/>
          </w:tcPr>
          <w:p w14:paraId="7418BAFC"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AFD"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32.3</w:t>
            </w:r>
          </w:p>
        </w:tc>
        <w:tc>
          <w:tcPr>
            <w:tcW w:w="251" w:type="pct"/>
            <w:shd w:val="clear" w:color="auto" w:fill="D5ECF5"/>
            <w:vAlign w:val="center"/>
            <w:hideMark/>
          </w:tcPr>
          <w:p w14:paraId="7418BAFE"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25.2</w:t>
            </w:r>
          </w:p>
        </w:tc>
        <w:tc>
          <w:tcPr>
            <w:tcW w:w="251" w:type="pct"/>
            <w:shd w:val="clear" w:color="auto" w:fill="D5ECF5"/>
            <w:vAlign w:val="center"/>
            <w:hideMark/>
          </w:tcPr>
          <w:p w14:paraId="7418BAFF"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25.6</w:t>
            </w:r>
          </w:p>
        </w:tc>
      </w:tr>
      <w:tr w:rsidR="00D471AD" w:rsidRPr="00AB1F33" w14:paraId="7418BB0E" w14:textId="77777777" w:rsidTr="004A31A9">
        <w:trPr>
          <w:trHeight w:val="454"/>
          <w:tblHeader/>
        </w:trPr>
        <w:tc>
          <w:tcPr>
            <w:tcW w:w="1988" w:type="pct"/>
            <w:shd w:val="clear" w:color="auto" w:fill="E4F3F9"/>
            <w:vAlign w:val="center"/>
            <w:hideMark/>
          </w:tcPr>
          <w:p w14:paraId="7418BB01" w14:textId="77777777" w:rsidR="00D471AD" w:rsidRPr="00AB1F33" w:rsidRDefault="00D471AD" w:rsidP="004A31A9">
            <w:pPr>
              <w:spacing w:after="0" w:line="240" w:lineRule="auto"/>
              <w:rPr>
                <w:rFonts w:eastAsia="Times New Roman" w:cs="Arial"/>
                <w:bCs/>
                <w:color w:val="7A7B7C"/>
                <w:sz w:val="14"/>
                <w:szCs w:val="14"/>
                <w:lang w:eastAsia="en-AU"/>
              </w:rPr>
            </w:pPr>
            <w:r w:rsidRPr="00AB1F33">
              <w:rPr>
                <w:rFonts w:eastAsia="Times New Roman" w:cs="Arial" w:hint="eastAsia"/>
                <w:bCs/>
                <w:color w:val="7A7B7C"/>
                <w:sz w:val="14"/>
                <w:szCs w:val="14"/>
                <w:lang w:eastAsia="en-AU"/>
              </w:rPr>
              <w:t>Proportion of innovation-active businesses collaborating for any reason, % of respondents</w:t>
            </w:r>
            <w:r w:rsidRPr="00AB1F33">
              <w:rPr>
                <w:rFonts w:ascii="Arial Unicode MS" w:eastAsia="Arial Unicode MS" w:hAnsi="Arial Unicode MS" w:cs="Arial Unicode MS"/>
                <w:bCs/>
                <w:color w:val="7A7B7C"/>
                <w:sz w:val="14"/>
                <w:szCs w:val="14"/>
                <w:lang w:eastAsia="en-AU"/>
              </w:rPr>
              <w:t>⁵</w:t>
            </w:r>
            <w:r w:rsidRPr="00AB1F33">
              <w:rPr>
                <w:rFonts w:ascii="Arial Unicode MS" w:eastAsia="Arial Unicode MS" w:hAnsi="Arial Unicode MS" w:cs="Arial Unicode MS" w:hint="eastAsia"/>
                <w:bCs/>
                <w:color w:val="7A7B7C"/>
                <w:sz w:val="14"/>
                <w:szCs w:val="14"/>
                <w:lang w:eastAsia="en-AU"/>
              </w:rPr>
              <w:t xml:space="preserve"> </w:t>
            </w:r>
            <w:r w:rsidRPr="00AB1F33">
              <w:rPr>
                <w:rFonts w:ascii="Arial Unicode MS" w:eastAsia="Arial Unicode MS" w:hAnsi="Arial Unicode MS" w:cs="Arial Unicode MS"/>
                <w:bCs/>
                <w:color w:val="7A7B7C"/>
                <w:sz w:val="14"/>
                <w:szCs w:val="14"/>
                <w:lang w:eastAsia="en-AU"/>
              </w:rPr>
              <w:t>⁶</w:t>
            </w:r>
            <w:r w:rsidRPr="00AB1F33">
              <w:rPr>
                <w:rFonts w:ascii="Arial Unicode MS" w:eastAsia="Arial Unicode MS" w:hAnsi="Arial Unicode MS" w:cs="Arial Unicode MS" w:hint="eastAsia"/>
                <w:bCs/>
                <w:color w:val="7A7B7C"/>
                <w:sz w:val="14"/>
                <w:szCs w:val="14"/>
                <w:lang w:eastAsia="en-AU"/>
              </w:rPr>
              <w:t xml:space="preserve"> </w:t>
            </w:r>
            <w:r w:rsidRPr="00AB1F33">
              <w:rPr>
                <w:rFonts w:ascii="Arial Unicode MS" w:eastAsia="Arial Unicode MS" w:hAnsi="Arial Unicode MS" w:cs="Arial Unicode MS"/>
                <w:bCs/>
                <w:color w:val="7A7B7C"/>
                <w:sz w:val="14"/>
                <w:szCs w:val="14"/>
                <w:lang w:eastAsia="en-AU"/>
              </w:rPr>
              <w:t>⁷</w:t>
            </w:r>
          </w:p>
        </w:tc>
        <w:tc>
          <w:tcPr>
            <w:tcW w:w="251" w:type="pct"/>
            <w:shd w:val="clear" w:color="auto" w:fill="E4F3F9"/>
            <w:vAlign w:val="center"/>
            <w:hideMark/>
          </w:tcPr>
          <w:p w14:paraId="7418BB02"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03"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04"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16.7</w:t>
            </w:r>
          </w:p>
        </w:tc>
        <w:tc>
          <w:tcPr>
            <w:tcW w:w="251" w:type="pct"/>
            <w:shd w:val="clear" w:color="auto" w:fill="E4F3F9"/>
            <w:vAlign w:val="center"/>
            <w:hideMark/>
          </w:tcPr>
          <w:p w14:paraId="7418BB05"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15.9</w:t>
            </w:r>
          </w:p>
        </w:tc>
        <w:tc>
          <w:tcPr>
            <w:tcW w:w="251" w:type="pct"/>
            <w:shd w:val="clear" w:color="auto" w:fill="E4F3F9"/>
            <w:vAlign w:val="center"/>
            <w:hideMark/>
          </w:tcPr>
          <w:p w14:paraId="7418BB06"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20.7</w:t>
            </w:r>
          </w:p>
        </w:tc>
        <w:tc>
          <w:tcPr>
            <w:tcW w:w="251" w:type="pct"/>
            <w:shd w:val="clear" w:color="auto" w:fill="E4F3F9"/>
            <w:vAlign w:val="center"/>
            <w:hideMark/>
          </w:tcPr>
          <w:p w14:paraId="7418BB07"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22.5</w:t>
            </w:r>
          </w:p>
        </w:tc>
        <w:tc>
          <w:tcPr>
            <w:tcW w:w="251" w:type="pct"/>
            <w:shd w:val="clear" w:color="auto" w:fill="E4F3F9"/>
            <w:vAlign w:val="center"/>
            <w:hideMark/>
          </w:tcPr>
          <w:p w14:paraId="7418BB08"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22.2</w:t>
            </w:r>
          </w:p>
        </w:tc>
        <w:tc>
          <w:tcPr>
            <w:tcW w:w="251" w:type="pct"/>
            <w:shd w:val="clear" w:color="auto" w:fill="E4F3F9"/>
            <w:vAlign w:val="center"/>
            <w:hideMark/>
          </w:tcPr>
          <w:p w14:paraId="7418BB09"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22.4</w:t>
            </w:r>
          </w:p>
        </w:tc>
        <w:tc>
          <w:tcPr>
            <w:tcW w:w="251" w:type="pct"/>
            <w:shd w:val="clear" w:color="auto" w:fill="E4F3F9"/>
            <w:vAlign w:val="center"/>
            <w:hideMark/>
          </w:tcPr>
          <w:p w14:paraId="7418BB0A"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21.3</w:t>
            </w:r>
          </w:p>
        </w:tc>
        <w:tc>
          <w:tcPr>
            <w:tcW w:w="251" w:type="pct"/>
            <w:shd w:val="clear" w:color="auto" w:fill="E4F3F9"/>
            <w:vAlign w:val="center"/>
            <w:hideMark/>
          </w:tcPr>
          <w:p w14:paraId="7418BB0B"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14.0</w:t>
            </w:r>
          </w:p>
        </w:tc>
        <w:tc>
          <w:tcPr>
            <w:tcW w:w="251" w:type="pct"/>
            <w:shd w:val="clear" w:color="auto" w:fill="E4F3F9"/>
            <w:vAlign w:val="center"/>
            <w:hideMark/>
          </w:tcPr>
          <w:p w14:paraId="7418BB0C"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14.8</w:t>
            </w:r>
          </w:p>
        </w:tc>
        <w:tc>
          <w:tcPr>
            <w:tcW w:w="251" w:type="pct"/>
            <w:shd w:val="clear" w:color="auto" w:fill="E4F3F9"/>
            <w:vAlign w:val="center"/>
            <w:hideMark/>
          </w:tcPr>
          <w:p w14:paraId="7418BB0D"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14.8</w:t>
            </w:r>
          </w:p>
        </w:tc>
      </w:tr>
      <w:tr w:rsidR="00D471AD" w:rsidRPr="00AB1F33" w14:paraId="7418BB1C" w14:textId="77777777" w:rsidTr="004A31A9">
        <w:trPr>
          <w:trHeight w:val="454"/>
          <w:tblHeader/>
        </w:trPr>
        <w:tc>
          <w:tcPr>
            <w:tcW w:w="1988" w:type="pct"/>
            <w:shd w:val="clear" w:color="auto" w:fill="D5ECF5"/>
            <w:vAlign w:val="center"/>
            <w:hideMark/>
          </w:tcPr>
          <w:p w14:paraId="7418BB0F" w14:textId="77777777" w:rsidR="00D471AD" w:rsidRPr="00AB1F33" w:rsidRDefault="00D471AD" w:rsidP="004A31A9">
            <w:pPr>
              <w:spacing w:after="0" w:line="240" w:lineRule="auto"/>
              <w:rPr>
                <w:rFonts w:eastAsia="Times New Roman" w:cs="Arial"/>
                <w:bCs/>
                <w:color w:val="7A7B7C"/>
                <w:sz w:val="14"/>
                <w:szCs w:val="14"/>
                <w:lang w:eastAsia="en-AU"/>
              </w:rPr>
            </w:pPr>
            <w:r w:rsidRPr="00AB1F33">
              <w:rPr>
                <w:rFonts w:eastAsia="Times New Roman" w:cs="Arial" w:hint="eastAsia"/>
                <w:bCs/>
                <w:color w:val="7A7B7C"/>
                <w:sz w:val="14"/>
                <w:szCs w:val="14"/>
                <w:lang w:eastAsia="en-AU"/>
              </w:rPr>
              <w:t>Proportion of non-innovation active businesses collaborating for any reason, % of respondents</w:t>
            </w:r>
            <w:r w:rsidRPr="00AB1F33">
              <w:rPr>
                <w:rFonts w:ascii="Arial Unicode MS" w:eastAsia="Arial Unicode MS" w:hAnsi="Arial Unicode MS" w:cs="Arial Unicode MS"/>
                <w:bCs/>
                <w:color w:val="7A7B7C"/>
                <w:sz w:val="14"/>
                <w:szCs w:val="14"/>
                <w:lang w:eastAsia="en-AU"/>
              </w:rPr>
              <w:t>⁵</w:t>
            </w:r>
            <w:r w:rsidRPr="00AB1F33">
              <w:rPr>
                <w:rFonts w:ascii="Arial Unicode MS" w:eastAsia="Arial Unicode MS" w:hAnsi="Arial Unicode MS" w:cs="Arial Unicode MS" w:hint="eastAsia"/>
                <w:bCs/>
                <w:color w:val="7A7B7C"/>
                <w:sz w:val="14"/>
                <w:szCs w:val="14"/>
                <w:lang w:eastAsia="en-AU"/>
              </w:rPr>
              <w:t xml:space="preserve"> </w:t>
            </w:r>
            <w:r w:rsidRPr="00AB1F33">
              <w:rPr>
                <w:rFonts w:ascii="Arial Unicode MS" w:eastAsia="Arial Unicode MS" w:hAnsi="Arial Unicode MS" w:cs="Arial Unicode MS"/>
                <w:bCs/>
                <w:color w:val="7A7B7C"/>
                <w:sz w:val="14"/>
                <w:szCs w:val="14"/>
                <w:lang w:eastAsia="en-AU"/>
              </w:rPr>
              <w:t>⁶</w:t>
            </w:r>
            <w:r w:rsidRPr="00AB1F33">
              <w:rPr>
                <w:rFonts w:ascii="Arial Unicode MS" w:eastAsia="Arial Unicode MS" w:hAnsi="Arial Unicode MS" w:cs="Arial Unicode MS" w:hint="eastAsia"/>
                <w:bCs/>
                <w:color w:val="7A7B7C"/>
                <w:sz w:val="14"/>
                <w:szCs w:val="14"/>
                <w:lang w:eastAsia="en-AU"/>
              </w:rPr>
              <w:t xml:space="preserve"> </w:t>
            </w:r>
            <w:r w:rsidRPr="00AB1F33">
              <w:rPr>
                <w:rFonts w:ascii="Arial Unicode MS" w:eastAsia="Arial Unicode MS" w:hAnsi="Arial Unicode MS" w:cs="Arial Unicode MS"/>
                <w:bCs/>
                <w:color w:val="7A7B7C"/>
                <w:sz w:val="14"/>
                <w:szCs w:val="14"/>
                <w:lang w:eastAsia="en-AU"/>
              </w:rPr>
              <w:t>⁷</w:t>
            </w:r>
          </w:p>
        </w:tc>
        <w:tc>
          <w:tcPr>
            <w:tcW w:w="251" w:type="pct"/>
            <w:shd w:val="clear" w:color="auto" w:fill="D5ECF5"/>
            <w:vAlign w:val="center"/>
            <w:hideMark/>
          </w:tcPr>
          <w:p w14:paraId="7418BB10"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B11"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B12"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6.0</w:t>
            </w:r>
          </w:p>
        </w:tc>
        <w:tc>
          <w:tcPr>
            <w:tcW w:w="251" w:type="pct"/>
            <w:shd w:val="clear" w:color="auto" w:fill="D5ECF5"/>
            <w:vAlign w:val="center"/>
            <w:hideMark/>
          </w:tcPr>
          <w:p w14:paraId="7418BB13"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6.4</w:t>
            </w:r>
          </w:p>
        </w:tc>
        <w:tc>
          <w:tcPr>
            <w:tcW w:w="251" w:type="pct"/>
            <w:shd w:val="clear" w:color="auto" w:fill="D5ECF5"/>
            <w:vAlign w:val="center"/>
            <w:hideMark/>
          </w:tcPr>
          <w:p w14:paraId="7418BB14"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6.5</w:t>
            </w:r>
          </w:p>
        </w:tc>
        <w:tc>
          <w:tcPr>
            <w:tcW w:w="251" w:type="pct"/>
            <w:shd w:val="clear" w:color="auto" w:fill="D5ECF5"/>
            <w:vAlign w:val="center"/>
            <w:hideMark/>
          </w:tcPr>
          <w:p w14:paraId="7418BB15"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7.6</w:t>
            </w:r>
          </w:p>
        </w:tc>
        <w:tc>
          <w:tcPr>
            <w:tcW w:w="251" w:type="pct"/>
            <w:shd w:val="clear" w:color="auto" w:fill="D5ECF5"/>
            <w:vAlign w:val="center"/>
            <w:hideMark/>
          </w:tcPr>
          <w:p w14:paraId="7418BB16"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6.7</w:t>
            </w:r>
          </w:p>
        </w:tc>
        <w:tc>
          <w:tcPr>
            <w:tcW w:w="251" w:type="pct"/>
            <w:shd w:val="clear" w:color="auto" w:fill="D5ECF5"/>
            <w:vAlign w:val="center"/>
            <w:hideMark/>
          </w:tcPr>
          <w:p w14:paraId="7418BB17"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7.4</w:t>
            </w:r>
          </w:p>
        </w:tc>
        <w:tc>
          <w:tcPr>
            <w:tcW w:w="251" w:type="pct"/>
            <w:shd w:val="clear" w:color="auto" w:fill="D5ECF5"/>
            <w:vAlign w:val="center"/>
            <w:hideMark/>
          </w:tcPr>
          <w:p w14:paraId="7418BB18"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6.8</w:t>
            </w:r>
          </w:p>
        </w:tc>
        <w:tc>
          <w:tcPr>
            <w:tcW w:w="251" w:type="pct"/>
            <w:shd w:val="clear" w:color="auto" w:fill="D5ECF5"/>
            <w:vAlign w:val="center"/>
            <w:hideMark/>
          </w:tcPr>
          <w:p w14:paraId="7418BB19"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4.6</w:t>
            </w:r>
          </w:p>
        </w:tc>
        <w:tc>
          <w:tcPr>
            <w:tcW w:w="251" w:type="pct"/>
            <w:shd w:val="clear" w:color="auto" w:fill="D5ECF5"/>
            <w:vAlign w:val="center"/>
            <w:hideMark/>
          </w:tcPr>
          <w:p w14:paraId="7418BB1A"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3.8</w:t>
            </w:r>
          </w:p>
        </w:tc>
        <w:tc>
          <w:tcPr>
            <w:tcW w:w="251" w:type="pct"/>
            <w:shd w:val="clear" w:color="auto" w:fill="D5ECF5"/>
            <w:vAlign w:val="center"/>
            <w:hideMark/>
          </w:tcPr>
          <w:p w14:paraId="7418BB1B"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3.8</w:t>
            </w:r>
          </w:p>
        </w:tc>
      </w:tr>
      <w:tr w:rsidR="00D471AD" w:rsidRPr="00AB1F33" w14:paraId="7418BB2A" w14:textId="77777777" w:rsidTr="004A31A9">
        <w:trPr>
          <w:trHeight w:val="454"/>
          <w:tblHeader/>
        </w:trPr>
        <w:tc>
          <w:tcPr>
            <w:tcW w:w="1988" w:type="pct"/>
            <w:shd w:val="clear" w:color="auto" w:fill="E4F3F9"/>
            <w:vAlign w:val="center"/>
            <w:hideMark/>
          </w:tcPr>
          <w:p w14:paraId="7418BB1D" w14:textId="77777777" w:rsidR="00D471AD" w:rsidRPr="00AB1F33" w:rsidRDefault="00D471AD" w:rsidP="004A31A9">
            <w:pPr>
              <w:spacing w:after="0" w:line="240" w:lineRule="auto"/>
              <w:rPr>
                <w:rFonts w:eastAsia="Times New Roman" w:cs="Arial"/>
                <w:bCs/>
                <w:color w:val="7A7B7C"/>
                <w:sz w:val="14"/>
                <w:szCs w:val="14"/>
                <w:lang w:eastAsia="en-AU"/>
              </w:rPr>
            </w:pPr>
            <w:r w:rsidRPr="00AB1F33">
              <w:rPr>
                <w:rFonts w:eastAsia="Times New Roman" w:cs="Arial" w:hint="eastAsia"/>
                <w:bCs/>
                <w:color w:val="7A7B7C"/>
                <w:sz w:val="14"/>
                <w:szCs w:val="14"/>
                <w:lang w:eastAsia="en-AU"/>
              </w:rPr>
              <w:t>Percentage of innovation-active total businesses with international collaboration on innovation, %</w:t>
            </w:r>
            <w:r w:rsidRPr="00AB1F33">
              <w:rPr>
                <w:rFonts w:ascii="Arial Unicode MS" w:eastAsia="Arial Unicode MS" w:hAnsi="Arial Unicode MS" w:cs="Arial Unicode MS" w:hint="eastAsia"/>
                <w:bCs/>
                <w:color w:val="7A7B7C"/>
                <w:sz w:val="14"/>
                <w:szCs w:val="14"/>
                <w:lang w:eastAsia="en-AU"/>
              </w:rPr>
              <w:t xml:space="preserve">² </w:t>
            </w:r>
            <w:r w:rsidRPr="00AB1F33">
              <w:rPr>
                <w:rFonts w:ascii="Arial Unicode MS" w:eastAsia="Arial Unicode MS" w:hAnsi="Arial Unicode MS" w:cs="Arial Unicode MS"/>
                <w:bCs/>
                <w:color w:val="7A7B7C"/>
                <w:sz w:val="14"/>
                <w:szCs w:val="14"/>
                <w:lang w:eastAsia="en-AU"/>
              </w:rPr>
              <w:t>⁴</w:t>
            </w:r>
            <w:r w:rsidRPr="00AB1F33">
              <w:rPr>
                <w:rFonts w:ascii="Arial Unicode MS" w:eastAsia="Arial Unicode MS" w:hAnsi="Arial Unicode MS" w:cs="Arial Unicode MS" w:hint="eastAsia"/>
                <w:bCs/>
                <w:color w:val="7A7B7C"/>
                <w:sz w:val="14"/>
                <w:szCs w:val="14"/>
                <w:lang w:eastAsia="en-AU"/>
              </w:rPr>
              <w:t xml:space="preserve"> </w:t>
            </w:r>
            <w:r w:rsidRPr="00AB1F33">
              <w:rPr>
                <w:rFonts w:ascii="Arial Unicode MS" w:eastAsia="Arial Unicode MS" w:hAnsi="Arial Unicode MS" w:cs="Arial Unicode MS"/>
                <w:bCs/>
                <w:color w:val="7A7B7C"/>
                <w:sz w:val="14"/>
                <w:szCs w:val="14"/>
                <w:lang w:eastAsia="en-AU"/>
              </w:rPr>
              <w:t>¹⁴</w:t>
            </w:r>
          </w:p>
        </w:tc>
        <w:tc>
          <w:tcPr>
            <w:tcW w:w="251" w:type="pct"/>
            <w:shd w:val="clear" w:color="auto" w:fill="E4F3F9"/>
            <w:vAlign w:val="center"/>
            <w:hideMark/>
          </w:tcPr>
          <w:p w14:paraId="7418BB1E"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1F"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20"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21"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22"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23"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2.4</w:t>
            </w:r>
          </w:p>
        </w:tc>
        <w:tc>
          <w:tcPr>
            <w:tcW w:w="251" w:type="pct"/>
            <w:shd w:val="clear" w:color="auto" w:fill="E4F3F9"/>
            <w:vAlign w:val="center"/>
            <w:hideMark/>
          </w:tcPr>
          <w:p w14:paraId="7418BB24"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25"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4.0</w:t>
            </w:r>
          </w:p>
        </w:tc>
        <w:tc>
          <w:tcPr>
            <w:tcW w:w="251" w:type="pct"/>
            <w:shd w:val="clear" w:color="auto" w:fill="E4F3F9"/>
            <w:vAlign w:val="center"/>
            <w:hideMark/>
          </w:tcPr>
          <w:p w14:paraId="7418BB26"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27"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6.1</w:t>
            </w:r>
          </w:p>
        </w:tc>
        <w:tc>
          <w:tcPr>
            <w:tcW w:w="251" w:type="pct"/>
            <w:shd w:val="clear" w:color="auto" w:fill="E4F3F9"/>
            <w:vAlign w:val="center"/>
            <w:hideMark/>
          </w:tcPr>
          <w:p w14:paraId="7418BB28"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29"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r>
      <w:tr w:rsidR="00D471AD" w:rsidRPr="00AB1F33" w14:paraId="7418BB38" w14:textId="77777777" w:rsidTr="004A31A9">
        <w:trPr>
          <w:trHeight w:val="454"/>
          <w:tblHeader/>
        </w:trPr>
        <w:tc>
          <w:tcPr>
            <w:tcW w:w="1988" w:type="pct"/>
            <w:shd w:val="clear" w:color="auto" w:fill="D5ECF5"/>
            <w:vAlign w:val="center"/>
            <w:hideMark/>
          </w:tcPr>
          <w:p w14:paraId="7418BB2B" w14:textId="77777777" w:rsidR="00D471AD" w:rsidRPr="00AB1F33" w:rsidRDefault="00D471AD" w:rsidP="004A31A9">
            <w:pPr>
              <w:spacing w:after="0" w:line="240" w:lineRule="auto"/>
              <w:rPr>
                <w:rFonts w:eastAsia="Times New Roman" w:cs="Arial"/>
                <w:bCs/>
                <w:color w:val="7A7B7C"/>
                <w:sz w:val="14"/>
                <w:szCs w:val="14"/>
                <w:lang w:eastAsia="en-AU"/>
              </w:rPr>
            </w:pPr>
            <w:r w:rsidRPr="00AB1F33">
              <w:rPr>
                <w:rFonts w:eastAsia="Times New Roman" w:cs="Arial" w:hint="eastAsia"/>
                <w:bCs/>
                <w:color w:val="7A7B7C"/>
                <w:sz w:val="14"/>
                <w:szCs w:val="14"/>
                <w:lang w:eastAsia="en-AU"/>
              </w:rPr>
              <w:t>Percentage of innovation-active total businesses collaborating with universities or other research institutions (excluding commercial), as a percentage of collaborative innovation-active businesses</w:t>
            </w:r>
            <w:r w:rsidRPr="00AB1F33">
              <w:rPr>
                <w:rFonts w:ascii="Arial Unicode MS" w:eastAsia="Arial Unicode MS" w:hAnsi="Arial Unicode MS" w:cs="Arial Unicode MS" w:hint="eastAsia"/>
                <w:bCs/>
                <w:color w:val="7A7B7C"/>
                <w:sz w:val="14"/>
                <w:szCs w:val="14"/>
                <w:lang w:eastAsia="en-AU"/>
              </w:rPr>
              <w:t>² ¹</w:t>
            </w:r>
            <w:r w:rsidRPr="00AB1F33">
              <w:rPr>
                <w:rFonts w:ascii="Arial Unicode MS" w:eastAsia="Arial Unicode MS" w:hAnsi="Arial Unicode MS" w:cs="Arial Unicode MS"/>
                <w:bCs/>
                <w:color w:val="7A7B7C"/>
                <w:sz w:val="14"/>
                <w:szCs w:val="14"/>
                <w:lang w:eastAsia="en-AU"/>
              </w:rPr>
              <w:t>⁵</w:t>
            </w:r>
          </w:p>
        </w:tc>
        <w:tc>
          <w:tcPr>
            <w:tcW w:w="251" w:type="pct"/>
            <w:shd w:val="clear" w:color="auto" w:fill="D5ECF5"/>
            <w:vAlign w:val="center"/>
            <w:hideMark/>
          </w:tcPr>
          <w:p w14:paraId="7418BB2C"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B2D"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B2E"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B2F"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12.1</w:t>
            </w:r>
          </w:p>
        </w:tc>
        <w:tc>
          <w:tcPr>
            <w:tcW w:w="251" w:type="pct"/>
            <w:shd w:val="clear" w:color="auto" w:fill="D5ECF5"/>
            <w:vAlign w:val="center"/>
            <w:hideMark/>
          </w:tcPr>
          <w:p w14:paraId="7418BB30"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B31"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9.5</w:t>
            </w:r>
          </w:p>
        </w:tc>
        <w:tc>
          <w:tcPr>
            <w:tcW w:w="251" w:type="pct"/>
            <w:shd w:val="clear" w:color="auto" w:fill="D5ECF5"/>
            <w:vAlign w:val="center"/>
            <w:hideMark/>
          </w:tcPr>
          <w:p w14:paraId="7418BB32"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B33"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9.6</w:t>
            </w:r>
          </w:p>
        </w:tc>
        <w:tc>
          <w:tcPr>
            <w:tcW w:w="251" w:type="pct"/>
            <w:shd w:val="clear" w:color="auto" w:fill="D5ECF5"/>
            <w:vAlign w:val="center"/>
            <w:hideMark/>
          </w:tcPr>
          <w:p w14:paraId="7418BB34"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B35"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12.6</w:t>
            </w:r>
          </w:p>
        </w:tc>
        <w:tc>
          <w:tcPr>
            <w:tcW w:w="251" w:type="pct"/>
            <w:shd w:val="clear" w:color="auto" w:fill="D5ECF5"/>
            <w:vAlign w:val="center"/>
            <w:hideMark/>
          </w:tcPr>
          <w:p w14:paraId="7418BB36"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B37"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8.8</w:t>
            </w:r>
          </w:p>
        </w:tc>
      </w:tr>
      <w:tr w:rsidR="00D471AD" w:rsidRPr="00AB1F33" w14:paraId="7418BB46" w14:textId="77777777" w:rsidTr="004A31A9">
        <w:trPr>
          <w:trHeight w:val="454"/>
          <w:tblHeader/>
        </w:trPr>
        <w:tc>
          <w:tcPr>
            <w:tcW w:w="1988" w:type="pct"/>
            <w:shd w:val="clear" w:color="auto" w:fill="E4F3F9"/>
            <w:vAlign w:val="center"/>
            <w:hideMark/>
          </w:tcPr>
          <w:p w14:paraId="7418BB39" w14:textId="77777777" w:rsidR="00D471AD" w:rsidRPr="00AB1F33" w:rsidRDefault="00D471AD" w:rsidP="004A31A9">
            <w:pPr>
              <w:spacing w:after="0" w:line="240" w:lineRule="auto"/>
              <w:rPr>
                <w:rFonts w:eastAsia="Times New Roman" w:cs="Arial"/>
                <w:bCs/>
                <w:color w:val="7A7B7C"/>
                <w:sz w:val="14"/>
                <w:szCs w:val="14"/>
                <w:lang w:eastAsia="en-AU"/>
              </w:rPr>
            </w:pPr>
            <w:r w:rsidRPr="00AB1F33">
              <w:rPr>
                <w:rFonts w:eastAsia="Times New Roman" w:cs="Arial" w:hint="eastAsia"/>
                <w:bCs/>
                <w:color w:val="7A7B7C"/>
                <w:sz w:val="14"/>
                <w:szCs w:val="14"/>
                <w:lang w:eastAsia="en-AU"/>
              </w:rPr>
              <w:t>Percentage of innovation-active SMEs collaborating with universities or other research institutions (excluding commercial), as a percentage of collaborative innovation-active businesses</w:t>
            </w:r>
            <w:r w:rsidRPr="00AB1F33">
              <w:rPr>
                <w:rFonts w:ascii="Arial Unicode MS" w:eastAsia="Arial Unicode MS" w:hAnsi="Arial Unicode MS" w:cs="Arial Unicode MS" w:hint="eastAsia"/>
                <w:bCs/>
                <w:color w:val="7A7B7C"/>
                <w:sz w:val="14"/>
                <w:szCs w:val="14"/>
                <w:lang w:eastAsia="en-AU"/>
              </w:rPr>
              <w:t xml:space="preserve">² </w:t>
            </w:r>
            <w:r w:rsidRPr="00AB1F33">
              <w:rPr>
                <w:rFonts w:ascii="Arial Unicode MS" w:eastAsia="Arial Unicode MS" w:hAnsi="Arial Unicode MS" w:cs="Arial Unicode MS"/>
                <w:bCs/>
                <w:color w:val="7A7B7C"/>
                <w:sz w:val="14"/>
                <w:szCs w:val="14"/>
                <w:lang w:eastAsia="en-AU"/>
              </w:rPr>
              <w:t>⁸</w:t>
            </w:r>
            <w:r w:rsidRPr="00AB1F33">
              <w:rPr>
                <w:rFonts w:ascii="Arial Unicode MS" w:eastAsia="Arial Unicode MS" w:hAnsi="Arial Unicode MS" w:cs="Arial Unicode MS" w:hint="eastAsia"/>
                <w:bCs/>
                <w:color w:val="7A7B7C"/>
                <w:sz w:val="14"/>
                <w:szCs w:val="14"/>
                <w:lang w:eastAsia="en-AU"/>
              </w:rPr>
              <w:t xml:space="preserve"> </w:t>
            </w:r>
            <w:r w:rsidRPr="00AB1F33">
              <w:rPr>
                <w:rFonts w:ascii="Arial Unicode MS" w:eastAsia="Arial Unicode MS" w:hAnsi="Arial Unicode MS" w:cs="Arial Unicode MS"/>
                <w:bCs/>
                <w:color w:val="7A7B7C"/>
                <w:sz w:val="14"/>
                <w:szCs w:val="14"/>
                <w:lang w:eastAsia="en-AU"/>
              </w:rPr>
              <w:t>¹²</w:t>
            </w:r>
          </w:p>
        </w:tc>
        <w:tc>
          <w:tcPr>
            <w:tcW w:w="251" w:type="pct"/>
            <w:shd w:val="clear" w:color="auto" w:fill="E4F3F9"/>
            <w:vAlign w:val="center"/>
            <w:hideMark/>
          </w:tcPr>
          <w:p w14:paraId="7418BB3A"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3B"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3C"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3D"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12.1</w:t>
            </w:r>
          </w:p>
        </w:tc>
        <w:tc>
          <w:tcPr>
            <w:tcW w:w="251" w:type="pct"/>
            <w:shd w:val="clear" w:color="auto" w:fill="E4F3F9"/>
            <w:vAlign w:val="center"/>
            <w:hideMark/>
          </w:tcPr>
          <w:p w14:paraId="7418BB3E"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3F"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9.5</w:t>
            </w:r>
          </w:p>
        </w:tc>
        <w:tc>
          <w:tcPr>
            <w:tcW w:w="251" w:type="pct"/>
            <w:shd w:val="clear" w:color="auto" w:fill="E4F3F9"/>
            <w:vAlign w:val="center"/>
            <w:hideMark/>
          </w:tcPr>
          <w:p w14:paraId="7418BB40"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41"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9.6</w:t>
            </w:r>
          </w:p>
        </w:tc>
        <w:tc>
          <w:tcPr>
            <w:tcW w:w="251" w:type="pct"/>
            <w:shd w:val="clear" w:color="auto" w:fill="E4F3F9"/>
            <w:vAlign w:val="center"/>
            <w:hideMark/>
          </w:tcPr>
          <w:p w14:paraId="7418BB42"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43"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12.6</w:t>
            </w:r>
          </w:p>
        </w:tc>
        <w:tc>
          <w:tcPr>
            <w:tcW w:w="251" w:type="pct"/>
            <w:shd w:val="clear" w:color="auto" w:fill="E4F3F9"/>
            <w:vAlign w:val="center"/>
            <w:hideMark/>
          </w:tcPr>
          <w:p w14:paraId="7418BB44"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E4F3F9"/>
            <w:vAlign w:val="center"/>
            <w:hideMark/>
          </w:tcPr>
          <w:p w14:paraId="7418BB45"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8.7</w:t>
            </w:r>
          </w:p>
        </w:tc>
      </w:tr>
      <w:tr w:rsidR="00D471AD" w:rsidRPr="00AB1F33" w14:paraId="7418BB54" w14:textId="77777777" w:rsidTr="004A31A9">
        <w:trPr>
          <w:trHeight w:val="454"/>
          <w:tblHeader/>
        </w:trPr>
        <w:tc>
          <w:tcPr>
            <w:tcW w:w="1988" w:type="pct"/>
            <w:shd w:val="clear" w:color="auto" w:fill="D5ECF5"/>
            <w:vAlign w:val="center"/>
            <w:hideMark/>
          </w:tcPr>
          <w:p w14:paraId="7418BB47" w14:textId="77777777" w:rsidR="00D471AD" w:rsidRPr="00AB1F33" w:rsidRDefault="00D471AD" w:rsidP="004A31A9">
            <w:pPr>
              <w:spacing w:after="0" w:line="240" w:lineRule="auto"/>
              <w:rPr>
                <w:rFonts w:eastAsia="Times New Roman" w:cs="Arial"/>
                <w:bCs/>
                <w:color w:val="7A7B7C"/>
                <w:sz w:val="14"/>
                <w:szCs w:val="14"/>
                <w:lang w:eastAsia="en-AU"/>
              </w:rPr>
            </w:pPr>
            <w:r w:rsidRPr="00AB1F33">
              <w:rPr>
                <w:rFonts w:eastAsia="Times New Roman" w:cs="Arial" w:hint="eastAsia"/>
                <w:bCs/>
                <w:color w:val="7A7B7C"/>
                <w:sz w:val="14"/>
                <w:szCs w:val="14"/>
                <w:lang w:eastAsia="en-AU"/>
              </w:rPr>
              <w:t>Percentage of innovation-active large businesses collaborating with universities or other research institutions (excluding commercial), as a percentage of collaborative innovation-active businesses</w:t>
            </w:r>
            <w:r w:rsidRPr="00AB1F33">
              <w:rPr>
                <w:rFonts w:ascii="Arial Unicode MS" w:eastAsia="Arial Unicode MS" w:hAnsi="Arial Unicode MS" w:cs="Arial Unicode MS" w:hint="eastAsia"/>
                <w:bCs/>
                <w:color w:val="7A7B7C"/>
                <w:sz w:val="14"/>
                <w:szCs w:val="14"/>
                <w:lang w:eastAsia="en-AU"/>
              </w:rPr>
              <w:t xml:space="preserve">² </w:t>
            </w:r>
            <w:r w:rsidRPr="00AB1F33">
              <w:rPr>
                <w:rFonts w:ascii="Arial Unicode MS" w:eastAsia="Arial Unicode MS" w:hAnsi="Arial Unicode MS" w:cs="Arial Unicode MS"/>
                <w:bCs/>
                <w:color w:val="7A7B7C"/>
                <w:sz w:val="14"/>
                <w:szCs w:val="14"/>
                <w:lang w:eastAsia="en-AU"/>
              </w:rPr>
              <w:t>⁸</w:t>
            </w:r>
            <w:r w:rsidRPr="00AB1F33">
              <w:rPr>
                <w:rFonts w:ascii="Arial Unicode MS" w:eastAsia="Arial Unicode MS" w:hAnsi="Arial Unicode MS" w:cs="Arial Unicode MS" w:hint="eastAsia"/>
                <w:bCs/>
                <w:color w:val="7A7B7C"/>
                <w:sz w:val="14"/>
                <w:szCs w:val="14"/>
                <w:lang w:eastAsia="en-AU"/>
              </w:rPr>
              <w:t xml:space="preserve"> </w:t>
            </w:r>
            <w:r w:rsidRPr="00AB1F33">
              <w:rPr>
                <w:rFonts w:ascii="Arial Unicode MS" w:eastAsia="Arial Unicode MS" w:hAnsi="Arial Unicode MS" w:cs="Arial Unicode MS"/>
                <w:bCs/>
                <w:color w:val="7A7B7C"/>
                <w:sz w:val="14"/>
                <w:szCs w:val="14"/>
                <w:lang w:eastAsia="en-AU"/>
              </w:rPr>
              <w:t>¹³</w:t>
            </w:r>
          </w:p>
        </w:tc>
        <w:tc>
          <w:tcPr>
            <w:tcW w:w="251" w:type="pct"/>
            <w:shd w:val="clear" w:color="auto" w:fill="D5ECF5"/>
            <w:vAlign w:val="center"/>
            <w:hideMark/>
          </w:tcPr>
          <w:p w14:paraId="7418BB48"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B49"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B4A"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B4B"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12.7</w:t>
            </w:r>
          </w:p>
        </w:tc>
        <w:tc>
          <w:tcPr>
            <w:tcW w:w="251" w:type="pct"/>
            <w:shd w:val="clear" w:color="auto" w:fill="D5ECF5"/>
            <w:vAlign w:val="center"/>
            <w:hideMark/>
          </w:tcPr>
          <w:p w14:paraId="7418BB4C"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B4D"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15.8</w:t>
            </w:r>
          </w:p>
        </w:tc>
        <w:tc>
          <w:tcPr>
            <w:tcW w:w="251" w:type="pct"/>
            <w:shd w:val="clear" w:color="auto" w:fill="D5ECF5"/>
            <w:vAlign w:val="center"/>
            <w:hideMark/>
          </w:tcPr>
          <w:p w14:paraId="7418BB4E"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B4F"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13.7</w:t>
            </w:r>
          </w:p>
        </w:tc>
        <w:tc>
          <w:tcPr>
            <w:tcW w:w="251" w:type="pct"/>
            <w:shd w:val="clear" w:color="auto" w:fill="D5ECF5"/>
            <w:vAlign w:val="center"/>
            <w:hideMark/>
          </w:tcPr>
          <w:p w14:paraId="7418BB50"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B51"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10.7</w:t>
            </w:r>
          </w:p>
        </w:tc>
        <w:tc>
          <w:tcPr>
            <w:tcW w:w="251" w:type="pct"/>
            <w:shd w:val="clear" w:color="auto" w:fill="D5ECF5"/>
            <w:vAlign w:val="center"/>
            <w:hideMark/>
          </w:tcPr>
          <w:p w14:paraId="7418BB52"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shd w:val="clear" w:color="auto" w:fill="D5ECF5"/>
            <w:vAlign w:val="center"/>
            <w:hideMark/>
          </w:tcPr>
          <w:p w14:paraId="7418BB53"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11.2</w:t>
            </w:r>
          </w:p>
        </w:tc>
      </w:tr>
      <w:tr w:rsidR="00D471AD" w:rsidRPr="00AB1F33" w14:paraId="7418BB62" w14:textId="77777777" w:rsidTr="004A31A9">
        <w:trPr>
          <w:trHeight w:val="454"/>
          <w:tblHeader/>
        </w:trPr>
        <w:tc>
          <w:tcPr>
            <w:tcW w:w="1988" w:type="pct"/>
            <w:tcBorders>
              <w:bottom w:val="single" w:sz="4" w:space="0" w:color="auto"/>
            </w:tcBorders>
            <w:shd w:val="clear" w:color="auto" w:fill="E4F3F9"/>
            <w:vAlign w:val="center"/>
            <w:hideMark/>
          </w:tcPr>
          <w:p w14:paraId="7418BB55" w14:textId="77777777" w:rsidR="00D471AD" w:rsidRPr="00AB1F33" w:rsidRDefault="00D471AD" w:rsidP="004A31A9">
            <w:pPr>
              <w:spacing w:after="0" w:line="240" w:lineRule="auto"/>
              <w:rPr>
                <w:rFonts w:eastAsia="Times New Roman" w:cs="Arial"/>
                <w:bCs/>
                <w:color w:val="7A7B7C"/>
                <w:sz w:val="14"/>
                <w:szCs w:val="14"/>
                <w:lang w:eastAsia="en-AU"/>
              </w:rPr>
            </w:pPr>
            <w:r w:rsidRPr="00AB1F33">
              <w:rPr>
                <w:rFonts w:eastAsia="Times New Roman" w:cs="Arial" w:hint="eastAsia"/>
                <w:bCs/>
                <w:color w:val="7A7B7C"/>
                <w:sz w:val="14"/>
                <w:szCs w:val="14"/>
                <w:lang w:eastAsia="en-AU"/>
              </w:rPr>
              <w:t>International collaboration in development of environment-related technologies, % collaboration in all technologies</w:t>
            </w:r>
            <w:r w:rsidRPr="00AB1F33">
              <w:rPr>
                <w:rFonts w:ascii="Arial Unicode MS" w:eastAsia="Arial Unicode MS" w:hAnsi="Arial Unicode MS" w:cs="Arial Unicode MS"/>
                <w:bCs/>
                <w:color w:val="7A7B7C"/>
                <w:sz w:val="14"/>
                <w:szCs w:val="14"/>
                <w:lang w:eastAsia="en-AU"/>
              </w:rPr>
              <w:t>⁹</w:t>
            </w:r>
          </w:p>
        </w:tc>
        <w:tc>
          <w:tcPr>
            <w:tcW w:w="251" w:type="pct"/>
            <w:tcBorders>
              <w:bottom w:val="single" w:sz="4" w:space="0" w:color="auto"/>
            </w:tcBorders>
            <w:shd w:val="clear" w:color="auto" w:fill="E4F3F9"/>
            <w:vAlign w:val="center"/>
            <w:hideMark/>
          </w:tcPr>
          <w:p w14:paraId="7418BB56"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4.2</w:t>
            </w:r>
          </w:p>
        </w:tc>
        <w:tc>
          <w:tcPr>
            <w:tcW w:w="251" w:type="pct"/>
            <w:tcBorders>
              <w:bottom w:val="single" w:sz="4" w:space="0" w:color="auto"/>
            </w:tcBorders>
            <w:shd w:val="clear" w:color="auto" w:fill="E4F3F9"/>
            <w:vAlign w:val="center"/>
            <w:hideMark/>
          </w:tcPr>
          <w:p w14:paraId="7418BB57"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3.2</w:t>
            </w:r>
          </w:p>
        </w:tc>
        <w:tc>
          <w:tcPr>
            <w:tcW w:w="251" w:type="pct"/>
            <w:tcBorders>
              <w:bottom w:val="single" w:sz="4" w:space="0" w:color="auto"/>
            </w:tcBorders>
            <w:shd w:val="clear" w:color="auto" w:fill="E4F3F9"/>
            <w:vAlign w:val="center"/>
            <w:hideMark/>
          </w:tcPr>
          <w:p w14:paraId="7418BB58"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3.4</w:t>
            </w:r>
          </w:p>
        </w:tc>
        <w:tc>
          <w:tcPr>
            <w:tcW w:w="251" w:type="pct"/>
            <w:tcBorders>
              <w:bottom w:val="single" w:sz="4" w:space="0" w:color="auto"/>
            </w:tcBorders>
            <w:shd w:val="clear" w:color="auto" w:fill="E4F3F9"/>
            <w:vAlign w:val="center"/>
            <w:hideMark/>
          </w:tcPr>
          <w:p w14:paraId="7418BB59"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3.9</w:t>
            </w:r>
          </w:p>
        </w:tc>
        <w:tc>
          <w:tcPr>
            <w:tcW w:w="251" w:type="pct"/>
            <w:tcBorders>
              <w:bottom w:val="single" w:sz="4" w:space="0" w:color="auto"/>
            </w:tcBorders>
            <w:shd w:val="clear" w:color="auto" w:fill="E4F3F9"/>
            <w:vAlign w:val="center"/>
            <w:hideMark/>
          </w:tcPr>
          <w:p w14:paraId="7418BB5A"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6.2</w:t>
            </w:r>
          </w:p>
        </w:tc>
        <w:tc>
          <w:tcPr>
            <w:tcW w:w="251" w:type="pct"/>
            <w:tcBorders>
              <w:bottom w:val="single" w:sz="4" w:space="0" w:color="auto"/>
            </w:tcBorders>
            <w:shd w:val="clear" w:color="auto" w:fill="E4F3F9"/>
            <w:vAlign w:val="center"/>
            <w:hideMark/>
          </w:tcPr>
          <w:p w14:paraId="7418BB5B"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4.7</w:t>
            </w:r>
          </w:p>
        </w:tc>
        <w:tc>
          <w:tcPr>
            <w:tcW w:w="251" w:type="pct"/>
            <w:tcBorders>
              <w:bottom w:val="single" w:sz="4" w:space="0" w:color="auto"/>
            </w:tcBorders>
            <w:shd w:val="clear" w:color="auto" w:fill="E4F3F9"/>
            <w:vAlign w:val="center"/>
            <w:hideMark/>
          </w:tcPr>
          <w:p w14:paraId="7418BB5C"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5.9</w:t>
            </w:r>
          </w:p>
        </w:tc>
        <w:tc>
          <w:tcPr>
            <w:tcW w:w="251" w:type="pct"/>
            <w:tcBorders>
              <w:bottom w:val="single" w:sz="4" w:space="0" w:color="auto"/>
            </w:tcBorders>
            <w:shd w:val="clear" w:color="auto" w:fill="E4F3F9"/>
            <w:vAlign w:val="center"/>
            <w:hideMark/>
          </w:tcPr>
          <w:p w14:paraId="7418BB5D"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8.0</w:t>
            </w:r>
          </w:p>
        </w:tc>
        <w:tc>
          <w:tcPr>
            <w:tcW w:w="251" w:type="pct"/>
            <w:tcBorders>
              <w:bottom w:val="single" w:sz="4" w:space="0" w:color="auto"/>
            </w:tcBorders>
            <w:shd w:val="clear" w:color="auto" w:fill="E4F3F9"/>
            <w:vAlign w:val="center"/>
            <w:hideMark/>
          </w:tcPr>
          <w:p w14:paraId="7418BB5E"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6.2</w:t>
            </w:r>
          </w:p>
        </w:tc>
        <w:tc>
          <w:tcPr>
            <w:tcW w:w="251" w:type="pct"/>
            <w:tcBorders>
              <w:bottom w:val="single" w:sz="4" w:space="0" w:color="auto"/>
            </w:tcBorders>
            <w:shd w:val="clear" w:color="auto" w:fill="E4F3F9"/>
            <w:vAlign w:val="center"/>
            <w:hideMark/>
          </w:tcPr>
          <w:p w14:paraId="7418BB5F"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6.6</w:t>
            </w:r>
          </w:p>
        </w:tc>
        <w:tc>
          <w:tcPr>
            <w:tcW w:w="251" w:type="pct"/>
            <w:tcBorders>
              <w:bottom w:val="single" w:sz="4" w:space="0" w:color="auto"/>
            </w:tcBorders>
            <w:shd w:val="clear" w:color="auto" w:fill="E4F3F9"/>
            <w:vAlign w:val="center"/>
            <w:hideMark/>
          </w:tcPr>
          <w:p w14:paraId="7418BB60"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c>
          <w:tcPr>
            <w:tcW w:w="251" w:type="pct"/>
            <w:tcBorders>
              <w:bottom w:val="single" w:sz="4" w:space="0" w:color="auto"/>
            </w:tcBorders>
            <w:shd w:val="clear" w:color="auto" w:fill="E4F3F9"/>
            <w:vAlign w:val="center"/>
            <w:hideMark/>
          </w:tcPr>
          <w:p w14:paraId="7418BB61" w14:textId="77777777" w:rsidR="00D471AD" w:rsidRPr="00AB1F33" w:rsidRDefault="00D471AD" w:rsidP="004A31A9">
            <w:pPr>
              <w:spacing w:after="0" w:line="240" w:lineRule="auto"/>
              <w:jc w:val="right"/>
              <w:rPr>
                <w:rFonts w:eastAsia="Times New Roman" w:cs="Arial"/>
                <w:bCs/>
                <w:color w:val="7A7B7C"/>
                <w:sz w:val="14"/>
                <w:szCs w:val="14"/>
                <w:lang w:eastAsia="en-AU"/>
              </w:rPr>
            </w:pPr>
            <w:r w:rsidRPr="00AB1F33">
              <w:rPr>
                <w:rFonts w:eastAsia="Times New Roman" w:cs="Arial"/>
                <w:bCs/>
                <w:color w:val="7A7B7C"/>
                <w:sz w:val="14"/>
                <w:szCs w:val="14"/>
                <w:lang w:eastAsia="en-AU"/>
              </w:rPr>
              <w:t>–</w:t>
            </w:r>
          </w:p>
        </w:tc>
      </w:tr>
    </w:tbl>
    <w:p w14:paraId="7418BB63" w14:textId="77777777" w:rsidR="00D471AD" w:rsidRDefault="00D471AD" w:rsidP="00D471AD"/>
    <w:tbl>
      <w:tblPr>
        <w:tblW w:w="5000" w:type="pct"/>
        <w:tblBorders>
          <w:bottom w:val="single" w:sz="4" w:space="0" w:color="auto"/>
        </w:tblBorders>
        <w:tblLook w:val="04A0" w:firstRow="1" w:lastRow="0" w:firstColumn="1" w:lastColumn="0" w:noHBand="0" w:noVBand="1"/>
      </w:tblPr>
      <w:tblGrid>
        <w:gridCol w:w="5539"/>
        <w:gridCol w:w="1312"/>
        <w:gridCol w:w="173"/>
        <w:gridCol w:w="1616"/>
        <w:gridCol w:w="1234"/>
        <w:gridCol w:w="1460"/>
        <w:gridCol w:w="1312"/>
        <w:gridCol w:w="1245"/>
        <w:gridCol w:w="67"/>
      </w:tblGrid>
      <w:tr w:rsidR="00D471AD" w:rsidRPr="00051CAA" w14:paraId="7418BB65" w14:textId="77777777" w:rsidTr="004A31A9">
        <w:trPr>
          <w:gridAfter w:val="1"/>
          <w:wAfter w:w="24" w:type="pct"/>
          <w:trHeight w:val="300"/>
          <w:tblHeader/>
        </w:trPr>
        <w:tc>
          <w:tcPr>
            <w:tcW w:w="4976" w:type="pct"/>
            <w:gridSpan w:val="8"/>
            <w:tcBorders>
              <w:top w:val="single" w:sz="8" w:space="0" w:color="22789A"/>
              <w:bottom w:val="nil"/>
            </w:tcBorders>
            <w:shd w:val="clear" w:color="auto" w:fill="auto"/>
            <w:vAlign w:val="center"/>
          </w:tcPr>
          <w:p w14:paraId="7418BB64" w14:textId="77777777" w:rsidR="00D471AD" w:rsidRPr="00C10561" w:rsidRDefault="00D471AD" w:rsidP="004A31A9">
            <w:pPr>
              <w:pStyle w:val="TableParagraph"/>
              <w:spacing w:before="42"/>
              <w:ind w:left="-108"/>
              <w:rPr>
                <w:rFonts w:ascii="Arial"/>
                <w:i/>
                <w:color w:val="22789A"/>
                <w:spacing w:val="3"/>
                <w:sz w:val="18"/>
              </w:rPr>
            </w:pPr>
            <w:r w:rsidRPr="008F7EDC">
              <w:rPr>
                <w:rFonts w:ascii="Arial"/>
                <w:i/>
                <w:color w:val="22789A"/>
                <w:spacing w:val="3"/>
                <w:sz w:val="18"/>
              </w:rPr>
              <w:t>Table A4(b): Indicators of Australia</w:t>
            </w:r>
            <w:r w:rsidRPr="008F7EDC">
              <w:rPr>
                <w:rFonts w:ascii="Arial"/>
                <w:i/>
                <w:color w:val="22789A"/>
                <w:spacing w:val="3"/>
                <w:sz w:val="18"/>
              </w:rPr>
              <w:t>’</w:t>
            </w:r>
            <w:r w:rsidRPr="008F7EDC">
              <w:rPr>
                <w:rFonts w:ascii="Arial"/>
                <w:i/>
                <w:color w:val="22789A"/>
                <w:spacing w:val="3"/>
                <w:sz w:val="18"/>
              </w:rPr>
              <w:t>s business collaboration activity by innovation-active businesses</w:t>
            </w:r>
          </w:p>
        </w:tc>
      </w:tr>
      <w:tr w:rsidR="00D471AD" w14:paraId="7418BB69"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369"/>
          <w:tblHeader/>
        </w:trPr>
        <w:tc>
          <w:tcPr>
            <w:tcW w:w="1984" w:type="pct"/>
            <w:tcBorders>
              <w:top w:val="nil"/>
              <w:left w:val="nil"/>
              <w:bottom w:val="nil"/>
              <w:right w:val="nil"/>
            </w:tcBorders>
            <w:shd w:val="clear" w:color="auto" w:fill="22789A"/>
          </w:tcPr>
          <w:p w14:paraId="7418BB66" w14:textId="77777777" w:rsidR="00D471AD" w:rsidRDefault="00D471AD" w:rsidP="004A31A9">
            <w:pPr>
              <w:pStyle w:val="TableParagraph"/>
              <w:spacing w:before="42"/>
              <w:ind w:left="79"/>
              <w:rPr>
                <w:rFonts w:ascii="Arial" w:eastAsia="Arial" w:hAnsi="Arial" w:cs="Arial"/>
                <w:sz w:val="18"/>
                <w:szCs w:val="18"/>
              </w:rPr>
            </w:pPr>
            <w:r>
              <w:rPr>
                <w:rFonts w:ascii="Arial"/>
                <w:i/>
                <w:color w:val="FFFFFF"/>
                <w:spacing w:val="3"/>
                <w:sz w:val="18"/>
              </w:rPr>
              <w:t>OECD+</w:t>
            </w:r>
            <w:r>
              <w:rPr>
                <w:rFonts w:ascii="Arial"/>
                <w:i/>
                <w:color w:val="FFFFFF"/>
                <w:spacing w:val="8"/>
                <w:sz w:val="18"/>
              </w:rPr>
              <w:t xml:space="preserve"> </w:t>
            </w:r>
            <w:r>
              <w:rPr>
                <w:rFonts w:ascii="Arial"/>
                <w:i/>
                <w:color w:val="FFFFFF"/>
                <w:spacing w:val="3"/>
                <w:sz w:val="18"/>
              </w:rPr>
              <w:t>Comparisons</w:t>
            </w:r>
            <w:r>
              <w:rPr>
                <w:rFonts w:ascii="Arial"/>
                <w:i/>
                <w:color w:val="FFFFFF"/>
                <w:spacing w:val="9"/>
                <w:sz w:val="18"/>
              </w:rPr>
              <w:t xml:space="preserve"> </w:t>
            </w:r>
            <w:r>
              <w:rPr>
                <w:rFonts w:ascii="Arial"/>
                <w:i/>
                <w:color w:val="FFFFFF"/>
                <w:spacing w:val="4"/>
                <w:sz w:val="18"/>
              </w:rPr>
              <w:t>(ii)</w:t>
            </w:r>
          </w:p>
        </w:tc>
        <w:tc>
          <w:tcPr>
            <w:tcW w:w="470" w:type="pct"/>
            <w:tcBorders>
              <w:top w:val="nil"/>
              <w:left w:val="nil"/>
              <w:bottom w:val="nil"/>
              <w:right w:val="nil"/>
            </w:tcBorders>
            <w:shd w:val="clear" w:color="auto" w:fill="22789A"/>
          </w:tcPr>
          <w:p w14:paraId="7418BB67" w14:textId="77777777" w:rsidR="00D471AD" w:rsidRDefault="00D471AD" w:rsidP="004A31A9"/>
        </w:tc>
        <w:tc>
          <w:tcPr>
            <w:tcW w:w="2546" w:type="pct"/>
            <w:gridSpan w:val="7"/>
            <w:tcBorders>
              <w:top w:val="nil"/>
              <w:left w:val="nil"/>
              <w:bottom w:val="nil"/>
              <w:right w:val="nil"/>
            </w:tcBorders>
            <w:shd w:val="clear" w:color="auto" w:fill="22789A"/>
          </w:tcPr>
          <w:p w14:paraId="7418BB68" w14:textId="77777777" w:rsidR="00D471AD" w:rsidRDefault="00D471AD" w:rsidP="004A31A9"/>
        </w:tc>
      </w:tr>
      <w:tr w:rsidR="00D471AD" w14:paraId="7418BB7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610"/>
          <w:tblHeader/>
        </w:trPr>
        <w:tc>
          <w:tcPr>
            <w:tcW w:w="1984" w:type="pct"/>
            <w:tcBorders>
              <w:top w:val="nil"/>
              <w:left w:val="nil"/>
              <w:bottom w:val="nil"/>
              <w:right w:val="nil"/>
            </w:tcBorders>
            <w:shd w:val="clear" w:color="auto" w:fill="E4F3F9"/>
          </w:tcPr>
          <w:p w14:paraId="7418BB6A" w14:textId="77777777" w:rsidR="00D471AD" w:rsidRPr="00507B05" w:rsidRDefault="00D471AD" w:rsidP="004A31A9">
            <w:pPr>
              <w:pStyle w:val="TableParagraph"/>
              <w:spacing w:before="50"/>
              <w:ind w:left="91"/>
              <w:contextualSpacing/>
              <w:rPr>
                <w:rFonts w:ascii="Arial" w:eastAsia="Arial" w:hAnsi="Arial" w:cs="Arial"/>
                <w:color w:val="44546A" w:themeColor="text2"/>
                <w:sz w:val="14"/>
                <w:szCs w:val="14"/>
              </w:rPr>
            </w:pPr>
            <w:r w:rsidRPr="00507B05">
              <w:rPr>
                <w:rFonts w:ascii="Arial"/>
                <w:i/>
                <w:color w:val="44546A" w:themeColor="text2"/>
                <w:sz w:val="14"/>
              </w:rPr>
              <w:t>Indicators</w:t>
            </w:r>
          </w:p>
        </w:tc>
        <w:tc>
          <w:tcPr>
            <w:tcW w:w="532" w:type="pct"/>
            <w:gridSpan w:val="2"/>
            <w:tcBorders>
              <w:top w:val="nil"/>
              <w:left w:val="nil"/>
              <w:bottom w:val="nil"/>
              <w:right w:val="nil"/>
            </w:tcBorders>
            <w:shd w:val="clear" w:color="auto" w:fill="E4F3F9"/>
          </w:tcPr>
          <w:p w14:paraId="7418BB6B" w14:textId="77777777" w:rsidR="00D471AD" w:rsidRPr="00507B05" w:rsidRDefault="00D471AD" w:rsidP="004A31A9">
            <w:pPr>
              <w:pStyle w:val="TableParagraph"/>
              <w:spacing w:before="100" w:beforeAutospacing="1"/>
              <w:ind w:left="205"/>
              <w:contextualSpacing/>
              <w:rPr>
                <w:rFonts w:ascii="Arial" w:eastAsia="Arial" w:hAnsi="Arial" w:cs="Arial"/>
                <w:color w:val="44546A" w:themeColor="text2"/>
                <w:sz w:val="14"/>
                <w:szCs w:val="14"/>
              </w:rPr>
            </w:pPr>
            <w:r w:rsidRPr="00507B05">
              <w:rPr>
                <w:rFonts w:ascii="Arial"/>
                <w:i/>
                <w:color w:val="44546A" w:themeColor="text2"/>
                <w:sz w:val="14"/>
              </w:rPr>
              <w:t>Australia's</w:t>
            </w:r>
            <w:r w:rsidRPr="00507B05">
              <w:rPr>
                <w:rFonts w:ascii="Arial"/>
                <w:i/>
                <w:color w:val="44546A" w:themeColor="text2"/>
                <w:spacing w:val="-1"/>
                <w:sz w:val="14"/>
              </w:rPr>
              <w:t xml:space="preserve"> </w:t>
            </w:r>
            <w:r w:rsidRPr="00507B05">
              <w:rPr>
                <w:rFonts w:ascii="Arial"/>
                <w:i/>
                <w:color w:val="44546A" w:themeColor="text2"/>
                <w:sz w:val="14"/>
              </w:rPr>
              <w:t>score</w:t>
            </w:r>
            <w:r w:rsidRPr="00507B05">
              <w:rPr>
                <w:rFonts w:ascii="Arial"/>
                <w:i/>
                <w:color w:val="44546A" w:themeColor="text2"/>
                <w:spacing w:val="-1"/>
                <w:sz w:val="14"/>
              </w:rPr>
              <w:t xml:space="preserve"> </w:t>
            </w:r>
            <w:r w:rsidRPr="00507B05">
              <w:rPr>
                <w:rFonts w:ascii="Arial"/>
                <w:i/>
                <w:color w:val="44546A" w:themeColor="text2"/>
                <w:sz w:val="14"/>
              </w:rPr>
              <w:t>(iii)</w:t>
            </w:r>
          </w:p>
        </w:tc>
        <w:tc>
          <w:tcPr>
            <w:tcW w:w="579" w:type="pct"/>
            <w:tcBorders>
              <w:top w:val="nil"/>
              <w:left w:val="nil"/>
              <w:bottom w:val="nil"/>
              <w:right w:val="nil"/>
            </w:tcBorders>
            <w:shd w:val="clear" w:color="auto" w:fill="E4F3F9"/>
          </w:tcPr>
          <w:p w14:paraId="7418BB6C" w14:textId="77777777" w:rsidR="00D471AD" w:rsidRPr="00507B05" w:rsidRDefault="00D471AD" w:rsidP="004A31A9">
            <w:pPr>
              <w:pStyle w:val="TableParagraph"/>
              <w:spacing w:before="100" w:beforeAutospacing="1"/>
              <w:ind w:left="100"/>
              <w:contextualSpacing/>
              <w:rPr>
                <w:rFonts w:ascii="Arial" w:eastAsia="Arial" w:hAnsi="Arial" w:cs="Arial"/>
                <w:color w:val="44546A" w:themeColor="text2"/>
                <w:sz w:val="14"/>
                <w:szCs w:val="14"/>
              </w:rPr>
            </w:pPr>
            <w:r w:rsidRPr="00507B05">
              <w:rPr>
                <w:rFonts w:ascii="Arial"/>
                <w:i/>
                <w:color w:val="44546A" w:themeColor="text2"/>
                <w:sz w:val="14"/>
              </w:rPr>
              <w:t>OECD+</w:t>
            </w:r>
            <w:r w:rsidRPr="00507B05">
              <w:rPr>
                <w:rFonts w:ascii="Arial"/>
                <w:i/>
                <w:color w:val="44546A" w:themeColor="text2"/>
                <w:spacing w:val="-7"/>
                <w:sz w:val="14"/>
              </w:rPr>
              <w:t xml:space="preserve"> </w:t>
            </w:r>
            <w:r w:rsidRPr="00507B05">
              <w:rPr>
                <w:rFonts w:ascii="Arial"/>
                <w:i/>
                <w:color w:val="44546A" w:themeColor="text2"/>
                <w:spacing w:val="-1"/>
                <w:sz w:val="14"/>
              </w:rPr>
              <w:t xml:space="preserve">Average </w:t>
            </w:r>
            <w:r w:rsidRPr="00507B05">
              <w:rPr>
                <w:rFonts w:ascii="Arial"/>
                <w:i/>
                <w:color w:val="44546A" w:themeColor="text2"/>
                <w:sz w:val="14"/>
              </w:rPr>
              <w:t>(iv)</w:t>
            </w:r>
          </w:p>
        </w:tc>
        <w:tc>
          <w:tcPr>
            <w:tcW w:w="442" w:type="pct"/>
            <w:tcBorders>
              <w:top w:val="nil"/>
              <w:left w:val="nil"/>
              <w:bottom w:val="nil"/>
              <w:right w:val="nil"/>
            </w:tcBorders>
            <w:shd w:val="clear" w:color="auto" w:fill="E4F3F9"/>
          </w:tcPr>
          <w:p w14:paraId="7418BB6D" w14:textId="77777777" w:rsidR="00D471AD" w:rsidRPr="00507B05" w:rsidRDefault="00D471AD" w:rsidP="004A31A9">
            <w:pPr>
              <w:pStyle w:val="NoSpacing"/>
              <w:jc w:val="right"/>
              <w:rPr>
                <w:rFonts w:ascii="Arial" w:eastAsia="Arial" w:hAnsi="Arial" w:cs="Arial"/>
                <w:i/>
                <w:color w:val="44546A" w:themeColor="text2"/>
                <w:sz w:val="14"/>
                <w:szCs w:val="14"/>
              </w:rPr>
            </w:pPr>
            <w:r w:rsidRPr="00507B05">
              <w:rPr>
                <w:rFonts w:ascii="Arial" w:hAnsi="Arial" w:cs="Arial"/>
                <w:i/>
                <w:color w:val="44546A" w:themeColor="text2"/>
                <w:sz w:val="14"/>
                <w:szCs w:val="14"/>
              </w:rPr>
              <w:t>OECD+</w:t>
            </w:r>
            <w:r w:rsidRPr="00507B05">
              <w:rPr>
                <w:rFonts w:ascii="Arial" w:hAnsi="Arial" w:cs="Arial"/>
                <w:i/>
                <w:color w:val="44546A" w:themeColor="text2"/>
                <w:spacing w:val="-1"/>
                <w:sz w:val="14"/>
                <w:szCs w:val="14"/>
              </w:rPr>
              <w:t xml:space="preserve"> </w:t>
            </w:r>
            <w:r w:rsidRPr="00507B05">
              <w:rPr>
                <w:rFonts w:ascii="Arial" w:hAnsi="Arial" w:cs="Arial"/>
                <w:i/>
                <w:color w:val="44546A" w:themeColor="text2"/>
                <w:sz w:val="14"/>
                <w:szCs w:val="14"/>
              </w:rPr>
              <w:t>top</w:t>
            </w:r>
            <w:r w:rsidRPr="00507B05">
              <w:rPr>
                <w:rFonts w:ascii="Arial" w:hAnsi="Arial" w:cs="Arial"/>
                <w:i/>
                <w:color w:val="44546A" w:themeColor="text2"/>
                <w:spacing w:val="-1"/>
                <w:sz w:val="14"/>
                <w:szCs w:val="14"/>
              </w:rPr>
              <w:t xml:space="preserve"> </w:t>
            </w:r>
            <w:r w:rsidRPr="00507B05">
              <w:rPr>
                <w:rFonts w:ascii="Arial" w:hAnsi="Arial" w:cs="Arial"/>
                <w:i/>
                <w:color w:val="44546A" w:themeColor="text2"/>
                <w:sz w:val="14"/>
                <w:szCs w:val="14"/>
              </w:rPr>
              <w:t xml:space="preserve">5 </w:t>
            </w:r>
            <w:r w:rsidRPr="00507B05">
              <w:rPr>
                <w:rFonts w:ascii="Arial" w:hAnsi="Arial" w:cs="Arial"/>
                <w:i/>
                <w:color w:val="44546A" w:themeColor="text2"/>
                <w:spacing w:val="-1"/>
                <w:sz w:val="14"/>
                <w:szCs w:val="14"/>
              </w:rPr>
              <w:t>average</w:t>
            </w:r>
            <w:r w:rsidRPr="00507B05">
              <w:rPr>
                <w:rFonts w:ascii="Arial" w:hAnsi="Arial" w:cs="Arial"/>
                <w:i/>
                <w:color w:val="44546A" w:themeColor="text2"/>
                <w:sz w:val="14"/>
                <w:szCs w:val="14"/>
              </w:rPr>
              <w:t xml:space="preserve"> (vi)</w:t>
            </w:r>
          </w:p>
        </w:tc>
        <w:tc>
          <w:tcPr>
            <w:tcW w:w="523" w:type="pct"/>
            <w:tcBorders>
              <w:top w:val="nil"/>
              <w:left w:val="nil"/>
              <w:bottom w:val="nil"/>
              <w:right w:val="nil"/>
            </w:tcBorders>
            <w:shd w:val="clear" w:color="auto" w:fill="E4F3F9"/>
          </w:tcPr>
          <w:p w14:paraId="7418BB6E"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Gap from the top 5 OECD+ performers</w:t>
            </w:r>
          </w:p>
          <w:p w14:paraId="7418BB6F"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(per cent) (vii)</w:t>
            </w:r>
          </w:p>
        </w:tc>
        <w:tc>
          <w:tcPr>
            <w:tcW w:w="470" w:type="pct"/>
            <w:tcBorders>
              <w:top w:val="nil"/>
              <w:left w:val="nil"/>
              <w:bottom w:val="nil"/>
              <w:right w:val="nil"/>
            </w:tcBorders>
            <w:shd w:val="clear" w:color="auto" w:fill="E4F3F9"/>
          </w:tcPr>
          <w:p w14:paraId="7418BB70"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Ranking against OECD+ countries</w:t>
            </w:r>
          </w:p>
          <w:p w14:paraId="7418BB71"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(viii)</w:t>
            </w:r>
          </w:p>
        </w:tc>
        <w:tc>
          <w:tcPr>
            <w:tcW w:w="470" w:type="pct"/>
            <w:gridSpan w:val="2"/>
            <w:tcBorders>
              <w:top w:val="nil"/>
              <w:left w:val="nil"/>
              <w:bottom w:val="nil"/>
              <w:right w:val="nil"/>
            </w:tcBorders>
            <w:shd w:val="clear" w:color="auto" w:fill="E4F3F9"/>
          </w:tcPr>
          <w:p w14:paraId="7418BB72"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Year of OECD+ comparison</w:t>
            </w:r>
          </w:p>
        </w:tc>
      </w:tr>
      <w:tr w:rsidR="00D471AD" w:rsidRPr="005015FA" w14:paraId="7418BB7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B74"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Percentage of innovation-active SMEs collaborating on innovation, %</w:t>
            </w:r>
            <w:r w:rsidRPr="00507B05">
              <w:rPr>
                <w:rFonts w:ascii="Arial Unicode MS" w:eastAsia="Arial Unicode MS" w:hAnsi="Arial Unicode MS" w:cs="Arial Unicode MS"/>
                <w:color w:val="44546A" w:themeColor="text2"/>
                <w:sz w:val="14"/>
                <w:szCs w:val="14"/>
              </w:rPr>
              <w:t>² ⁴ ¹²</w:t>
            </w:r>
          </w:p>
        </w:tc>
        <w:tc>
          <w:tcPr>
            <w:tcW w:w="532" w:type="pct"/>
            <w:gridSpan w:val="2"/>
            <w:tcBorders>
              <w:top w:val="nil"/>
              <w:left w:val="nil"/>
              <w:bottom w:val="nil"/>
              <w:right w:val="nil"/>
            </w:tcBorders>
            <w:shd w:val="clear" w:color="auto" w:fill="D5ECF5"/>
          </w:tcPr>
          <w:p w14:paraId="7418BB75"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24.0</w:t>
            </w:r>
          </w:p>
        </w:tc>
        <w:tc>
          <w:tcPr>
            <w:tcW w:w="579" w:type="pct"/>
            <w:tcBorders>
              <w:top w:val="nil"/>
              <w:left w:val="nil"/>
              <w:bottom w:val="nil"/>
              <w:right w:val="nil"/>
            </w:tcBorders>
            <w:shd w:val="clear" w:color="auto" w:fill="D5ECF5"/>
          </w:tcPr>
          <w:p w14:paraId="7418BB76"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31.7</w:t>
            </w:r>
          </w:p>
        </w:tc>
        <w:tc>
          <w:tcPr>
            <w:tcW w:w="442" w:type="pct"/>
            <w:tcBorders>
              <w:top w:val="nil"/>
              <w:left w:val="nil"/>
              <w:bottom w:val="nil"/>
              <w:right w:val="nil"/>
            </w:tcBorders>
            <w:shd w:val="clear" w:color="auto" w:fill="D5ECF5"/>
          </w:tcPr>
          <w:p w14:paraId="7418BB77"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48.0</w:t>
            </w:r>
          </w:p>
        </w:tc>
        <w:tc>
          <w:tcPr>
            <w:tcW w:w="523" w:type="pct"/>
            <w:tcBorders>
              <w:top w:val="nil"/>
              <w:left w:val="nil"/>
              <w:bottom w:val="nil"/>
              <w:right w:val="nil"/>
            </w:tcBorders>
            <w:shd w:val="clear" w:color="auto" w:fill="D5ECF5"/>
          </w:tcPr>
          <w:p w14:paraId="7418BB78"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50</w:t>
            </w:r>
          </w:p>
        </w:tc>
        <w:tc>
          <w:tcPr>
            <w:tcW w:w="470" w:type="pct"/>
            <w:tcBorders>
              <w:top w:val="nil"/>
              <w:left w:val="nil"/>
              <w:bottom w:val="nil"/>
              <w:right w:val="nil"/>
            </w:tcBorders>
            <w:shd w:val="clear" w:color="auto" w:fill="D5ECF5"/>
          </w:tcPr>
          <w:p w14:paraId="7418BB79"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24th of 31</w:t>
            </w:r>
          </w:p>
        </w:tc>
        <w:tc>
          <w:tcPr>
            <w:tcW w:w="470" w:type="pct"/>
            <w:gridSpan w:val="2"/>
            <w:tcBorders>
              <w:top w:val="nil"/>
              <w:left w:val="nil"/>
              <w:bottom w:val="nil"/>
              <w:right w:val="nil"/>
            </w:tcBorders>
            <w:shd w:val="clear" w:color="auto" w:fill="D5ECF5"/>
          </w:tcPr>
          <w:p w14:paraId="7418BB7A"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2009</w:t>
            </w:r>
          </w:p>
        </w:tc>
      </w:tr>
      <w:tr w:rsidR="00D471AD" w:rsidRPr="005015FA" w14:paraId="7418BB8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B7C"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Percentage of innovation-active large firms collaborating on innovation, %</w:t>
            </w:r>
            <w:r w:rsidRPr="00507B05">
              <w:rPr>
                <w:rFonts w:ascii="Arial Unicode MS" w:eastAsia="Arial Unicode MS" w:hAnsi="Arial Unicode MS" w:cs="Arial Unicode MS"/>
                <w:color w:val="44546A" w:themeColor="text2"/>
                <w:sz w:val="14"/>
                <w:szCs w:val="14"/>
              </w:rPr>
              <w:t>¹ ² ³ ⁴ ¹³</w:t>
            </w:r>
          </w:p>
        </w:tc>
        <w:tc>
          <w:tcPr>
            <w:tcW w:w="532" w:type="pct"/>
            <w:gridSpan w:val="2"/>
            <w:tcBorders>
              <w:top w:val="nil"/>
              <w:left w:val="nil"/>
              <w:bottom w:val="nil"/>
              <w:right w:val="nil"/>
            </w:tcBorders>
            <w:shd w:val="clear" w:color="auto" w:fill="E4F3F9"/>
          </w:tcPr>
          <w:p w14:paraId="7418BB7D"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33.1</w:t>
            </w:r>
          </w:p>
        </w:tc>
        <w:tc>
          <w:tcPr>
            <w:tcW w:w="579" w:type="pct"/>
            <w:tcBorders>
              <w:top w:val="nil"/>
              <w:left w:val="nil"/>
              <w:bottom w:val="nil"/>
              <w:right w:val="nil"/>
            </w:tcBorders>
            <w:shd w:val="clear" w:color="auto" w:fill="E4F3F9"/>
          </w:tcPr>
          <w:p w14:paraId="7418BB7E"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55.5</w:t>
            </w:r>
          </w:p>
        </w:tc>
        <w:tc>
          <w:tcPr>
            <w:tcW w:w="442" w:type="pct"/>
            <w:tcBorders>
              <w:top w:val="nil"/>
              <w:left w:val="nil"/>
              <w:bottom w:val="nil"/>
              <w:right w:val="nil"/>
            </w:tcBorders>
            <w:shd w:val="clear" w:color="auto" w:fill="E4F3F9"/>
          </w:tcPr>
          <w:p w14:paraId="7418BB7F"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75.4</w:t>
            </w:r>
          </w:p>
        </w:tc>
        <w:tc>
          <w:tcPr>
            <w:tcW w:w="523" w:type="pct"/>
            <w:tcBorders>
              <w:top w:val="nil"/>
              <w:left w:val="nil"/>
              <w:bottom w:val="nil"/>
              <w:right w:val="nil"/>
            </w:tcBorders>
            <w:shd w:val="clear" w:color="auto" w:fill="E4F3F9"/>
          </w:tcPr>
          <w:p w14:paraId="7418BB80"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56</w:t>
            </w:r>
          </w:p>
        </w:tc>
        <w:tc>
          <w:tcPr>
            <w:tcW w:w="470" w:type="pct"/>
            <w:tcBorders>
              <w:top w:val="nil"/>
              <w:left w:val="nil"/>
              <w:bottom w:val="nil"/>
              <w:right w:val="nil"/>
            </w:tcBorders>
            <w:shd w:val="clear" w:color="auto" w:fill="E4F3F9"/>
          </w:tcPr>
          <w:p w14:paraId="7418BB81"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29th of 31</w:t>
            </w:r>
          </w:p>
        </w:tc>
        <w:tc>
          <w:tcPr>
            <w:tcW w:w="470" w:type="pct"/>
            <w:gridSpan w:val="2"/>
            <w:tcBorders>
              <w:top w:val="nil"/>
              <w:left w:val="nil"/>
              <w:bottom w:val="nil"/>
              <w:right w:val="nil"/>
            </w:tcBorders>
            <w:shd w:val="clear" w:color="auto" w:fill="E4F3F9"/>
          </w:tcPr>
          <w:p w14:paraId="7418BB82"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2009</w:t>
            </w:r>
          </w:p>
        </w:tc>
      </w:tr>
      <w:tr w:rsidR="00D471AD" w:rsidRPr="005015FA" w14:paraId="7418BB8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97"/>
        </w:trPr>
        <w:tc>
          <w:tcPr>
            <w:tcW w:w="1984" w:type="pct"/>
            <w:tcBorders>
              <w:top w:val="nil"/>
              <w:left w:val="nil"/>
              <w:bottom w:val="nil"/>
              <w:right w:val="nil"/>
            </w:tcBorders>
            <w:shd w:val="clear" w:color="auto" w:fill="D5ECF5"/>
          </w:tcPr>
          <w:p w14:paraId="7418BB84"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Percentage of innovation-active total businesses with international collaboration on innovation, %</w:t>
            </w:r>
            <w:r w:rsidRPr="00507B05">
              <w:rPr>
                <w:rFonts w:ascii="Arial Unicode MS" w:eastAsia="Arial Unicode MS" w:hAnsi="Arial Unicode MS" w:cs="Arial Unicode MS"/>
                <w:color w:val="44546A" w:themeColor="text2"/>
                <w:sz w:val="14"/>
                <w:szCs w:val="14"/>
              </w:rPr>
              <w:t>² ⁴ ¹⁴</w:t>
            </w:r>
          </w:p>
        </w:tc>
        <w:tc>
          <w:tcPr>
            <w:tcW w:w="532" w:type="pct"/>
            <w:gridSpan w:val="2"/>
            <w:tcBorders>
              <w:top w:val="nil"/>
              <w:left w:val="nil"/>
              <w:bottom w:val="nil"/>
              <w:right w:val="nil"/>
            </w:tcBorders>
            <w:shd w:val="clear" w:color="auto" w:fill="D5ECF5"/>
          </w:tcPr>
          <w:p w14:paraId="7418BB85"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6.1</w:t>
            </w:r>
          </w:p>
        </w:tc>
        <w:tc>
          <w:tcPr>
            <w:tcW w:w="579" w:type="pct"/>
            <w:tcBorders>
              <w:top w:val="nil"/>
              <w:left w:val="nil"/>
              <w:bottom w:val="nil"/>
              <w:right w:val="nil"/>
            </w:tcBorders>
            <w:shd w:val="clear" w:color="auto" w:fill="D5ECF5"/>
          </w:tcPr>
          <w:p w14:paraId="7418BB86"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18.3</w:t>
            </w:r>
          </w:p>
        </w:tc>
        <w:tc>
          <w:tcPr>
            <w:tcW w:w="442" w:type="pct"/>
            <w:tcBorders>
              <w:top w:val="nil"/>
              <w:left w:val="nil"/>
              <w:bottom w:val="nil"/>
              <w:right w:val="nil"/>
            </w:tcBorders>
            <w:shd w:val="clear" w:color="auto" w:fill="D5ECF5"/>
          </w:tcPr>
          <w:p w14:paraId="7418BB87"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31.6</w:t>
            </w:r>
          </w:p>
        </w:tc>
        <w:tc>
          <w:tcPr>
            <w:tcW w:w="523" w:type="pct"/>
            <w:tcBorders>
              <w:top w:val="nil"/>
              <w:left w:val="nil"/>
              <w:bottom w:val="nil"/>
              <w:right w:val="nil"/>
            </w:tcBorders>
            <w:shd w:val="clear" w:color="auto" w:fill="D5ECF5"/>
          </w:tcPr>
          <w:p w14:paraId="7418BB88"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81</w:t>
            </w:r>
          </w:p>
        </w:tc>
        <w:tc>
          <w:tcPr>
            <w:tcW w:w="470" w:type="pct"/>
            <w:tcBorders>
              <w:top w:val="nil"/>
              <w:left w:val="nil"/>
              <w:bottom w:val="nil"/>
              <w:right w:val="nil"/>
            </w:tcBorders>
            <w:shd w:val="clear" w:color="auto" w:fill="D5ECF5"/>
          </w:tcPr>
          <w:p w14:paraId="7418BB89"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24th of 27</w:t>
            </w:r>
          </w:p>
        </w:tc>
        <w:tc>
          <w:tcPr>
            <w:tcW w:w="470" w:type="pct"/>
            <w:gridSpan w:val="2"/>
            <w:tcBorders>
              <w:top w:val="nil"/>
              <w:left w:val="nil"/>
              <w:bottom w:val="nil"/>
              <w:right w:val="nil"/>
            </w:tcBorders>
            <w:shd w:val="clear" w:color="auto" w:fill="D5ECF5"/>
          </w:tcPr>
          <w:p w14:paraId="7418BB8A"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2009</w:t>
            </w:r>
          </w:p>
        </w:tc>
      </w:tr>
      <w:tr w:rsidR="00D471AD" w:rsidRPr="005015FA" w14:paraId="7418BB9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97"/>
        </w:trPr>
        <w:tc>
          <w:tcPr>
            <w:tcW w:w="1984" w:type="pct"/>
            <w:tcBorders>
              <w:top w:val="nil"/>
              <w:left w:val="nil"/>
              <w:bottom w:val="nil"/>
              <w:right w:val="nil"/>
            </w:tcBorders>
            <w:shd w:val="clear" w:color="auto" w:fill="E4F3F9"/>
          </w:tcPr>
          <w:p w14:paraId="7418BB8C"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Percentage of innovation-active SMEs collaborating with universities or other research institutions (excluding commercial),%</w:t>
            </w:r>
            <w:r w:rsidRPr="00507B05">
              <w:rPr>
                <w:rFonts w:ascii="Arial Unicode MS" w:eastAsia="Arial Unicode MS" w:hAnsi="Arial Unicode MS" w:cs="Arial Unicode MS"/>
                <w:color w:val="44546A" w:themeColor="text2"/>
                <w:sz w:val="14"/>
                <w:szCs w:val="14"/>
              </w:rPr>
              <w:t>² ⁸ ¹²</w:t>
            </w:r>
          </w:p>
        </w:tc>
        <w:tc>
          <w:tcPr>
            <w:tcW w:w="532" w:type="pct"/>
            <w:gridSpan w:val="2"/>
            <w:tcBorders>
              <w:top w:val="nil"/>
              <w:left w:val="nil"/>
              <w:bottom w:val="nil"/>
              <w:right w:val="nil"/>
            </w:tcBorders>
            <w:shd w:val="clear" w:color="auto" w:fill="E4F3F9"/>
          </w:tcPr>
          <w:p w14:paraId="7418BB8D"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2.1</w:t>
            </w:r>
          </w:p>
        </w:tc>
        <w:tc>
          <w:tcPr>
            <w:tcW w:w="579" w:type="pct"/>
            <w:tcBorders>
              <w:top w:val="nil"/>
              <w:left w:val="nil"/>
              <w:bottom w:val="nil"/>
              <w:right w:val="nil"/>
            </w:tcBorders>
            <w:shd w:val="clear" w:color="auto" w:fill="E4F3F9"/>
          </w:tcPr>
          <w:p w14:paraId="7418BB8E"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14.2</w:t>
            </w:r>
          </w:p>
        </w:tc>
        <w:tc>
          <w:tcPr>
            <w:tcW w:w="442" w:type="pct"/>
            <w:tcBorders>
              <w:top w:val="nil"/>
              <w:left w:val="nil"/>
              <w:bottom w:val="nil"/>
              <w:right w:val="nil"/>
            </w:tcBorders>
            <w:shd w:val="clear" w:color="auto" w:fill="E4F3F9"/>
          </w:tcPr>
          <w:p w14:paraId="7418BB8F"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22.6</w:t>
            </w:r>
          </w:p>
        </w:tc>
        <w:tc>
          <w:tcPr>
            <w:tcW w:w="523" w:type="pct"/>
            <w:tcBorders>
              <w:top w:val="nil"/>
              <w:left w:val="nil"/>
              <w:bottom w:val="nil"/>
              <w:right w:val="nil"/>
            </w:tcBorders>
            <w:shd w:val="clear" w:color="auto" w:fill="E4F3F9"/>
          </w:tcPr>
          <w:p w14:paraId="7418BB90"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91</w:t>
            </w:r>
          </w:p>
        </w:tc>
        <w:tc>
          <w:tcPr>
            <w:tcW w:w="470" w:type="pct"/>
            <w:tcBorders>
              <w:top w:val="nil"/>
              <w:left w:val="nil"/>
              <w:bottom w:val="nil"/>
              <w:right w:val="nil"/>
            </w:tcBorders>
            <w:shd w:val="clear" w:color="auto" w:fill="E4F3F9"/>
          </w:tcPr>
          <w:p w14:paraId="7418BB91"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27th of 27</w:t>
            </w:r>
          </w:p>
        </w:tc>
        <w:tc>
          <w:tcPr>
            <w:tcW w:w="470" w:type="pct"/>
            <w:gridSpan w:val="2"/>
            <w:tcBorders>
              <w:top w:val="nil"/>
              <w:left w:val="nil"/>
              <w:bottom w:val="nil"/>
              <w:right w:val="nil"/>
            </w:tcBorders>
            <w:shd w:val="clear" w:color="auto" w:fill="E4F3F9"/>
          </w:tcPr>
          <w:p w14:paraId="7418BB92"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2011</w:t>
            </w:r>
          </w:p>
        </w:tc>
      </w:tr>
      <w:tr w:rsidR="00D471AD" w:rsidRPr="005015FA" w14:paraId="7418BB9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97"/>
        </w:trPr>
        <w:tc>
          <w:tcPr>
            <w:tcW w:w="1984" w:type="pct"/>
            <w:tcBorders>
              <w:top w:val="nil"/>
              <w:left w:val="nil"/>
              <w:bottom w:val="nil"/>
              <w:right w:val="nil"/>
            </w:tcBorders>
            <w:shd w:val="clear" w:color="auto" w:fill="D5ECF5"/>
          </w:tcPr>
          <w:p w14:paraId="7418BB94"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Percentage of innovation-active large businesses collaborating with universities or other research institutions (excluding commercial), %</w:t>
            </w:r>
            <w:r w:rsidRPr="00507B05">
              <w:rPr>
                <w:rFonts w:ascii="Arial Unicode MS" w:eastAsia="Arial Unicode MS" w:hAnsi="Arial Unicode MS" w:cs="Arial Unicode MS"/>
                <w:color w:val="44546A" w:themeColor="text2"/>
                <w:sz w:val="14"/>
                <w:szCs w:val="14"/>
              </w:rPr>
              <w:t>² ⁸ ¹³</w:t>
            </w:r>
          </w:p>
        </w:tc>
        <w:tc>
          <w:tcPr>
            <w:tcW w:w="532" w:type="pct"/>
            <w:gridSpan w:val="2"/>
            <w:tcBorders>
              <w:top w:val="nil"/>
              <w:left w:val="nil"/>
              <w:bottom w:val="nil"/>
              <w:right w:val="nil"/>
            </w:tcBorders>
            <w:shd w:val="clear" w:color="auto" w:fill="D5ECF5"/>
          </w:tcPr>
          <w:p w14:paraId="7418BB95"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3.0</w:t>
            </w:r>
          </w:p>
        </w:tc>
        <w:tc>
          <w:tcPr>
            <w:tcW w:w="579" w:type="pct"/>
            <w:tcBorders>
              <w:top w:val="nil"/>
              <w:left w:val="nil"/>
              <w:bottom w:val="nil"/>
              <w:right w:val="nil"/>
            </w:tcBorders>
            <w:shd w:val="clear" w:color="auto" w:fill="D5ECF5"/>
          </w:tcPr>
          <w:p w14:paraId="7418BB96"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36.0</w:t>
            </w:r>
          </w:p>
        </w:tc>
        <w:tc>
          <w:tcPr>
            <w:tcW w:w="442" w:type="pct"/>
            <w:tcBorders>
              <w:top w:val="nil"/>
              <w:left w:val="nil"/>
              <w:bottom w:val="nil"/>
              <w:right w:val="nil"/>
            </w:tcBorders>
            <w:shd w:val="clear" w:color="auto" w:fill="D5ECF5"/>
          </w:tcPr>
          <w:p w14:paraId="7418BB97"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55.3</w:t>
            </w:r>
          </w:p>
        </w:tc>
        <w:tc>
          <w:tcPr>
            <w:tcW w:w="523" w:type="pct"/>
            <w:tcBorders>
              <w:top w:val="nil"/>
              <w:left w:val="nil"/>
              <w:bottom w:val="nil"/>
              <w:right w:val="nil"/>
            </w:tcBorders>
            <w:shd w:val="clear" w:color="auto" w:fill="D5ECF5"/>
          </w:tcPr>
          <w:p w14:paraId="7418BB98"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95</w:t>
            </w:r>
          </w:p>
        </w:tc>
        <w:tc>
          <w:tcPr>
            <w:tcW w:w="470" w:type="pct"/>
            <w:tcBorders>
              <w:top w:val="nil"/>
              <w:left w:val="nil"/>
              <w:bottom w:val="nil"/>
              <w:right w:val="nil"/>
            </w:tcBorders>
            <w:shd w:val="clear" w:color="auto" w:fill="D5ECF5"/>
          </w:tcPr>
          <w:p w14:paraId="7418BB99"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27th of 27</w:t>
            </w:r>
          </w:p>
        </w:tc>
        <w:tc>
          <w:tcPr>
            <w:tcW w:w="470" w:type="pct"/>
            <w:gridSpan w:val="2"/>
            <w:tcBorders>
              <w:top w:val="nil"/>
              <w:left w:val="nil"/>
              <w:bottom w:val="nil"/>
              <w:right w:val="nil"/>
            </w:tcBorders>
            <w:shd w:val="clear" w:color="auto" w:fill="D5ECF5"/>
          </w:tcPr>
          <w:p w14:paraId="7418BB9A"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2011</w:t>
            </w:r>
          </w:p>
        </w:tc>
      </w:tr>
      <w:tr w:rsidR="00D471AD" w:rsidRPr="005015FA" w14:paraId="7418BBA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97"/>
        </w:trPr>
        <w:tc>
          <w:tcPr>
            <w:tcW w:w="1984" w:type="pct"/>
            <w:tcBorders>
              <w:top w:val="nil"/>
              <w:left w:val="nil"/>
              <w:bottom w:val="single" w:sz="8" w:space="0" w:color="22789A"/>
              <w:right w:val="nil"/>
            </w:tcBorders>
            <w:shd w:val="clear" w:color="auto" w:fill="E4F3F9"/>
          </w:tcPr>
          <w:p w14:paraId="7418BB9C"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International collaboration in development of environment-related technologies, % collaboration in all technologies</w:t>
            </w:r>
            <w:r w:rsidRPr="00507B05">
              <w:rPr>
                <w:rFonts w:ascii="Arial Unicode MS" w:eastAsia="Arial Unicode MS" w:hAnsi="Arial Unicode MS" w:cs="Arial Unicode MS"/>
                <w:color w:val="44546A" w:themeColor="text2"/>
                <w:sz w:val="14"/>
                <w:szCs w:val="14"/>
              </w:rPr>
              <w:t>⁹</w:t>
            </w:r>
          </w:p>
        </w:tc>
        <w:tc>
          <w:tcPr>
            <w:tcW w:w="532" w:type="pct"/>
            <w:gridSpan w:val="2"/>
            <w:tcBorders>
              <w:top w:val="nil"/>
              <w:left w:val="nil"/>
              <w:bottom w:val="single" w:sz="8" w:space="0" w:color="22789A"/>
              <w:right w:val="nil"/>
            </w:tcBorders>
            <w:shd w:val="clear" w:color="auto" w:fill="E4F3F9"/>
          </w:tcPr>
          <w:p w14:paraId="7418BB9D"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6.6</w:t>
            </w:r>
          </w:p>
        </w:tc>
        <w:tc>
          <w:tcPr>
            <w:tcW w:w="579" w:type="pct"/>
            <w:tcBorders>
              <w:top w:val="nil"/>
              <w:left w:val="nil"/>
              <w:bottom w:val="single" w:sz="8" w:space="0" w:color="22789A"/>
              <w:right w:val="nil"/>
            </w:tcBorders>
            <w:shd w:val="clear" w:color="auto" w:fill="E4F3F9"/>
          </w:tcPr>
          <w:p w14:paraId="7418BB9E"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9.5</w:t>
            </w:r>
          </w:p>
        </w:tc>
        <w:tc>
          <w:tcPr>
            <w:tcW w:w="442" w:type="pct"/>
            <w:tcBorders>
              <w:top w:val="nil"/>
              <w:left w:val="nil"/>
              <w:bottom w:val="single" w:sz="8" w:space="0" w:color="22789A"/>
              <w:right w:val="nil"/>
            </w:tcBorders>
            <w:shd w:val="clear" w:color="auto" w:fill="E4F3F9"/>
          </w:tcPr>
          <w:p w14:paraId="7418BB9F"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15.1</w:t>
            </w:r>
          </w:p>
        </w:tc>
        <w:tc>
          <w:tcPr>
            <w:tcW w:w="523" w:type="pct"/>
            <w:tcBorders>
              <w:top w:val="nil"/>
              <w:left w:val="nil"/>
              <w:bottom w:val="single" w:sz="8" w:space="0" w:color="22789A"/>
              <w:right w:val="nil"/>
            </w:tcBorders>
            <w:shd w:val="clear" w:color="auto" w:fill="E4F3F9"/>
          </w:tcPr>
          <w:p w14:paraId="7418BBA0"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57</w:t>
            </w:r>
          </w:p>
        </w:tc>
        <w:tc>
          <w:tcPr>
            <w:tcW w:w="470" w:type="pct"/>
            <w:tcBorders>
              <w:top w:val="nil"/>
              <w:left w:val="nil"/>
              <w:bottom w:val="single" w:sz="8" w:space="0" w:color="22789A"/>
              <w:right w:val="nil"/>
            </w:tcBorders>
            <w:shd w:val="clear" w:color="auto" w:fill="E4F3F9"/>
          </w:tcPr>
          <w:p w14:paraId="7418BBA1"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32nd of 37</w:t>
            </w:r>
          </w:p>
        </w:tc>
        <w:tc>
          <w:tcPr>
            <w:tcW w:w="470" w:type="pct"/>
            <w:gridSpan w:val="2"/>
            <w:tcBorders>
              <w:top w:val="nil"/>
              <w:left w:val="nil"/>
              <w:bottom w:val="single" w:sz="8" w:space="0" w:color="22789A"/>
              <w:right w:val="nil"/>
            </w:tcBorders>
            <w:shd w:val="clear" w:color="auto" w:fill="E4F3F9"/>
          </w:tcPr>
          <w:p w14:paraId="7418BBA2"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2012</w:t>
            </w:r>
          </w:p>
        </w:tc>
      </w:tr>
    </w:tbl>
    <w:p w14:paraId="7418BBA4" w14:textId="77777777" w:rsidR="00D471AD" w:rsidRPr="008B33FB" w:rsidRDefault="00D471AD" w:rsidP="00D471AD">
      <w:pPr>
        <w:spacing w:before="120" w:after="120"/>
        <w:rPr>
          <w:rFonts w:cs="Arial"/>
          <w:color w:val="22789A"/>
          <w:sz w:val="16"/>
          <w:szCs w:val="16"/>
        </w:rPr>
      </w:pPr>
      <w:r w:rsidRPr="008B33FB">
        <w:rPr>
          <w:rFonts w:cs="Arial"/>
          <w:color w:val="22789A"/>
          <w:sz w:val="16"/>
          <w:szCs w:val="16"/>
        </w:rPr>
        <w:t>– = data not available</w:t>
      </w:r>
    </w:p>
    <w:p w14:paraId="7418BBA5" w14:textId="77777777" w:rsidR="00D471AD" w:rsidRPr="008B33FB" w:rsidRDefault="00D471AD" w:rsidP="00D471AD">
      <w:pPr>
        <w:spacing w:before="120" w:after="120"/>
        <w:rPr>
          <w:rFonts w:eastAsia="Times New Roman" w:cs="Arial"/>
          <w:color w:val="22789A"/>
          <w:sz w:val="16"/>
          <w:szCs w:val="16"/>
          <w:lang w:eastAsia="en-AU"/>
        </w:rPr>
      </w:pPr>
      <w:r w:rsidRPr="008671B7">
        <w:rPr>
          <w:rFonts w:eastAsia="Times New Roman" w:cs="Arial"/>
          <w:b/>
          <w:i/>
          <w:iCs/>
          <w:color w:val="22789A"/>
          <w:sz w:val="16"/>
          <w:szCs w:val="16"/>
          <w:lang w:eastAsia="en-AU"/>
        </w:rPr>
        <w:t>Table notes:</w:t>
      </w:r>
      <w:r w:rsidRPr="008671B7">
        <w:rPr>
          <w:rFonts w:eastAsia="Times New Roman" w:cs="Arial"/>
          <w:b/>
          <w:color w:val="22789A"/>
          <w:sz w:val="16"/>
          <w:szCs w:val="16"/>
          <w:lang w:eastAsia="en-AU"/>
        </w:rPr>
        <w:t xml:space="preserve"> </w:t>
      </w:r>
      <w:r w:rsidRPr="008671B7">
        <w:rPr>
          <w:rFonts w:eastAsia="Times New Roman" w:cs="Arial"/>
          <w:b/>
          <w:bCs/>
          <w:color w:val="22789A"/>
          <w:sz w:val="16"/>
          <w:szCs w:val="16"/>
          <w:lang w:eastAsia="en-AU"/>
        </w:rPr>
        <w:t xml:space="preserve">(i) </w:t>
      </w:r>
      <w:r w:rsidRPr="008671B7">
        <w:rPr>
          <w:rFonts w:eastAsia="Times New Roman" w:cs="Arial"/>
          <w:color w:val="22789A"/>
          <w:sz w:val="16"/>
          <w:szCs w:val="16"/>
          <w:lang w:eastAsia="en-AU"/>
        </w:rPr>
        <w:t xml:space="preserve">Data are presented in calendar year format. Where the data are in financial years, it is expressed in terms of the year where the financial year begins e.g. 2010–11 is shown as 2010. </w:t>
      </w:r>
      <w:r w:rsidRPr="008671B7">
        <w:rPr>
          <w:rFonts w:eastAsia="Times New Roman" w:cs="Arial"/>
          <w:b/>
          <w:bCs/>
          <w:color w:val="22789A"/>
          <w:sz w:val="16"/>
          <w:szCs w:val="16"/>
          <w:lang w:eastAsia="en-AU"/>
        </w:rPr>
        <w:t>(ii)</w:t>
      </w:r>
      <w:r w:rsidRPr="008671B7">
        <w:rPr>
          <w:rFonts w:eastAsia="Times New Roman" w:cs="Arial"/>
          <w:color w:val="22789A"/>
          <w:sz w:val="16"/>
          <w:szCs w:val="16"/>
          <w:lang w:eastAsia="en-AU"/>
        </w:rPr>
        <w:t xml:space="preserve"> OECD+ includes all countries in the OECD, as well as China, Taiwan and Singapore (where data is available). </w:t>
      </w:r>
      <w:r w:rsidRPr="008671B7">
        <w:rPr>
          <w:rFonts w:eastAsia="Times New Roman" w:cs="Arial"/>
          <w:b/>
          <w:bCs/>
          <w:color w:val="22789A"/>
          <w:sz w:val="16"/>
          <w:szCs w:val="16"/>
          <w:lang w:eastAsia="en-AU"/>
        </w:rPr>
        <w:t xml:space="preserve">(iii) </w:t>
      </w:r>
      <w:r w:rsidRPr="008671B7">
        <w:rPr>
          <w:rFonts w:eastAsia="Times New Roman" w:cs="Arial"/>
          <w:color w:val="22789A"/>
          <w:sz w:val="16"/>
          <w:szCs w:val="16"/>
          <w:lang w:eastAsia="en-AU"/>
        </w:rPr>
        <w:t xml:space="preserve">The ‘Australia’s score’ field presents the Australian values used in the OECD+ comparisons. </w:t>
      </w:r>
      <w:r w:rsidRPr="008671B7">
        <w:rPr>
          <w:rFonts w:eastAsia="Times New Roman" w:cs="Arial"/>
          <w:b/>
          <w:bCs/>
          <w:color w:val="22789A"/>
          <w:sz w:val="16"/>
          <w:szCs w:val="16"/>
          <w:lang w:eastAsia="en-AU"/>
        </w:rPr>
        <w:t>(iv)</w:t>
      </w:r>
      <w:r w:rsidRPr="008671B7">
        <w:rPr>
          <w:rFonts w:eastAsia="Times New Roman" w:cs="Arial"/>
          <w:color w:val="22789A"/>
          <w:sz w:val="16"/>
          <w:szCs w:val="16"/>
          <w:lang w:eastAsia="en-AU"/>
        </w:rPr>
        <w:t xml:space="preserve"> This is the arithmetic (simple) average of the OECD+ country scores.</w:t>
      </w:r>
      <w:r w:rsidRPr="008671B7">
        <w:rPr>
          <w:rFonts w:eastAsia="Times New Roman" w:cs="Arial"/>
          <w:b/>
          <w:bCs/>
          <w:color w:val="22789A"/>
          <w:sz w:val="16"/>
          <w:szCs w:val="16"/>
          <w:lang w:eastAsia="en-AU"/>
        </w:rPr>
        <w:t xml:space="preserve"> (v) </w:t>
      </w:r>
      <w:r w:rsidRPr="008671B7">
        <w:rPr>
          <w:rFonts w:eastAsia="Times New Roman" w:cs="Arial"/>
          <w:color w:val="22789A"/>
          <w:sz w:val="16"/>
          <w:szCs w:val="16"/>
          <w:lang w:eastAsia="en-AU"/>
        </w:rPr>
        <w:t xml:space="preserve">This is the median of the OECD+ country scores </w:t>
      </w:r>
      <w:r w:rsidRPr="008671B7">
        <w:rPr>
          <w:rFonts w:eastAsia="Times New Roman" w:cs="Arial"/>
          <w:b/>
          <w:bCs/>
          <w:color w:val="22789A"/>
          <w:sz w:val="16"/>
          <w:szCs w:val="16"/>
          <w:lang w:eastAsia="en-AU"/>
        </w:rPr>
        <w:t xml:space="preserve">(vi) </w:t>
      </w:r>
      <w:r w:rsidRPr="008671B7">
        <w:rPr>
          <w:rFonts w:eastAsia="Times New Roman" w:cs="Arial"/>
          <w:color w:val="22789A"/>
          <w:sz w:val="16"/>
          <w:szCs w:val="16"/>
          <w:lang w:eastAsia="en-AU"/>
        </w:rPr>
        <w:t>This is the arithmetic (simple) average of the top five OECD+ countries in a ranked list.</w:t>
      </w:r>
      <w:r w:rsidRPr="008671B7">
        <w:rPr>
          <w:rFonts w:eastAsia="Times New Roman" w:cs="Arial"/>
          <w:b/>
          <w:bCs/>
          <w:color w:val="22789A"/>
          <w:sz w:val="16"/>
          <w:szCs w:val="16"/>
          <w:lang w:eastAsia="en-AU"/>
        </w:rPr>
        <w:t xml:space="preserve"> (vii) </w:t>
      </w:r>
      <w:r w:rsidRPr="008671B7">
        <w:rPr>
          <w:rFonts w:eastAsia="Times New Roman" w:cs="Arial"/>
          <w:color w:val="22789A"/>
          <w:sz w:val="16"/>
          <w:szCs w:val="16"/>
          <w:lang w:eastAsia="en-AU"/>
        </w:rPr>
        <w:t xml:space="preserve">This represents Australia’s distance from the frontier as defined by the average of the top five ranked OECD+ countries. It is calculated as 100*(Top five average - Australia’s score)/ Top 5 average. Where the solution is a negative value or zero, ‘no gap’ is shown in the cell. </w:t>
      </w:r>
      <w:r w:rsidRPr="008671B7">
        <w:rPr>
          <w:rFonts w:eastAsia="Times New Roman" w:cs="Arial"/>
          <w:b/>
          <w:bCs/>
          <w:color w:val="22789A"/>
          <w:sz w:val="16"/>
          <w:szCs w:val="16"/>
          <w:lang w:eastAsia="en-AU"/>
        </w:rPr>
        <w:t xml:space="preserve">(viii) </w:t>
      </w:r>
      <w:r w:rsidRPr="008671B7">
        <w:rPr>
          <w:rFonts w:eastAsia="Times New Roman" w:cs="Arial"/>
          <w:color w:val="22789A"/>
          <w:sz w:val="16"/>
          <w:szCs w:val="16"/>
          <w:lang w:eastAsia="en-AU"/>
        </w:rPr>
        <w:t>OECD+ rankings are performed on those OECD+ countries for which data are available. Individual data availability may vary between indicators.</w:t>
      </w:r>
    </w:p>
    <w:p w14:paraId="7418BBA6" w14:textId="77777777" w:rsidR="00D471AD" w:rsidRPr="008B33FB" w:rsidRDefault="00D471AD" w:rsidP="00D471AD">
      <w:pPr>
        <w:spacing w:before="120" w:after="120"/>
        <w:rPr>
          <w:rFonts w:eastAsia="Times New Roman" w:cs="Arial"/>
          <w:i/>
          <w:iCs/>
          <w:color w:val="22789A"/>
          <w:sz w:val="16"/>
          <w:szCs w:val="16"/>
          <w:lang w:eastAsia="en-AU"/>
        </w:rPr>
      </w:pPr>
      <w:r w:rsidRPr="008671B7">
        <w:rPr>
          <w:rFonts w:eastAsia="Times New Roman" w:cs="Arial"/>
          <w:b/>
          <w:i/>
          <w:iCs/>
          <w:color w:val="22789A"/>
          <w:sz w:val="16"/>
          <w:szCs w:val="16"/>
          <w:lang w:eastAsia="en-AU"/>
        </w:rPr>
        <w:t>Sources</w:t>
      </w:r>
      <w:r w:rsidRPr="008671B7">
        <w:rPr>
          <w:rFonts w:eastAsia="Times New Roman" w:cs="Arial"/>
          <w:b/>
          <w:color w:val="22789A"/>
          <w:sz w:val="16"/>
          <w:szCs w:val="16"/>
          <w:lang w:eastAsia="en-AU"/>
        </w:rPr>
        <w:t xml:space="preserve"> (1 - 9):</w:t>
      </w:r>
      <w:r w:rsidRPr="008671B7">
        <w:rPr>
          <w:rFonts w:eastAsia="Times New Roman" w:cs="Arial"/>
          <w:b/>
          <w:bCs/>
          <w:color w:val="22789A"/>
          <w:sz w:val="16"/>
          <w:szCs w:val="16"/>
          <w:lang w:eastAsia="en-AU"/>
        </w:rPr>
        <w:t xml:space="preserve"> [1] </w:t>
      </w:r>
      <w:r w:rsidRPr="008671B7">
        <w:rPr>
          <w:rFonts w:eastAsia="Times New Roman" w:cs="Arial"/>
          <w:color w:val="22789A"/>
          <w:sz w:val="16"/>
          <w:szCs w:val="16"/>
          <w:lang w:eastAsia="en-AU"/>
        </w:rPr>
        <w:t xml:space="preserve">ABS (2008–2012) Innovation in Australian Business, cat. no. 8158.0, 2006–07 - 2010–11, Innovation-active Businesses and Collaboration, URL: http://www.abs.gov.au/; </w:t>
      </w:r>
      <w:r w:rsidRPr="008671B7">
        <w:rPr>
          <w:rFonts w:eastAsia="Times New Roman" w:cs="Arial"/>
          <w:b/>
          <w:bCs/>
          <w:color w:val="22789A"/>
          <w:sz w:val="16"/>
          <w:szCs w:val="16"/>
          <w:lang w:eastAsia="en-AU"/>
        </w:rPr>
        <w:t xml:space="preserve">[2] </w:t>
      </w:r>
      <w:r w:rsidRPr="008671B7">
        <w:rPr>
          <w:rFonts w:eastAsia="Times New Roman" w:cs="Arial"/>
          <w:color w:val="22789A"/>
          <w:sz w:val="16"/>
          <w:szCs w:val="16"/>
          <w:lang w:eastAsia="en-AU"/>
        </w:rPr>
        <w:t xml:space="preserve">ABS (2012–2015) Special request, 2012–2015; </w:t>
      </w:r>
      <w:r w:rsidRPr="008671B7">
        <w:rPr>
          <w:rFonts w:eastAsia="Times New Roman" w:cs="Arial"/>
          <w:b/>
          <w:bCs/>
          <w:color w:val="22789A"/>
          <w:sz w:val="16"/>
          <w:szCs w:val="16"/>
          <w:lang w:eastAsia="en-AU"/>
        </w:rPr>
        <w:t>[3]</w:t>
      </w:r>
      <w:r w:rsidRPr="008671B7">
        <w:rPr>
          <w:rFonts w:eastAsia="Times New Roman" w:cs="Arial"/>
          <w:color w:val="22789A"/>
          <w:sz w:val="16"/>
          <w:szCs w:val="16"/>
          <w:lang w:eastAsia="en-AU"/>
        </w:rPr>
        <w:t xml:space="preserve"> ABS (2016) Innovation in Australian Business, cat. no. 8158.0, 2014–15, Innovation-active Businesses and Collaboration , URL: http://www.abs.gov.au/;</w:t>
      </w:r>
      <w:r w:rsidRPr="008671B7">
        <w:rPr>
          <w:rFonts w:eastAsia="Times New Roman" w:cs="Arial"/>
          <w:b/>
          <w:bCs/>
          <w:color w:val="22789A"/>
          <w:sz w:val="16"/>
          <w:szCs w:val="16"/>
          <w:lang w:eastAsia="en-AU"/>
        </w:rPr>
        <w:t xml:space="preserve"> [4]</w:t>
      </w:r>
      <w:r w:rsidRPr="008671B7">
        <w:rPr>
          <w:rFonts w:eastAsia="Times New Roman" w:cs="Arial"/>
          <w:color w:val="22789A"/>
          <w:sz w:val="16"/>
          <w:szCs w:val="16"/>
          <w:lang w:eastAsia="en-AU"/>
        </w:rPr>
        <w:t xml:space="preserve"> OECD (2013) Science, Technology and Industry Scoreboard, 2013, DOI: 10.1787/sti_scoreboard-2013-en; </w:t>
      </w:r>
      <w:r w:rsidRPr="008671B7">
        <w:rPr>
          <w:rFonts w:eastAsia="Times New Roman" w:cs="Arial"/>
          <w:b/>
          <w:bCs/>
          <w:color w:val="22789A"/>
          <w:sz w:val="16"/>
          <w:szCs w:val="16"/>
          <w:lang w:eastAsia="en-AU"/>
        </w:rPr>
        <w:t xml:space="preserve">[5] </w:t>
      </w:r>
      <w:r w:rsidRPr="008671B7">
        <w:rPr>
          <w:rFonts w:eastAsia="Times New Roman" w:cs="Arial"/>
          <w:color w:val="22789A"/>
          <w:sz w:val="16"/>
          <w:szCs w:val="16"/>
          <w:lang w:eastAsia="en-AU"/>
        </w:rPr>
        <w:t xml:space="preserve">ABS (2008) Selected Characteristics of Australian Business, cat. no. 8167.0, 2005–06, URL: http://www.abs.gov.au/; </w:t>
      </w:r>
      <w:r w:rsidRPr="008671B7">
        <w:rPr>
          <w:rFonts w:eastAsia="Times New Roman" w:cs="Arial"/>
          <w:b/>
          <w:bCs/>
          <w:color w:val="22789A"/>
          <w:sz w:val="16"/>
          <w:szCs w:val="16"/>
          <w:lang w:eastAsia="en-AU"/>
        </w:rPr>
        <w:t xml:space="preserve">[6] </w:t>
      </w:r>
      <w:r w:rsidRPr="008671B7">
        <w:rPr>
          <w:rFonts w:eastAsia="Times New Roman" w:cs="Arial"/>
          <w:color w:val="22789A"/>
          <w:sz w:val="16"/>
          <w:szCs w:val="16"/>
          <w:lang w:eastAsia="en-AU"/>
        </w:rPr>
        <w:t xml:space="preserve">ABS (2008–2013) Selected Characteristics of Australian Business, cat. no. 8167.0, 2006–07 - 2011–12, Collaborative arrangements by innovation status, employment size, and industry, URL: http://www.abs.gov.au/; </w:t>
      </w:r>
      <w:r w:rsidRPr="008671B7">
        <w:rPr>
          <w:rFonts w:eastAsia="Times New Roman" w:cs="Arial"/>
          <w:b/>
          <w:bCs/>
          <w:color w:val="22789A"/>
          <w:sz w:val="16"/>
          <w:szCs w:val="16"/>
          <w:lang w:eastAsia="en-AU"/>
        </w:rPr>
        <w:t xml:space="preserve">[7] </w:t>
      </w:r>
      <w:r w:rsidRPr="008671B7">
        <w:rPr>
          <w:rFonts w:eastAsia="Times New Roman" w:cs="Arial"/>
          <w:color w:val="22789A"/>
          <w:sz w:val="16"/>
          <w:szCs w:val="16"/>
          <w:lang w:eastAsia="en-AU"/>
        </w:rPr>
        <w:t xml:space="preserve">ABS (2014–2016) Selected Characteristics of Australian Business, cat. no. 8167.0, 2012–13 - 2014–15, Business Structure and Arrangements, URL: http://www.abs.gov.au/; </w:t>
      </w:r>
      <w:r w:rsidRPr="008671B7">
        <w:rPr>
          <w:rFonts w:eastAsia="Times New Roman" w:cs="Arial"/>
          <w:b/>
          <w:bCs/>
          <w:color w:val="22789A"/>
          <w:sz w:val="16"/>
          <w:szCs w:val="16"/>
          <w:lang w:eastAsia="en-AU"/>
        </w:rPr>
        <w:t>[8]</w:t>
      </w:r>
      <w:r w:rsidRPr="008671B7">
        <w:rPr>
          <w:rFonts w:eastAsia="Times New Roman" w:cs="Arial"/>
          <w:color w:val="22789A"/>
          <w:sz w:val="16"/>
          <w:szCs w:val="16"/>
          <w:lang w:eastAsia="en-AU"/>
        </w:rPr>
        <w:t xml:space="preserve"> OECD (2015) Science, Technology and Industry Scoreboard, 2015, DOI: 10.1787/20725345;</w:t>
      </w:r>
      <w:r w:rsidRPr="008671B7">
        <w:rPr>
          <w:rFonts w:eastAsia="Times New Roman" w:cs="Arial"/>
          <w:b/>
          <w:bCs/>
          <w:color w:val="22789A"/>
          <w:sz w:val="16"/>
          <w:szCs w:val="16"/>
          <w:lang w:eastAsia="en-AU"/>
        </w:rPr>
        <w:t xml:space="preserve"> [9]</w:t>
      </w:r>
      <w:r w:rsidRPr="008671B7">
        <w:rPr>
          <w:rFonts w:eastAsia="Times New Roman" w:cs="Arial"/>
          <w:color w:val="22789A"/>
          <w:sz w:val="16"/>
          <w:szCs w:val="16"/>
          <w:lang w:eastAsia="en-AU"/>
        </w:rPr>
        <w:t xml:space="preserve"> OECD (2016) Green growth indicators, 2016-2, URL: http://www.oecd.org/</w:t>
      </w:r>
    </w:p>
    <w:p w14:paraId="7418BBA7" w14:textId="77777777" w:rsidR="00D471AD" w:rsidRPr="008B33FB" w:rsidRDefault="00D471AD" w:rsidP="00D471AD">
      <w:pPr>
        <w:spacing w:before="120" w:after="120"/>
        <w:rPr>
          <w:rFonts w:eastAsia="Times New Roman" w:cs="Arial"/>
          <w:i/>
          <w:iCs/>
          <w:color w:val="22789A"/>
          <w:sz w:val="16"/>
          <w:szCs w:val="16"/>
          <w:lang w:eastAsia="en-AU"/>
        </w:rPr>
      </w:pPr>
      <w:r w:rsidRPr="008671B7">
        <w:rPr>
          <w:rFonts w:eastAsia="Times New Roman" w:cs="Arial"/>
          <w:b/>
          <w:i/>
          <w:iCs/>
          <w:color w:val="22789A"/>
          <w:sz w:val="16"/>
          <w:szCs w:val="16"/>
          <w:lang w:eastAsia="en-AU"/>
        </w:rPr>
        <w:t>Indicator notes</w:t>
      </w:r>
      <w:r w:rsidRPr="008671B7">
        <w:rPr>
          <w:rFonts w:eastAsia="Times New Roman" w:cs="Arial"/>
          <w:b/>
          <w:color w:val="22789A"/>
          <w:sz w:val="16"/>
          <w:szCs w:val="16"/>
          <w:lang w:eastAsia="en-AU"/>
        </w:rPr>
        <w:t xml:space="preserve"> (10 - 15): </w:t>
      </w:r>
      <w:r w:rsidRPr="008671B7">
        <w:rPr>
          <w:rFonts w:eastAsia="Times New Roman" w:cs="Arial"/>
          <w:b/>
          <w:bCs/>
          <w:color w:val="22789A"/>
          <w:sz w:val="16"/>
          <w:szCs w:val="16"/>
          <w:lang w:eastAsia="en-AU"/>
        </w:rPr>
        <w:t>[10]</w:t>
      </w:r>
      <w:r w:rsidRPr="008671B7">
        <w:rPr>
          <w:rFonts w:eastAsia="Times New Roman" w:cs="Arial"/>
          <w:color w:val="22789A"/>
          <w:sz w:val="16"/>
          <w:szCs w:val="16"/>
          <w:lang w:eastAsia="en-AU"/>
        </w:rPr>
        <w:t xml:space="preserve"> 0+ employees for Australia-only data points; 10+ employees for OECD Comparison; </w:t>
      </w:r>
      <w:r w:rsidRPr="008671B7">
        <w:rPr>
          <w:rFonts w:eastAsia="Times New Roman" w:cs="Arial"/>
          <w:b/>
          <w:bCs/>
          <w:color w:val="22789A"/>
          <w:sz w:val="16"/>
          <w:szCs w:val="16"/>
          <w:lang w:eastAsia="en-AU"/>
        </w:rPr>
        <w:t xml:space="preserve">[11] </w:t>
      </w:r>
      <w:r w:rsidRPr="008671B7">
        <w:rPr>
          <w:rFonts w:eastAsia="Times New Roman" w:cs="Arial"/>
          <w:color w:val="22789A"/>
          <w:sz w:val="16"/>
          <w:szCs w:val="16"/>
          <w:lang w:eastAsia="en-AU"/>
        </w:rPr>
        <w:t>OECD measures this as a percentage of product and/or process innovative firms;</w:t>
      </w:r>
      <w:r w:rsidRPr="008671B7">
        <w:rPr>
          <w:rFonts w:eastAsia="Times New Roman" w:cs="Arial"/>
          <w:b/>
          <w:bCs/>
          <w:color w:val="22789A"/>
          <w:sz w:val="16"/>
          <w:szCs w:val="16"/>
          <w:lang w:eastAsia="en-AU"/>
        </w:rPr>
        <w:t xml:space="preserve"> [12]</w:t>
      </w:r>
      <w:r w:rsidRPr="008671B7">
        <w:rPr>
          <w:rFonts w:eastAsia="Times New Roman" w:cs="Arial"/>
          <w:color w:val="22789A"/>
          <w:sz w:val="16"/>
          <w:szCs w:val="16"/>
          <w:lang w:eastAsia="en-AU"/>
        </w:rPr>
        <w:t xml:space="preserve"> 0-199 employees for Australia-only data points; 10-249 employees for OECD Comparison;</w:t>
      </w:r>
      <w:r w:rsidRPr="008671B7">
        <w:rPr>
          <w:rFonts w:eastAsia="Times New Roman" w:cs="Arial"/>
          <w:b/>
          <w:bCs/>
          <w:color w:val="22789A"/>
          <w:sz w:val="16"/>
          <w:szCs w:val="16"/>
          <w:lang w:eastAsia="en-AU"/>
        </w:rPr>
        <w:t xml:space="preserve"> [13]</w:t>
      </w:r>
      <w:r w:rsidRPr="008671B7">
        <w:rPr>
          <w:rFonts w:eastAsia="Times New Roman" w:cs="Arial"/>
          <w:color w:val="22789A"/>
          <w:sz w:val="16"/>
          <w:szCs w:val="16"/>
          <w:lang w:eastAsia="en-AU"/>
        </w:rPr>
        <w:t xml:space="preserve"> 200+ employees for Australia-only data points; 250+ employees for OECD Comparison; </w:t>
      </w:r>
      <w:r w:rsidRPr="008671B7">
        <w:rPr>
          <w:rFonts w:eastAsia="Times New Roman" w:cs="Arial"/>
          <w:b/>
          <w:bCs/>
          <w:color w:val="22789A"/>
          <w:sz w:val="16"/>
          <w:szCs w:val="16"/>
          <w:lang w:eastAsia="en-AU"/>
        </w:rPr>
        <w:t xml:space="preserve">[14] </w:t>
      </w:r>
      <w:r w:rsidRPr="008671B7">
        <w:rPr>
          <w:rFonts w:eastAsia="Times New Roman" w:cs="Arial"/>
          <w:color w:val="22789A"/>
          <w:sz w:val="16"/>
          <w:szCs w:val="16"/>
          <w:lang w:eastAsia="en-AU"/>
        </w:rPr>
        <w:t xml:space="preserve">10+ employees; </w:t>
      </w:r>
      <w:r w:rsidRPr="008671B7">
        <w:rPr>
          <w:rFonts w:eastAsia="Times New Roman" w:cs="Arial"/>
          <w:b/>
          <w:bCs/>
          <w:color w:val="22789A"/>
          <w:sz w:val="16"/>
          <w:szCs w:val="16"/>
          <w:lang w:eastAsia="en-AU"/>
        </w:rPr>
        <w:t>[15]</w:t>
      </w:r>
      <w:r w:rsidRPr="008671B7">
        <w:rPr>
          <w:rFonts w:eastAsia="Times New Roman" w:cs="Arial"/>
          <w:color w:val="22789A"/>
          <w:sz w:val="16"/>
          <w:szCs w:val="16"/>
          <w:lang w:eastAsia="en-AU"/>
        </w:rPr>
        <w:t xml:space="preserve"> 0+ employees</w:t>
      </w:r>
    </w:p>
    <w:p w14:paraId="7418BBA8" w14:textId="77777777" w:rsidR="00D471AD" w:rsidRDefault="00D471AD" w:rsidP="00D471AD">
      <w:r>
        <w:br w:type="page"/>
      </w:r>
    </w:p>
    <w:tbl>
      <w:tblPr>
        <w:tblW w:w="5000" w:type="pct"/>
        <w:tblBorders>
          <w:bottom w:val="single" w:sz="4" w:space="0" w:color="auto"/>
        </w:tblBorders>
        <w:tblLook w:val="04A0" w:firstRow="1" w:lastRow="0" w:firstColumn="1" w:lastColumn="0" w:noHBand="0" w:noVBand="1"/>
      </w:tblPr>
      <w:tblGrid>
        <w:gridCol w:w="4309"/>
        <w:gridCol w:w="698"/>
        <w:gridCol w:w="698"/>
        <w:gridCol w:w="698"/>
        <w:gridCol w:w="698"/>
        <w:gridCol w:w="698"/>
        <w:gridCol w:w="698"/>
        <w:gridCol w:w="698"/>
        <w:gridCol w:w="698"/>
        <w:gridCol w:w="698"/>
        <w:gridCol w:w="698"/>
        <w:gridCol w:w="698"/>
        <w:gridCol w:w="698"/>
        <w:gridCol w:w="645"/>
        <w:gridCol w:w="628"/>
      </w:tblGrid>
      <w:tr w:rsidR="00D471AD" w:rsidRPr="0048563F" w14:paraId="7418BBAA" w14:textId="77777777" w:rsidTr="004A31A9">
        <w:trPr>
          <w:trHeight w:val="300"/>
          <w:tblHeader/>
        </w:trPr>
        <w:tc>
          <w:tcPr>
            <w:tcW w:w="5000" w:type="pct"/>
            <w:gridSpan w:val="15"/>
            <w:tcBorders>
              <w:top w:val="single" w:sz="8" w:space="0" w:color="22789A"/>
              <w:bottom w:val="nil"/>
            </w:tcBorders>
            <w:shd w:val="clear" w:color="auto" w:fill="auto"/>
            <w:vAlign w:val="center"/>
          </w:tcPr>
          <w:p w14:paraId="7418BBA9" w14:textId="77777777" w:rsidR="00D471AD" w:rsidRPr="0048563F" w:rsidRDefault="00D471AD" w:rsidP="004A31A9">
            <w:pPr>
              <w:widowControl w:val="0"/>
              <w:spacing w:before="42" w:after="0" w:line="240" w:lineRule="auto"/>
              <w:ind w:left="-108"/>
              <w:rPr>
                <w:rFonts w:eastAsia="Calibri" w:hAnsi="Calibri" w:cs="Times New Roman"/>
                <w:i/>
                <w:color w:val="22789A"/>
                <w:spacing w:val="3"/>
                <w:sz w:val="18"/>
                <w:lang w:val="en-US"/>
              </w:rPr>
            </w:pPr>
            <w:r w:rsidRPr="0048563F">
              <w:rPr>
                <w:rFonts w:eastAsia="Calibri" w:hAnsi="Calibri" w:cs="Times New Roman"/>
                <w:i/>
                <w:color w:val="22789A"/>
                <w:spacing w:val="3"/>
                <w:sz w:val="18"/>
                <w:lang w:val="en-US"/>
              </w:rPr>
              <w:t>Table A5(a): Indicators of framework conditions in Australia</w:t>
            </w:r>
          </w:p>
        </w:tc>
      </w:tr>
      <w:tr w:rsidR="00D471AD" w:rsidRPr="0048563F" w14:paraId="7418BBAC" w14:textId="77777777" w:rsidTr="004A31A9">
        <w:trPr>
          <w:trHeight w:val="300"/>
          <w:tblHeader/>
        </w:trPr>
        <w:tc>
          <w:tcPr>
            <w:tcW w:w="5000" w:type="pct"/>
            <w:gridSpan w:val="15"/>
            <w:tcBorders>
              <w:top w:val="nil"/>
            </w:tcBorders>
            <w:shd w:val="clear" w:color="292B67" w:fill="22789A"/>
            <w:vAlign w:val="center"/>
            <w:hideMark/>
          </w:tcPr>
          <w:p w14:paraId="7418BBAB" w14:textId="77777777" w:rsidR="00D471AD" w:rsidRPr="0048563F" w:rsidRDefault="00D471AD" w:rsidP="004A31A9">
            <w:pPr>
              <w:widowControl w:val="0"/>
              <w:spacing w:before="42" w:after="0" w:line="240" w:lineRule="auto"/>
              <w:ind w:left="79"/>
              <w:rPr>
                <w:rFonts w:eastAsia="Calibri" w:hAnsi="Calibri" w:cs="Times New Roman"/>
                <w:i/>
                <w:color w:val="FFFFFF"/>
                <w:spacing w:val="3"/>
                <w:sz w:val="18"/>
                <w:lang w:val="en-US"/>
              </w:rPr>
            </w:pPr>
            <w:r w:rsidRPr="0048563F">
              <w:rPr>
                <w:rFonts w:eastAsia="Calibri" w:hAnsi="Calibri" w:cs="Times New Roman"/>
                <w:i/>
                <w:color w:val="FFFFFF"/>
                <w:spacing w:val="3"/>
                <w:sz w:val="18"/>
                <w:lang w:val="en-US"/>
              </w:rPr>
              <w:t>Australian Trend Data (i)</w:t>
            </w:r>
          </w:p>
        </w:tc>
      </w:tr>
      <w:tr w:rsidR="00D471AD" w:rsidRPr="0048563F" w14:paraId="7418BBBC" w14:textId="77777777" w:rsidTr="004A31A9">
        <w:trPr>
          <w:trHeight w:val="300"/>
          <w:tblHeader/>
        </w:trPr>
        <w:tc>
          <w:tcPr>
            <w:tcW w:w="1544" w:type="pct"/>
            <w:shd w:val="clear" w:color="auto" w:fill="E4F3F9"/>
            <w:vAlign w:val="center"/>
            <w:hideMark/>
          </w:tcPr>
          <w:p w14:paraId="7418BBAD" w14:textId="77777777" w:rsidR="00D471AD" w:rsidRPr="0048563F" w:rsidRDefault="00D471AD" w:rsidP="004A31A9">
            <w:pPr>
              <w:spacing w:after="0" w:line="240" w:lineRule="auto"/>
              <w:rPr>
                <w:rFonts w:eastAsia="Times New Roman" w:cs="Arial"/>
                <w:b/>
                <w:bCs/>
                <w:i/>
                <w:color w:val="7A7B7C"/>
                <w:sz w:val="14"/>
                <w:szCs w:val="14"/>
                <w:lang w:eastAsia="en-AU"/>
              </w:rPr>
            </w:pPr>
            <w:r w:rsidRPr="0048563F">
              <w:rPr>
                <w:rFonts w:eastAsia="Times New Roman" w:cs="Arial"/>
                <w:b/>
                <w:bCs/>
                <w:i/>
                <w:color w:val="7A7B7C"/>
                <w:sz w:val="14"/>
                <w:szCs w:val="14"/>
                <w:lang w:eastAsia="en-AU"/>
              </w:rPr>
              <w:t>Indicators</w:t>
            </w:r>
          </w:p>
        </w:tc>
        <w:tc>
          <w:tcPr>
            <w:tcW w:w="250" w:type="pct"/>
            <w:shd w:val="clear" w:color="auto" w:fill="E4F3F9"/>
            <w:vAlign w:val="center"/>
            <w:hideMark/>
          </w:tcPr>
          <w:p w14:paraId="7418BBAE"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1995</w:t>
            </w:r>
          </w:p>
        </w:tc>
        <w:tc>
          <w:tcPr>
            <w:tcW w:w="250" w:type="pct"/>
            <w:shd w:val="clear" w:color="auto" w:fill="E4F3F9"/>
            <w:vAlign w:val="center"/>
            <w:hideMark/>
          </w:tcPr>
          <w:p w14:paraId="7418BBAF"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2000</w:t>
            </w:r>
          </w:p>
        </w:tc>
        <w:tc>
          <w:tcPr>
            <w:tcW w:w="250" w:type="pct"/>
            <w:shd w:val="clear" w:color="auto" w:fill="E4F3F9"/>
            <w:vAlign w:val="center"/>
            <w:hideMark/>
          </w:tcPr>
          <w:p w14:paraId="7418BBB0"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2005</w:t>
            </w:r>
          </w:p>
        </w:tc>
        <w:tc>
          <w:tcPr>
            <w:tcW w:w="250" w:type="pct"/>
            <w:shd w:val="clear" w:color="auto" w:fill="E4F3F9"/>
            <w:vAlign w:val="center"/>
            <w:hideMark/>
          </w:tcPr>
          <w:p w14:paraId="7418BBB1"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2006</w:t>
            </w:r>
          </w:p>
        </w:tc>
        <w:tc>
          <w:tcPr>
            <w:tcW w:w="250" w:type="pct"/>
            <w:shd w:val="clear" w:color="auto" w:fill="E4F3F9"/>
            <w:vAlign w:val="center"/>
            <w:hideMark/>
          </w:tcPr>
          <w:p w14:paraId="7418BBB2"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2007</w:t>
            </w:r>
          </w:p>
        </w:tc>
        <w:tc>
          <w:tcPr>
            <w:tcW w:w="250" w:type="pct"/>
            <w:shd w:val="clear" w:color="auto" w:fill="E4F3F9"/>
            <w:vAlign w:val="center"/>
            <w:hideMark/>
          </w:tcPr>
          <w:p w14:paraId="7418BBB3"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2008</w:t>
            </w:r>
          </w:p>
        </w:tc>
        <w:tc>
          <w:tcPr>
            <w:tcW w:w="250" w:type="pct"/>
            <w:shd w:val="clear" w:color="auto" w:fill="E4F3F9"/>
            <w:vAlign w:val="center"/>
            <w:hideMark/>
          </w:tcPr>
          <w:p w14:paraId="7418BBB4"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2009</w:t>
            </w:r>
          </w:p>
        </w:tc>
        <w:tc>
          <w:tcPr>
            <w:tcW w:w="250" w:type="pct"/>
            <w:shd w:val="clear" w:color="auto" w:fill="E4F3F9"/>
            <w:vAlign w:val="center"/>
            <w:hideMark/>
          </w:tcPr>
          <w:p w14:paraId="7418BBB5"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2010</w:t>
            </w:r>
          </w:p>
        </w:tc>
        <w:tc>
          <w:tcPr>
            <w:tcW w:w="250" w:type="pct"/>
            <w:shd w:val="clear" w:color="auto" w:fill="E4F3F9"/>
            <w:vAlign w:val="center"/>
            <w:hideMark/>
          </w:tcPr>
          <w:p w14:paraId="7418BBB6"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2011</w:t>
            </w:r>
          </w:p>
        </w:tc>
        <w:tc>
          <w:tcPr>
            <w:tcW w:w="250" w:type="pct"/>
            <w:shd w:val="clear" w:color="auto" w:fill="E4F3F9"/>
            <w:vAlign w:val="center"/>
            <w:hideMark/>
          </w:tcPr>
          <w:p w14:paraId="7418BBB7"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2012</w:t>
            </w:r>
          </w:p>
        </w:tc>
        <w:tc>
          <w:tcPr>
            <w:tcW w:w="250" w:type="pct"/>
            <w:shd w:val="clear" w:color="auto" w:fill="E4F3F9"/>
            <w:vAlign w:val="center"/>
            <w:hideMark/>
          </w:tcPr>
          <w:p w14:paraId="7418BBB8"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2013</w:t>
            </w:r>
          </w:p>
        </w:tc>
        <w:tc>
          <w:tcPr>
            <w:tcW w:w="250" w:type="pct"/>
            <w:shd w:val="clear" w:color="auto" w:fill="E4F3F9"/>
            <w:vAlign w:val="center"/>
            <w:hideMark/>
          </w:tcPr>
          <w:p w14:paraId="7418BBB9"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2014</w:t>
            </w:r>
          </w:p>
        </w:tc>
        <w:tc>
          <w:tcPr>
            <w:tcW w:w="231" w:type="pct"/>
            <w:shd w:val="clear" w:color="auto" w:fill="E4F3F9"/>
            <w:vAlign w:val="center"/>
            <w:hideMark/>
          </w:tcPr>
          <w:p w14:paraId="7418BBBA"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2015</w:t>
            </w:r>
          </w:p>
        </w:tc>
        <w:tc>
          <w:tcPr>
            <w:tcW w:w="225" w:type="pct"/>
            <w:shd w:val="clear" w:color="auto" w:fill="E4F3F9"/>
            <w:vAlign w:val="center"/>
            <w:hideMark/>
          </w:tcPr>
          <w:p w14:paraId="7418BBBB"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2016</w:t>
            </w:r>
          </w:p>
        </w:tc>
      </w:tr>
      <w:tr w:rsidR="00D471AD" w:rsidRPr="0048563F" w14:paraId="7418BBCC" w14:textId="77777777" w:rsidTr="004A31A9">
        <w:trPr>
          <w:trHeight w:val="283"/>
        </w:trPr>
        <w:tc>
          <w:tcPr>
            <w:tcW w:w="1544" w:type="pct"/>
            <w:shd w:val="clear" w:color="auto" w:fill="D5ECF5"/>
            <w:vAlign w:val="center"/>
          </w:tcPr>
          <w:p w14:paraId="7418BBB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Operating surplus, % of GDP</w:t>
            </w:r>
            <w:r w:rsidRPr="0048563F">
              <w:rPr>
                <w:rFonts w:eastAsia="Arial Unicode MS" w:cs="Arial" w:hint="eastAsia"/>
                <w:color w:val="7A7B7C"/>
                <w:sz w:val="14"/>
                <w:szCs w:val="14"/>
                <w:lang w:eastAsia="en-AU"/>
              </w:rPr>
              <w:t>¹</w:t>
            </w:r>
          </w:p>
        </w:tc>
        <w:tc>
          <w:tcPr>
            <w:tcW w:w="250" w:type="pct"/>
            <w:shd w:val="clear" w:color="auto" w:fill="D5ECF5"/>
            <w:vAlign w:val="center"/>
          </w:tcPr>
          <w:p w14:paraId="7418BBB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22.7</w:t>
            </w:r>
          </w:p>
        </w:tc>
        <w:tc>
          <w:tcPr>
            <w:tcW w:w="250" w:type="pct"/>
            <w:shd w:val="clear" w:color="auto" w:fill="D5ECF5"/>
            <w:vAlign w:val="center"/>
          </w:tcPr>
          <w:p w14:paraId="7418BBB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22.7</w:t>
            </w:r>
          </w:p>
        </w:tc>
        <w:tc>
          <w:tcPr>
            <w:tcW w:w="250" w:type="pct"/>
            <w:shd w:val="clear" w:color="auto" w:fill="D5ECF5"/>
            <w:vAlign w:val="center"/>
          </w:tcPr>
          <w:p w14:paraId="7418BBC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24.0</w:t>
            </w:r>
          </w:p>
        </w:tc>
        <w:tc>
          <w:tcPr>
            <w:tcW w:w="250" w:type="pct"/>
            <w:shd w:val="clear" w:color="auto" w:fill="D5ECF5"/>
            <w:vAlign w:val="center"/>
          </w:tcPr>
          <w:p w14:paraId="7418BBC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24.7</w:t>
            </w:r>
          </w:p>
        </w:tc>
        <w:tc>
          <w:tcPr>
            <w:tcW w:w="250" w:type="pct"/>
            <w:shd w:val="clear" w:color="auto" w:fill="D5ECF5"/>
            <w:vAlign w:val="center"/>
          </w:tcPr>
          <w:p w14:paraId="7418BBC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23.9</w:t>
            </w:r>
          </w:p>
        </w:tc>
        <w:tc>
          <w:tcPr>
            <w:tcW w:w="250" w:type="pct"/>
            <w:shd w:val="clear" w:color="auto" w:fill="D5ECF5"/>
            <w:vAlign w:val="center"/>
          </w:tcPr>
          <w:p w14:paraId="7418BBC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26.1</w:t>
            </w:r>
          </w:p>
        </w:tc>
        <w:tc>
          <w:tcPr>
            <w:tcW w:w="250" w:type="pct"/>
            <w:shd w:val="clear" w:color="auto" w:fill="D5ECF5"/>
            <w:vAlign w:val="center"/>
          </w:tcPr>
          <w:p w14:paraId="7418BBC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24.8</w:t>
            </w:r>
          </w:p>
        </w:tc>
        <w:tc>
          <w:tcPr>
            <w:tcW w:w="250" w:type="pct"/>
            <w:shd w:val="clear" w:color="auto" w:fill="D5ECF5"/>
            <w:vAlign w:val="center"/>
          </w:tcPr>
          <w:p w14:paraId="7418BBC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25.5</w:t>
            </w:r>
          </w:p>
        </w:tc>
        <w:tc>
          <w:tcPr>
            <w:tcW w:w="250" w:type="pct"/>
            <w:shd w:val="clear" w:color="auto" w:fill="D5ECF5"/>
            <w:vAlign w:val="center"/>
          </w:tcPr>
          <w:p w14:paraId="7418BBC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25.3</w:t>
            </w:r>
          </w:p>
        </w:tc>
        <w:tc>
          <w:tcPr>
            <w:tcW w:w="250" w:type="pct"/>
            <w:shd w:val="clear" w:color="auto" w:fill="D5ECF5"/>
            <w:vAlign w:val="center"/>
          </w:tcPr>
          <w:p w14:paraId="7418BBC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24.0</w:t>
            </w:r>
          </w:p>
        </w:tc>
        <w:tc>
          <w:tcPr>
            <w:tcW w:w="250" w:type="pct"/>
            <w:shd w:val="clear" w:color="auto" w:fill="D5ECF5"/>
            <w:vAlign w:val="center"/>
          </w:tcPr>
          <w:p w14:paraId="7418BBC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24.3</w:t>
            </w:r>
          </w:p>
        </w:tc>
        <w:tc>
          <w:tcPr>
            <w:tcW w:w="250" w:type="pct"/>
            <w:shd w:val="clear" w:color="auto" w:fill="D5ECF5"/>
            <w:vAlign w:val="center"/>
          </w:tcPr>
          <w:p w14:paraId="7418BBC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23.2</w:t>
            </w:r>
          </w:p>
        </w:tc>
        <w:tc>
          <w:tcPr>
            <w:tcW w:w="231" w:type="pct"/>
            <w:shd w:val="clear" w:color="auto" w:fill="D5ECF5"/>
            <w:vAlign w:val="center"/>
          </w:tcPr>
          <w:p w14:paraId="7418BBC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22.5</w:t>
            </w:r>
          </w:p>
        </w:tc>
        <w:tc>
          <w:tcPr>
            <w:tcW w:w="225" w:type="pct"/>
            <w:shd w:val="clear" w:color="auto" w:fill="D5ECF5"/>
            <w:vAlign w:val="center"/>
          </w:tcPr>
          <w:p w14:paraId="7418BBC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BDC" w14:textId="77777777" w:rsidTr="004A31A9">
        <w:trPr>
          <w:trHeight w:val="283"/>
        </w:trPr>
        <w:tc>
          <w:tcPr>
            <w:tcW w:w="1544" w:type="pct"/>
            <w:shd w:val="clear" w:color="auto" w:fill="E4F3F9"/>
            <w:vAlign w:val="center"/>
          </w:tcPr>
          <w:p w14:paraId="7418BBC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Index of Industrial Production</w:t>
            </w:r>
            <w:r w:rsidRPr="0048563F">
              <w:rPr>
                <w:rFonts w:eastAsia="Arial Unicode MS" w:cs="Arial" w:hint="eastAsia"/>
                <w:color w:val="7A7B7C"/>
                <w:sz w:val="14"/>
                <w:szCs w:val="14"/>
                <w:lang w:eastAsia="en-AU"/>
              </w:rPr>
              <w:t>²</w:t>
            </w:r>
          </w:p>
        </w:tc>
        <w:tc>
          <w:tcPr>
            <w:tcW w:w="250" w:type="pct"/>
            <w:shd w:val="clear" w:color="auto" w:fill="E4F3F9"/>
            <w:vAlign w:val="center"/>
          </w:tcPr>
          <w:p w14:paraId="7418BBC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68.2</w:t>
            </w:r>
          </w:p>
        </w:tc>
        <w:tc>
          <w:tcPr>
            <w:tcW w:w="250" w:type="pct"/>
            <w:shd w:val="clear" w:color="auto" w:fill="E4F3F9"/>
            <w:vAlign w:val="center"/>
          </w:tcPr>
          <w:p w14:paraId="7418BBC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77.2</w:t>
            </w:r>
          </w:p>
        </w:tc>
        <w:tc>
          <w:tcPr>
            <w:tcW w:w="250" w:type="pct"/>
            <w:shd w:val="clear" w:color="auto" w:fill="E4F3F9"/>
            <w:vAlign w:val="center"/>
          </w:tcPr>
          <w:p w14:paraId="7418BBD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81.6</w:t>
            </w:r>
          </w:p>
        </w:tc>
        <w:tc>
          <w:tcPr>
            <w:tcW w:w="250" w:type="pct"/>
            <w:shd w:val="clear" w:color="auto" w:fill="E4F3F9"/>
            <w:vAlign w:val="center"/>
          </w:tcPr>
          <w:p w14:paraId="7418BBD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85.2</w:t>
            </w:r>
          </w:p>
        </w:tc>
        <w:tc>
          <w:tcPr>
            <w:tcW w:w="250" w:type="pct"/>
            <w:shd w:val="clear" w:color="auto" w:fill="E4F3F9"/>
            <w:vAlign w:val="center"/>
          </w:tcPr>
          <w:p w14:paraId="7418BBD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87.7</w:t>
            </w:r>
          </w:p>
        </w:tc>
        <w:tc>
          <w:tcPr>
            <w:tcW w:w="250" w:type="pct"/>
            <w:shd w:val="clear" w:color="auto" w:fill="E4F3F9"/>
            <w:vAlign w:val="center"/>
          </w:tcPr>
          <w:p w14:paraId="7418BBD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87.3</w:t>
            </w:r>
          </w:p>
        </w:tc>
        <w:tc>
          <w:tcPr>
            <w:tcW w:w="250" w:type="pct"/>
            <w:shd w:val="clear" w:color="auto" w:fill="E4F3F9"/>
            <w:vAlign w:val="center"/>
          </w:tcPr>
          <w:p w14:paraId="7418BBD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90.1</w:t>
            </w:r>
          </w:p>
        </w:tc>
        <w:tc>
          <w:tcPr>
            <w:tcW w:w="250" w:type="pct"/>
            <w:shd w:val="clear" w:color="auto" w:fill="E4F3F9"/>
            <w:vAlign w:val="center"/>
          </w:tcPr>
          <w:p w14:paraId="7418BBD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91.3</w:t>
            </w:r>
          </w:p>
        </w:tc>
        <w:tc>
          <w:tcPr>
            <w:tcW w:w="250" w:type="pct"/>
            <w:shd w:val="clear" w:color="auto" w:fill="E4F3F9"/>
            <w:vAlign w:val="center"/>
          </w:tcPr>
          <w:p w14:paraId="7418BBD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94.5</w:t>
            </w:r>
          </w:p>
        </w:tc>
        <w:tc>
          <w:tcPr>
            <w:tcW w:w="250" w:type="pct"/>
            <w:shd w:val="clear" w:color="auto" w:fill="E4F3F9"/>
            <w:vAlign w:val="center"/>
          </w:tcPr>
          <w:p w14:paraId="7418BBD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96.7</w:t>
            </w:r>
          </w:p>
        </w:tc>
        <w:tc>
          <w:tcPr>
            <w:tcW w:w="250" w:type="pct"/>
            <w:shd w:val="clear" w:color="auto" w:fill="E4F3F9"/>
            <w:vAlign w:val="center"/>
          </w:tcPr>
          <w:p w14:paraId="7418BBD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100.0</w:t>
            </w:r>
          </w:p>
        </w:tc>
        <w:tc>
          <w:tcPr>
            <w:tcW w:w="250" w:type="pct"/>
            <w:shd w:val="clear" w:color="auto" w:fill="E4F3F9"/>
            <w:vAlign w:val="center"/>
          </w:tcPr>
          <w:p w14:paraId="7418BBD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102.7</w:t>
            </w:r>
          </w:p>
        </w:tc>
        <w:tc>
          <w:tcPr>
            <w:tcW w:w="231" w:type="pct"/>
            <w:shd w:val="clear" w:color="auto" w:fill="E4F3F9"/>
            <w:vAlign w:val="center"/>
          </w:tcPr>
          <w:p w14:paraId="7418BBD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105.8</w:t>
            </w:r>
          </w:p>
        </w:tc>
        <w:tc>
          <w:tcPr>
            <w:tcW w:w="225" w:type="pct"/>
            <w:shd w:val="clear" w:color="auto" w:fill="E4F3F9"/>
            <w:vAlign w:val="center"/>
          </w:tcPr>
          <w:p w14:paraId="7418BBD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BEC" w14:textId="77777777" w:rsidTr="004A31A9">
        <w:trPr>
          <w:trHeight w:val="283"/>
        </w:trPr>
        <w:tc>
          <w:tcPr>
            <w:tcW w:w="1544" w:type="pct"/>
            <w:shd w:val="clear" w:color="auto" w:fill="D5ECF5"/>
            <w:vAlign w:val="center"/>
          </w:tcPr>
          <w:p w14:paraId="7418BBD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NAB Index of capacity utilisation</w:t>
            </w:r>
            <w:r w:rsidRPr="0048563F">
              <w:rPr>
                <w:rFonts w:eastAsia="Arial Unicode MS" w:cs="Arial" w:hint="eastAsia"/>
                <w:color w:val="7A7B7C"/>
                <w:sz w:val="14"/>
                <w:szCs w:val="14"/>
                <w:lang w:eastAsia="en-AU"/>
              </w:rPr>
              <w:t>³</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²⁶</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²⁷</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²⁸</w:t>
            </w:r>
          </w:p>
        </w:tc>
        <w:tc>
          <w:tcPr>
            <w:tcW w:w="250" w:type="pct"/>
            <w:shd w:val="clear" w:color="auto" w:fill="D5ECF5"/>
            <w:vAlign w:val="center"/>
          </w:tcPr>
          <w:p w14:paraId="7418BBD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79.9</w:t>
            </w:r>
          </w:p>
        </w:tc>
        <w:tc>
          <w:tcPr>
            <w:tcW w:w="250" w:type="pct"/>
            <w:shd w:val="clear" w:color="auto" w:fill="D5ECF5"/>
            <w:vAlign w:val="center"/>
          </w:tcPr>
          <w:p w14:paraId="7418BBD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79.3</w:t>
            </w:r>
          </w:p>
        </w:tc>
        <w:tc>
          <w:tcPr>
            <w:tcW w:w="250" w:type="pct"/>
            <w:shd w:val="clear" w:color="auto" w:fill="D5ECF5"/>
            <w:vAlign w:val="center"/>
          </w:tcPr>
          <w:p w14:paraId="7418BBE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82.7</w:t>
            </w:r>
          </w:p>
        </w:tc>
        <w:tc>
          <w:tcPr>
            <w:tcW w:w="250" w:type="pct"/>
            <w:shd w:val="clear" w:color="auto" w:fill="D5ECF5"/>
            <w:vAlign w:val="center"/>
          </w:tcPr>
          <w:p w14:paraId="7418BBE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83.2</w:t>
            </w:r>
          </w:p>
        </w:tc>
        <w:tc>
          <w:tcPr>
            <w:tcW w:w="250" w:type="pct"/>
            <w:shd w:val="clear" w:color="auto" w:fill="D5ECF5"/>
            <w:vAlign w:val="center"/>
          </w:tcPr>
          <w:p w14:paraId="7418BBE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82.9</w:t>
            </w:r>
          </w:p>
        </w:tc>
        <w:tc>
          <w:tcPr>
            <w:tcW w:w="250" w:type="pct"/>
            <w:shd w:val="clear" w:color="auto" w:fill="D5ECF5"/>
            <w:vAlign w:val="center"/>
          </w:tcPr>
          <w:p w14:paraId="7418BBE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79.3</w:t>
            </w:r>
          </w:p>
        </w:tc>
        <w:tc>
          <w:tcPr>
            <w:tcW w:w="250" w:type="pct"/>
            <w:shd w:val="clear" w:color="auto" w:fill="D5ECF5"/>
            <w:vAlign w:val="center"/>
          </w:tcPr>
          <w:p w14:paraId="7418BBE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81.9</w:t>
            </w:r>
          </w:p>
        </w:tc>
        <w:tc>
          <w:tcPr>
            <w:tcW w:w="250" w:type="pct"/>
            <w:shd w:val="clear" w:color="auto" w:fill="D5ECF5"/>
            <w:vAlign w:val="center"/>
          </w:tcPr>
          <w:p w14:paraId="7418BBE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81.4</w:t>
            </w:r>
          </w:p>
        </w:tc>
        <w:tc>
          <w:tcPr>
            <w:tcW w:w="250" w:type="pct"/>
            <w:shd w:val="clear" w:color="auto" w:fill="D5ECF5"/>
            <w:vAlign w:val="center"/>
          </w:tcPr>
          <w:p w14:paraId="7418BBE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80.7</w:t>
            </w:r>
          </w:p>
        </w:tc>
        <w:tc>
          <w:tcPr>
            <w:tcW w:w="250" w:type="pct"/>
            <w:shd w:val="clear" w:color="auto" w:fill="D5ECF5"/>
            <w:vAlign w:val="center"/>
          </w:tcPr>
          <w:p w14:paraId="7418BBE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79.6</w:t>
            </w:r>
          </w:p>
        </w:tc>
        <w:tc>
          <w:tcPr>
            <w:tcW w:w="250" w:type="pct"/>
            <w:shd w:val="clear" w:color="auto" w:fill="D5ECF5"/>
            <w:vAlign w:val="center"/>
          </w:tcPr>
          <w:p w14:paraId="7418BBE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79.4</w:t>
            </w:r>
          </w:p>
        </w:tc>
        <w:tc>
          <w:tcPr>
            <w:tcW w:w="250" w:type="pct"/>
            <w:shd w:val="clear" w:color="auto" w:fill="D5ECF5"/>
            <w:vAlign w:val="center"/>
          </w:tcPr>
          <w:p w14:paraId="7418BBE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81.8</w:t>
            </w:r>
          </w:p>
        </w:tc>
        <w:tc>
          <w:tcPr>
            <w:tcW w:w="231" w:type="pct"/>
            <w:shd w:val="clear" w:color="auto" w:fill="D5ECF5"/>
            <w:vAlign w:val="center"/>
          </w:tcPr>
          <w:p w14:paraId="7418BBE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81.2</w:t>
            </w:r>
          </w:p>
        </w:tc>
        <w:tc>
          <w:tcPr>
            <w:tcW w:w="225" w:type="pct"/>
            <w:shd w:val="clear" w:color="auto" w:fill="D5ECF5"/>
            <w:vAlign w:val="center"/>
          </w:tcPr>
          <w:p w14:paraId="7418BBE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BFC" w14:textId="77777777" w:rsidTr="004A31A9">
        <w:trPr>
          <w:trHeight w:val="283"/>
        </w:trPr>
        <w:tc>
          <w:tcPr>
            <w:tcW w:w="1544" w:type="pct"/>
            <w:shd w:val="clear" w:color="auto" w:fill="E4F3F9"/>
            <w:vAlign w:val="center"/>
          </w:tcPr>
          <w:p w14:paraId="7418BBE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 xml:space="preserve">Industry Gross Value Added (chain volume measures), </w:t>
            </w:r>
            <w:r w:rsidRPr="0048563F">
              <w:rPr>
                <w:rFonts w:eastAsia="Arial Unicode MS" w:cs="Arial"/>
                <w:color w:val="7A7B7C"/>
                <w:sz w:val="14"/>
                <w:szCs w:val="14"/>
                <w:lang w:eastAsia="en-AU"/>
              </w:rPr>
              <w:br/>
            </w:r>
            <w:r w:rsidRPr="0048563F">
              <w:rPr>
                <w:rFonts w:eastAsia="Arial Unicode MS" w:cs="Arial" w:hint="eastAsia"/>
                <w:color w:val="7A7B7C"/>
                <w:sz w:val="14"/>
                <w:szCs w:val="14"/>
                <w:lang w:eastAsia="en-AU"/>
              </w:rPr>
              <w:t>billions A$</w:t>
            </w:r>
            <w:r w:rsidRPr="0048563F">
              <w:rPr>
                <w:rFonts w:eastAsia="Arial Unicode MS" w:cs="Arial" w:hint="eastAsia"/>
                <w:color w:val="7A7B7C"/>
                <w:sz w:val="14"/>
                <w:szCs w:val="14"/>
                <w:lang w:eastAsia="en-AU"/>
              </w:rPr>
              <w:t>⁴</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²⁹</w:t>
            </w:r>
          </w:p>
        </w:tc>
        <w:tc>
          <w:tcPr>
            <w:tcW w:w="250" w:type="pct"/>
            <w:shd w:val="clear" w:color="auto" w:fill="E4F3F9"/>
            <w:vAlign w:val="center"/>
          </w:tcPr>
          <w:p w14:paraId="7418BBE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820</w:t>
            </w:r>
          </w:p>
        </w:tc>
        <w:tc>
          <w:tcPr>
            <w:tcW w:w="250" w:type="pct"/>
            <w:shd w:val="clear" w:color="auto" w:fill="E4F3F9"/>
            <w:vAlign w:val="center"/>
          </w:tcPr>
          <w:p w14:paraId="7418BBE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993</w:t>
            </w:r>
          </w:p>
        </w:tc>
        <w:tc>
          <w:tcPr>
            <w:tcW w:w="250" w:type="pct"/>
            <w:shd w:val="clear" w:color="auto" w:fill="E4F3F9"/>
            <w:vAlign w:val="center"/>
          </w:tcPr>
          <w:p w14:paraId="7418BBF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1,176</w:t>
            </w:r>
          </w:p>
        </w:tc>
        <w:tc>
          <w:tcPr>
            <w:tcW w:w="250" w:type="pct"/>
            <w:shd w:val="clear" w:color="auto" w:fill="E4F3F9"/>
            <w:vAlign w:val="center"/>
          </w:tcPr>
          <w:p w14:paraId="7418BBF1" w14:textId="6434B318"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 xml:space="preserve">1,222 </w:t>
            </w:r>
          </w:p>
        </w:tc>
        <w:tc>
          <w:tcPr>
            <w:tcW w:w="250" w:type="pct"/>
            <w:shd w:val="clear" w:color="auto" w:fill="E4F3F9"/>
            <w:vAlign w:val="center"/>
          </w:tcPr>
          <w:p w14:paraId="7418BBF2" w14:textId="54C77CB4"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 xml:space="preserve">1,269 </w:t>
            </w:r>
          </w:p>
        </w:tc>
        <w:tc>
          <w:tcPr>
            <w:tcW w:w="250" w:type="pct"/>
            <w:shd w:val="clear" w:color="auto" w:fill="E4F3F9"/>
            <w:vAlign w:val="center"/>
          </w:tcPr>
          <w:p w14:paraId="7418BBF3" w14:textId="21262378"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 xml:space="preserve">1,295 </w:t>
            </w:r>
          </w:p>
        </w:tc>
        <w:tc>
          <w:tcPr>
            <w:tcW w:w="250" w:type="pct"/>
            <w:shd w:val="clear" w:color="auto" w:fill="E4F3F9"/>
            <w:vAlign w:val="center"/>
          </w:tcPr>
          <w:p w14:paraId="7418BBF4" w14:textId="0407EF31"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 xml:space="preserve">1,323 </w:t>
            </w:r>
          </w:p>
        </w:tc>
        <w:tc>
          <w:tcPr>
            <w:tcW w:w="250" w:type="pct"/>
            <w:shd w:val="clear" w:color="auto" w:fill="E4F3F9"/>
            <w:vAlign w:val="center"/>
          </w:tcPr>
          <w:p w14:paraId="7418BBF5" w14:textId="210392DE"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 xml:space="preserve">1,354 </w:t>
            </w:r>
          </w:p>
        </w:tc>
        <w:tc>
          <w:tcPr>
            <w:tcW w:w="250" w:type="pct"/>
            <w:shd w:val="clear" w:color="auto" w:fill="E4F3F9"/>
            <w:vAlign w:val="center"/>
          </w:tcPr>
          <w:p w14:paraId="7418BBF6" w14:textId="3F6FF08F"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 xml:space="preserve">1,405 </w:t>
            </w:r>
          </w:p>
        </w:tc>
        <w:tc>
          <w:tcPr>
            <w:tcW w:w="250" w:type="pct"/>
            <w:shd w:val="clear" w:color="auto" w:fill="E4F3F9"/>
            <w:vAlign w:val="center"/>
          </w:tcPr>
          <w:p w14:paraId="7418BBF7" w14:textId="5BE2A5E8"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 xml:space="preserve">1,441 </w:t>
            </w:r>
          </w:p>
        </w:tc>
        <w:tc>
          <w:tcPr>
            <w:tcW w:w="250" w:type="pct"/>
            <w:shd w:val="clear" w:color="auto" w:fill="E4F3F9"/>
            <w:vAlign w:val="center"/>
          </w:tcPr>
          <w:p w14:paraId="7418BBF8" w14:textId="446C7BE9"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 xml:space="preserve">1,479 </w:t>
            </w:r>
          </w:p>
        </w:tc>
        <w:tc>
          <w:tcPr>
            <w:tcW w:w="250" w:type="pct"/>
            <w:shd w:val="clear" w:color="auto" w:fill="E4F3F9"/>
            <w:vAlign w:val="center"/>
          </w:tcPr>
          <w:p w14:paraId="7418BBF9" w14:textId="52C49DB2"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 xml:space="preserve">1,516 </w:t>
            </w:r>
          </w:p>
        </w:tc>
        <w:tc>
          <w:tcPr>
            <w:tcW w:w="231" w:type="pct"/>
            <w:shd w:val="clear" w:color="auto" w:fill="E4F3F9"/>
            <w:vAlign w:val="center"/>
          </w:tcPr>
          <w:p w14:paraId="7418BBFA" w14:textId="10DA6AF2"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 xml:space="preserve">1,562 </w:t>
            </w:r>
          </w:p>
        </w:tc>
        <w:tc>
          <w:tcPr>
            <w:tcW w:w="225" w:type="pct"/>
            <w:shd w:val="clear" w:color="auto" w:fill="E4F3F9"/>
            <w:vAlign w:val="center"/>
          </w:tcPr>
          <w:p w14:paraId="7418BBF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C0C" w14:textId="77777777" w:rsidTr="004A31A9">
        <w:trPr>
          <w:trHeight w:val="283"/>
        </w:trPr>
        <w:tc>
          <w:tcPr>
            <w:tcW w:w="1544" w:type="pct"/>
            <w:shd w:val="clear" w:color="auto" w:fill="D5ECF5"/>
            <w:vAlign w:val="center"/>
          </w:tcPr>
          <w:p w14:paraId="7418BBF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Unemployment rate (ABS), %</w:t>
            </w:r>
            <w:r w:rsidRPr="0048563F">
              <w:rPr>
                <w:rFonts w:eastAsia="Arial Unicode MS" w:cs="Arial" w:hint="eastAsia"/>
                <w:color w:val="7A7B7C"/>
                <w:sz w:val="14"/>
                <w:szCs w:val="14"/>
                <w:lang w:eastAsia="en-AU"/>
              </w:rPr>
              <w:t>⁵</w:t>
            </w:r>
          </w:p>
        </w:tc>
        <w:tc>
          <w:tcPr>
            <w:tcW w:w="250" w:type="pct"/>
            <w:shd w:val="clear" w:color="auto" w:fill="D5ECF5"/>
            <w:vAlign w:val="center"/>
          </w:tcPr>
          <w:p w14:paraId="7418BBF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8.5</w:t>
            </w:r>
          </w:p>
        </w:tc>
        <w:tc>
          <w:tcPr>
            <w:tcW w:w="250" w:type="pct"/>
            <w:shd w:val="clear" w:color="auto" w:fill="D5ECF5"/>
            <w:vAlign w:val="center"/>
          </w:tcPr>
          <w:p w14:paraId="7418BBF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6.9</w:t>
            </w:r>
          </w:p>
        </w:tc>
        <w:tc>
          <w:tcPr>
            <w:tcW w:w="250" w:type="pct"/>
            <w:shd w:val="clear" w:color="auto" w:fill="D5ECF5"/>
            <w:vAlign w:val="center"/>
          </w:tcPr>
          <w:p w14:paraId="7418BC0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4.8</w:t>
            </w:r>
          </w:p>
        </w:tc>
        <w:tc>
          <w:tcPr>
            <w:tcW w:w="250" w:type="pct"/>
            <w:shd w:val="clear" w:color="auto" w:fill="D5ECF5"/>
            <w:vAlign w:val="center"/>
          </w:tcPr>
          <w:p w14:paraId="7418BC0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4.3</w:t>
            </w:r>
          </w:p>
        </w:tc>
        <w:tc>
          <w:tcPr>
            <w:tcW w:w="250" w:type="pct"/>
            <w:shd w:val="clear" w:color="auto" w:fill="D5ECF5"/>
            <w:vAlign w:val="center"/>
          </w:tcPr>
          <w:p w14:paraId="7418BC0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4.2</w:t>
            </w:r>
          </w:p>
        </w:tc>
        <w:tc>
          <w:tcPr>
            <w:tcW w:w="250" w:type="pct"/>
            <w:shd w:val="clear" w:color="auto" w:fill="D5ECF5"/>
            <w:vAlign w:val="center"/>
          </w:tcPr>
          <w:p w14:paraId="7418BC0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5.8</w:t>
            </w:r>
          </w:p>
        </w:tc>
        <w:tc>
          <w:tcPr>
            <w:tcW w:w="250" w:type="pct"/>
            <w:shd w:val="clear" w:color="auto" w:fill="D5ECF5"/>
            <w:vAlign w:val="center"/>
          </w:tcPr>
          <w:p w14:paraId="7418BC0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5.2</w:t>
            </w:r>
          </w:p>
        </w:tc>
        <w:tc>
          <w:tcPr>
            <w:tcW w:w="250" w:type="pct"/>
            <w:shd w:val="clear" w:color="auto" w:fill="D5ECF5"/>
            <w:vAlign w:val="center"/>
          </w:tcPr>
          <w:p w14:paraId="7418BC0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5.0</w:t>
            </w:r>
          </w:p>
        </w:tc>
        <w:tc>
          <w:tcPr>
            <w:tcW w:w="250" w:type="pct"/>
            <w:shd w:val="clear" w:color="auto" w:fill="D5ECF5"/>
            <w:vAlign w:val="center"/>
          </w:tcPr>
          <w:p w14:paraId="7418BC0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5.2</w:t>
            </w:r>
          </w:p>
        </w:tc>
        <w:tc>
          <w:tcPr>
            <w:tcW w:w="250" w:type="pct"/>
            <w:shd w:val="clear" w:color="auto" w:fill="D5ECF5"/>
            <w:vAlign w:val="center"/>
          </w:tcPr>
          <w:p w14:paraId="7418BC0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5.7</w:t>
            </w:r>
          </w:p>
        </w:tc>
        <w:tc>
          <w:tcPr>
            <w:tcW w:w="250" w:type="pct"/>
            <w:shd w:val="clear" w:color="auto" w:fill="D5ECF5"/>
            <w:vAlign w:val="center"/>
          </w:tcPr>
          <w:p w14:paraId="7418BC0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6.0</w:t>
            </w:r>
          </w:p>
        </w:tc>
        <w:tc>
          <w:tcPr>
            <w:tcW w:w="250" w:type="pct"/>
            <w:shd w:val="clear" w:color="auto" w:fill="D5ECF5"/>
            <w:vAlign w:val="center"/>
          </w:tcPr>
          <w:p w14:paraId="7418BC0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6.1</w:t>
            </w:r>
          </w:p>
        </w:tc>
        <w:tc>
          <w:tcPr>
            <w:tcW w:w="231" w:type="pct"/>
            <w:shd w:val="clear" w:color="auto" w:fill="D5ECF5"/>
            <w:vAlign w:val="center"/>
          </w:tcPr>
          <w:p w14:paraId="7418BC0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5.7</w:t>
            </w:r>
          </w:p>
        </w:tc>
        <w:tc>
          <w:tcPr>
            <w:tcW w:w="225" w:type="pct"/>
            <w:shd w:val="clear" w:color="auto" w:fill="D5ECF5"/>
            <w:vAlign w:val="center"/>
          </w:tcPr>
          <w:p w14:paraId="7418BC0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C1C" w14:textId="77777777" w:rsidTr="004A31A9">
        <w:trPr>
          <w:trHeight w:val="283"/>
        </w:trPr>
        <w:tc>
          <w:tcPr>
            <w:tcW w:w="1544" w:type="pct"/>
            <w:shd w:val="clear" w:color="auto" w:fill="E4F3F9"/>
            <w:vAlign w:val="center"/>
          </w:tcPr>
          <w:p w14:paraId="7418BC0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Inflation Rate (CPI), %</w:t>
            </w:r>
            <w:r w:rsidRPr="0048563F">
              <w:rPr>
                <w:rFonts w:eastAsia="Arial Unicode MS" w:cs="Arial" w:hint="eastAsia"/>
                <w:color w:val="7A7B7C"/>
                <w:sz w:val="14"/>
                <w:szCs w:val="14"/>
                <w:lang w:eastAsia="en-AU"/>
              </w:rPr>
              <w:t>⁶</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⁷</w:t>
            </w:r>
          </w:p>
        </w:tc>
        <w:tc>
          <w:tcPr>
            <w:tcW w:w="250" w:type="pct"/>
            <w:shd w:val="clear" w:color="auto" w:fill="E4F3F9"/>
            <w:vAlign w:val="center"/>
          </w:tcPr>
          <w:p w14:paraId="7418BC0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3.1</w:t>
            </w:r>
          </w:p>
        </w:tc>
        <w:tc>
          <w:tcPr>
            <w:tcW w:w="250" w:type="pct"/>
            <w:shd w:val="clear" w:color="auto" w:fill="E4F3F9"/>
            <w:vAlign w:val="center"/>
          </w:tcPr>
          <w:p w14:paraId="7418BC0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6.1</w:t>
            </w:r>
          </w:p>
        </w:tc>
        <w:tc>
          <w:tcPr>
            <w:tcW w:w="250" w:type="pct"/>
            <w:shd w:val="clear" w:color="auto" w:fill="E4F3F9"/>
            <w:vAlign w:val="center"/>
          </w:tcPr>
          <w:p w14:paraId="7418BC1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4.0</w:t>
            </w:r>
          </w:p>
        </w:tc>
        <w:tc>
          <w:tcPr>
            <w:tcW w:w="250" w:type="pct"/>
            <w:shd w:val="clear" w:color="auto" w:fill="E4F3F9"/>
            <w:vAlign w:val="center"/>
          </w:tcPr>
          <w:p w14:paraId="7418BC1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2.1</w:t>
            </w:r>
          </w:p>
        </w:tc>
        <w:tc>
          <w:tcPr>
            <w:tcW w:w="250" w:type="pct"/>
            <w:shd w:val="clear" w:color="auto" w:fill="E4F3F9"/>
            <w:vAlign w:val="center"/>
          </w:tcPr>
          <w:p w14:paraId="7418BC1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4.4</w:t>
            </w:r>
          </w:p>
        </w:tc>
        <w:tc>
          <w:tcPr>
            <w:tcW w:w="250" w:type="pct"/>
            <w:shd w:val="clear" w:color="auto" w:fill="E4F3F9"/>
            <w:vAlign w:val="center"/>
          </w:tcPr>
          <w:p w14:paraId="7418BC1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w:t>
            </w:r>
          </w:p>
        </w:tc>
        <w:tc>
          <w:tcPr>
            <w:tcW w:w="250" w:type="pct"/>
            <w:shd w:val="clear" w:color="auto" w:fill="E4F3F9"/>
            <w:vAlign w:val="center"/>
          </w:tcPr>
          <w:p w14:paraId="7418BC1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3.1</w:t>
            </w:r>
          </w:p>
        </w:tc>
        <w:tc>
          <w:tcPr>
            <w:tcW w:w="250" w:type="pct"/>
            <w:shd w:val="clear" w:color="auto" w:fill="E4F3F9"/>
            <w:vAlign w:val="center"/>
          </w:tcPr>
          <w:p w14:paraId="7418BC1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3.5</w:t>
            </w:r>
          </w:p>
        </w:tc>
        <w:tc>
          <w:tcPr>
            <w:tcW w:w="250" w:type="pct"/>
            <w:shd w:val="clear" w:color="auto" w:fill="E4F3F9"/>
            <w:vAlign w:val="center"/>
          </w:tcPr>
          <w:p w14:paraId="7418BC1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w:t>
            </w:r>
          </w:p>
        </w:tc>
        <w:tc>
          <w:tcPr>
            <w:tcW w:w="250" w:type="pct"/>
            <w:shd w:val="clear" w:color="auto" w:fill="E4F3F9"/>
            <w:vAlign w:val="center"/>
          </w:tcPr>
          <w:p w14:paraId="7418BC1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2.4</w:t>
            </w:r>
          </w:p>
        </w:tc>
        <w:tc>
          <w:tcPr>
            <w:tcW w:w="250" w:type="pct"/>
            <w:shd w:val="clear" w:color="auto" w:fill="E4F3F9"/>
            <w:vAlign w:val="center"/>
          </w:tcPr>
          <w:p w14:paraId="7418BC1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w:t>
            </w:r>
          </w:p>
        </w:tc>
        <w:tc>
          <w:tcPr>
            <w:tcW w:w="250" w:type="pct"/>
            <w:shd w:val="clear" w:color="auto" w:fill="E4F3F9"/>
            <w:vAlign w:val="center"/>
          </w:tcPr>
          <w:p w14:paraId="7418BC1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1.5</w:t>
            </w:r>
          </w:p>
        </w:tc>
        <w:tc>
          <w:tcPr>
            <w:tcW w:w="231" w:type="pct"/>
            <w:shd w:val="clear" w:color="auto" w:fill="E4F3F9"/>
            <w:vAlign w:val="center"/>
          </w:tcPr>
          <w:p w14:paraId="7418BC1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w:t>
            </w:r>
          </w:p>
        </w:tc>
        <w:tc>
          <w:tcPr>
            <w:tcW w:w="225" w:type="pct"/>
            <w:shd w:val="clear" w:color="auto" w:fill="E4F3F9"/>
            <w:vAlign w:val="center"/>
          </w:tcPr>
          <w:p w14:paraId="7418BC1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C2C" w14:textId="77777777" w:rsidTr="004A31A9">
        <w:trPr>
          <w:trHeight w:val="283"/>
        </w:trPr>
        <w:tc>
          <w:tcPr>
            <w:tcW w:w="1544" w:type="pct"/>
            <w:shd w:val="clear" w:color="auto" w:fill="D5ECF5"/>
            <w:vAlign w:val="center"/>
          </w:tcPr>
          <w:p w14:paraId="7418BC1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Trade Weighted Index (TWI)</w:t>
            </w:r>
            <w:r w:rsidRPr="0048563F">
              <w:rPr>
                <w:rFonts w:eastAsia="Arial Unicode MS" w:cs="Arial" w:hint="eastAsia"/>
                <w:color w:val="7A7B7C"/>
                <w:sz w:val="14"/>
                <w:szCs w:val="14"/>
                <w:lang w:eastAsia="en-AU"/>
              </w:rPr>
              <w:t>⁸</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³⁰</w:t>
            </w:r>
          </w:p>
        </w:tc>
        <w:tc>
          <w:tcPr>
            <w:tcW w:w="250" w:type="pct"/>
            <w:shd w:val="clear" w:color="auto" w:fill="D5ECF5"/>
            <w:vAlign w:val="center"/>
          </w:tcPr>
          <w:p w14:paraId="7418BC1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58.1</w:t>
            </w:r>
          </w:p>
        </w:tc>
        <w:tc>
          <w:tcPr>
            <w:tcW w:w="250" w:type="pct"/>
            <w:shd w:val="clear" w:color="auto" w:fill="D5ECF5"/>
            <w:vAlign w:val="center"/>
          </w:tcPr>
          <w:p w14:paraId="7418BC1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49.7</w:t>
            </w:r>
          </w:p>
        </w:tc>
        <w:tc>
          <w:tcPr>
            <w:tcW w:w="250" w:type="pct"/>
            <w:shd w:val="clear" w:color="auto" w:fill="D5ECF5"/>
            <w:vAlign w:val="center"/>
          </w:tcPr>
          <w:p w14:paraId="7418BC2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62.2</w:t>
            </w:r>
          </w:p>
        </w:tc>
        <w:tc>
          <w:tcPr>
            <w:tcW w:w="250" w:type="pct"/>
            <w:shd w:val="clear" w:color="auto" w:fill="D5ECF5"/>
            <w:vAlign w:val="center"/>
          </w:tcPr>
          <w:p w14:paraId="7418BC2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68.9</w:t>
            </w:r>
          </w:p>
        </w:tc>
        <w:tc>
          <w:tcPr>
            <w:tcW w:w="250" w:type="pct"/>
            <w:shd w:val="clear" w:color="auto" w:fill="D5ECF5"/>
            <w:vAlign w:val="center"/>
          </w:tcPr>
          <w:p w14:paraId="7418BC2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73.4</w:t>
            </w:r>
          </w:p>
        </w:tc>
        <w:tc>
          <w:tcPr>
            <w:tcW w:w="250" w:type="pct"/>
            <w:shd w:val="clear" w:color="auto" w:fill="D5ECF5"/>
            <w:vAlign w:val="center"/>
          </w:tcPr>
          <w:p w14:paraId="7418BC2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64.7</w:t>
            </w:r>
          </w:p>
        </w:tc>
        <w:tc>
          <w:tcPr>
            <w:tcW w:w="250" w:type="pct"/>
            <w:shd w:val="clear" w:color="auto" w:fill="D5ECF5"/>
            <w:vAlign w:val="center"/>
          </w:tcPr>
          <w:p w14:paraId="7418BC2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67.3</w:t>
            </w:r>
          </w:p>
        </w:tc>
        <w:tc>
          <w:tcPr>
            <w:tcW w:w="250" w:type="pct"/>
            <w:shd w:val="clear" w:color="auto" w:fill="D5ECF5"/>
            <w:vAlign w:val="center"/>
          </w:tcPr>
          <w:p w14:paraId="7418BC2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77.8</w:t>
            </w:r>
          </w:p>
        </w:tc>
        <w:tc>
          <w:tcPr>
            <w:tcW w:w="250" w:type="pct"/>
            <w:shd w:val="clear" w:color="auto" w:fill="D5ECF5"/>
            <w:vAlign w:val="center"/>
          </w:tcPr>
          <w:p w14:paraId="7418BC2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76.5</w:t>
            </w:r>
          </w:p>
        </w:tc>
        <w:tc>
          <w:tcPr>
            <w:tcW w:w="250" w:type="pct"/>
            <w:shd w:val="clear" w:color="auto" w:fill="D5ECF5"/>
            <w:vAlign w:val="center"/>
          </w:tcPr>
          <w:p w14:paraId="7418BC2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71.4</w:t>
            </w:r>
          </w:p>
        </w:tc>
        <w:tc>
          <w:tcPr>
            <w:tcW w:w="250" w:type="pct"/>
            <w:shd w:val="clear" w:color="auto" w:fill="D5ECF5"/>
            <w:vAlign w:val="center"/>
          </w:tcPr>
          <w:p w14:paraId="7418BC2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72.0</w:t>
            </w:r>
          </w:p>
        </w:tc>
        <w:tc>
          <w:tcPr>
            <w:tcW w:w="250" w:type="pct"/>
            <w:shd w:val="clear" w:color="auto" w:fill="D5ECF5"/>
            <w:vAlign w:val="center"/>
          </w:tcPr>
          <w:p w14:paraId="7418BC2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63.8</w:t>
            </w:r>
          </w:p>
        </w:tc>
        <w:tc>
          <w:tcPr>
            <w:tcW w:w="231" w:type="pct"/>
            <w:shd w:val="clear" w:color="auto" w:fill="D5ECF5"/>
            <w:vAlign w:val="center"/>
          </w:tcPr>
          <w:p w14:paraId="7418BC2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62.5</w:t>
            </w:r>
          </w:p>
        </w:tc>
        <w:tc>
          <w:tcPr>
            <w:tcW w:w="225" w:type="pct"/>
            <w:shd w:val="clear" w:color="auto" w:fill="D5ECF5"/>
            <w:vAlign w:val="center"/>
          </w:tcPr>
          <w:p w14:paraId="7418BC2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C3C" w14:textId="77777777" w:rsidTr="004A31A9">
        <w:trPr>
          <w:trHeight w:val="283"/>
        </w:trPr>
        <w:tc>
          <w:tcPr>
            <w:tcW w:w="1544" w:type="pct"/>
            <w:shd w:val="clear" w:color="auto" w:fill="E4F3F9"/>
            <w:vAlign w:val="center"/>
          </w:tcPr>
          <w:p w14:paraId="7418BC2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NAB Business Confidence Survey, score</w:t>
            </w:r>
            <w:r w:rsidRPr="0048563F">
              <w:rPr>
                <w:rFonts w:eastAsia="Arial Unicode MS" w:cs="Arial" w:hint="eastAsia"/>
                <w:color w:val="7A7B7C"/>
                <w:sz w:val="14"/>
                <w:szCs w:val="14"/>
                <w:lang w:eastAsia="en-AU"/>
              </w:rPr>
              <w:t>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²⁶</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²⁸</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³¹</w:t>
            </w:r>
          </w:p>
        </w:tc>
        <w:tc>
          <w:tcPr>
            <w:tcW w:w="250" w:type="pct"/>
            <w:shd w:val="clear" w:color="auto" w:fill="E4F3F9"/>
            <w:vAlign w:val="center"/>
          </w:tcPr>
          <w:p w14:paraId="7418BC2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14.2</w:t>
            </w:r>
          </w:p>
        </w:tc>
        <w:tc>
          <w:tcPr>
            <w:tcW w:w="250" w:type="pct"/>
            <w:shd w:val="clear" w:color="auto" w:fill="E4F3F9"/>
            <w:vAlign w:val="center"/>
          </w:tcPr>
          <w:p w14:paraId="7418BC2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18.9</w:t>
            </w:r>
          </w:p>
        </w:tc>
        <w:tc>
          <w:tcPr>
            <w:tcW w:w="250" w:type="pct"/>
            <w:shd w:val="clear" w:color="auto" w:fill="E4F3F9"/>
            <w:vAlign w:val="center"/>
          </w:tcPr>
          <w:p w14:paraId="7418BC3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7.7</w:t>
            </w:r>
          </w:p>
        </w:tc>
        <w:tc>
          <w:tcPr>
            <w:tcW w:w="250" w:type="pct"/>
            <w:shd w:val="clear" w:color="auto" w:fill="E4F3F9"/>
            <w:vAlign w:val="center"/>
          </w:tcPr>
          <w:p w14:paraId="7418BC3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13.5</w:t>
            </w:r>
          </w:p>
        </w:tc>
        <w:tc>
          <w:tcPr>
            <w:tcW w:w="250" w:type="pct"/>
            <w:shd w:val="clear" w:color="auto" w:fill="E4F3F9"/>
            <w:vAlign w:val="center"/>
          </w:tcPr>
          <w:p w14:paraId="7418BC3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-8.8</w:t>
            </w:r>
          </w:p>
        </w:tc>
        <w:tc>
          <w:tcPr>
            <w:tcW w:w="250" w:type="pct"/>
            <w:shd w:val="clear" w:color="auto" w:fill="E4F3F9"/>
            <w:vAlign w:val="center"/>
          </w:tcPr>
          <w:p w14:paraId="7418BC3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5.1</w:t>
            </w:r>
          </w:p>
        </w:tc>
        <w:tc>
          <w:tcPr>
            <w:tcW w:w="250" w:type="pct"/>
            <w:shd w:val="clear" w:color="auto" w:fill="E4F3F9"/>
            <w:vAlign w:val="center"/>
          </w:tcPr>
          <w:p w14:paraId="7418BC3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7.1</w:t>
            </w:r>
          </w:p>
        </w:tc>
        <w:tc>
          <w:tcPr>
            <w:tcW w:w="250" w:type="pct"/>
            <w:shd w:val="clear" w:color="auto" w:fill="E4F3F9"/>
            <w:vAlign w:val="center"/>
          </w:tcPr>
          <w:p w14:paraId="7418BC3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2.5</w:t>
            </w:r>
          </w:p>
        </w:tc>
        <w:tc>
          <w:tcPr>
            <w:tcW w:w="250" w:type="pct"/>
            <w:shd w:val="clear" w:color="auto" w:fill="E4F3F9"/>
            <w:vAlign w:val="center"/>
          </w:tcPr>
          <w:p w14:paraId="7418BC3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-2.3</w:t>
            </w:r>
          </w:p>
        </w:tc>
        <w:tc>
          <w:tcPr>
            <w:tcW w:w="250" w:type="pct"/>
            <w:shd w:val="clear" w:color="auto" w:fill="E4F3F9"/>
            <w:vAlign w:val="center"/>
          </w:tcPr>
          <w:p w14:paraId="7418BC3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-0.6</w:t>
            </w:r>
          </w:p>
        </w:tc>
        <w:tc>
          <w:tcPr>
            <w:tcW w:w="250" w:type="pct"/>
            <w:shd w:val="clear" w:color="auto" w:fill="E4F3F9"/>
            <w:vAlign w:val="center"/>
          </w:tcPr>
          <w:p w14:paraId="7418BC3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6.2</w:t>
            </w:r>
          </w:p>
        </w:tc>
        <w:tc>
          <w:tcPr>
            <w:tcW w:w="250" w:type="pct"/>
            <w:shd w:val="clear" w:color="auto" w:fill="E4F3F9"/>
            <w:vAlign w:val="center"/>
          </w:tcPr>
          <w:p w14:paraId="7418BC3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7.0</w:t>
            </w:r>
          </w:p>
        </w:tc>
        <w:tc>
          <w:tcPr>
            <w:tcW w:w="231" w:type="pct"/>
            <w:shd w:val="clear" w:color="auto" w:fill="E4F3F9"/>
            <w:vAlign w:val="center"/>
          </w:tcPr>
          <w:p w14:paraId="7418BC3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5.4</w:t>
            </w:r>
          </w:p>
        </w:tc>
        <w:tc>
          <w:tcPr>
            <w:tcW w:w="225" w:type="pct"/>
            <w:shd w:val="clear" w:color="auto" w:fill="E4F3F9"/>
            <w:vAlign w:val="center"/>
          </w:tcPr>
          <w:p w14:paraId="7418BC3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C4C" w14:textId="77777777" w:rsidTr="004A31A9">
        <w:trPr>
          <w:trHeight w:val="283"/>
        </w:trPr>
        <w:tc>
          <w:tcPr>
            <w:tcW w:w="1544" w:type="pct"/>
            <w:shd w:val="clear" w:color="auto" w:fill="D5ECF5"/>
            <w:vAlign w:val="center"/>
          </w:tcPr>
          <w:p w14:paraId="7418BC3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Barrier to innovation: Lack of access to additional funds, % of respondents</w:t>
            </w:r>
            <w:r w:rsidRPr="0048563F">
              <w:rPr>
                <w:rFonts w:eastAsia="Arial Unicode MS" w:cs="Arial" w:hint="eastAsia"/>
                <w:color w:val="7A7B7C"/>
                <w:sz w:val="14"/>
                <w:szCs w:val="14"/>
                <w:lang w:eastAsia="en-AU"/>
              </w:rPr>
              <w:t>¹⁰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¹²</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³²</w:t>
            </w:r>
          </w:p>
        </w:tc>
        <w:tc>
          <w:tcPr>
            <w:tcW w:w="250" w:type="pct"/>
            <w:shd w:val="clear" w:color="auto" w:fill="D5ECF5"/>
            <w:vAlign w:val="center"/>
          </w:tcPr>
          <w:p w14:paraId="7418BC3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3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4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4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15.9</w:t>
            </w:r>
          </w:p>
        </w:tc>
        <w:tc>
          <w:tcPr>
            <w:tcW w:w="250" w:type="pct"/>
            <w:shd w:val="clear" w:color="auto" w:fill="D5ECF5"/>
            <w:vAlign w:val="center"/>
          </w:tcPr>
          <w:p w14:paraId="7418BC4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16.0</w:t>
            </w:r>
          </w:p>
        </w:tc>
        <w:tc>
          <w:tcPr>
            <w:tcW w:w="250" w:type="pct"/>
            <w:shd w:val="clear" w:color="auto" w:fill="D5ECF5"/>
            <w:vAlign w:val="center"/>
          </w:tcPr>
          <w:p w14:paraId="7418BC4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19.5</w:t>
            </w:r>
          </w:p>
        </w:tc>
        <w:tc>
          <w:tcPr>
            <w:tcW w:w="250" w:type="pct"/>
            <w:shd w:val="clear" w:color="auto" w:fill="D5ECF5"/>
            <w:vAlign w:val="center"/>
          </w:tcPr>
          <w:p w14:paraId="7418BC4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18.4</w:t>
            </w:r>
          </w:p>
        </w:tc>
        <w:tc>
          <w:tcPr>
            <w:tcW w:w="250" w:type="pct"/>
            <w:shd w:val="clear" w:color="auto" w:fill="D5ECF5"/>
            <w:vAlign w:val="center"/>
          </w:tcPr>
          <w:p w14:paraId="7418BC4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21.1</w:t>
            </w:r>
          </w:p>
        </w:tc>
        <w:tc>
          <w:tcPr>
            <w:tcW w:w="250" w:type="pct"/>
            <w:shd w:val="clear" w:color="auto" w:fill="D5ECF5"/>
            <w:vAlign w:val="center"/>
          </w:tcPr>
          <w:p w14:paraId="7418BC4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19.9</w:t>
            </w:r>
          </w:p>
        </w:tc>
        <w:tc>
          <w:tcPr>
            <w:tcW w:w="250" w:type="pct"/>
            <w:shd w:val="clear" w:color="auto" w:fill="D5ECF5"/>
            <w:vAlign w:val="center"/>
          </w:tcPr>
          <w:p w14:paraId="7418BC4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20.3</w:t>
            </w:r>
          </w:p>
        </w:tc>
        <w:tc>
          <w:tcPr>
            <w:tcW w:w="250" w:type="pct"/>
            <w:shd w:val="clear" w:color="auto" w:fill="D5ECF5"/>
            <w:vAlign w:val="center"/>
          </w:tcPr>
          <w:p w14:paraId="7418BC4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18.4</w:t>
            </w:r>
          </w:p>
        </w:tc>
        <w:tc>
          <w:tcPr>
            <w:tcW w:w="250" w:type="pct"/>
            <w:shd w:val="clear" w:color="auto" w:fill="D5ECF5"/>
            <w:vAlign w:val="center"/>
          </w:tcPr>
          <w:p w14:paraId="7418BC4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18.4</w:t>
            </w:r>
          </w:p>
        </w:tc>
        <w:tc>
          <w:tcPr>
            <w:tcW w:w="231" w:type="pct"/>
            <w:shd w:val="clear" w:color="auto" w:fill="D5ECF5"/>
            <w:vAlign w:val="center"/>
          </w:tcPr>
          <w:p w14:paraId="7418BC4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5" w:type="pct"/>
            <w:shd w:val="clear" w:color="auto" w:fill="D5ECF5"/>
            <w:vAlign w:val="center"/>
          </w:tcPr>
          <w:p w14:paraId="7418BC4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C5C" w14:textId="77777777" w:rsidTr="004A31A9">
        <w:trPr>
          <w:trHeight w:val="283"/>
        </w:trPr>
        <w:tc>
          <w:tcPr>
            <w:tcW w:w="1544" w:type="pct"/>
            <w:shd w:val="clear" w:color="auto" w:fill="E4F3F9"/>
            <w:vAlign w:val="center"/>
          </w:tcPr>
          <w:p w14:paraId="7418BC4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w:t>
            </w:r>
            <w:r w:rsidRPr="0048563F">
              <w:rPr>
                <w:rFonts w:eastAsia="Arial Unicode MS" w:cs="Arial" w:hint="eastAsia"/>
                <w:color w:val="7A7B7C"/>
                <w:sz w:val="14"/>
                <w:szCs w:val="14"/>
                <w:lang w:eastAsia="en-AU"/>
              </w:rPr>
              <w:t xml:space="preserve">Government regulations or compliance, % of </w:t>
            </w:r>
            <w:r w:rsidRPr="0048563F">
              <w:rPr>
                <w:rFonts w:eastAsia="Arial Unicode MS" w:cs="Arial" w:hint="eastAsia"/>
                <w:color w:val="7A7B7C"/>
                <w:sz w:val="14"/>
                <w:szCs w:val="14"/>
                <w:lang w:eastAsia="en-AU"/>
              </w:rPr>
              <w:br/>
              <w:t>respondents</w:t>
            </w:r>
            <w:r w:rsidRPr="0048563F">
              <w:rPr>
                <w:rFonts w:eastAsia="Arial Unicode MS" w:cs="Arial" w:hint="eastAsia"/>
                <w:color w:val="7A7B7C"/>
                <w:sz w:val="14"/>
                <w:szCs w:val="14"/>
                <w:lang w:eastAsia="en-AU"/>
              </w:rPr>
              <w:t>¹⁰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¹²</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³²</w:t>
            </w:r>
          </w:p>
        </w:tc>
        <w:tc>
          <w:tcPr>
            <w:tcW w:w="250" w:type="pct"/>
            <w:shd w:val="clear" w:color="auto" w:fill="E4F3F9"/>
            <w:vAlign w:val="center"/>
          </w:tcPr>
          <w:p w14:paraId="7418BC4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C4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C5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C5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10.3</w:t>
            </w:r>
          </w:p>
        </w:tc>
        <w:tc>
          <w:tcPr>
            <w:tcW w:w="250" w:type="pct"/>
            <w:shd w:val="clear" w:color="auto" w:fill="E4F3F9"/>
            <w:vAlign w:val="center"/>
          </w:tcPr>
          <w:p w14:paraId="7418BC5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10.6</w:t>
            </w:r>
          </w:p>
        </w:tc>
        <w:tc>
          <w:tcPr>
            <w:tcW w:w="250" w:type="pct"/>
            <w:shd w:val="clear" w:color="auto" w:fill="E4F3F9"/>
            <w:vAlign w:val="center"/>
          </w:tcPr>
          <w:p w14:paraId="7418BC5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11.9</w:t>
            </w:r>
          </w:p>
        </w:tc>
        <w:tc>
          <w:tcPr>
            <w:tcW w:w="250" w:type="pct"/>
            <w:shd w:val="clear" w:color="auto" w:fill="E4F3F9"/>
            <w:vAlign w:val="center"/>
          </w:tcPr>
          <w:p w14:paraId="7418BC5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14.5</w:t>
            </w:r>
          </w:p>
        </w:tc>
        <w:tc>
          <w:tcPr>
            <w:tcW w:w="250" w:type="pct"/>
            <w:shd w:val="clear" w:color="auto" w:fill="E4F3F9"/>
            <w:vAlign w:val="center"/>
          </w:tcPr>
          <w:p w14:paraId="7418BC5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13.0</w:t>
            </w:r>
          </w:p>
        </w:tc>
        <w:tc>
          <w:tcPr>
            <w:tcW w:w="250" w:type="pct"/>
            <w:shd w:val="clear" w:color="auto" w:fill="E4F3F9"/>
            <w:vAlign w:val="center"/>
          </w:tcPr>
          <w:p w14:paraId="7418BC5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13.9</w:t>
            </w:r>
          </w:p>
        </w:tc>
        <w:tc>
          <w:tcPr>
            <w:tcW w:w="250" w:type="pct"/>
            <w:shd w:val="clear" w:color="auto" w:fill="E4F3F9"/>
            <w:vAlign w:val="center"/>
          </w:tcPr>
          <w:p w14:paraId="7418BC5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12.7</w:t>
            </w:r>
          </w:p>
        </w:tc>
        <w:tc>
          <w:tcPr>
            <w:tcW w:w="250" w:type="pct"/>
            <w:shd w:val="clear" w:color="auto" w:fill="E4F3F9"/>
            <w:vAlign w:val="center"/>
          </w:tcPr>
          <w:p w14:paraId="7418BC5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11.9</w:t>
            </w:r>
          </w:p>
        </w:tc>
        <w:tc>
          <w:tcPr>
            <w:tcW w:w="250" w:type="pct"/>
            <w:shd w:val="clear" w:color="auto" w:fill="E4F3F9"/>
            <w:vAlign w:val="center"/>
          </w:tcPr>
          <w:p w14:paraId="7418BC5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10.7</w:t>
            </w:r>
          </w:p>
        </w:tc>
        <w:tc>
          <w:tcPr>
            <w:tcW w:w="231" w:type="pct"/>
            <w:shd w:val="clear" w:color="auto" w:fill="E4F3F9"/>
            <w:vAlign w:val="center"/>
          </w:tcPr>
          <w:p w14:paraId="7418BC5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5" w:type="pct"/>
            <w:shd w:val="clear" w:color="auto" w:fill="E4F3F9"/>
            <w:vAlign w:val="center"/>
          </w:tcPr>
          <w:p w14:paraId="7418BC5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C6C" w14:textId="77777777" w:rsidTr="004A31A9">
        <w:trPr>
          <w:trHeight w:val="283"/>
        </w:trPr>
        <w:tc>
          <w:tcPr>
            <w:tcW w:w="1544" w:type="pct"/>
            <w:shd w:val="clear" w:color="auto" w:fill="D5ECF5"/>
            <w:vAlign w:val="center"/>
          </w:tcPr>
          <w:p w14:paraId="7418BC5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w:t>
            </w:r>
            <w:r w:rsidRPr="0048563F">
              <w:rPr>
                <w:rFonts w:eastAsia="Arial Unicode MS" w:cs="Arial" w:hint="eastAsia"/>
                <w:color w:val="7A7B7C"/>
                <w:sz w:val="14"/>
                <w:szCs w:val="14"/>
                <w:lang w:eastAsia="en-AU"/>
              </w:rPr>
              <w:t>Adherence to standards, % of respondents</w:t>
            </w:r>
            <w:r w:rsidRPr="0048563F">
              <w:rPr>
                <w:rFonts w:eastAsia="Arial Unicode MS" w:cs="Arial" w:hint="eastAsia"/>
                <w:color w:val="7A7B7C"/>
                <w:sz w:val="14"/>
                <w:szCs w:val="14"/>
                <w:lang w:eastAsia="en-AU"/>
              </w:rPr>
              <w:t>¹⁰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¹²</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³²</w:t>
            </w:r>
          </w:p>
        </w:tc>
        <w:tc>
          <w:tcPr>
            <w:tcW w:w="250" w:type="pct"/>
            <w:shd w:val="clear" w:color="auto" w:fill="D5ECF5"/>
            <w:vAlign w:val="center"/>
          </w:tcPr>
          <w:p w14:paraId="7418BC5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5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6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6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6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6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4.1</w:t>
            </w:r>
          </w:p>
        </w:tc>
        <w:tc>
          <w:tcPr>
            <w:tcW w:w="250" w:type="pct"/>
            <w:shd w:val="clear" w:color="auto" w:fill="D5ECF5"/>
            <w:vAlign w:val="center"/>
          </w:tcPr>
          <w:p w14:paraId="7418BC6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5.2</w:t>
            </w:r>
          </w:p>
        </w:tc>
        <w:tc>
          <w:tcPr>
            <w:tcW w:w="250" w:type="pct"/>
            <w:shd w:val="clear" w:color="auto" w:fill="D5ECF5"/>
            <w:vAlign w:val="center"/>
          </w:tcPr>
          <w:p w14:paraId="7418BC6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4.1</w:t>
            </w:r>
          </w:p>
        </w:tc>
        <w:tc>
          <w:tcPr>
            <w:tcW w:w="250" w:type="pct"/>
            <w:shd w:val="clear" w:color="auto" w:fill="D5ECF5"/>
            <w:vAlign w:val="center"/>
          </w:tcPr>
          <w:p w14:paraId="7418BC6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4.3</w:t>
            </w:r>
          </w:p>
        </w:tc>
        <w:tc>
          <w:tcPr>
            <w:tcW w:w="250" w:type="pct"/>
            <w:shd w:val="clear" w:color="auto" w:fill="D5ECF5"/>
            <w:vAlign w:val="center"/>
          </w:tcPr>
          <w:p w14:paraId="7418BC6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4.5</w:t>
            </w:r>
          </w:p>
        </w:tc>
        <w:tc>
          <w:tcPr>
            <w:tcW w:w="250" w:type="pct"/>
            <w:shd w:val="clear" w:color="auto" w:fill="D5ECF5"/>
            <w:vAlign w:val="center"/>
          </w:tcPr>
          <w:p w14:paraId="7418BC6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3.8</w:t>
            </w:r>
          </w:p>
        </w:tc>
        <w:tc>
          <w:tcPr>
            <w:tcW w:w="250" w:type="pct"/>
            <w:shd w:val="clear" w:color="auto" w:fill="D5ECF5"/>
            <w:vAlign w:val="center"/>
          </w:tcPr>
          <w:p w14:paraId="7418BC6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3.8</w:t>
            </w:r>
          </w:p>
        </w:tc>
        <w:tc>
          <w:tcPr>
            <w:tcW w:w="231" w:type="pct"/>
            <w:shd w:val="clear" w:color="auto" w:fill="D5ECF5"/>
            <w:vAlign w:val="center"/>
          </w:tcPr>
          <w:p w14:paraId="7418BC6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5" w:type="pct"/>
            <w:shd w:val="clear" w:color="auto" w:fill="D5ECF5"/>
            <w:vAlign w:val="center"/>
          </w:tcPr>
          <w:p w14:paraId="7418BC6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C7C" w14:textId="77777777" w:rsidTr="004A31A9">
        <w:trPr>
          <w:trHeight w:val="283"/>
        </w:trPr>
        <w:tc>
          <w:tcPr>
            <w:tcW w:w="1544" w:type="pct"/>
            <w:shd w:val="clear" w:color="auto" w:fill="E4F3F9"/>
            <w:vAlign w:val="center"/>
          </w:tcPr>
          <w:p w14:paraId="7418BC6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w:t>
            </w:r>
            <w:r w:rsidRPr="0048563F">
              <w:rPr>
                <w:rFonts w:eastAsia="Arial Unicode MS" w:cs="Arial" w:hint="eastAsia"/>
                <w:color w:val="7A7B7C"/>
                <w:sz w:val="14"/>
                <w:szCs w:val="14"/>
                <w:lang w:eastAsia="en-AU"/>
              </w:rPr>
              <w:t>Cost of development or introduction/implementation, % of respondents</w:t>
            </w:r>
            <w:r w:rsidRPr="0048563F">
              <w:rPr>
                <w:rFonts w:eastAsia="Arial Unicode MS" w:cs="Arial" w:hint="eastAsia"/>
                <w:color w:val="7A7B7C"/>
                <w:sz w:val="14"/>
                <w:szCs w:val="14"/>
                <w:lang w:eastAsia="en-AU"/>
              </w:rPr>
              <w:t>¹⁰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¹²</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³²</w:t>
            </w:r>
          </w:p>
        </w:tc>
        <w:tc>
          <w:tcPr>
            <w:tcW w:w="250" w:type="pct"/>
            <w:shd w:val="clear" w:color="auto" w:fill="E4F3F9"/>
            <w:vAlign w:val="center"/>
          </w:tcPr>
          <w:p w14:paraId="7418BC6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C6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C7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11.1</w:t>
            </w:r>
          </w:p>
        </w:tc>
        <w:tc>
          <w:tcPr>
            <w:tcW w:w="250" w:type="pct"/>
            <w:shd w:val="clear" w:color="auto" w:fill="E4F3F9"/>
            <w:vAlign w:val="center"/>
          </w:tcPr>
          <w:p w14:paraId="7418BC7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10.9</w:t>
            </w:r>
          </w:p>
        </w:tc>
        <w:tc>
          <w:tcPr>
            <w:tcW w:w="250" w:type="pct"/>
            <w:shd w:val="clear" w:color="auto" w:fill="E4F3F9"/>
            <w:vAlign w:val="center"/>
          </w:tcPr>
          <w:p w14:paraId="7418BC7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10.8</w:t>
            </w:r>
          </w:p>
        </w:tc>
        <w:tc>
          <w:tcPr>
            <w:tcW w:w="250" w:type="pct"/>
            <w:shd w:val="clear" w:color="auto" w:fill="E4F3F9"/>
            <w:vAlign w:val="center"/>
          </w:tcPr>
          <w:p w14:paraId="7418BC7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12.5</w:t>
            </w:r>
          </w:p>
        </w:tc>
        <w:tc>
          <w:tcPr>
            <w:tcW w:w="250" w:type="pct"/>
            <w:shd w:val="clear" w:color="auto" w:fill="E4F3F9"/>
            <w:vAlign w:val="center"/>
          </w:tcPr>
          <w:p w14:paraId="7418BC7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13.1</w:t>
            </w:r>
          </w:p>
        </w:tc>
        <w:tc>
          <w:tcPr>
            <w:tcW w:w="250" w:type="pct"/>
            <w:shd w:val="clear" w:color="auto" w:fill="E4F3F9"/>
            <w:vAlign w:val="center"/>
          </w:tcPr>
          <w:p w14:paraId="7418BC7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15.0</w:t>
            </w:r>
          </w:p>
        </w:tc>
        <w:tc>
          <w:tcPr>
            <w:tcW w:w="250" w:type="pct"/>
            <w:shd w:val="clear" w:color="auto" w:fill="E4F3F9"/>
            <w:vAlign w:val="center"/>
          </w:tcPr>
          <w:p w14:paraId="7418BC7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14.4</w:t>
            </w:r>
          </w:p>
        </w:tc>
        <w:tc>
          <w:tcPr>
            <w:tcW w:w="250" w:type="pct"/>
            <w:shd w:val="clear" w:color="auto" w:fill="E4F3F9"/>
            <w:vAlign w:val="center"/>
          </w:tcPr>
          <w:p w14:paraId="7418BC7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14.6</w:t>
            </w:r>
          </w:p>
        </w:tc>
        <w:tc>
          <w:tcPr>
            <w:tcW w:w="250" w:type="pct"/>
            <w:shd w:val="clear" w:color="auto" w:fill="E4F3F9"/>
            <w:vAlign w:val="center"/>
          </w:tcPr>
          <w:p w14:paraId="7418BC7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14.1</w:t>
            </w:r>
          </w:p>
        </w:tc>
        <w:tc>
          <w:tcPr>
            <w:tcW w:w="250" w:type="pct"/>
            <w:shd w:val="clear" w:color="auto" w:fill="E4F3F9"/>
            <w:vAlign w:val="center"/>
          </w:tcPr>
          <w:p w14:paraId="7418BC7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12.7</w:t>
            </w:r>
          </w:p>
        </w:tc>
        <w:tc>
          <w:tcPr>
            <w:tcW w:w="231" w:type="pct"/>
            <w:shd w:val="clear" w:color="auto" w:fill="E4F3F9"/>
            <w:vAlign w:val="center"/>
          </w:tcPr>
          <w:p w14:paraId="7418BC7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5" w:type="pct"/>
            <w:shd w:val="clear" w:color="auto" w:fill="E4F3F9"/>
            <w:vAlign w:val="center"/>
          </w:tcPr>
          <w:p w14:paraId="7418BC7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C8C" w14:textId="77777777" w:rsidTr="004A31A9">
        <w:trPr>
          <w:trHeight w:val="283"/>
        </w:trPr>
        <w:tc>
          <w:tcPr>
            <w:tcW w:w="1544" w:type="pct"/>
            <w:shd w:val="clear" w:color="auto" w:fill="D5ECF5"/>
            <w:vAlign w:val="center"/>
          </w:tcPr>
          <w:p w14:paraId="7418BC7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w:t>
            </w:r>
            <w:r w:rsidRPr="0048563F">
              <w:rPr>
                <w:rFonts w:eastAsia="Arial Unicode MS" w:cs="Arial" w:hint="eastAsia"/>
                <w:color w:val="7A7B7C"/>
                <w:sz w:val="14"/>
                <w:szCs w:val="14"/>
                <w:lang w:eastAsia="en-AU"/>
              </w:rPr>
              <w:t xml:space="preserve">Lack of access to knowledge or technology, % of </w:t>
            </w:r>
            <w:r w:rsidRPr="0048563F">
              <w:rPr>
                <w:rFonts w:eastAsia="Arial Unicode MS" w:cs="Arial" w:hint="eastAsia"/>
                <w:color w:val="7A7B7C"/>
                <w:sz w:val="14"/>
                <w:szCs w:val="14"/>
                <w:lang w:eastAsia="en-AU"/>
              </w:rPr>
              <w:br/>
              <w:t>respondents</w:t>
            </w:r>
            <w:r w:rsidRPr="0048563F">
              <w:rPr>
                <w:rFonts w:eastAsia="Arial Unicode MS" w:cs="Arial" w:hint="eastAsia"/>
                <w:color w:val="7A7B7C"/>
                <w:sz w:val="14"/>
                <w:szCs w:val="14"/>
                <w:lang w:eastAsia="en-AU"/>
              </w:rPr>
              <w:t>¹⁰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¹²</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³²</w:t>
            </w:r>
          </w:p>
        </w:tc>
        <w:tc>
          <w:tcPr>
            <w:tcW w:w="250" w:type="pct"/>
            <w:shd w:val="clear" w:color="auto" w:fill="D5ECF5"/>
            <w:vAlign w:val="center"/>
          </w:tcPr>
          <w:p w14:paraId="7418BC7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7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8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3.4</w:t>
            </w:r>
          </w:p>
        </w:tc>
        <w:tc>
          <w:tcPr>
            <w:tcW w:w="250" w:type="pct"/>
            <w:shd w:val="clear" w:color="auto" w:fill="D5ECF5"/>
            <w:vAlign w:val="center"/>
          </w:tcPr>
          <w:p w14:paraId="7418BC8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3.4</w:t>
            </w:r>
          </w:p>
        </w:tc>
        <w:tc>
          <w:tcPr>
            <w:tcW w:w="250" w:type="pct"/>
            <w:shd w:val="clear" w:color="auto" w:fill="D5ECF5"/>
            <w:vAlign w:val="center"/>
          </w:tcPr>
          <w:p w14:paraId="7418BC8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3.2</w:t>
            </w:r>
          </w:p>
        </w:tc>
        <w:tc>
          <w:tcPr>
            <w:tcW w:w="250" w:type="pct"/>
            <w:shd w:val="clear" w:color="auto" w:fill="D5ECF5"/>
            <w:vAlign w:val="center"/>
          </w:tcPr>
          <w:p w14:paraId="7418BC8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w:t>
            </w:r>
          </w:p>
        </w:tc>
        <w:tc>
          <w:tcPr>
            <w:tcW w:w="250" w:type="pct"/>
            <w:shd w:val="clear" w:color="auto" w:fill="D5ECF5"/>
            <w:vAlign w:val="center"/>
          </w:tcPr>
          <w:p w14:paraId="7418BC8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3.8</w:t>
            </w:r>
          </w:p>
        </w:tc>
        <w:tc>
          <w:tcPr>
            <w:tcW w:w="250" w:type="pct"/>
            <w:shd w:val="clear" w:color="auto" w:fill="D5ECF5"/>
            <w:vAlign w:val="center"/>
          </w:tcPr>
          <w:p w14:paraId="7418BC8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3.6</w:t>
            </w:r>
          </w:p>
        </w:tc>
        <w:tc>
          <w:tcPr>
            <w:tcW w:w="250" w:type="pct"/>
            <w:shd w:val="clear" w:color="auto" w:fill="D5ECF5"/>
            <w:vAlign w:val="center"/>
          </w:tcPr>
          <w:p w14:paraId="7418BC8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4.2</w:t>
            </w:r>
          </w:p>
        </w:tc>
        <w:tc>
          <w:tcPr>
            <w:tcW w:w="250" w:type="pct"/>
            <w:shd w:val="clear" w:color="auto" w:fill="D5ECF5"/>
            <w:vAlign w:val="center"/>
          </w:tcPr>
          <w:p w14:paraId="7418BC8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3.3</w:t>
            </w:r>
          </w:p>
        </w:tc>
        <w:tc>
          <w:tcPr>
            <w:tcW w:w="250" w:type="pct"/>
            <w:shd w:val="clear" w:color="auto" w:fill="D5ECF5"/>
            <w:vAlign w:val="center"/>
          </w:tcPr>
          <w:p w14:paraId="7418BC8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3.3</w:t>
            </w:r>
          </w:p>
        </w:tc>
        <w:tc>
          <w:tcPr>
            <w:tcW w:w="250" w:type="pct"/>
            <w:shd w:val="clear" w:color="auto" w:fill="D5ECF5"/>
            <w:vAlign w:val="center"/>
          </w:tcPr>
          <w:p w14:paraId="7418BC8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3.6</w:t>
            </w:r>
          </w:p>
        </w:tc>
        <w:tc>
          <w:tcPr>
            <w:tcW w:w="231" w:type="pct"/>
            <w:shd w:val="clear" w:color="auto" w:fill="D5ECF5"/>
            <w:vAlign w:val="center"/>
          </w:tcPr>
          <w:p w14:paraId="7418BC8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5" w:type="pct"/>
            <w:shd w:val="clear" w:color="auto" w:fill="D5ECF5"/>
            <w:vAlign w:val="center"/>
          </w:tcPr>
          <w:p w14:paraId="7418BC8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C9C" w14:textId="77777777" w:rsidTr="004A31A9">
        <w:trPr>
          <w:trHeight w:val="283"/>
        </w:trPr>
        <w:tc>
          <w:tcPr>
            <w:tcW w:w="1544" w:type="pct"/>
            <w:shd w:val="clear" w:color="auto" w:fill="E4F3F9"/>
            <w:vAlign w:val="center"/>
          </w:tcPr>
          <w:p w14:paraId="7418BC8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w:t>
            </w:r>
            <w:r w:rsidRPr="0048563F">
              <w:rPr>
                <w:rFonts w:eastAsia="Arial Unicode MS" w:cs="Arial" w:hint="eastAsia"/>
                <w:color w:val="7A7B7C"/>
                <w:sz w:val="14"/>
                <w:szCs w:val="14"/>
                <w:lang w:eastAsia="en-AU"/>
              </w:rPr>
              <w:t xml:space="preserve">Lack of skilled persons in any location, % of </w:t>
            </w:r>
            <w:r w:rsidRPr="0048563F">
              <w:rPr>
                <w:rFonts w:eastAsia="Arial Unicode MS" w:cs="Arial"/>
                <w:color w:val="7A7B7C"/>
                <w:sz w:val="14"/>
                <w:szCs w:val="14"/>
                <w:lang w:eastAsia="en-AU"/>
              </w:rPr>
              <w:br/>
            </w:r>
            <w:r w:rsidRPr="0048563F">
              <w:rPr>
                <w:rFonts w:eastAsia="Arial Unicode MS" w:cs="Arial" w:hint="eastAsia"/>
                <w:color w:val="7A7B7C"/>
                <w:sz w:val="14"/>
                <w:szCs w:val="14"/>
                <w:lang w:eastAsia="en-AU"/>
              </w:rPr>
              <w:t>respondents</w:t>
            </w:r>
            <w:r w:rsidRPr="0048563F">
              <w:rPr>
                <w:rFonts w:eastAsia="Arial Unicode MS" w:cs="Arial" w:hint="eastAsia"/>
                <w:color w:val="7A7B7C"/>
                <w:sz w:val="14"/>
                <w:szCs w:val="14"/>
                <w:lang w:eastAsia="en-AU"/>
              </w:rPr>
              <w:t>¹⁰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¹²</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³²</w:t>
            </w:r>
          </w:p>
        </w:tc>
        <w:tc>
          <w:tcPr>
            <w:tcW w:w="250" w:type="pct"/>
            <w:shd w:val="clear" w:color="auto" w:fill="E4F3F9"/>
            <w:vAlign w:val="center"/>
          </w:tcPr>
          <w:p w14:paraId="7418BC8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C8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C9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22.8</w:t>
            </w:r>
          </w:p>
        </w:tc>
        <w:tc>
          <w:tcPr>
            <w:tcW w:w="250" w:type="pct"/>
            <w:shd w:val="clear" w:color="auto" w:fill="E4F3F9"/>
            <w:vAlign w:val="center"/>
          </w:tcPr>
          <w:p w14:paraId="7418BC9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25.7</w:t>
            </w:r>
          </w:p>
        </w:tc>
        <w:tc>
          <w:tcPr>
            <w:tcW w:w="250" w:type="pct"/>
            <w:shd w:val="clear" w:color="auto" w:fill="E4F3F9"/>
            <w:vAlign w:val="center"/>
          </w:tcPr>
          <w:p w14:paraId="7418BC9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23.0</w:t>
            </w:r>
          </w:p>
        </w:tc>
        <w:tc>
          <w:tcPr>
            <w:tcW w:w="250" w:type="pct"/>
            <w:shd w:val="clear" w:color="auto" w:fill="E4F3F9"/>
            <w:vAlign w:val="center"/>
          </w:tcPr>
          <w:p w14:paraId="7418BC9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19.4</w:t>
            </w:r>
          </w:p>
        </w:tc>
        <w:tc>
          <w:tcPr>
            <w:tcW w:w="250" w:type="pct"/>
            <w:shd w:val="clear" w:color="auto" w:fill="E4F3F9"/>
            <w:vAlign w:val="center"/>
          </w:tcPr>
          <w:p w14:paraId="7418BC9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20.4</w:t>
            </w:r>
          </w:p>
        </w:tc>
        <w:tc>
          <w:tcPr>
            <w:tcW w:w="250" w:type="pct"/>
            <w:shd w:val="clear" w:color="auto" w:fill="E4F3F9"/>
            <w:vAlign w:val="center"/>
          </w:tcPr>
          <w:p w14:paraId="7418BC9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20.0</w:t>
            </w:r>
          </w:p>
        </w:tc>
        <w:tc>
          <w:tcPr>
            <w:tcW w:w="250" w:type="pct"/>
            <w:shd w:val="clear" w:color="auto" w:fill="E4F3F9"/>
            <w:vAlign w:val="center"/>
          </w:tcPr>
          <w:p w14:paraId="7418BC9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17.8</w:t>
            </w:r>
          </w:p>
        </w:tc>
        <w:tc>
          <w:tcPr>
            <w:tcW w:w="250" w:type="pct"/>
            <w:shd w:val="clear" w:color="auto" w:fill="E4F3F9"/>
            <w:vAlign w:val="center"/>
          </w:tcPr>
          <w:p w14:paraId="7418BC9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17.2</w:t>
            </w:r>
          </w:p>
        </w:tc>
        <w:tc>
          <w:tcPr>
            <w:tcW w:w="250" w:type="pct"/>
            <w:shd w:val="clear" w:color="auto" w:fill="E4F3F9"/>
            <w:vAlign w:val="center"/>
          </w:tcPr>
          <w:p w14:paraId="7418BC9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16.4</w:t>
            </w:r>
          </w:p>
        </w:tc>
        <w:tc>
          <w:tcPr>
            <w:tcW w:w="250" w:type="pct"/>
            <w:shd w:val="clear" w:color="auto" w:fill="E4F3F9"/>
            <w:vAlign w:val="center"/>
          </w:tcPr>
          <w:p w14:paraId="7418BC9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16.4</w:t>
            </w:r>
          </w:p>
        </w:tc>
        <w:tc>
          <w:tcPr>
            <w:tcW w:w="231" w:type="pct"/>
            <w:shd w:val="clear" w:color="auto" w:fill="E4F3F9"/>
            <w:vAlign w:val="center"/>
          </w:tcPr>
          <w:p w14:paraId="7418BC9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5" w:type="pct"/>
            <w:shd w:val="clear" w:color="auto" w:fill="E4F3F9"/>
            <w:vAlign w:val="center"/>
          </w:tcPr>
          <w:p w14:paraId="7418BC9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CAC" w14:textId="77777777" w:rsidTr="004A31A9">
        <w:trPr>
          <w:trHeight w:val="283"/>
        </w:trPr>
        <w:tc>
          <w:tcPr>
            <w:tcW w:w="1544" w:type="pct"/>
            <w:shd w:val="clear" w:color="auto" w:fill="D5ECF5"/>
            <w:vAlign w:val="center"/>
          </w:tcPr>
          <w:p w14:paraId="7418BC9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w:t>
            </w:r>
            <w:r w:rsidRPr="0048563F">
              <w:rPr>
                <w:rFonts w:eastAsia="Arial Unicode MS" w:cs="Arial" w:hint="eastAsia"/>
                <w:color w:val="7A7B7C"/>
                <w:sz w:val="14"/>
                <w:szCs w:val="14"/>
                <w:lang w:eastAsia="en-AU"/>
              </w:rPr>
              <w:t xml:space="preserve">Lack of skilled persons within the business, % of </w:t>
            </w:r>
            <w:r w:rsidRPr="0048563F">
              <w:rPr>
                <w:rFonts w:eastAsia="Arial Unicode MS" w:cs="Arial" w:hint="eastAsia"/>
                <w:color w:val="7A7B7C"/>
                <w:sz w:val="14"/>
                <w:szCs w:val="14"/>
                <w:lang w:eastAsia="en-AU"/>
              </w:rPr>
              <w:br/>
              <w:t>respondents</w:t>
            </w:r>
            <w:r w:rsidRPr="0048563F">
              <w:rPr>
                <w:rFonts w:eastAsia="Arial Unicode MS" w:cs="Arial" w:hint="eastAsia"/>
                <w:color w:val="7A7B7C"/>
                <w:sz w:val="14"/>
                <w:szCs w:val="14"/>
                <w:lang w:eastAsia="en-AU"/>
              </w:rPr>
              <w:t>¹⁰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¹²</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³²</w:t>
            </w:r>
          </w:p>
        </w:tc>
        <w:tc>
          <w:tcPr>
            <w:tcW w:w="250" w:type="pct"/>
            <w:shd w:val="clear" w:color="auto" w:fill="D5ECF5"/>
            <w:vAlign w:val="center"/>
          </w:tcPr>
          <w:p w14:paraId="7418BC9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9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A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14.3</w:t>
            </w:r>
          </w:p>
        </w:tc>
        <w:tc>
          <w:tcPr>
            <w:tcW w:w="250" w:type="pct"/>
            <w:shd w:val="clear" w:color="auto" w:fill="D5ECF5"/>
            <w:vAlign w:val="center"/>
          </w:tcPr>
          <w:p w14:paraId="7418BCA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16.1</w:t>
            </w:r>
          </w:p>
        </w:tc>
        <w:tc>
          <w:tcPr>
            <w:tcW w:w="250" w:type="pct"/>
            <w:shd w:val="clear" w:color="auto" w:fill="D5ECF5"/>
            <w:vAlign w:val="center"/>
          </w:tcPr>
          <w:p w14:paraId="7418BCA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14.8</w:t>
            </w:r>
          </w:p>
        </w:tc>
        <w:tc>
          <w:tcPr>
            <w:tcW w:w="250" w:type="pct"/>
            <w:shd w:val="clear" w:color="auto" w:fill="D5ECF5"/>
            <w:vAlign w:val="center"/>
          </w:tcPr>
          <w:p w14:paraId="7418BCA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13.2</w:t>
            </w:r>
          </w:p>
        </w:tc>
        <w:tc>
          <w:tcPr>
            <w:tcW w:w="250" w:type="pct"/>
            <w:shd w:val="clear" w:color="auto" w:fill="D5ECF5"/>
            <w:vAlign w:val="center"/>
          </w:tcPr>
          <w:p w14:paraId="7418BCA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13.6</w:t>
            </w:r>
          </w:p>
        </w:tc>
        <w:tc>
          <w:tcPr>
            <w:tcW w:w="250" w:type="pct"/>
            <w:shd w:val="clear" w:color="auto" w:fill="D5ECF5"/>
            <w:vAlign w:val="center"/>
          </w:tcPr>
          <w:p w14:paraId="7418BCA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13.1</w:t>
            </w:r>
          </w:p>
        </w:tc>
        <w:tc>
          <w:tcPr>
            <w:tcW w:w="250" w:type="pct"/>
            <w:shd w:val="clear" w:color="auto" w:fill="D5ECF5"/>
            <w:vAlign w:val="center"/>
          </w:tcPr>
          <w:p w14:paraId="7418BCA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11.8</w:t>
            </w:r>
          </w:p>
        </w:tc>
        <w:tc>
          <w:tcPr>
            <w:tcW w:w="250" w:type="pct"/>
            <w:shd w:val="clear" w:color="auto" w:fill="D5ECF5"/>
            <w:vAlign w:val="center"/>
          </w:tcPr>
          <w:p w14:paraId="7418BCA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12.4</w:t>
            </w:r>
          </w:p>
        </w:tc>
        <w:tc>
          <w:tcPr>
            <w:tcW w:w="250" w:type="pct"/>
            <w:shd w:val="clear" w:color="auto" w:fill="D5ECF5"/>
            <w:vAlign w:val="center"/>
          </w:tcPr>
          <w:p w14:paraId="7418BCA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11.7</w:t>
            </w:r>
          </w:p>
        </w:tc>
        <w:tc>
          <w:tcPr>
            <w:tcW w:w="250" w:type="pct"/>
            <w:shd w:val="clear" w:color="auto" w:fill="D5ECF5"/>
            <w:vAlign w:val="center"/>
          </w:tcPr>
          <w:p w14:paraId="7418BCA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10.9</w:t>
            </w:r>
          </w:p>
        </w:tc>
        <w:tc>
          <w:tcPr>
            <w:tcW w:w="231" w:type="pct"/>
            <w:shd w:val="clear" w:color="auto" w:fill="D5ECF5"/>
            <w:vAlign w:val="center"/>
          </w:tcPr>
          <w:p w14:paraId="7418BCA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5" w:type="pct"/>
            <w:shd w:val="clear" w:color="auto" w:fill="D5ECF5"/>
            <w:vAlign w:val="center"/>
          </w:tcPr>
          <w:p w14:paraId="7418BCA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CBC" w14:textId="77777777" w:rsidTr="004A31A9">
        <w:trPr>
          <w:trHeight w:val="283"/>
        </w:trPr>
        <w:tc>
          <w:tcPr>
            <w:tcW w:w="1544" w:type="pct"/>
            <w:shd w:val="clear" w:color="auto" w:fill="E4F3F9"/>
            <w:vAlign w:val="center"/>
          </w:tcPr>
          <w:p w14:paraId="7418BCA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w:t>
            </w:r>
            <w:r w:rsidRPr="0048563F">
              <w:rPr>
                <w:rFonts w:eastAsia="Arial Unicode MS" w:cs="Arial" w:hint="eastAsia"/>
                <w:color w:val="7A7B7C"/>
                <w:sz w:val="14"/>
                <w:szCs w:val="14"/>
                <w:lang w:eastAsia="en-AU"/>
              </w:rPr>
              <w:t>Lack of skilled persons within the labour market, % of respondents</w:t>
            </w:r>
            <w:r w:rsidRPr="0048563F">
              <w:rPr>
                <w:rFonts w:eastAsia="Arial Unicode MS" w:cs="Arial" w:hint="eastAsia"/>
                <w:color w:val="7A7B7C"/>
                <w:sz w:val="14"/>
                <w:szCs w:val="14"/>
                <w:lang w:eastAsia="en-AU"/>
              </w:rPr>
              <w:t>¹⁰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¹²</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³²</w:t>
            </w:r>
          </w:p>
        </w:tc>
        <w:tc>
          <w:tcPr>
            <w:tcW w:w="250" w:type="pct"/>
            <w:shd w:val="clear" w:color="auto" w:fill="E4F3F9"/>
            <w:vAlign w:val="center"/>
          </w:tcPr>
          <w:p w14:paraId="7418BCA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CA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CB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17.3</w:t>
            </w:r>
          </w:p>
        </w:tc>
        <w:tc>
          <w:tcPr>
            <w:tcW w:w="250" w:type="pct"/>
            <w:shd w:val="clear" w:color="auto" w:fill="E4F3F9"/>
            <w:vAlign w:val="center"/>
          </w:tcPr>
          <w:p w14:paraId="7418BCB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18.7</w:t>
            </w:r>
          </w:p>
        </w:tc>
        <w:tc>
          <w:tcPr>
            <w:tcW w:w="250" w:type="pct"/>
            <w:shd w:val="clear" w:color="auto" w:fill="E4F3F9"/>
            <w:vAlign w:val="center"/>
          </w:tcPr>
          <w:p w14:paraId="7418BCB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16.6</w:t>
            </w:r>
          </w:p>
        </w:tc>
        <w:tc>
          <w:tcPr>
            <w:tcW w:w="250" w:type="pct"/>
            <w:shd w:val="clear" w:color="auto" w:fill="E4F3F9"/>
            <w:vAlign w:val="center"/>
          </w:tcPr>
          <w:p w14:paraId="7418BCB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12.8</w:t>
            </w:r>
          </w:p>
        </w:tc>
        <w:tc>
          <w:tcPr>
            <w:tcW w:w="250" w:type="pct"/>
            <w:shd w:val="clear" w:color="auto" w:fill="E4F3F9"/>
            <w:vAlign w:val="center"/>
          </w:tcPr>
          <w:p w14:paraId="7418BCB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13.2</w:t>
            </w:r>
          </w:p>
        </w:tc>
        <w:tc>
          <w:tcPr>
            <w:tcW w:w="250" w:type="pct"/>
            <w:shd w:val="clear" w:color="auto" w:fill="E4F3F9"/>
            <w:vAlign w:val="center"/>
          </w:tcPr>
          <w:p w14:paraId="7418BCB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12.5</w:t>
            </w:r>
          </w:p>
        </w:tc>
        <w:tc>
          <w:tcPr>
            <w:tcW w:w="250" w:type="pct"/>
            <w:shd w:val="clear" w:color="auto" w:fill="E4F3F9"/>
            <w:vAlign w:val="center"/>
          </w:tcPr>
          <w:p w14:paraId="7418BCB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11.4</w:t>
            </w:r>
          </w:p>
        </w:tc>
        <w:tc>
          <w:tcPr>
            <w:tcW w:w="250" w:type="pct"/>
            <w:shd w:val="clear" w:color="auto" w:fill="E4F3F9"/>
            <w:vAlign w:val="center"/>
          </w:tcPr>
          <w:p w14:paraId="7418BCB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9.9</w:t>
            </w:r>
          </w:p>
        </w:tc>
        <w:tc>
          <w:tcPr>
            <w:tcW w:w="250" w:type="pct"/>
            <w:shd w:val="clear" w:color="auto" w:fill="E4F3F9"/>
            <w:vAlign w:val="center"/>
          </w:tcPr>
          <w:p w14:paraId="7418BCB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9.4</w:t>
            </w:r>
          </w:p>
        </w:tc>
        <w:tc>
          <w:tcPr>
            <w:tcW w:w="250" w:type="pct"/>
            <w:shd w:val="clear" w:color="auto" w:fill="E4F3F9"/>
            <w:vAlign w:val="center"/>
          </w:tcPr>
          <w:p w14:paraId="7418BCB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9.3</w:t>
            </w:r>
          </w:p>
        </w:tc>
        <w:tc>
          <w:tcPr>
            <w:tcW w:w="231" w:type="pct"/>
            <w:shd w:val="clear" w:color="auto" w:fill="E4F3F9"/>
            <w:vAlign w:val="center"/>
          </w:tcPr>
          <w:p w14:paraId="7418BCB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5" w:type="pct"/>
            <w:shd w:val="clear" w:color="auto" w:fill="E4F3F9"/>
            <w:vAlign w:val="center"/>
          </w:tcPr>
          <w:p w14:paraId="7418BCB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CCC" w14:textId="77777777" w:rsidTr="004A31A9">
        <w:trPr>
          <w:trHeight w:val="283"/>
        </w:trPr>
        <w:tc>
          <w:tcPr>
            <w:tcW w:w="1544" w:type="pct"/>
            <w:shd w:val="clear" w:color="auto" w:fill="D5ECF5"/>
            <w:vAlign w:val="center"/>
          </w:tcPr>
          <w:p w14:paraId="7418BCB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w:t>
            </w:r>
            <w:r w:rsidRPr="0048563F">
              <w:rPr>
                <w:rFonts w:eastAsia="Arial Unicode MS" w:cs="Arial" w:hint="eastAsia"/>
                <w:color w:val="7A7B7C"/>
                <w:sz w:val="14"/>
                <w:szCs w:val="14"/>
                <w:lang w:eastAsia="en-AU"/>
              </w:rPr>
              <w:t xml:space="preserve">Uncertain demand for new goods or services, % of </w:t>
            </w:r>
            <w:r w:rsidRPr="0048563F">
              <w:rPr>
                <w:rFonts w:eastAsia="Arial Unicode MS" w:cs="Arial" w:hint="eastAsia"/>
                <w:color w:val="7A7B7C"/>
                <w:sz w:val="14"/>
                <w:szCs w:val="14"/>
                <w:lang w:eastAsia="en-AU"/>
              </w:rPr>
              <w:br/>
              <w:t>respondents</w:t>
            </w:r>
            <w:r w:rsidRPr="0048563F">
              <w:rPr>
                <w:rFonts w:eastAsia="Arial Unicode MS" w:cs="Arial" w:hint="eastAsia"/>
                <w:color w:val="7A7B7C"/>
                <w:sz w:val="14"/>
                <w:szCs w:val="14"/>
                <w:lang w:eastAsia="en-AU"/>
              </w:rPr>
              <w:t>¹⁰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¹²</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³²</w:t>
            </w:r>
          </w:p>
        </w:tc>
        <w:tc>
          <w:tcPr>
            <w:tcW w:w="250" w:type="pct"/>
            <w:shd w:val="clear" w:color="auto" w:fill="D5ECF5"/>
            <w:vAlign w:val="center"/>
          </w:tcPr>
          <w:p w14:paraId="7418BCB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B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C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9.4</w:t>
            </w:r>
          </w:p>
        </w:tc>
        <w:tc>
          <w:tcPr>
            <w:tcW w:w="250" w:type="pct"/>
            <w:shd w:val="clear" w:color="auto" w:fill="D5ECF5"/>
            <w:vAlign w:val="center"/>
          </w:tcPr>
          <w:p w14:paraId="7418BCC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8.8</w:t>
            </w:r>
          </w:p>
        </w:tc>
        <w:tc>
          <w:tcPr>
            <w:tcW w:w="250" w:type="pct"/>
            <w:shd w:val="clear" w:color="auto" w:fill="D5ECF5"/>
            <w:vAlign w:val="center"/>
          </w:tcPr>
          <w:p w14:paraId="7418BCC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11.2</w:t>
            </w:r>
          </w:p>
        </w:tc>
        <w:tc>
          <w:tcPr>
            <w:tcW w:w="250" w:type="pct"/>
            <w:shd w:val="clear" w:color="auto" w:fill="D5ECF5"/>
            <w:vAlign w:val="center"/>
          </w:tcPr>
          <w:p w14:paraId="7418BCC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13.0</w:t>
            </w:r>
          </w:p>
        </w:tc>
        <w:tc>
          <w:tcPr>
            <w:tcW w:w="250" w:type="pct"/>
            <w:shd w:val="clear" w:color="auto" w:fill="D5ECF5"/>
            <w:vAlign w:val="center"/>
          </w:tcPr>
          <w:p w14:paraId="7418BCC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13.4</w:t>
            </w:r>
          </w:p>
        </w:tc>
        <w:tc>
          <w:tcPr>
            <w:tcW w:w="250" w:type="pct"/>
            <w:shd w:val="clear" w:color="auto" w:fill="D5ECF5"/>
            <w:vAlign w:val="center"/>
          </w:tcPr>
          <w:p w14:paraId="7418BCC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12.8</w:t>
            </w:r>
          </w:p>
        </w:tc>
        <w:tc>
          <w:tcPr>
            <w:tcW w:w="250" w:type="pct"/>
            <w:shd w:val="clear" w:color="auto" w:fill="D5ECF5"/>
            <w:vAlign w:val="center"/>
          </w:tcPr>
          <w:p w14:paraId="7418BCC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15.9</w:t>
            </w:r>
          </w:p>
        </w:tc>
        <w:tc>
          <w:tcPr>
            <w:tcW w:w="250" w:type="pct"/>
            <w:shd w:val="clear" w:color="auto" w:fill="D5ECF5"/>
            <w:vAlign w:val="center"/>
          </w:tcPr>
          <w:p w14:paraId="7418BCC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14.7</w:t>
            </w:r>
          </w:p>
        </w:tc>
        <w:tc>
          <w:tcPr>
            <w:tcW w:w="250" w:type="pct"/>
            <w:shd w:val="clear" w:color="auto" w:fill="D5ECF5"/>
            <w:vAlign w:val="center"/>
          </w:tcPr>
          <w:p w14:paraId="7418BCC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13.1</w:t>
            </w:r>
          </w:p>
        </w:tc>
        <w:tc>
          <w:tcPr>
            <w:tcW w:w="250" w:type="pct"/>
            <w:shd w:val="clear" w:color="auto" w:fill="D5ECF5"/>
            <w:vAlign w:val="center"/>
          </w:tcPr>
          <w:p w14:paraId="7418BCC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11.8</w:t>
            </w:r>
          </w:p>
        </w:tc>
        <w:tc>
          <w:tcPr>
            <w:tcW w:w="231" w:type="pct"/>
            <w:shd w:val="clear" w:color="auto" w:fill="D5ECF5"/>
            <w:vAlign w:val="center"/>
          </w:tcPr>
          <w:p w14:paraId="7418BCC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5" w:type="pct"/>
            <w:shd w:val="clear" w:color="auto" w:fill="D5ECF5"/>
            <w:vAlign w:val="center"/>
          </w:tcPr>
          <w:p w14:paraId="7418BCC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CDC" w14:textId="77777777" w:rsidTr="004A31A9">
        <w:trPr>
          <w:trHeight w:val="283"/>
        </w:trPr>
        <w:tc>
          <w:tcPr>
            <w:tcW w:w="1544" w:type="pct"/>
            <w:shd w:val="clear" w:color="auto" w:fill="E4F3F9"/>
            <w:vAlign w:val="center"/>
          </w:tcPr>
          <w:p w14:paraId="7418BCC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w:t>
            </w:r>
            <w:r w:rsidRPr="0048563F">
              <w:rPr>
                <w:rFonts w:eastAsia="Arial Unicode MS" w:cs="Arial" w:hint="eastAsia"/>
                <w:color w:val="7A7B7C"/>
                <w:sz w:val="14"/>
                <w:szCs w:val="14"/>
                <w:lang w:eastAsia="en-AU"/>
              </w:rPr>
              <w:t xml:space="preserve">Any of the listed barriers to innovation, % of </w:t>
            </w:r>
            <w:r w:rsidRPr="0048563F">
              <w:rPr>
                <w:rFonts w:eastAsia="Arial Unicode MS" w:cs="Arial"/>
                <w:color w:val="7A7B7C"/>
                <w:sz w:val="14"/>
                <w:szCs w:val="14"/>
                <w:lang w:eastAsia="en-AU"/>
              </w:rPr>
              <w:br/>
            </w:r>
            <w:r w:rsidRPr="0048563F">
              <w:rPr>
                <w:rFonts w:eastAsia="Arial Unicode MS" w:cs="Arial" w:hint="eastAsia"/>
                <w:color w:val="7A7B7C"/>
                <w:sz w:val="14"/>
                <w:szCs w:val="14"/>
                <w:lang w:eastAsia="en-AU"/>
              </w:rPr>
              <w:t>respondents</w:t>
            </w:r>
            <w:r w:rsidRPr="0048563F">
              <w:rPr>
                <w:rFonts w:eastAsia="Arial Unicode MS" w:cs="Arial" w:hint="eastAsia"/>
                <w:color w:val="7A7B7C"/>
                <w:sz w:val="14"/>
                <w:szCs w:val="14"/>
                <w:lang w:eastAsia="en-AU"/>
              </w:rPr>
              <w:t>¹⁰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¹²</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³²</w:t>
            </w:r>
          </w:p>
        </w:tc>
        <w:tc>
          <w:tcPr>
            <w:tcW w:w="250" w:type="pct"/>
            <w:shd w:val="clear" w:color="auto" w:fill="E4F3F9"/>
            <w:vAlign w:val="center"/>
          </w:tcPr>
          <w:p w14:paraId="7418BCC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CC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CD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38.1</w:t>
            </w:r>
          </w:p>
        </w:tc>
        <w:tc>
          <w:tcPr>
            <w:tcW w:w="250" w:type="pct"/>
            <w:shd w:val="clear" w:color="auto" w:fill="E4F3F9"/>
            <w:vAlign w:val="center"/>
          </w:tcPr>
          <w:p w14:paraId="7418BCD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46.3</w:t>
            </w:r>
          </w:p>
        </w:tc>
        <w:tc>
          <w:tcPr>
            <w:tcW w:w="250" w:type="pct"/>
            <w:shd w:val="clear" w:color="auto" w:fill="E4F3F9"/>
            <w:vAlign w:val="center"/>
          </w:tcPr>
          <w:p w14:paraId="7418BCD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43.7</w:t>
            </w:r>
          </w:p>
        </w:tc>
        <w:tc>
          <w:tcPr>
            <w:tcW w:w="250" w:type="pct"/>
            <w:shd w:val="clear" w:color="auto" w:fill="E4F3F9"/>
            <w:vAlign w:val="center"/>
          </w:tcPr>
          <w:p w14:paraId="7418BCD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43.2</w:t>
            </w:r>
          </w:p>
        </w:tc>
        <w:tc>
          <w:tcPr>
            <w:tcW w:w="250" w:type="pct"/>
            <w:shd w:val="clear" w:color="auto" w:fill="E4F3F9"/>
            <w:vAlign w:val="center"/>
          </w:tcPr>
          <w:p w14:paraId="7418BCD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44.6</w:t>
            </w:r>
          </w:p>
        </w:tc>
        <w:tc>
          <w:tcPr>
            <w:tcW w:w="250" w:type="pct"/>
            <w:shd w:val="clear" w:color="auto" w:fill="E4F3F9"/>
            <w:vAlign w:val="center"/>
          </w:tcPr>
          <w:p w14:paraId="7418BCD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44.9</w:t>
            </w:r>
          </w:p>
        </w:tc>
        <w:tc>
          <w:tcPr>
            <w:tcW w:w="250" w:type="pct"/>
            <w:shd w:val="clear" w:color="auto" w:fill="E4F3F9"/>
            <w:vAlign w:val="center"/>
          </w:tcPr>
          <w:p w14:paraId="7418BCD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45.1</w:t>
            </w:r>
          </w:p>
        </w:tc>
        <w:tc>
          <w:tcPr>
            <w:tcW w:w="250" w:type="pct"/>
            <w:shd w:val="clear" w:color="auto" w:fill="E4F3F9"/>
            <w:vAlign w:val="center"/>
          </w:tcPr>
          <w:p w14:paraId="7418BCD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44.1</w:t>
            </w:r>
          </w:p>
        </w:tc>
        <w:tc>
          <w:tcPr>
            <w:tcW w:w="250" w:type="pct"/>
            <w:shd w:val="clear" w:color="auto" w:fill="E4F3F9"/>
            <w:vAlign w:val="center"/>
          </w:tcPr>
          <w:p w14:paraId="7418BCD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CD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40.3</w:t>
            </w:r>
          </w:p>
        </w:tc>
        <w:tc>
          <w:tcPr>
            <w:tcW w:w="231" w:type="pct"/>
            <w:shd w:val="clear" w:color="auto" w:fill="E4F3F9"/>
            <w:vAlign w:val="center"/>
          </w:tcPr>
          <w:p w14:paraId="7418BCD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5" w:type="pct"/>
            <w:shd w:val="clear" w:color="auto" w:fill="E4F3F9"/>
            <w:vAlign w:val="center"/>
          </w:tcPr>
          <w:p w14:paraId="7418BCD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CEC" w14:textId="77777777" w:rsidTr="004A31A9">
        <w:trPr>
          <w:trHeight w:val="283"/>
        </w:trPr>
        <w:tc>
          <w:tcPr>
            <w:tcW w:w="1544" w:type="pct"/>
            <w:shd w:val="clear" w:color="auto" w:fill="D5ECF5"/>
            <w:vAlign w:val="center"/>
          </w:tcPr>
          <w:p w14:paraId="7418BCD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w:t>
            </w:r>
            <w:r w:rsidRPr="0048563F">
              <w:rPr>
                <w:rFonts w:eastAsia="Arial Unicode MS" w:cs="Arial" w:hint="eastAsia"/>
                <w:color w:val="7A7B7C"/>
                <w:sz w:val="14"/>
                <w:szCs w:val="14"/>
                <w:lang w:eastAsia="en-AU"/>
              </w:rPr>
              <w:t xml:space="preserve">None of the listed barriers to innovation, % of </w:t>
            </w:r>
            <w:r w:rsidRPr="0048563F">
              <w:rPr>
                <w:rFonts w:eastAsia="Arial Unicode MS" w:cs="Arial"/>
                <w:color w:val="7A7B7C"/>
                <w:sz w:val="14"/>
                <w:szCs w:val="14"/>
                <w:lang w:eastAsia="en-AU"/>
              </w:rPr>
              <w:br/>
            </w:r>
            <w:r w:rsidRPr="0048563F">
              <w:rPr>
                <w:rFonts w:eastAsia="Arial Unicode MS" w:cs="Arial" w:hint="eastAsia"/>
                <w:color w:val="7A7B7C"/>
                <w:sz w:val="14"/>
                <w:szCs w:val="14"/>
                <w:lang w:eastAsia="en-AU"/>
              </w:rPr>
              <w:t>respondents</w:t>
            </w:r>
            <w:r w:rsidRPr="0048563F">
              <w:rPr>
                <w:rFonts w:ascii="Arial Unicode MS" w:eastAsia="Arial Unicode MS" w:hAnsi="Arial Unicode MS" w:cs="Arial Unicode MS" w:hint="eastAsia"/>
                <w:color w:val="7A7B7C"/>
                <w:sz w:val="14"/>
                <w:szCs w:val="14"/>
                <w:lang w:eastAsia="en-AU"/>
              </w:rPr>
              <w:t>¹⁰ ¹¹ ³²</w:t>
            </w:r>
          </w:p>
        </w:tc>
        <w:tc>
          <w:tcPr>
            <w:tcW w:w="250" w:type="pct"/>
            <w:shd w:val="clear" w:color="auto" w:fill="D5ECF5"/>
            <w:vAlign w:val="center"/>
          </w:tcPr>
          <w:p w14:paraId="7418BCD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D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E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E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E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E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56.8</w:t>
            </w:r>
          </w:p>
        </w:tc>
        <w:tc>
          <w:tcPr>
            <w:tcW w:w="250" w:type="pct"/>
            <w:shd w:val="clear" w:color="auto" w:fill="D5ECF5"/>
            <w:vAlign w:val="center"/>
          </w:tcPr>
          <w:p w14:paraId="7418BCE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55.4</w:t>
            </w:r>
          </w:p>
        </w:tc>
        <w:tc>
          <w:tcPr>
            <w:tcW w:w="250" w:type="pct"/>
            <w:shd w:val="clear" w:color="auto" w:fill="D5ECF5"/>
            <w:vAlign w:val="center"/>
          </w:tcPr>
          <w:p w14:paraId="7418BCE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55.1</w:t>
            </w:r>
          </w:p>
        </w:tc>
        <w:tc>
          <w:tcPr>
            <w:tcW w:w="250" w:type="pct"/>
            <w:shd w:val="clear" w:color="auto" w:fill="D5ECF5"/>
            <w:vAlign w:val="center"/>
          </w:tcPr>
          <w:p w14:paraId="7418BCE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54.9</w:t>
            </w:r>
          </w:p>
        </w:tc>
        <w:tc>
          <w:tcPr>
            <w:tcW w:w="250" w:type="pct"/>
            <w:shd w:val="clear" w:color="auto" w:fill="D5ECF5"/>
            <w:vAlign w:val="center"/>
          </w:tcPr>
          <w:p w14:paraId="7418BCE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55.9</w:t>
            </w:r>
          </w:p>
        </w:tc>
        <w:tc>
          <w:tcPr>
            <w:tcW w:w="250" w:type="pct"/>
            <w:shd w:val="clear" w:color="auto" w:fill="D5ECF5"/>
            <w:vAlign w:val="center"/>
          </w:tcPr>
          <w:p w14:paraId="7418BCE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E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59.7</w:t>
            </w:r>
          </w:p>
        </w:tc>
        <w:tc>
          <w:tcPr>
            <w:tcW w:w="231" w:type="pct"/>
            <w:shd w:val="clear" w:color="auto" w:fill="D5ECF5"/>
            <w:vAlign w:val="center"/>
          </w:tcPr>
          <w:p w14:paraId="7418BCE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5" w:type="pct"/>
            <w:shd w:val="clear" w:color="auto" w:fill="D5ECF5"/>
            <w:vAlign w:val="center"/>
          </w:tcPr>
          <w:p w14:paraId="7418BCE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CFC" w14:textId="77777777" w:rsidTr="004A31A9">
        <w:trPr>
          <w:trHeight w:val="283"/>
        </w:trPr>
        <w:tc>
          <w:tcPr>
            <w:tcW w:w="1544" w:type="pct"/>
            <w:shd w:val="clear" w:color="auto" w:fill="E4F3F9"/>
            <w:vAlign w:val="center"/>
          </w:tcPr>
          <w:p w14:paraId="7418BCE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Proportion of businesses seeking debt or equity finance for innovation, % of respondents</w:t>
            </w:r>
            <w:r w:rsidRPr="0048563F">
              <w:rPr>
                <w:rFonts w:eastAsia="Arial Unicode MS" w:cs="Arial" w:hint="eastAsia"/>
                <w:color w:val="7A7B7C"/>
                <w:sz w:val="14"/>
                <w:szCs w:val="14"/>
                <w:lang w:eastAsia="en-AU"/>
              </w:rPr>
              <w:t>¹³</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¹⁴</w:t>
            </w:r>
          </w:p>
        </w:tc>
        <w:tc>
          <w:tcPr>
            <w:tcW w:w="250" w:type="pct"/>
            <w:shd w:val="clear" w:color="auto" w:fill="E4F3F9"/>
            <w:vAlign w:val="center"/>
          </w:tcPr>
          <w:p w14:paraId="7418BCE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CE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CF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12.7</w:t>
            </w:r>
          </w:p>
        </w:tc>
        <w:tc>
          <w:tcPr>
            <w:tcW w:w="250" w:type="pct"/>
            <w:shd w:val="clear" w:color="auto" w:fill="E4F3F9"/>
            <w:vAlign w:val="center"/>
          </w:tcPr>
          <w:p w14:paraId="7418BCF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13.6</w:t>
            </w:r>
          </w:p>
        </w:tc>
        <w:tc>
          <w:tcPr>
            <w:tcW w:w="250" w:type="pct"/>
            <w:shd w:val="clear" w:color="auto" w:fill="E4F3F9"/>
            <w:vAlign w:val="center"/>
          </w:tcPr>
          <w:p w14:paraId="7418BCF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15.4</w:t>
            </w:r>
          </w:p>
        </w:tc>
        <w:tc>
          <w:tcPr>
            <w:tcW w:w="250" w:type="pct"/>
            <w:shd w:val="clear" w:color="auto" w:fill="E4F3F9"/>
            <w:vAlign w:val="center"/>
          </w:tcPr>
          <w:p w14:paraId="7418BCF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12.7</w:t>
            </w:r>
          </w:p>
        </w:tc>
        <w:tc>
          <w:tcPr>
            <w:tcW w:w="250" w:type="pct"/>
            <w:shd w:val="clear" w:color="auto" w:fill="E4F3F9"/>
            <w:vAlign w:val="center"/>
          </w:tcPr>
          <w:p w14:paraId="7418BCF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11.1</w:t>
            </w:r>
          </w:p>
        </w:tc>
        <w:tc>
          <w:tcPr>
            <w:tcW w:w="250" w:type="pct"/>
            <w:shd w:val="clear" w:color="auto" w:fill="E4F3F9"/>
            <w:vAlign w:val="center"/>
          </w:tcPr>
          <w:p w14:paraId="7418BCF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8.2</w:t>
            </w:r>
          </w:p>
        </w:tc>
        <w:tc>
          <w:tcPr>
            <w:tcW w:w="250" w:type="pct"/>
            <w:shd w:val="clear" w:color="auto" w:fill="E4F3F9"/>
            <w:vAlign w:val="center"/>
          </w:tcPr>
          <w:p w14:paraId="7418BCF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12.6</w:t>
            </w:r>
          </w:p>
        </w:tc>
        <w:tc>
          <w:tcPr>
            <w:tcW w:w="250" w:type="pct"/>
            <w:shd w:val="clear" w:color="auto" w:fill="E4F3F9"/>
            <w:vAlign w:val="center"/>
          </w:tcPr>
          <w:p w14:paraId="7418BCF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14.4</w:t>
            </w:r>
          </w:p>
        </w:tc>
        <w:tc>
          <w:tcPr>
            <w:tcW w:w="250" w:type="pct"/>
            <w:shd w:val="clear" w:color="auto" w:fill="E4F3F9"/>
            <w:vAlign w:val="center"/>
          </w:tcPr>
          <w:p w14:paraId="7418BCF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9.8</w:t>
            </w:r>
          </w:p>
        </w:tc>
        <w:tc>
          <w:tcPr>
            <w:tcW w:w="250" w:type="pct"/>
            <w:shd w:val="clear" w:color="auto" w:fill="E4F3F9"/>
            <w:vAlign w:val="center"/>
          </w:tcPr>
          <w:p w14:paraId="7418BCF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10.5</w:t>
            </w:r>
          </w:p>
        </w:tc>
        <w:tc>
          <w:tcPr>
            <w:tcW w:w="231" w:type="pct"/>
            <w:shd w:val="clear" w:color="auto" w:fill="E4F3F9"/>
            <w:vAlign w:val="center"/>
          </w:tcPr>
          <w:p w14:paraId="7418BCF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5" w:type="pct"/>
            <w:shd w:val="clear" w:color="auto" w:fill="E4F3F9"/>
            <w:vAlign w:val="center"/>
          </w:tcPr>
          <w:p w14:paraId="7418BCF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D0C" w14:textId="77777777" w:rsidTr="004A31A9">
        <w:trPr>
          <w:trHeight w:val="283"/>
        </w:trPr>
        <w:tc>
          <w:tcPr>
            <w:tcW w:w="1544" w:type="pct"/>
            <w:shd w:val="clear" w:color="auto" w:fill="D5ECF5"/>
            <w:vAlign w:val="center"/>
          </w:tcPr>
          <w:p w14:paraId="7418BCF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 xml:space="preserve">Financing through local equity market, score ranges from </w:t>
            </w:r>
            <w:r w:rsidRPr="0048563F">
              <w:rPr>
                <w:rFonts w:eastAsia="Arial Unicode MS" w:cs="Arial"/>
                <w:color w:val="7A7B7C"/>
                <w:sz w:val="14"/>
                <w:szCs w:val="14"/>
                <w:lang w:eastAsia="en-AU"/>
              </w:rPr>
              <w:br/>
            </w:r>
            <w:r w:rsidRPr="0048563F">
              <w:rPr>
                <w:rFonts w:eastAsia="Arial Unicode MS" w:cs="Arial" w:hint="eastAsia"/>
                <w:color w:val="7A7B7C"/>
                <w:sz w:val="14"/>
                <w:szCs w:val="14"/>
                <w:lang w:eastAsia="en-AU"/>
              </w:rPr>
              <w:t>1-7 (best)</w:t>
            </w:r>
            <w:r w:rsidRPr="0048563F">
              <w:rPr>
                <w:rFonts w:eastAsia="Arial Unicode MS" w:cs="Arial" w:hint="eastAsia"/>
                <w:color w:val="7A7B7C"/>
                <w:sz w:val="14"/>
                <w:szCs w:val="14"/>
                <w:lang w:eastAsia="en-AU"/>
              </w:rPr>
              <w:t>¹⁵</w:t>
            </w:r>
          </w:p>
        </w:tc>
        <w:tc>
          <w:tcPr>
            <w:tcW w:w="250" w:type="pct"/>
            <w:shd w:val="clear" w:color="auto" w:fill="D5ECF5"/>
            <w:vAlign w:val="center"/>
          </w:tcPr>
          <w:p w14:paraId="7418BCF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CF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0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0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6.31</w:t>
            </w:r>
          </w:p>
        </w:tc>
        <w:tc>
          <w:tcPr>
            <w:tcW w:w="250" w:type="pct"/>
            <w:shd w:val="clear" w:color="auto" w:fill="D5ECF5"/>
            <w:vAlign w:val="center"/>
          </w:tcPr>
          <w:p w14:paraId="7418BD0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5.89</w:t>
            </w:r>
          </w:p>
        </w:tc>
        <w:tc>
          <w:tcPr>
            <w:tcW w:w="250" w:type="pct"/>
            <w:shd w:val="clear" w:color="auto" w:fill="D5ECF5"/>
            <w:vAlign w:val="center"/>
          </w:tcPr>
          <w:p w14:paraId="7418BD0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5.34</w:t>
            </w:r>
          </w:p>
        </w:tc>
        <w:tc>
          <w:tcPr>
            <w:tcW w:w="250" w:type="pct"/>
            <w:shd w:val="clear" w:color="auto" w:fill="D5ECF5"/>
            <w:vAlign w:val="center"/>
          </w:tcPr>
          <w:p w14:paraId="7418BD0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4.60</w:t>
            </w:r>
          </w:p>
        </w:tc>
        <w:tc>
          <w:tcPr>
            <w:tcW w:w="250" w:type="pct"/>
            <w:shd w:val="clear" w:color="auto" w:fill="D5ECF5"/>
            <w:vAlign w:val="center"/>
          </w:tcPr>
          <w:p w14:paraId="7418BD0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4.59</w:t>
            </w:r>
          </w:p>
        </w:tc>
        <w:tc>
          <w:tcPr>
            <w:tcW w:w="250" w:type="pct"/>
            <w:shd w:val="clear" w:color="auto" w:fill="D5ECF5"/>
            <w:vAlign w:val="center"/>
          </w:tcPr>
          <w:p w14:paraId="7418BD0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4.66</w:t>
            </w:r>
          </w:p>
        </w:tc>
        <w:tc>
          <w:tcPr>
            <w:tcW w:w="250" w:type="pct"/>
            <w:shd w:val="clear" w:color="auto" w:fill="D5ECF5"/>
            <w:vAlign w:val="center"/>
          </w:tcPr>
          <w:p w14:paraId="7418BD0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4.72</w:t>
            </w:r>
          </w:p>
        </w:tc>
        <w:tc>
          <w:tcPr>
            <w:tcW w:w="250" w:type="pct"/>
            <w:shd w:val="clear" w:color="auto" w:fill="D5ECF5"/>
            <w:vAlign w:val="center"/>
          </w:tcPr>
          <w:p w14:paraId="7418BD0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4.97</w:t>
            </w:r>
          </w:p>
        </w:tc>
        <w:tc>
          <w:tcPr>
            <w:tcW w:w="250" w:type="pct"/>
            <w:shd w:val="clear" w:color="auto" w:fill="D5ECF5"/>
            <w:vAlign w:val="center"/>
          </w:tcPr>
          <w:p w14:paraId="7418BD0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4.81</w:t>
            </w:r>
          </w:p>
        </w:tc>
        <w:tc>
          <w:tcPr>
            <w:tcW w:w="231" w:type="pct"/>
            <w:shd w:val="clear" w:color="auto" w:fill="D5ECF5"/>
            <w:vAlign w:val="center"/>
          </w:tcPr>
          <w:p w14:paraId="7418BD0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4.98</w:t>
            </w:r>
          </w:p>
        </w:tc>
        <w:tc>
          <w:tcPr>
            <w:tcW w:w="225" w:type="pct"/>
            <w:shd w:val="clear" w:color="auto" w:fill="D5ECF5"/>
            <w:vAlign w:val="center"/>
          </w:tcPr>
          <w:p w14:paraId="7418BD0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5.06</w:t>
            </w:r>
          </w:p>
        </w:tc>
      </w:tr>
      <w:tr w:rsidR="00D471AD" w:rsidRPr="0048563F" w14:paraId="7418BD1C" w14:textId="77777777" w:rsidTr="004A31A9">
        <w:trPr>
          <w:trHeight w:val="283"/>
        </w:trPr>
        <w:tc>
          <w:tcPr>
            <w:tcW w:w="1544" w:type="pct"/>
            <w:shd w:val="clear" w:color="auto" w:fill="E4F3F9"/>
            <w:vAlign w:val="center"/>
          </w:tcPr>
          <w:p w14:paraId="7418BD0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Ease of access to loans, score ranges from 1-7 (best)</w:t>
            </w:r>
            <w:r w:rsidRPr="0048563F">
              <w:rPr>
                <w:rFonts w:eastAsia="Arial Unicode MS" w:cs="Arial" w:hint="eastAsia"/>
                <w:color w:val="7A7B7C"/>
                <w:sz w:val="14"/>
                <w:szCs w:val="14"/>
                <w:lang w:eastAsia="en-AU"/>
              </w:rPr>
              <w:t>¹⁵</w:t>
            </w:r>
          </w:p>
        </w:tc>
        <w:tc>
          <w:tcPr>
            <w:tcW w:w="250" w:type="pct"/>
            <w:shd w:val="clear" w:color="auto" w:fill="E4F3F9"/>
            <w:vAlign w:val="center"/>
          </w:tcPr>
          <w:p w14:paraId="7418BD0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0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1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1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4.83</w:t>
            </w:r>
          </w:p>
        </w:tc>
        <w:tc>
          <w:tcPr>
            <w:tcW w:w="250" w:type="pct"/>
            <w:shd w:val="clear" w:color="auto" w:fill="E4F3F9"/>
            <w:vAlign w:val="center"/>
          </w:tcPr>
          <w:p w14:paraId="7418BD1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4.88</w:t>
            </w:r>
          </w:p>
        </w:tc>
        <w:tc>
          <w:tcPr>
            <w:tcW w:w="250" w:type="pct"/>
            <w:shd w:val="clear" w:color="auto" w:fill="E4F3F9"/>
            <w:vAlign w:val="center"/>
          </w:tcPr>
          <w:p w14:paraId="7418BD1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4.95</w:t>
            </w:r>
          </w:p>
        </w:tc>
        <w:tc>
          <w:tcPr>
            <w:tcW w:w="250" w:type="pct"/>
            <w:shd w:val="clear" w:color="auto" w:fill="E4F3F9"/>
            <w:vAlign w:val="center"/>
          </w:tcPr>
          <w:p w14:paraId="7418BD1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4.41</w:t>
            </w:r>
          </w:p>
        </w:tc>
        <w:tc>
          <w:tcPr>
            <w:tcW w:w="250" w:type="pct"/>
            <w:shd w:val="clear" w:color="auto" w:fill="E4F3F9"/>
            <w:vAlign w:val="center"/>
          </w:tcPr>
          <w:p w14:paraId="7418BD1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3.92</w:t>
            </w:r>
          </w:p>
        </w:tc>
        <w:tc>
          <w:tcPr>
            <w:tcW w:w="250" w:type="pct"/>
            <w:shd w:val="clear" w:color="auto" w:fill="E4F3F9"/>
            <w:vAlign w:val="center"/>
          </w:tcPr>
          <w:p w14:paraId="7418BD1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3.68</w:t>
            </w:r>
          </w:p>
        </w:tc>
        <w:tc>
          <w:tcPr>
            <w:tcW w:w="250" w:type="pct"/>
            <w:shd w:val="clear" w:color="auto" w:fill="E4F3F9"/>
            <w:vAlign w:val="center"/>
          </w:tcPr>
          <w:p w14:paraId="7418BD1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3.68</w:t>
            </w:r>
          </w:p>
        </w:tc>
        <w:tc>
          <w:tcPr>
            <w:tcW w:w="250" w:type="pct"/>
            <w:shd w:val="clear" w:color="auto" w:fill="E4F3F9"/>
            <w:vAlign w:val="center"/>
          </w:tcPr>
          <w:p w14:paraId="7418BD1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3.51</w:t>
            </w:r>
          </w:p>
        </w:tc>
        <w:tc>
          <w:tcPr>
            <w:tcW w:w="250" w:type="pct"/>
            <w:shd w:val="clear" w:color="auto" w:fill="E4F3F9"/>
            <w:vAlign w:val="center"/>
          </w:tcPr>
          <w:p w14:paraId="7418BD1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3.32</w:t>
            </w:r>
          </w:p>
        </w:tc>
        <w:tc>
          <w:tcPr>
            <w:tcW w:w="231" w:type="pct"/>
            <w:shd w:val="clear" w:color="auto" w:fill="E4F3F9"/>
            <w:vAlign w:val="center"/>
          </w:tcPr>
          <w:p w14:paraId="7418BD1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3.32</w:t>
            </w:r>
          </w:p>
        </w:tc>
        <w:tc>
          <w:tcPr>
            <w:tcW w:w="225" w:type="pct"/>
            <w:shd w:val="clear" w:color="auto" w:fill="E4F3F9"/>
            <w:vAlign w:val="center"/>
          </w:tcPr>
          <w:p w14:paraId="7418BD1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5.08</w:t>
            </w:r>
          </w:p>
        </w:tc>
      </w:tr>
      <w:tr w:rsidR="00D471AD" w:rsidRPr="0048563F" w14:paraId="7418BD2C" w14:textId="77777777" w:rsidTr="004A31A9">
        <w:trPr>
          <w:trHeight w:val="283"/>
        </w:trPr>
        <w:tc>
          <w:tcPr>
            <w:tcW w:w="1544" w:type="pct"/>
            <w:shd w:val="clear" w:color="auto" w:fill="D5ECF5"/>
            <w:vAlign w:val="center"/>
          </w:tcPr>
          <w:p w14:paraId="7418BD1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Venture capital availability, score ranges from 1-7 (best)</w:t>
            </w:r>
            <w:r w:rsidRPr="0048563F">
              <w:rPr>
                <w:rFonts w:eastAsia="Arial Unicode MS" w:cs="Arial" w:hint="eastAsia"/>
                <w:color w:val="7A7B7C"/>
                <w:sz w:val="14"/>
                <w:szCs w:val="14"/>
                <w:lang w:eastAsia="en-AU"/>
              </w:rPr>
              <w:t>¹⁵</w:t>
            </w:r>
          </w:p>
        </w:tc>
        <w:tc>
          <w:tcPr>
            <w:tcW w:w="250" w:type="pct"/>
            <w:shd w:val="clear" w:color="auto" w:fill="D5ECF5"/>
            <w:vAlign w:val="center"/>
          </w:tcPr>
          <w:p w14:paraId="7418BD1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1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2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2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4.83</w:t>
            </w:r>
          </w:p>
        </w:tc>
        <w:tc>
          <w:tcPr>
            <w:tcW w:w="250" w:type="pct"/>
            <w:shd w:val="clear" w:color="auto" w:fill="D5ECF5"/>
            <w:vAlign w:val="center"/>
          </w:tcPr>
          <w:p w14:paraId="7418BD2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4.66</w:t>
            </w:r>
          </w:p>
        </w:tc>
        <w:tc>
          <w:tcPr>
            <w:tcW w:w="250" w:type="pct"/>
            <w:shd w:val="clear" w:color="auto" w:fill="D5ECF5"/>
            <w:vAlign w:val="center"/>
          </w:tcPr>
          <w:p w14:paraId="7418BD2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4.43</w:t>
            </w:r>
          </w:p>
        </w:tc>
        <w:tc>
          <w:tcPr>
            <w:tcW w:w="250" w:type="pct"/>
            <w:shd w:val="clear" w:color="auto" w:fill="D5ECF5"/>
            <w:vAlign w:val="center"/>
          </w:tcPr>
          <w:p w14:paraId="7418BD2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3.97</w:t>
            </w:r>
          </w:p>
        </w:tc>
        <w:tc>
          <w:tcPr>
            <w:tcW w:w="250" w:type="pct"/>
            <w:shd w:val="clear" w:color="auto" w:fill="D5ECF5"/>
            <w:vAlign w:val="center"/>
          </w:tcPr>
          <w:p w14:paraId="7418BD2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3.83</w:t>
            </w:r>
          </w:p>
        </w:tc>
        <w:tc>
          <w:tcPr>
            <w:tcW w:w="250" w:type="pct"/>
            <w:shd w:val="clear" w:color="auto" w:fill="D5ECF5"/>
            <w:vAlign w:val="center"/>
          </w:tcPr>
          <w:p w14:paraId="7418BD2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3.54</w:t>
            </w:r>
          </w:p>
        </w:tc>
        <w:tc>
          <w:tcPr>
            <w:tcW w:w="250" w:type="pct"/>
            <w:shd w:val="clear" w:color="auto" w:fill="D5ECF5"/>
            <w:vAlign w:val="center"/>
          </w:tcPr>
          <w:p w14:paraId="7418BD2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3.34</w:t>
            </w:r>
          </w:p>
        </w:tc>
        <w:tc>
          <w:tcPr>
            <w:tcW w:w="250" w:type="pct"/>
            <w:shd w:val="clear" w:color="auto" w:fill="D5ECF5"/>
            <w:vAlign w:val="center"/>
          </w:tcPr>
          <w:p w14:paraId="7418BD2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3.56</w:t>
            </w:r>
          </w:p>
        </w:tc>
        <w:tc>
          <w:tcPr>
            <w:tcW w:w="250" w:type="pct"/>
            <w:shd w:val="clear" w:color="auto" w:fill="D5ECF5"/>
            <w:vAlign w:val="center"/>
          </w:tcPr>
          <w:p w14:paraId="7418BD2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3.40</w:t>
            </w:r>
          </w:p>
        </w:tc>
        <w:tc>
          <w:tcPr>
            <w:tcW w:w="231" w:type="pct"/>
            <w:shd w:val="clear" w:color="auto" w:fill="D5ECF5"/>
            <w:vAlign w:val="center"/>
          </w:tcPr>
          <w:p w14:paraId="7418BD2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3.13</w:t>
            </w:r>
          </w:p>
        </w:tc>
        <w:tc>
          <w:tcPr>
            <w:tcW w:w="225" w:type="pct"/>
            <w:shd w:val="clear" w:color="auto" w:fill="D5ECF5"/>
            <w:vAlign w:val="center"/>
          </w:tcPr>
          <w:p w14:paraId="7418BD2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3.16</w:t>
            </w:r>
          </w:p>
        </w:tc>
      </w:tr>
      <w:tr w:rsidR="00D471AD" w:rsidRPr="0048563F" w14:paraId="7418BD3C" w14:textId="77777777" w:rsidTr="004A31A9">
        <w:trPr>
          <w:trHeight w:val="283"/>
        </w:trPr>
        <w:tc>
          <w:tcPr>
            <w:tcW w:w="1544" w:type="pct"/>
            <w:shd w:val="clear" w:color="auto" w:fill="E4F3F9"/>
            <w:vAlign w:val="center"/>
          </w:tcPr>
          <w:p w14:paraId="7418BD2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Venture Capital Investment, million A$</w:t>
            </w:r>
            <w:r w:rsidRPr="0048563F">
              <w:rPr>
                <w:rFonts w:eastAsia="Arial Unicode MS" w:cs="Arial" w:hint="eastAsia"/>
                <w:color w:val="7A7B7C"/>
                <w:sz w:val="14"/>
                <w:szCs w:val="14"/>
                <w:lang w:eastAsia="en-AU"/>
              </w:rPr>
              <w:t>¹⁶</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³³</w:t>
            </w:r>
          </w:p>
        </w:tc>
        <w:tc>
          <w:tcPr>
            <w:tcW w:w="250" w:type="pct"/>
            <w:shd w:val="clear" w:color="auto" w:fill="E4F3F9"/>
            <w:vAlign w:val="center"/>
          </w:tcPr>
          <w:p w14:paraId="7418BD2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2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3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606</w:t>
            </w:r>
          </w:p>
        </w:tc>
        <w:tc>
          <w:tcPr>
            <w:tcW w:w="250" w:type="pct"/>
            <w:shd w:val="clear" w:color="auto" w:fill="E4F3F9"/>
            <w:vAlign w:val="center"/>
          </w:tcPr>
          <w:p w14:paraId="7418BD3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813</w:t>
            </w:r>
          </w:p>
        </w:tc>
        <w:tc>
          <w:tcPr>
            <w:tcW w:w="250" w:type="pct"/>
            <w:shd w:val="clear" w:color="auto" w:fill="E4F3F9"/>
            <w:vAlign w:val="center"/>
          </w:tcPr>
          <w:p w14:paraId="7418BD3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901</w:t>
            </w:r>
          </w:p>
        </w:tc>
        <w:tc>
          <w:tcPr>
            <w:tcW w:w="250" w:type="pct"/>
            <w:shd w:val="clear" w:color="auto" w:fill="E4F3F9"/>
            <w:vAlign w:val="center"/>
          </w:tcPr>
          <w:p w14:paraId="7418BD3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683</w:t>
            </w:r>
          </w:p>
        </w:tc>
        <w:tc>
          <w:tcPr>
            <w:tcW w:w="250" w:type="pct"/>
            <w:shd w:val="clear" w:color="auto" w:fill="E4F3F9"/>
            <w:vAlign w:val="center"/>
          </w:tcPr>
          <w:p w14:paraId="7418BD3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401</w:t>
            </w:r>
          </w:p>
        </w:tc>
        <w:tc>
          <w:tcPr>
            <w:tcW w:w="250" w:type="pct"/>
            <w:shd w:val="clear" w:color="auto" w:fill="E4F3F9"/>
            <w:vAlign w:val="center"/>
          </w:tcPr>
          <w:p w14:paraId="7418BD3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239</w:t>
            </w:r>
          </w:p>
        </w:tc>
        <w:tc>
          <w:tcPr>
            <w:tcW w:w="250" w:type="pct"/>
            <w:shd w:val="clear" w:color="auto" w:fill="E4F3F9"/>
            <w:vAlign w:val="center"/>
          </w:tcPr>
          <w:p w14:paraId="7418BD3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320</w:t>
            </w:r>
          </w:p>
        </w:tc>
        <w:tc>
          <w:tcPr>
            <w:tcW w:w="250" w:type="pct"/>
            <w:shd w:val="clear" w:color="auto" w:fill="E4F3F9"/>
            <w:vAlign w:val="center"/>
          </w:tcPr>
          <w:p w14:paraId="7418BD3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262</w:t>
            </w:r>
          </w:p>
        </w:tc>
        <w:tc>
          <w:tcPr>
            <w:tcW w:w="250" w:type="pct"/>
            <w:shd w:val="clear" w:color="auto" w:fill="E4F3F9"/>
            <w:vAlign w:val="center"/>
          </w:tcPr>
          <w:p w14:paraId="7418BD3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295</w:t>
            </w:r>
          </w:p>
        </w:tc>
        <w:tc>
          <w:tcPr>
            <w:tcW w:w="250" w:type="pct"/>
            <w:shd w:val="clear" w:color="auto" w:fill="E4F3F9"/>
            <w:vAlign w:val="center"/>
          </w:tcPr>
          <w:p w14:paraId="7418BD3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384</w:t>
            </w:r>
          </w:p>
        </w:tc>
        <w:tc>
          <w:tcPr>
            <w:tcW w:w="231" w:type="pct"/>
            <w:shd w:val="clear" w:color="auto" w:fill="E4F3F9"/>
            <w:vAlign w:val="center"/>
          </w:tcPr>
          <w:p w14:paraId="7418BD3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5" w:type="pct"/>
            <w:shd w:val="clear" w:color="auto" w:fill="E4F3F9"/>
            <w:vAlign w:val="center"/>
          </w:tcPr>
          <w:p w14:paraId="7418BD3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D4C" w14:textId="77777777" w:rsidTr="004A31A9">
        <w:trPr>
          <w:trHeight w:val="283"/>
        </w:trPr>
        <w:tc>
          <w:tcPr>
            <w:tcW w:w="1544" w:type="pct"/>
            <w:shd w:val="clear" w:color="auto" w:fill="D5ECF5"/>
            <w:vAlign w:val="center"/>
          </w:tcPr>
          <w:p w14:paraId="7418BD3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Venture capital investments, % of GDP</w:t>
            </w:r>
            <w:r w:rsidRPr="0048563F">
              <w:rPr>
                <w:rFonts w:eastAsia="Arial Unicode MS" w:cs="Arial" w:hint="eastAsia"/>
                <w:color w:val="7A7B7C"/>
                <w:sz w:val="14"/>
                <w:szCs w:val="14"/>
                <w:lang w:eastAsia="en-AU"/>
              </w:rPr>
              <w:t>¹⁷</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¹⁸</w:t>
            </w:r>
          </w:p>
        </w:tc>
        <w:tc>
          <w:tcPr>
            <w:tcW w:w="250" w:type="pct"/>
            <w:shd w:val="clear" w:color="auto" w:fill="D5ECF5"/>
            <w:vAlign w:val="center"/>
          </w:tcPr>
          <w:p w14:paraId="7418BD3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3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4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4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4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4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4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4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4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4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0.021</w:t>
            </w:r>
          </w:p>
        </w:tc>
        <w:tc>
          <w:tcPr>
            <w:tcW w:w="250" w:type="pct"/>
            <w:shd w:val="clear" w:color="auto" w:fill="D5ECF5"/>
            <w:vAlign w:val="center"/>
          </w:tcPr>
          <w:p w14:paraId="7418BD4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0.017</w:t>
            </w:r>
          </w:p>
        </w:tc>
        <w:tc>
          <w:tcPr>
            <w:tcW w:w="250" w:type="pct"/>
            <w:shd w:val="clear" w:color="auto" w:fill="D5ECF5"/>
            <w:vAlign w:val="center"/>
          </w:tcPr>
          <w:p w14:paraId="7418BD4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0.018</w:t>
            </w:r>
          </w:p>
        </w:tc>
        <w:tc>
          <w:tcPr>
            <w:tcW w:w="231" w:type="pct"/>
            <w:shd w:val="clear" w:color="auto" w:fill="D5ECF5"/>
            <w:vAlign w:val="center"/>
          </w:tcPr>
          <w:p w14:paraId="7418BD4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0.023</w:t>
            </w:r>
          </w:p>
        </w:tc>
        <w:tc>
          <w:tcPr>
            <w:tcW w:w="225" w:type="pct"/>
            <w:shd w:val="clear" w:color="auto" w:fill="D5ECF5"/>
            <w:vAlign w:val="center"/>
          </w:tcPr>
          <w:p w14:paraId="7418BD4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D5C" w14:textId="77777777" w:rsidTr="004A31A9">
        <w:trPr>
          <w:trHeight w:val="283"/>
        </w:trPr>
        <w:tc>
          <w:tcPr>
            <w:tcW w:w="1544" w:type="pct"/>
            <w:shd w:val="clear" w:color="auto" w:fill="E4F3F9"/>
            <w:vAlign w:val="center"/>
          </w:tcPr>
          <w:p w14:paraId="7418BD4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Early stage venture capital investment, % of GDP</w:t>
            </w:r>
            <w:r w:rsidRPr="0048563F">
              <w:rPr>
                <w:rFonts w:eastAsia="Arial Unicode MS" w:cs="Arial" w:hint="eastAsia"/>
                <w:color w:val="7A7B7C"/>
                <w:sz w:val="14"/>
                <w:szCs w:val="14"/>
                <w:lang w:eastAsia="en-AU"/>
              </w:rPr>
              <w:t>¹⁷</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¹⁸</w:t>
            </w:r>
          </w:p>
        </w:tc>
        <w:tc>
          <w:tcPr>
            <w:tcW w:w="250" w:type="pct"/>
            <w:shd w:val="clear" w:color="auto" w:fill="E4F3F9"/>
            <w:vAlign w:val="center"/>
          </w:tcPr>
          <w:p w14:paraId="7418BD4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4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5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5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5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5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5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5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5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5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0.009</w:t>
            </w:r>
          </w:p>
        </w:tc>
        <w:tc>
          <w:tcPr>
            <w:tcW w:w="250" w:type="pct"/>
            <w:shd w:val="clear" w:color="auto" w:fill="E4F3F9"/>
            <w:vAlign w:val="center"/>
          </w:tcPr>
          <w:p w14:paraId="7418BD5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0.009</w:t>
            </w:r>
          </w:p>
        </w:tc>
        <w:tc>
          <w:tcPr>
            <w:tcW w:w="250" w:type="pct"/>
            <w:shd w:val="clear" w:color="auto" w:fill="E4F3F9"/>
            <w:vAlign w:val="center"/>
          </w:tcPr>
          <w:p w14:paraId="7418BD5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0.007</w:t>
            </w:r>
          </w:p>
        </w:tc>
        <w:tc>
          <w:tcPr>
            <w:tcW w:w="231" w:type="pct"/>
            <w:shd w:val="clear" w:color="auto" w:fill="E4F3F9"/>
            <w:vAlign w:val="center"/>
          </w:tcPr>
          <w:p w14:paraId="7418BD5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0.010</w:t>
            </w:r>
          </w:p>
        </w:tc>
        <w:tc>
          <w:tcPr>
            <w:tcW w:w="225" w:type="pct"/>
            <w:shd w:val="clear" w:color="auto" w:fill="E4F3F9"/>
            <w:vAlign w:val="center"/>
          </w:tcPr>
          <w:p w14:paraId="7418BD5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D6C" w14:textId="77777777" w:rsidTr="004A31A9">
        <w:trPr>
          <w:trHeight w:val="283"/>
        </w:trPr>
        <w:tc>
          <w:tcPr>
            <w:tcW w:w="1544" w:type="pct"/>
            <w:shd w:val="clear" w:color="auto" w:fill="D5ECF5"/>
            <w:vAlign w:val="center"/>
          </w:tcPr>
          <w:p w14:paraId="7418BD5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Later Stage Private Equity investment, % of GDP</w:t>
            </w:r>
            <w:r w:rsidRPr="0048563F">
              <w:rPr>
                <w:rFonts w:eastAsia="Arial Unicode MS" w:cs="Arial" w:hint="eastAsia"/>
                <w:color w:val="7A7B7C"/>
                <w:sz w:val="14"/>
                <w:szCs w:val="14"/>
                <w:lang w:eastAsia="en-AU"/>
              </w:rPr>
              <w:t>¹⁷</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¹⁸</w:t>
            </w:r>
          </w:p>
        </w:tc>
        <w:tc>
          <w:tcPr>
            <w:tcW w:w="250" w:type="pct"/>
            <w:shd w:val="clear" w:color="auto" w:fill="D5ECF5"/>
            <w:vAlign w:val="center"/>
          </w:tcPr>
          <w:p w14:paraId="7418BD5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5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6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6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6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6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6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6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6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6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0.012</w:t>
            </w:r>
          </w:p>
        </w:tc>
        <w:tc>
          <w:tcPr>
            <w:tcW w:w="250" w:type="pct"/>
            <w:shd w:val="clear" w:color="auto" w:fill="D5ECF5"/>
            <w:vAlign w:val="center"/>
          </w:tcPr>
          <w:p w14:paraId="7418BD6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0.007</w:t>
            </w:r>
          </w:p>
        </w:tc>
        <w:tc>
          <w:tcPr>
            <w:tcW w:w="250" w:type="pct"/>
            <w:shd w:val="clear" w:color="auto" w:fill="D5ECF5"/>
            <w:vAlign w:val="center"/>
          </w:tcPr>
          <w:p w14:paraId="7418BD6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0.011</w:t>
            </w:r>
          </w:p>
        </w:tc>
        <w:tc>
          <w:tcPr>
            <w:tcW w:w="231" w:type="pct"/>
            <w:shd w:val="clear" w:color="auto" w:fill="D5ECF5"/>
            <w:vAlign w:val="center"/>
          </w:tcPr>
          <w:p w14:paraId="7418BD6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0.014</w:t>
            </w:r>
          </w:p>
        </w:tc>
        <w:tc>
          <w:tcPr>
            <w:tcW w:w="225" w:type="pct"/>
            <w:shd w:val="clear" w:color="auto" w:fill="D5ECF5"/>
            <w:vAlign w:val="center"/>
          </w:tcPr>
          <w:p w14:paraId="7418BD6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D7C" w14:textId="77777777" w:rsidTr="004A31A9">
        <w:trPr>
          <w:trHeight w:val="283"/>
        </w:trPr>
        <w:tc>
          <w:tcPr>
            <w:tcW w:w="1544" w:type="pct"/>
            <w:shd w:val="clear" w:color="auto" w:fill="E4F3F9"/>
            <w:vAlign w:val="center"/>
          </w:tcPr>
          <w:p w14:paraId="7418BD6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Market capitalization of listed companies, % of GDP</w:t>
            </w:r>
            <w:r w:rsidRPr="0048563F">
              <w:rPr>
                <w:rFonts w:eastAsia="Arial Unicode MS" w:cs="Arial" w:hint="eastAsia"/>
                <w:color w:val="7A7B7C"/>
                <w:sz w:val="14"/>
                <w:szCs w:val="14"/>
                <w:lang w:eastAsia="en-AU"/>
              </w:rPr>
              <w:t>¹⁹</w:t>
            </w:r>
          </w:p>
        </w:tc>
        <w:tc>
          <w:tcPr>
            <w:tcW w:w="250" w:type="pct"/>
            <w:shd w:val="clear" w:color="auto" w:fill="E4F3F9"/>
            <w:vAlign w:val="center"/>
          </w:tcPr>
          <w:p w14:paraId="7418BD6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66.6</w:t>
            </w:r>
          </w:p>
        </w:tc>
        <w:tc>
          <w:tcPr>
            <w:tcW w:w="250" w:type="pct"/>
            <w:shd w:val="clear" w:color="auto" w:fill="E4F3F9"/>
            <w:vAlign w:val="center"/>
          </w:tcPr>
          <w:p w14:paraId="7418BD6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89.8</w:t>
            </w:r>
          </w:p>
        </w:tc>
        <w:tc>
          <w:tcPr>
            <w:tcW w:w="250" w:type="pct"/>
            <w:shd w:val="clear" w:color="auto" w:fill="E4F3F9"/>
            <w:vAlign w:val="center"/>
          </w:tcPr>
          <w:p w14:paraId="7418BD7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116.0</w:t>
            </w:r>
          </w:p>
        </w:tc>
        <w:tc>
          <w:tcPr>
            <w:tcW w:w="250" w:type="pct"/>
            <w:shd w:val="clear" w:color="auto" w:fill="E4F3F9"/>
            <w:vAlign w:val="center"/>
          </w:tcPr>
          <w:p w14:paraId="7418BD7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147.0</w:t>
            </w:r>
          </w:p>
        </w:tc>
        <w:tc>
          <w:tcPr>
            <w:tcW w:w="250" w:type="pct"/>
            <w:shd w:val="clear" w:color="auto" w:fill="E4F3F9"/>
            <w:vAlign w:val="center"/>
          </w:tcPr>
          <w:p w14:paraId="7418BD7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152.0</w:t>
            </w:r>
          </w:p>
        </w:tc>
        <w:tc>
          <w:tcPr>
            <w:tcW w:w="250" w:type="pct"/>
            <w:shd w:val="clear" w:color="auto" w:fill="E4F3F9"/>
            <w:vAlign w:val="center"/>
          </w:tcPr>
          <w:p w14:paraId="7418BD7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64.8</w:t>
            </w:r>
          </w:p>
        </w:tc>
        <w:tc>
          <w:tcPr>
            <w:tcW w:w="250" w:type="pct"/>
            <w:shd w:val="clear" w:color="auto" w:fill="E4F3F9"/>
            <w:vAlign w:val="center"/>
          </w:tcPr>
          <w:p w14:paraId="7418BD7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136.0</w:t>
            </w:r>
          </w:p>
        </w:tc>
        <w:tc>
          <w:tcPr>
            <w:tcW w:w="250" w:type="pct"/>
            <w:shd w:val="clear" w:color="auto" w:fill="E4F3F9"/>
            <w:vAlign w:val="center"/>
          </w:tcPr>
          <w:p w14:paraId="7418BD7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127.0</w:t>
            </w:r>
          </w:p>
        </w:tc>
        <w:tc>
          <w:tcPr>
            <w:tcW w:w="250" w:type="pct"/>
            <w:shd w:val="clear" w:color="auto" w:fill="E4F3F9"/>
            <w:vAlign w:val="center"/>
          </w:tcPr>
          <w:p w14:paraId="7418BD7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86.2</w:t>
            </w:r>
          </w:p>
        </w:tc>
        <w:tc>
          <w:tcPr>
            <w:tcW w:w="250" w:type="pct"/>
            <w:shd w:val="clear" w:color="auto" w:fill="E4F3F9"/>
            <w:vAlign w:val="center"/>
          </w:tcPr>
          <w:p w14:paraId="7418BD7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90.2</w:t>
            </w:r>
          </w:p>
        </w:tc>
        <w:tc>
          <w:tcPr>
            <w:tcW w:w="250" w:type="pct"/>
            <w:shd w:val="clear" w:color="auto" w:fill="E4F3F9"/>
            <w:vAlign w:val="center"/>
          </w:tcPr>
          <w:p w14:paraId="7418BD7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87.3</w:t>
            </w:r>
          </w:p>
        </w:tc>
        <w:tc>
          <w:tcPr>
            <w:tcW w:w="250" w:type="pct"/>
            <w:shd w:val="clear" w:color="auto" w:fill="E4F3F9"/>
            <w:vAlign w:val="center"/>
          </w:tcPr>
          <w:p w14:paraId="7418BD7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88.6</w:t>
            </w:r>
          </w:p>
        </w:tc>
        <w:tc>
          <w:tcPr>
            <w:tcW w:w="231" w:type="pct"/>
            <w:shd w:val="clear" w:color="auto" w:fill="E4F3F9"/>
            <w:vAlign w:val="center"/>
          </w:tcPr>
          <w:p w14:paraId="7418BD7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88.6</w:t>
            </w:r>
          </w:p>
        </w:tc>
        <w:tc>
          <w:tcPr>
            <w:tcW w:w="225" w:type="pct"/>
            <w:shd w:val="clear" w:color="auto" w:fill="E4F3F9"/>
            <w:vAlign w:val="center"/>
          </w:tcPr>
          <w:p w14:paraId="7418BD7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D8C" w14:textId="77777777" w:rsidTr="004A31A9">
        <w:trPr>
          <w:trHeight w:val="283"/>
        </w:trPr>
        <w:tc>
          <w:tcPr>
            <w:tcW w:w="1544" w:type="pct"/>
            <w:shd w:val="clear" w:color="auto" w:fill="D5ECF5"/>
            <w:vAlign w:val="center"/>
          </w:tcPr>
          <w:p w14:paraId="7418BD7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Stocks traded, total value, billion, current US$</w:t>
            </w:r>
            <w:r w:rsidRPr="0048563F">
              <w:rPr>
                <w:rFonts w:eastAsia="Arial Unicode MS" w:cs="Arial" w:hint="eastAsia"/>
                <w:color w:val="7A7B7C"/>
                <w:sz w:val="14"/>
                <w:szCs w:val="14"/>
                <w:lang w:eastAsia="en-AU"/>
              </w:rPr>
              <w:t>¹⁹</w:t>
            </w:r>
          </w:p>
        </w:tc>
        <w:tc>
          <w:tcPr>
            <w:tcW w:w="250" w:type="pct"/>
            <w:shd w:val="clear" w:color="auto" w:fill="D5ECF5"/>
            <w:vAlign w:val="center"/>
          </w:tcPr>
          <w:p w14:paraId="7418BD7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98</w:t>
            </w:r>
          </w:p>
        </w:tc>
        <w:tc>
          <w:tcPr>
            <w:tcW w:w="250" w:type="pct"/>
            <w:shd w:val="clear" w:color="auto" w:fill="D5ECF5"/>
            <w:vAlign w:val="center"/>
          </w:tcPr>
          <w:p w14:paraId="7418BD7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213</w:t>
            </w:r>
          </w:p>
        </w:tc>
        <w:tc>
          <w:tcPr>
            <w:tcW w:w="250" w:type="pct"/>
            <w:shd w:val="clear" w:color="auto" w:fill="D5ECF5"/>
            <w:vAlign w:val="center"/>
          </w:tcPr>
          <w:p w14:paraId="7418BD8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613</w:t>
            </w:r>
          </w:p>
        </w:tc>
        <w:tc>
          <w:tcPr>
            <w:tcW w:w="250" w:type="pct"/>
            <w:shd w:val="clear" w:color="auto" w:fill="D5ECF5"/>
            <w:vAlign w:val="center"/>
          </w:tcPr>
          <w:p w14:paraId="7418BD8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859</w:t>
            </w:r>
          </w:p>
        </w:tc>
        <w:tc>
          <w:tcPr>
            <w:tcW w:w="250" w:type="pct"/>
            <w:shd w:val="clear" w:color="auto" w:fill="D5ECF5"/>
            <w:vAlign w:val="center"/>
          </w:tcPr>
          <w:p w14:paraId="7418BD8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1,370</w:t>
            </w:r>
          </w:p>
        </w:tc>
        <w:tc>
          <w:tcPr>
            <w:tcW w:w="250" w:type="pct"/>
            <w:shd w:val="clear" w:color="auto" w:fill="D5ECF5"/>
            <w:vAlign w:val="center"/>
          </w:tcPr>
          <w:p w14:paraId="7418BD8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840</w:t>
            </w:r>
          </w:p>
        </w:tc>
        <w:tc>
          <w:tcPr>
            <w:tcW w:w="250" w:type="pct"/>
            <w:shd w:val="clear" w:color="auto" w:fill="D5ECF5"/>
            <w:vAlign w:val="center"/>
          </w:tcPr>
          <w:p w14:paraId="7418BD8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841</w:t>
            </w:r>
          </w:p>
        </w:tc>
        <w:tc>
          <w:tcPr>
            <w:tcW w:w="250" w:type="pct"/>
            <w:shd w:val="clear" w:color="auto" w:fill="D5ECF5"/>
            <w:vAlign w:val="center"/>
          </w:tcPr>
          <w:p w14:paraId="7418BD8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1,130</w:t>
            </w:r>
          </w:p>
        </w:tc>
        <w:tc>
          <w:tcPr>
            <w:tcW w:w="250" w:type="pct"/>
            <w:shd w:val="clear" w:color="auto" w:fill="D5ECF5"/>
            <w:vAlign w:val="center"/>
          </w:tcPr>
          <w:p w14:paraId="7418BD8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1,130</w:t>
            </w:r>
          </w:p>
        </w:tc>
        <w:tc>
          <w:tcPr>
            <w:tcW w:w="250" w:type="pct"/>
            <w:shd w:val="clear" w:color="auto" w:fill="D5ECF5"/>
            <w:vAlign w:val="center"/>
          </w:tcPr>
          <w:p w14:paraId="7418BD8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906</w:t>
            </w:r>
          </w:p>
        </w:tc>
        <w:tc>
          <w:tcPr>
            <w:tcW w:w="250" w:type="pct"/>
            <w:shd w:val="clear" w:color="auto" w:fill="D5ECF5"/>
            <w:vAlign w:val="center"/>
          </w:tcPr>
          <w:p w14:paraId="7418BD8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788</w:t>
            </w:r>
          </w:p>
        </w:tc>
        <w:tc>
          <w:tcPr>
            <w:tcW w:w="250" w:type="pct"/>
            <w:shd w:val="clear" w:color="auto" w:fill="D5ECF5"/>
            <w:vAlign w:val="center"/>
          </w:tcPr>
          <w:p w14:paraId="7418BD8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703</w:t>
            </w:r>
          </w:p>
        </w:tc>
        <w:tc>
          <w:tcPr>
            <w:tcW w:w="231" w:type="pct"/>
            <w:shd w:val="clear" w:color="auto" w:fill="D5ECF5"/>
            <w:vAlign w:val="center"/>
          </w:tcPr>
          <w:p w14:paraId="7418BD8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751</w:t>
            </w:r>
          </w:p>
        </w:tc>
        <w:tc>
          <w:tcPr>
            <w:tcW w:w="225" w:type="pct"/>
            <w:shd w:val="clear" w:color="auto" w:fill="D5ECF5"/>
            <w:vAlign w:val="center"/>
          </w:tcPr>
          <w:p w14:paraId="7418BD8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D9C" w14:textId="77777777" w:rsidTr="004A31A9">
        <w:trPr>
          <w:trHeight w:val="283"/>
        </w:trPr>
        <w:tc>
          <w:tcPr>
            <w:tcW w:w="1544" w:type="pct"/>
            <w:shd w:val="clear" w:color="auto" w:fill="E4F3F9"/>
            <w:vAlign w:val="center"/>
          </w:tcPr>
          <w:p w14:paraId="7418BD8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Stocks traded, total value, % of GDP</w:t>
            </w:r>
            <w:r w:rsidRPr="0048563F">
              <w:rPr>
                <w:rFonts w:eastAsia="Arial Unicode MS" w:cs="Arial" w:hint="eastAsia"/>
                <w:color w:val="7A7B7C"/>
                <w:sz w:val="14"/>
                <w:szCs w:val="14"/>
                <w:lang w:eastAsia="en-AU"/>
              </w:rPr>
              <w:t>¹⁹</w:t>
            </w:r>
          </w:p>
        </w:tc>
        <w:tc>
          <w:tcPr>
            <w:tcW w:w="250" w:type="pct"/>
            <w:shd w:val="clear" w:color="auto" w:fill="E4F3F9"/>
            <w:vAlign w:val="center"/>
          </w:tcPr>
          <w:p w14:paraId="7418BD8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26.7</w:t>
            </w:r>
          </w:p>
        </w:tc>
        <w:tc>
          <w:tcPr>
            <w:tcW w:w="250" w:type="pct"/>
            <w:shd w:val="clear" w:color="auto" w:fill="E4F3F9"/>
            <w:vAlign w:val="center"/>
          </w:tcPr>
          <w:p w14:paraId="7418BD8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51.4</w:t>
            </w:r>
          </w:p>
        </w:tc>
        <w:tc>
          <w:tcPr>
            <w:tcW w:w="250" w:type="pct"/>
            <w:shd w:val="clear" w:color="auto" w:fill="E4F3F9"/>
            <w:vAlign w:val="center"/>
          </w:tcPr>
          <w:p w14:paraId="7418BD9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88.4</w:t>
            </w:r>
          </w:p>
        </w:tc>
        <w:tc>
          <w:tcPr>
            <w:tcW w:w="250" w:type="pct"/>
            <w:shd w:val="clear" w:color="auto" w:fill="E4F3F9"/>
            <w:vAlign w:val="center"/>
          </w:tcPr>
          <w:p w14:paraId="7418BD9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115.0</w:t>
            </w:r>
          </w:p>
        </w:tc>
        <w:tc>
          <w:tcPr>
            <w:tcW w:w="250" w:type="pct"/>
            <w:shd w:val="clear" w:color="auto" w:fill="E4F3F9"/>
            <w:vAlign w:val="center"/>
          </w:tcPr>
          <w:p w14:paraId="7418BD9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161.0</w:t>
            </w:r>
          </w:p>
        </w:tc>
        <w:tc>
          <w:tcPr>
            <w:tcW w:w="250" w:type="pct"/>
            <w:shd w:val="clear" w:color="auto" w:fill="E4F3F9"/>
            <w:vAlign w:val="center"/>
          </w:tcPr>
          <w:p w14:paraId="7418BD9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79.6</w:t>
            </w:r>
          </w:p>
        </w:tc>
        <w:tc>
          <w:tcPr>
            <w:tcW w:w="250" w:type="pct"/>
            <w:shd w:val="clear" w:color="auto" w:fill="E4F3F9"/>
            <w:vAlign w:val="center"/>
          </w:tcPr>
          <w:p w14:paraId="7418BD9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90.8</w:t>
            </w:r>
          </w:p>
        </w:tc>
        <w:tc>
          <w:tcPr>
            <w:tcW w:w="250" w:type="pct"/>
            <w:shd w:val="clear" w:color="auto" w:fill="E4F3F9"/>
            <w:vAlign w:val="center"/>
          </w:tcPr>
          <w:p w14:paraId="7418BD9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99.0</w:t>
            </w:r>
          </w:p>
        </w:tc>
        <w:tc>
          <w:tcPr>
            <w:tcW w:w="250" w:type="pct"/>
            <w:shd w:val="clear" w:color="auto" w:fill="E4F3F9"/>
            <w:vAlign w:val="center"/>
          </w:tcPr>
          <w:p w14:paraId="7418BD9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81.2</w:t>
            </w:r>
          </w:p>
        </w:tc>
        <w:tc>
          <w:tcPr>
            <w:tcW w:w="250" w:type="pct"/>
            <w:shd w:val="clear" w:color="auto" w:fill="E4F3F9"/>
            <w:vAlign w:val="center"/>
          </w:tcPr>
          <w:p w14:paraId="7418BD9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58.9</w:t>
            </w:r>
          </w:p>
        </w:tc>
        <w:tc>
          <w:tcPr>
            <w:tcW w:w="250" w:type="pct"/>
            <w:shd w:val="clear" w:color="auto" w:fill="E4F3F9"/>
            <w:vAlign w:val="center"/>
          </w:tcPr>
          <w:p w14:paraId="7418BD9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50.4</w:t>
            </w:r>
          </w:p>
        </w:tc>
        <w:tc>
          <w:tcPr>
            <w:tcW w:w="250" w:type="pct"/>
            <w:shd w:val="clear" w:color="auto" w:fill="E4F3F9"/>
            <w:vAlign w:val="center"/>
          </w:tcPr>
          <w:p w14:paraId="7418BD9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48.4</w:t>
            </w:r>
          </w:p>
        </w:tc>
        <w:tc>
          <w:tcPr>
            <w:tcW w:w="231" w:type="pct"/>
            <w:shd w:val="clear" w:color="auto" w:fill="E4F3F9"/>
            <w:vAlign w:val="center"/>
          </w:tcPr>
          <w:p w14:paraId="7418BD9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56.0</w:t>
            </w:r>
          </w:p>
        </w:tc>
        <w:tc>
          <w:tcPr>
            <w:tcW w:w="225" w:type="pct"/>
            <w:shd w:val="clear" w:color="auto" w:fill="E4F3F9"/>
            <w:vAlign w:val="center"/>
          </w:tcPr>
          <w:p w14:paraId="7418BD9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DAC" w14:textId="77777777" w:rsidTr="004A31A9">
        <w:trPr>
          <w:trHeight w:val="283"/>
        </w:trPr>
        <w:tc>
          <w:tcPr>
            <w:tcW w:w="1544" w:type="pct"/>
            <w:shd w:val="clear" w:color="auto" w:fill="D5ECF5"/>
            <w:vAlign w:val="center"/>
          </w:tcPr>
          <w:p w14:paraId="7418BD9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Stocks traded, turnover ratio, %</w:t>
            </w:r>
            <w:r w:rsidRPr="0048563F">
              <w:rPr>
                <w:rFonts w:eastAsia="Arial Unicode MS" w:cs="Arial" w:hint="eastAsia"/>
                <w:color w:val="7A7B7C"/>
                <w:sz w:val="14"/>
                <w:szCs w:val="14"/>
                <w:lang w:eastAsia="en-AU"/>
              </w:rPr>
              <w:t>¹⁹</w:t>
            </w:r>
          </w:p>
        </w:tc>
        <w:tc>
          <w:tcPr>
            <w:tcW w:w="250" w:type="pct"/>
            <w:shd w:val="clear" w:color="auto" w:fill="D5ECF5"/>
            <w:vAlign w:val="center"/>
          </w:tcPr>
          <w:p w14:paraId="7418BD9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40.0</w:t>
            </w:r>
          </w:p>
        </w:tc>
        <w:tc>
          <w:tcPr>
            <w:tcW w:w="250" w:type="pct"/>
            <w:shd w:val="clear" w:color="auto" w:fill="D5ECF5"/>
            <w:vAlign w:val="center"/>
          </w:tcPr>
          <w:p w14:paraId="7418BD9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57.2</w:t>
            </w:r>
          </w:p>
        </w:tc>
        <w:tc>
          <w:tcPr>
            <w:tcW w:w="250" w:type="pct"/>
            <w:shd w:val="clear" w:color="auto" w:fill="D5ECF5"/>
            <w:vAlign w:val="center"/>
          </w:tcPr>
          <w:p w14:paraId="7418BDA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76.2</w:t>
            </w:r>
          </w:p>
        </w:tc>
        <w:tc>
          <w:tcPr>
            <w:tcW w:w="250" w:type="pct"/>
            <w:shd w:val="clear" w:color="auto" w:fill="D5ECF5"/>
            <w:vAlign w:val="center"/>
          </w:tcPr>
          <w:p w14:paraId="7418BDA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78.4</w:t>
            </w:r>
          </w:p>
        </w:tc>
        <w:tc>
          <w:tcPr>
            <w:tcW w:w="250" w:type="pct"/>
            <w:shd w:val="clear" w:color="auto" w:fill="D5ECF5"/>
            <w:vAlign w:val="center"/>
          </w:tcPr>
          <w:p w14:paraId="7418BDA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106.0</w:t>
            </w:r>
          </w:p>
        </w:tc>
        <w:tc>
          <w:tcPr>
            <w:tcW w:w="250" w:type="pct"/>
            <w:shd w:val="clear" w:color="auto" w:fill="D5ECF5"/>
            <w:vAlign w:val="center"/>
          </w:tcPr>
          <w:p w14:paraId="7418BDA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123.0</w:t>
            </w:r>
          </w:p>
        </w:tc>
        <w:tc>
          <w:tcPr>
            <w:tcW w:w="250" w:type="pct"/>
            <w:shd w:val="clear" w:color="auto" w:fill="D5ECF5"/>
            <w:vAlign w:val="center"/>
          </w:tcPr>
          <w:p w14:paraId="7418BDA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66.7</w:t>
            </w:r>
          </w:p>
        </w:tc>
        <w:tc>
          <w:tcPr>
            <w:tcW w:w="250" w:type="pct"/>
            <w:shd w:val="clear" w:color="auto" w:fill="D5ECF5"/>
            <w:vAlign w:val="center"/>
          </w:tcPr>
          <w:p w14:paraId="7418BDA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77.8</w:t>
            </w:r>
          </w:p>
        </w:tc>
        <w:tc>
          <w:tcPr>
            <w:tcW w:w="250" w:type="pct"/>
            <w:shd w:val="clear" w:color="auto" w:fill="D5ECF5"/>
            <w:vAlign w:val="center"/>
          </w:tcPr>
          <w:p w14:paraId="7418BDA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94.2</w:t>
            </w:r>
          </w:p>
        </w:tc>
        <w:tc>
          <w:tcPr>
            <w:tcW w:w="250" w:type="pct"/>
            <w:shd w:val="clear" w:color="auto" w:fill="D5ECF5"/>
            <w:vAlign w:val="center"/>
          </w:tcPr>
          <w:p w14:paraId="7418BDA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65.3</w:t>
            </w:r>
          </w:p>
        </w:tc>
        <w:tc>
          <w:tcPr>
            <w:tcW w:w="250" w:type="pct"/>
            <w:shd w:val="clear" w:color="auto" w:fill="D5ECF5"/>
            <w:vAlign w:val="center"/>
          </w:tcPr>
          <w:p w14:paraId="7418BDA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57.7</w:t>
            </w:r>
          </w:p>
        </w:tc>
        <w:tc>
          <w:tcPr>
            <w:tcW w:w="250" w:type="pct"/>
            <w:shd w:val="clear" w:color="auto" w:fill="D5ECF5"/>
            <w:vAlign w:val="center"/>
          </w:tcPr>
          <w:p w14:paraId="7418BDA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54.6</w:t>
            </w:r>
          </w:p>
        </w:tc>
        <w:tc>
          <w:tcPr>
            <w:tcW w:w="231" w:type="pct"/>
            <w:shd w:val="clear" w:color="auto" w:fill="D5ECF5"/>
            <w:vAlign w:val="center"/>
          </w:tcPr>
          <w:p w14:paraId="7418BDA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63.2</w:t>
            </w:r>
          </w:p>
        </w:tc>
        <w:tc>
          <w:tcPr>
            <w:tcW w:w="225" w:type="pct"/>
            <w:shd w:val="clear" w:color="auto" w:fill="D5ECF5"/>
            <w:vAlign w:val="center"/>
          </w:tcPr>
          <w:p w14:paraId="7418BDA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DBC" w14:textId="77777777" w:rsidTr="004A31A9">
        <w:trPr>
          <w:trHeight w:val="283"/>
        </w:trPr>
        <w:tc>
          <w:tcPr>
            <w:tcW w:w="1544" w:type="pct"/>
            <w:shd w:val="clear" w:color="auto" w:fill="E4F3F9"/>
            <w:vAlign w:val="center"/>
          </w:tcPr>
          <w:p w14:paraId="7418BDA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Government procurement of advanced tech products, score ranges from 1-7 (best)</w:t>
            </w:r>
            <w:r w:rsidRPr="0048563F">
              <w:rPr>
                <w:rFonts w:eastAsia="Arial Unicode MS" w:cs="Arial" w:hint="eastAsia"/>
                <w:color w:val="7A7B7C"/>
                <w:sz w:val="14"/>
                <w:szCs w:val="14"/>
                <w:lang w:eastAsia="en-AU"/>
              </w:rPr>
              <w:t>¹⁵</w:t>
            </w:r>
          </w:p>
        </w:tc>
        <w:tc>
          <w:tcPr>
            <w:tcW w:w="250" w:type="pct"/>
            <w:shd w:val="clear" w:color="auto" w:fill="E4F3F9"/>
            <w:vAlign w:val="center"/>
          </w:tcPr>
          <w:p w14:paraId="7418BDA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A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B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B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4.0</w:t>
            </w:r>
          </w:p>
        </w:tc>
        <w:tc>
          <w:tcPr>
            <w:tcW w:w="250" w:type="pct"/>
            <w:shd w:val="clear" w:color="auto" w:fill="E4F3F9"/>
            <w:vAlign w:val="center"/>
          </w:tcPr>
          <w:p w14:paraId="7418BDB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4.2</w:t>
            </w:r>
          </w:p>
        </w:tc>
        <w:tc>
          <w:tcPr>
            <w:tcW w:w="250" w:type="pct"/>
            <w:shd w:val="clear" w:color="auto" w:fill="E4F3F9"/>
            <w:vAlign w:val="center"/>
          </w:tcPr>
          <w:p w14:paraId="7418BDB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4.1</w:t>
            </w:r>
          </w:p>
        </w:tc>
        <w:tc>
          <w:tcPr>
            <w:tcW w:w="250" w:type="pct"/>
            <w:shd w:val="clear" w:color="auto" w:fill="E4F3F9"/>
            <w:vAlign w:val="center"/>
          </w:tcPr>
          <w:p w14:paraId="7418BDB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4.0</w:t>
            </w:r>
          </w:p>
        </w:tc>
        <w:tc>
          <w:tcPr>
            <w:tcW w:w="250" w:type="pct"/>
            <w:shd w:val="clear" w:color="auto" w:fill="E4F3F9"/>
            <w:vAlign w:val="center"/>
          </w:tcPr>
          <w:p w14:paraId="7418BDB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4.1</w:t>
            </w:r>
          </w:p>
        </w:tc>
        <w:tc>
          <w:tcPr>
            <w:tcW w:w="250" w:type="pct"/>
            <w:shd w:val="clear" w:color="auto" w:fill="E4F3F9"/>
            <w:vAlign w:val="center"/>
          </w:tcPr>
          <w:p w14:paraId="7418BDB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3.9</w:t>
            </w:r>
          </w:p>
        </w:tc>
        <w:tc>
          <w:tcPr>
            <w:tcW w:w="250" w:type="pct"/>
            <w:shd w:val="clear" w:color="auto" w:fill="E4F3F9"/>
            <w:vAlign w:val="center"/>
          </w:tcPr>
          <w:p w14:paraId="7418BDB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3.7</w:t>
            </w:r>
          </w:p>
        </w:tc>
        <w:tc>
          <w:tcPr>
            <w:tcW w:w="250" w:type="pct"/>
            <w:shd w:val="clear" w:color="auto" w:fill="E4F3F9"/>
            <w:vAlign w:val="center"/>
          </w:tcPr>
          <w:p w14:paraId="7418BDB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3.6</w:t>
            </w:r>
          </w:p>
        </w:tc>
        <w:tc>
          <w:tcPr>
            <w:tcW w:w="250" w:type="pct"/>
            <w:shd w:val="clear" w:color="auto" w:fill="E4F3F9"/>
            <w:vAlign w:val="center"/>
          </w:tcPr>
          <w:p w14:paraId="7418BDB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3.4</w:t>
            </w:r>
          </w:p>
        </w:tc>
        <w:tc>
          <w:tcPr>
            <w:tcW w:w="231" w:type="pct"/>
            <w:shd w:val="clear" w:color="auto" w:fill="E4F3F9"/>
            <w:vAlign w:val="center"/>
          </w:tcPr>
          <w:p w14:paraId="7418BDB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3.3</w:t>
            </w:r>
          </w:p>
        </w:tc>
        <w:tc>
          <w:tcPr>
            <w:tcW w:w="225" w:type="pct"/>
            <w:shd w:val="clear" w:color="auto" w:fill="E4F3F9"/>
            <w:vAlign w:val="center"/>
          </w:tcPr>
          <w:p w14:paraId="7418BDB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3.3</w:t>
            </w:r>
          </w:p>
        </w:tc>
      </w:tr>
      <w:tr w:rsidR="00D471AD" w:rsidRPr="0048563F" w14:paraId="7418BDCC" w14:textId="77777777" w:rsidTr="004A31A9">
        <w:trPr>
          <w:trHeight w:val="283"/>
        </w:trPr>
        <w:tc>
          <w:tcPr>
            <w:tcW w:w="1544" w:type="pct"/>
            <w:shd w:val="clear" w:color="auto" w:fill="D5ECF5"/>
            <w:vAlign w:val="center"/>
          </w:tcPr>
          <w:p w14:paraId="7418BDB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Firm-level technology absorption, score ranges from 1-7 (best)</w:t>
            </w:r>
            <w:r w:rsidRPr="0048563F">
              <w:rPr>
                <w:rFonts w:eastAsia="Arial Unicode MS" w:cs="Arial" w:hint="eastAsia"/>
                <w:color w:val="7A7B7C"/>
                <w:sz w:val="14"/>
                <w:szCs w:val="14"/>
                <w:lang w:eastAsia="en-AU"/>
              </w:rPr>
              <w:t>¹⁵</w:t>
            </w:r>
          </w:p>
        </w:tc>
        <w:tc>
          <w:tcPr>
            <w:tcW w:w="250" w:type="pct"/>
            <w:shd w:val="clear" w:color="auto" w:fill="D5ECF5"/>
            <w:vAlign w:val="center"/>
          </w:tcPr>
          <w:p w14:paraId="7418BDB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B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C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C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5.5</w:t>
            </w:r>
          </w:p>
        </w:tc>
        <w:tc>
          <w:tcPr>
            <w:tcW w:w="250" w:type="pct"/>
            <w:shd w:val="clear" w:color="auto" w:fill="D5ECF5"/>
            <w:vAlign w:val="center"/>
          </w:tcPr>
          <w:p w14:paraId="7418BDC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5.7</w:t>
            </w:r>
          </w:p>
        </w:tc>
        <w:tc>
          <w:tcPr>
            <w:tcW w:w="250" w:type="pct"/>
            <w:shd w:val="clear" w:color="auto" w:fill="D5ECF5"/>
            <w:vAlign w:val="center"/>
          </w:tcPr>
          <w:p w14:paraId="7418BDC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5.8</w:t>
            </w:r>
          </w:p>
        </w:tc>
        <w:tc>
          <w:tcPr>
            <w:tcW w:w="250" w:type="pct"/>
            <w:shd w:val="clear" w:color="auto" w:fill="D5ECF5"/>
            <w:vAlign w:val="center"/>
          </w:tcPr>
          <w:p w14:paraId="7418BDC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5.9</w:t>
            </w:r>
          </w:p>
        </w:tc>
        <w:tc>
          <w:tcPr>
            <w:tcW w:w="250" w:type="pct"/>
            <w:shd w:val="clear" w:color="auto" w:fill="D5ECF5"/>
            <w:vAlign w:val="center"/>
          </w:tcPr>
          <w:p w14:paraId="7418BDC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5.9</w:t>
            </w:r>
          </w:p>
        </w:tc>
        <w:tc>
          <w:tcPr>
            <w:tcW w:w="250" w:type="pct"/>
            <w:shd w:val="clear" w:color="auto" w:fill="D5ECF5"/>
            <w:vAlign w:val="center"/>
          </w:tcPr>
          <w:p w14:paraId="7418BDC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5.8</w:t>
            </w:r>
          </w:p>
        </w:tc>
        <w:tc>
          <w:tcPr>
            <w:tcW w:w="250" w:type="pct"/>
            <w:shd w:val="clear" w:color="auto" w:fill="D5ECF5"/>
            <w:vAlign w:val="center"/>
          </w:tcPr>
          <w:p w14:paraId="7418BDC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5.9</w:t>
            </w:r>
          </w:p>
        </w:tc>
        <w:tc>
          <w:tcPr>
            <w:tcW w:w="250" w:type="pct"/>
            <w:shd w:val="clear" w:color="auto" w:fill="D5ECF5"/>
            <w:vAlign w:val="center"/>
          </w:tcPr>
          <w:p w14:paraId="7418BDC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5.8</w:t>
            </w:r>
          </w:p>
        </w:tc>
        <w:tc>
          <w:tcPr>
            <w:tcW w:w="250" w:type="pct"/>
            <w:shd w:val="clear" w:color="auto" w:fill="D5ECF5"/>
            <w:vAlign w:val="center"/>
          </w:tcPr>
          <w:p w14:paraId="7418BDC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5.6</w:t>
            </w:r>
          </w:p>
        </w:tc>
        <w:tc>
          <w:tcPr>
            <w:tcW w:w="231" w:type="pct"/>
            <w:shd w:val="clear" w:color="auto" w:fill="D5ECF5"/>
            <w:vAlign w:val="center"/>
          </w:tcPr>
          <w:p w14:paraId="7418BDC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5.6</w:t>
            </w:r>
          </w:p>
        </w:tc>
        <w:tc>
          <w:tcPr>
            <w:tcW w:w="225" w:type="pct"/>
            <w:shd w:val="clear" w:color="auto" w:fill="D5ECF5"/>
            <w:vAlign w:val="center"/>
          </w:tcPr>
          <w:p w14:paraId="7418BDC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5.4</w:t>
            </w:r>
          </w:p>
        </w:tc>
      </w:tr>
      <w:tr w:rsidR="00D471AD" w:rsidRPr="0048563F" w14:paraId="7418BDDC" w14:textId="77777777" w:rsidTr="004A31A9">
        <w:trPr>
          <w:trHeight w:val="283"/>
        </w:trPr>
        <w:tc>
          <w:tcPr>
            <w:tcW w:w="1544" w:type="pct"/>
            <w:shd w:val="clear" w:color="auto" w:fill="E4F3F9"/>
            <w:vAlign w:val="center"/>
          </w:tcPr>
          <w:p w14:paraId="7418BDC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Entrepreneurial intentions, %</w:t>
            </w:r>
            <w:r w:rsidRPr="0048563F">
              <w:rPr>
                <w:rFonts w:eastAsia="Arial Unicode MS" w:cs="Arial" w:hint="eastAsia"/>
                <w:color w:val="7A7B7C"/>
                <w:sz w:val="14"/>
                <w:szCs w:val="14"/>
                <w:lang w:eastAsia="en-AU"/>
              </w:rPr>
              <w:t>²⁰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³⁴</w:t>
            </w:r>
          </w:p>
        </w:tc>
        <w:tc>
          <w:tcPr>
            <w:tcW w:w="250" w:type="pct"/>
            <w:shd w:val="clear" w:color="auto" w:fill="E4F3F9"/>
            <w:vAlign w:val="center"/>
          </w:tcPr>
          <w:p w14:paraId="7418BDC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C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7.8</w:t>
            </w:r>
          </w:p>
        </w:tc>
        <w:tc>
          <w:tcPr>
            <w:tcW w:w="250" w:type="pct"/>
            <w:shd w:val="clear" w:color="auto" w:fill="E4F3F9"/>
            <w:vAlign w:val="center"/>
          </w:tcPr>
          <w:p w14:paraId="7418BDD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12.0</w:t>
            </w:r>
          </w:p>
        </w:tc>
        <w:tc>
          <w:tcPr>
            <w:tcW w:w="250" w:type="pct"/>
            <w:shd w:val="clear" w:color="auto" w:fill="E4F3F9"/>
            <w:vAlign w:val="center"/>
          </w:tcPr>
          <w:p w14:paraId="7418BDD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10.6</w:t>
            </w:r>
          </w:p>
        </w:tc>
        <w:tc>
          <w:tcPr>
            <w:tcW w:w="250" w:type="pct"/>
            <w:shd w:val="clear" w:color="auto" w:fill="E4F3F9"/>
            <w:vAlign w:val="center"/>
          </w:tcPr>
          <w:p w14:paraId="7418BDD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D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D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D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8.7</w:t>
            </w:r>
          </w:p>
        </w:tc>
        <w:tc>
          <w:tcPr>
            <w:tcW w:w="250" w:type="pct"/>
            <w:shd w:val="clear" w:color="auto" w:fill="E4F3F9"/>
            <w:vAlign w:val="center"/>
          </w:tcPr>
          <w:p w14:paraId="7418BDD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12.3</w:t>
            </w:r>
          </w:p>
        </w:tc>
        <w:tc>
          <w:tcPr>
            <w:tcW w:w="250" w:type="pct"/>
            <w:shd w:val="clear" w:color="auto" w:fill="E4F3F9"/>
            <w:vAlign w:val="center"/>
          </w:tcPr>
          <w:p w14:paraId="7418BDD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D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DD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10.0</w:t>
            </w:r>
          </w:p>
        </w:tc>
        <w:tc>
          <w:tcPr>
            <w:tcW w:w="231" w:type="pct"/>
            <w:shd w:val="clear" w:color="auto" w:fill="E4F3F9"/>
            <w:vAlign w:val="center"/>
          </w:tcPr>
          <w:p w14:paraId="7418BDD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14.4</w:t>
            </w:r>
          </w:p>
        </w:tc>
        <w:tc>
          <w:tcPr>
            <w:tcW w:w="225" w:type="pct"/>
            <w:shd w:val="clear" w:color="auto" w:fill="E4F3F9"/>
            <w:vAlign w:val="center"/>
          </w:tcPr>
          <w:p w14:paraId="7418BDD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DEC" w14:textId="77777777" w:rsidTr="004A31A9">
        <w:trPr>
          <w:trHeight w:val="283"/>
        </w:trPr>
        <w:tc>
          <w:tcPr>
            <w:tcW w:w="1544" w:type="pct"/>
            <w:shd w:val="clear" w:color="auto" w:fill="D5ECF5"/>
            <w:vAlign w:val="center"/>
          </w:tcPr>
          <w:p w14:paraId="7418BDD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Buyer sophistication, score ranges from 1-7 (best)</w:t>
            </w:r>
            <w:r w:rsidRPr="0048563F">
              <w:rPr>
                <w:rFonts w:eastAsia="Arial Unicode MS" w:cs="Arial" w:hint="eastAsia"/>
                <w:color w:val="7A7B7C"/>
                <w:sz w:val="14"/>
                <w:szCs w:val="14"/>
                <w:lang w:eastAsia="en-AU"/>
              </w:rPr>
              <w:t>¹⁵</w:t>
            </w:r>
          </w:p>
        </w:tc>
        <w:tc>
          <w:tcPr>
            <w:tcW w:w="250" w:type="pct"/>
            <w:shd w:val="clear" w:color="auto" w:fill="D5ECF5"/>
            <w:vAlign w:val="center"/>
          </w:tcPr>
          <w:p w14:paraId="7418BDD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D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E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E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5.8</w:t>
            </w:r>
          </w:p>
        </w:tc>
        <w:tc>
          <w:tcPr>
            <w:tcW w:w="250" w:type="pct"/>
            <w:shd w:val="clear" w:color="auto" w:fill="D5ECF5"/>
            <w:vAlign w:val="center"/>
          </w:tcPr>
          <w:p w14:paraId="7418BDE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5.3</w:t>
            </w:r>
          </w:p>
        </w:tc>
        <w:tc>
          <w:tcPr>
            <w:tcW w:w="250" w:type="pct"/>
            <w:shd w:val="clear" w:color="auto" w:fill="D5ECF5"/>
            <w:vAlign w:val="center"/>
          </w:tcPr>
          <w:p w14:paraId="7418BDE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4.8</w:t>
            </w:r>
          </w:p>
        </w:tc>
        <w:tc>
          <w:tcPr>
            <w:tcW w:w="250" w:type="pct"/>
            <w:shd w:val="clear" w:color="auto" w:fill="D5ECF5"/>
            <w:vAlign w:val="center"/>
          </w:tcPr>
          <w:p w14:paraId="7418BDE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4.7</w:t>
            </w:r>
          </w:p>
        </w:tc>
        <w:tc>
          <w:tcPr>
            <w:tcW w:w="250" w:type="pct"/>
            <w:shd w:val="clear" w:color="auto" w:fill="D5ECF5"/>
            <w:vAlign w:val="center"/>
          </w:tcPr>
          <w:p w14:paraId="7418BDE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4.4</w:t>
            </w:r>
          </w:p>
        </w:tc>
        <w:tc>
          <w:tcPr>
            <w:tcW w:w="250" w:type="pct"/>
            <w:shd w:val="clear" w:color="auto" w:fill="D5ECF5"/>
            <w:vAlign w:val="center"/>
          </w:tcPr>
          <w:p w14:paraId="7418BDE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4.2</w:t>
            </w:r>
          </w:p>
        </w:tc>
        <w:tc>
          <w:tcPr>
            <w:tcW w:w="250" w:type="pct"/>
            <w:shd w:val="clear" w:color="auto" w:fill="D5ECF5"/>
            <w:vAlign w:val="center"/>
          </w:tcPr>
          <w:p w14:paraId="7418BDE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4.1</w:t>
            </w:r>
          </w:p>
        </w:tc>
        <w:tc>
          <w:tcPr>
            <w:tcW w:w="250" w:type="pct"/>
            <w:shd w:val="clear" w:color="auto" w:fill="D5ECF5"/>
            <w:vAlign w:val="center"/>
          </w:tcPr>
          <w:p w14:paraId="7418BDE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3.8</w:t>
            </w:r>
          </w:p>
        </w:tc>
        <w:tc>
          <w:tcPr>
            <w:tcW w:w="250" w:type="pct"/>
            <w:shd w:val="clear" w:color="auto" w:fill="D5ECF5"/>
            <w:vAlign w:val="center"/>
          </w:tcPr>
          <w:p w14:paraId="7418BDE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3.7</w:t>
            </w:r>
          </w:p>
        </w:tc>
        <w:tc>
          <w:tcPr>
            <w:tcW w:w="231" w:type="pct"/>
            <w:shd w:val="clear" w:color="auto" w:fill="D5ECF5"/>
            <w:vAlign w:val="center"/>
          </w:tcPr>
          <w:p w14:paraId="7418BDE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3.8</w:t>
            </w:r>
          </w:p>
        </w:tc>
        <w:tc>
          <w:tcPr>
            <w:tcW w:w="225" w:type="pct"/>
            <w:shd w:val="clear" w:color="auto" w:fill="D5ECF5"/>
            <w:vAlign w:val="center"/>
          </w:tcPr>
          <w:p w14:paraId="7418BDE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3.8</w:t>
            </w:r>
          </w:p>
        </w:tc>
      </w:tr>
      <w:tr w:rsidR="00D471AD" w:rsidRPr="0048563F" w14:paraId="7418BDFC" w14:textId="77777777" w:rsidTr="004A31A9">
        <w:trPr>
          <w:trHeight w:val="283"/>
        </w:trPr>
        <w:tc>
          <w:tcPr>
            <w:tcW w:w="1544" w:type="pct"/>
            <w:shd w:val="clear" w:color="auto" w:fill="E4F3F9"/>
            <w:vAlign w:val="center"/>
          </w:tcPr>
          <w:p w14:paraId="7418BDE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Percentage of final household consumption expenditure on Health, Communications and Education, %</w:t>
            </w:r>
            <w:r w:rsidRPr="0048563F">
              <w:rPr>
                <w:rFonts w:eastAsia="Arial Unicode MS" w:cs="Arial" w:hint="eastAsia"/>
                <w:color w:val="7A7B7C"/>
                <w:sz w:val="14"/>
                <w:szCs w:val="14"/>
                <w:lang w:eastAsia="en-AU"/>
              </w:rPr>
              <w:t>²²</w:t>
            </w:r>
          </w:p>
        </w:tc>
        <w:tc>
          <w:tcPr>
            <w:tcW w:w="250" w:type="pct"/>
            <w:shd w:val="clear" w:color="auto" w:fill="E4F3F9"/>
            <w:vAlign w:val="center"/>
          </w:tcPr>
          <w:p w14:paraId="7418BDE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9.6</w:t>
            </w:r>
          </w:p>
        </w:tc>
        <w:tc>
          <w:tcPr>
            <w:tcW w:w="250" w:type="pct"/>
            <w:shd w:val="clear" w:color="auto" w:fill="E4F3F9"/>
            <w:vAlign w:val="center"/>
          </w:tcPr>
          <w:p w14:paraId="7418BDE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10.6</w:t>
            </w:r>
          </w:p>
        </w:tc>
        <w:tc>
          <w:tcPr>
            <w:tcW w:w="250" w:type="pct"/>
            <w:shd w:val="clear" w:color="auto" w:fill="E4F3F9"/>
            <w:vAlign w:val="center"/>
          </w:tcPr>
          <w:p w14:paraId="7418BDF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11.8</w:t>
            </w:r>
          </w:p>
        </w:tc>
        <w:tc>
          <w:tcPr>
            <w:tcW w:w="250" w:type="pct"/>
            <w:shd w:val="clear" w:color="auto" w:fill="E4F3F9"/>
            <w:vAlign w:val="center"/>
          </w:tcPr>
          <w:p w14:paraId="7418BDF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11.8</w:t>
            </w:r>
          </w:p>
        </w:tc>
        <w:tc>
          <w:tcPr>
            <w:tcW w:w="250" w:type="pct"/>
            <w:shd w:val="clear" w:color="auto" w:fill="E4F3F9"/>
            <w:vAlign w:val="center"/>
          </w:tcPr>
          <w:p w14:paraId="7418BDF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11.7</w:t>
            </w:r>
          </w:p>
        </w:tc>
        <w:tc>
          <w:tcPr>
            <w:tcW w:w="250" w:type="pct"/>
            <w:shd w:val="clear" w:color="auto" w:fill="E4F3F9"/>
            <w:vAlign w:val="center"/>
          </w:tcPr>
          <w:p w14:paraId="7418BDF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12.0</w:t>
            </w:r>
          </w:p>
        </w:tc>
        <w:tc>
          <w:tcPr>
            <w:tcW w:w="250" w:type="pct"/>
            <w:shd w:val="clear" w:color="auto" w:fill="E4F3F9"/>
            <w:vAlign w:val="center"/>
          </w:tcPr>
          <w:p w14:paraId="7418BDF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12.2</w:t>
            </w:r>
          </w:p>
        </w:tc>
        <w:tc>
          <w:tcPr>
            <w:tcW w:w="250" w:type="pct"/>
            <w:shd w:val="clear" w:color="auto" w:fill="E4F3F9"/>
            <w:vAlign w:val="center"/>
          </w:tcPr>
          <w:p w14:paraId="7418BDF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12.3</w:t>
            </w:r>
          </w:p>
        </w:tc>
        <w:tc>
          <w:tcPr>
            <w:tcW w:w="250" w:type="pct"/>
            <w:shd w:val="clear" w:color="auto" w:fill="E4F3F9"/>
            <w:vAlign w:val="center"/>
          </w:tcPr>
          <w:p w14:paraId="7418BDF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12.4</w:t>
            </w:r>
          </w:p>
        </w:tc>
        <w:tc>
          <w:tcPr>
            <w:tcW w:w="250" w:type="pct"/>
            <w:shd w:val="clear" w:color="auto" w:fill="E4F3F9"/>
            <w:vAlign w:val="center"/>
          </w:tcPr>
          <w:p w14:paraId="7418BDF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13.0</w:t>
            </w:r>
          </w:p>
        </w:tc>
        <w:tc>
          <w:tcPr>
            <w:tcW w:w="250" w:type="pct"/>
            <w:shd w:val="clear" w:color="auto" w:fill="E4F3F9"/>
            <w:vAlign w:val="center"/>
          </w:tcPr>
          <w:p w14:paraId="7418BDF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13.1</w:t>
            </w:r>
          </w:p>
        </w:tc>
        <w:tc>
          <w:tcPr>
            <w:tcW w:w="250" w:type="pct"/>
            <w:shd w:val="clear" w:color="auto" w:fill="E4F3F9"/>
            <w:vAlign w:val="center"/>
          </w:tcPr>
          <w:p w14:paraId="7418BDF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13.3</w:t>
            </w:r>
          </w:p>
        </w:tc>
        <w:tc>
          <w:tcPr>
            <w:tcW w:w="231" w:type="pct"/>
            <w:shd w:val="clear" w:color="auto" w:fill="E4F3F9"/>
            <w:vAlign w:val="center"/>
          </w:tcPr>
          <w:p w14:paraId="7418BDF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5" w:type="pct"/>
            <w:shd w:val="clear" w:color="auto" w:fill="E4F3F9"/>
            <w:vAlign w:val="center"/>
          </w:tcPr>
          <w:p w14:paraId="7418BDF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E0C" w14:textId="77777777" w:rsidTr="004A31A9">
        <w:trPr>
          <w:trHeight w:val="283"/>
        </w:trPr>
        <w:tc>
          <w:tcPr>
            <w:tcW w:w="1544" w:type="pct"/>
            <w:shd w:val="clear" w:color="auto" w:fill="D5ECF5"/>
            <w:vAlign w:val="center"/>
          </w:tcPr>
          <w:p w14:paraId="7418BDF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Statutory corporate income tax rates, %</w:t>
            </w:r>
            <w:r w:rsidRPr="0048563F">
              <w:rPr>
                <w:rFonts w:eastAsia="Arial Unicode MS" w:cs="Arial" w:hint="eastAsia"/>
                <w:color w:val="7A7B7C"/>
                <w:sz w:val="14"/>
                <w:szCs w:val="14"/>
                <w:lang w:eastAsia="en-AU"/>
              </w:rPr>
              <w:t>²³</w:t>
            </w:r>
          </w:p>
        </w:tc>
        <w:tc>
          <w:tcPr>
            <w:tcW w:w="250" w:type="pct"/>
            <w:shd w:val="clear" w:color="auto" w:fill="D5ECF5"/>
            <w:vAlign w:val="center"/>
          </w:tcPr>
          <w:p w14:paraId="7418BDF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DF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E0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E0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w:t>
            </w:r>
          </w:p>
        </w:tc>
        <w:tc>
          <w:tcPr>
            <w:tcW w:w="250" w:type="pct"/>
            <w:shd w:val="clear" w:color="auto" w:fill="D5ECF5"/>
            <w:vAlign w:val="center"/>
          </w:tcPr>
          <w:p w14:paraId="7418BE0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w:t>
            </w:r>
          </w:p>
        </w:tc>
        <w:tc>
          <w:tcPr>
            <w:tcW w:w="250" w:type="pct"/>
            <w:shd w:val="clear" w:color="auto" w:fill="D5ECF5"/>
            <w:vAlign w:val="center"/>
          </w:tcPr>
          <w:p w14:paraId="7418BE0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w:t>
            </w:r>
          </w:p>
        </w:tc>
        <w:tc>
          <w:tcPr>
            <w:tcW w:w="250" w:type="pct"/>
            <w:shd w:val="clear" w:color="auto" w:fill="D5ECF5"/>
            <w:vAlign w:val="center"/>
          </w:tcPr>
          <w:p w14:paraId="7418BE0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w:t>
            </w:r>
          </w:p>
        </w:tc>
        <w:tc>
          <w:tcPr>
            <w:tcW w:w="250" w:type="pct"/>
            <w:shd w:val="clear" w:color="auto" w:fill="D5ECF5"/>
            <w:vAlign w:val="center"/>
          </w:tcPr>
          <w:p w14:paraId="7418BE0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w:t>
            </w:r>
          </w:p>
        </w:tc>
        <w:tc>
          <w:tcPr>
            <w:tcW w:w="250" w:type="pct"/>
            <w:shd w:val="clear" w:color="auto" w:fill="D5ECF5"/>
            <w:vAlign w:val="center"/>
          </w:tcPr>
          <w:p w14:paraId="7418BE0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w:t>
            </w:r>
          </w:p>
        </w:tc>
        <w:tc>
          <w:tcPr>
            <w:tcW w:w="250" w:type="pct"/>
            <w:shd w:val="clear" w:color="auto" w:fill="D5ECF5"/>
            <w:vAlign w:val="center"/>
          </w:tcPr>
          <w:p w14:paraId="7418BE0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w:t>
            </w:r>
          </w:p>
        </w:tc>
        <w:tc>
          <w:tcPr>
            <w:tcW w:w="250" w:type="pct"/>
            <w:shd w:val="clear" w:color="auto" w:fill="D5ECF5"/>
            <w:vAlign w:val="center"/>
          </w:tcPr>
          <w:p w14:paraId="7418BE0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w:t>
            </w:r>
          </w:p>
        </w:tc>
        <w:tc>
          <w:tcPr>
            <w:tcW w:w="250" w:type="pct"/>
            <w:shd w:val="clear" w:color="auto" w:fill="D5ECF5"/>
            <w:vAlign w:val="center"/>
          </w:tcPr>
          <w:p w14:paraId="7418BE0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w:t>
            </w:r>
          </w:p>
        </w:tc>
        <w:tc>
          <w:tcPr>
            <w:tcW w:w="231" w:type="pct"/>
            <w:shd w:val="clear" w:color="auto" w:fill="D5ECF5"/>
            <w:vAlign w:val="center"/>
          </w:tcPr>
          <w:p w14:paraId="7418BE0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w:t>
            </w:r>
          </w:p>
        </w:tc>
        <w:tc>
          <w:tcPr>
            <w:tcW w:w="225" w:type="pct"/>
            <w:shd w:val="clear" w:color="auto" w:fill="D5ECF5"/>
            <w:vAlign w:val="center"/>
          </w:tcPr>
          <w:p w14:paraId="7418BE0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w:t>
            </w:r>
          </w:p>
        </w:tc>
      </w:tr>
      <w:tr w:rsidR="00D471AD" w:rsidRPr="0048563F" w14:paraId="7418BE1C" w14:textId="77777777" w:rsidTr="004A31A9">
        <w:trPr>
          <w:trHeight w:val="283"/>
        </w:trPr>
        <w:tc>
          <w:tcPr>
            <w:tcW w:w="1544" w:type="pct"/>
            <w:shd w:val="clear" w:color="auto" w:fill="E4F3F9"/>
            <w:vAlign w:val="center"/>
          </w:tcPr>
          <w:p w14:paraId="7418BE0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Start-up procedures to register a business, count</w:t>
            </w:r>
            <w:r w:rsidRPr="0048563F">
              <w:rPr>
                <w:rFonts w:eastAsia="Arial Unicode MS" w:cs="Arial" w:hint="eastAsia"/>
                <w:color w:val="7A7B7C"/>
                <w:sz w:val="14"/>
                <w:szCs w:val="14"/>
                <w:lang w:eastAsia="en-AU"/>
              </w:rPr>
              <w:t>¹⁹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³²</w:t>
            </w:r>
          </w:p>
        </w:tc>
        <w:tc>
          <w:tcPr>
            <w:tcW w:w="250" w:type="pct"/>
            <w:shd w:val="clear" w:color="auto" w:fill="E4F3F9"/>
            <w:vAlign w:val="center"/>
          </w:tcPr>
          <w:p w14:paraId="7418BE0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E0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E1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w:t>
            </w:r>
          </w:p>
        </w:tc>
        <w:tc>
          <w:tcPr>
            <w:tcW w:w="250" w:type="pct"/>
            <w:shd w:val="clear" w:color="auto" w:fill="E4F3F9"/>
            <w:vAlign w:val="center"/>
          </w:tcPr>
          <w:p w14:paraId="7418BE1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w:t>
            </w:r>
          </w:p>
        </w:tc>
        <w:tc>
          <w:tcPr>
            <w:tcW w:w="250" w:type="pct"/>
            <w:shd w:val="clear" w:color="auto" w:fill="E4F3F9"/>
            <w:vAlign w:val="center"/>
          </w:tcPr>
          <w:p w14:paraId="7418BE1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w:t>
            </w:r>
          </w:p>
        </w:tc>
        <w:tc>
          <w:tcPr>
            <w:tcW w:w="250" w:type="pct"/>
            <w:shd w:val="clear" w:color="auto" w:fill="E4F3F9"/>
            <w:vAlign w:val="center"/>
          </w:tcPr>
          <w:p w14:paraId="7418BE1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w:t>
            </w:r>
          </w:p>
        </w:tc>
        <w:tc>
          <w:tcPr>
            <w:tcW w:w="250" w:type="pct"/>
            <w:shd w:val="clear" w:color="auto" w:fill="E4F3F9"/>
            <w:vAlign w:val="center"/>
          </w:tcPr>
          <w:p w14:paraId="7418BE1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w:t>
            </w:r>
          </w:p>
        </w:tc>
        <w:tc>
          <w:tcPr>
            <w:tcW w:w="250" w:type="pct"/>
            <w:shd w:val="clear" w:color="auto" w:fill="E4F3F9"/>
            <w:vAlign w:val="center"/>
          </w:tcPr>
          <w:p w14:paraId="7418BE1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w:t>
            </w:r>
          </w:p>
        </w:tc>
        <w:tc>
          <w:tcPr>
            <w:tcW w:w="250" w:type="pct"/>
            <w:shd w:val="clear" w:color="auto" w:fill="E4F3F9"/>
            <w:vAlign w:val="center"/>
          </w:tcPr>
          <w:p w14:paraId="7418BE1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w:t>
            </w:r>
          </w:p>
        </w:tc>
        <w:tc>
          <w:tcPr>
            <w:tcW w:w="250" w:type="pct"/>
            <w:shd w:val="clear" w:color="auto" w:fill="E4F3F9"/>
            <w:vAlign w:val="center"/>
          </w:tcPr>
          <w:p w14:paraId="7418BE1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w:t>
            </w:r>
          </w:p>
        </w:tc>
        <w:tc>
          <w:tcPr>
            <w:tcW w:w="250" w:type="pct"/>
            <w:shd w:val="clear" w:color="auto" w:fill="E4F3F9"/>
            <w:vAlign w:val="center"/>
          </w:tcPr>
          <w:p w14:paraId="7418BE1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w:t>
            </w:r>
          </w:p>
        </w:tc>
        <w:tc>
          <w:tcPr>
            <w:tcW w:w="250" w:type="pct"/>
            <w:shd w:val="clear" w:color="auto" w:fill="E4F3F9"/>
            <w:vAlign w:val="center"/>
          </w:tcPr>
          <w:p w14:paraId="7418BE1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w:t>
            </w:r>
          </w:p>
        </w:tc>
        <w:tc>
          <w:tcPr>
            <w:tcW w:w="231" w:type="pct"/>
            <w:shd w:val="clear" w:color="auto" w:fill="E4F3F9"/>
            <w:vAlign w:val="center"/>
          </w:tcPr>
          <w:p w14:paraId="7418BE1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w:t>
            </w:r>
          </w:p>
        </w:tc>
        <w:tc>
          <w:tcPr>
            <w:tcW w:w="225" w:type="pct"/>
            <w:shd w:val="clear" w:color="auto" w:fill="E4F3F9"/>
            <w:vAlign w:val="center"/>
          </w:tcPr>
          <w:p w14:paraId="7418BE1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E2C" w14:textId="77777777" w:rsidTr="004A31A9">
        <w:trPr>
          <w:trHeight w:val="283"/>
        </w:trPr>
        <w:tc>
          <w:tcPr>
            <w:tcW w:w="1544" w:type="pct"/>
            <w:shd w:val="clear" w:color="auto" w:fill="D5ECF5"/>
            <w:vAlign w:val="center"/>
          </w:tcPr>
          <w:p w14:paraId="7418BE1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Cost of business start-up procedures, % of GNI per capita</w:t>
            </w:r>
            <w:r w:rsidRPr="0048563F">
              <w:rPr>
                <w:rFonts w:eastAsia="Arial Unicode MS" w:cs="Arial" w:hint="eastAsia"/>
                <w:color w:val="7A7B7C"/>
                <w:sz w:val="14"/>
                <w:szCs w:val="14"/>
                <w:lang w:eastAsia="en-AU"/>
              </w:rPr>
              <w:t>¹⁹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³²</w:t>
            </w:r>
          </w:p>
        </w:tc>
        <w:tc>
          <w:tcPr>
            <w:tcW w:w="250" w:type="pct"/>
            <w:shd w:val="clear" w:color="auto" w:fill="D5ECF5"/>
            <w:vAlign w:val="center"/>
          </w:tcPr>
          <w:p w14:paraId="7418BE1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E1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D5ECF5"/>
            <w:vAlign w:val="center"/>
          </w:tcPr>
          <w:p w14:paraId="7418BE2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1.9</w:t>
            </w:r>
          </w:p>
        </w:tc>
        <w:tc>
          <w:tcPr>
            <w:tcW w:w="250" w:type="pct"/>
            <w:shd w:val="clear" w:color="auto" w:fill="D5ECF5"/>
            <w:vAlign w:val="center"/>
          </w:tcPr>
          <w:p w14:paraId="7418BE2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1.8</w:t>
            </w:r>
          </w:p>
        </w:tc>
        <w:tc>
          <w:tcPr>
            <w:tcW w:w="250" w:type="pct"/>
            <w:shd w:val="clear" w:color="auto" w:fill="D5ECF5"/>
            <w:vAlign w:val="center"/>
          </w:tcPr>
          <w:p w14:paraId="7418BE2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0.8</w:t>
            </w:r>
          </w:p>
        </w:tc>
        <w:tc>
          <w:tcPr>
            <w:tcW w:w="250" w:type="pct"/>
            <w:shd w:val="clear" w:color="auto" w:fill="D5ECF5"/>
            <w:vAlign w:val="center"/>
          </w:tcPr>
          <w:p w14:paraId="7418BE2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0.8</w:t>
            </w:r>
          </w:p>
        </w:tc>
        <w:tc>
          <w:tcPr>
            <w:tcW w:w="250" w:type="pct"/>
            <w:shd w:val="clear" w:color="auto" w:fill="D5ECF5"/>
            <w:vAlign w:val="center"/>
          </w:tcPr>
          <w:p w14:paraId="7418BE2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0.8</w:t>
            </w:r>
          </w:p>
        </w:tc>
        <w:tc>
          <w:tcPr>
            <w:tcW w:w="250" w:type="pct"/>
            <w:shd w:val="clear" w:color="auto" w:fill="D5ECF5"/>
            <w:vAlign w:val="center"/>
          </w:tcPr>
          <w:p w14:paraId="7418BE2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0.7</w:t>
            </w:r>
          </w:p>
        </w:tc>
        <w:tc>
          <w:tcPr>
            <w:tcW w:w="250" w:type="pct"/>
            <w:shd w:val="clear" w:color="auto" w:fill="D5ECF5"/>
            <w:vAlign w:val="center"/>
          </w:tcPr>
          <w:p w14:paraId="7418BE2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0.7</w:t>
            </w:r>
          </w:p>
        </w:tc>
        <w:tc>
          <w:tcPr>
            <w:tcW w:w="250" w:type="pct"/>
            <w:shd w:val="clear" w:color="auto" w:fill="D5ECF5"/>
            <w:vAlign w:val="center"/>
          </w:tcPr>
          <w:p w14:paraId="7418BE2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0.7</w:t>
            </w:r>
          </w:p>
        </w:tc>
        <w:tc>
          <w:tcPr>
            <w:tcW w:w="250" w:type="pct"/>
            <w:shd w:val="clear" w:color="auto" w:fill="D5ECF5"/>
            <w:vAlign w:val="center"/>
          </w:tcPr>
          <w:p w14:paraId="7418BE2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0.7</w:t>
            </w:r>
          </w:p>
        </w:tc>
        <w:tc>
          <w:tcPr>
            <w:tcW w:w="250" w:type="pct"/>
            <w:shd w:val="clear" w:color="auto" w:fill="D5ECF5"/>
            <w:vAlign w:val="center"/>
          </w:tcPr>
          <w:p w14:paraId="7418BE2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0.7</w:t>
            </w:r>
          </w:p>
        </w:tc>
        <w:tc>
          <w:tcPr>
            <w:tcW w:w="231" w:type="pct"/>
            <w:shd w:val="clear" w:color="auto" w:fill="D5ECF5"/>
            <w:vAlign w:val="center"/>
          </w:tcPr>
          <w:p w14:paraId="7418BE2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0.7</w:t>
            </w:r>
          </w:p>
        </w:tc>
        <w:tc>
          <w:tcPr>
            <w:tcW w:w="225" w:type="pct"/>
            <w:shd w:val="clear" w:color="auto" w:fill="D5ECF5"/>
            <w:vAlign w:val="center"/>
          </w:tcPr>
          <w:p w14:paraId="7418BE2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E3C" w14:textId="77777777" w:rsidTr="004A31A9">
        <w:trPr>
          <w:trHeight w:val="283"/>
        </w:trPr>
        <w:tc>
          <w:tcPr>
            <w:tcW w:w="1544" w:type="pct"/>
            <w:shd w:val="clear" w:color="auto" w:fill="E4F3F9"/>
            <w:vAlign w:val="center"/>
          </w:tcPr>
          <w:p w14:paraId="7418BE2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ISO 14001 environmental certificates, per billion PPP$ GDP</w:t>
            </w:r>
            <w:r w:rsidRPr="0048563F">
              <w:rPr>
                <w:rFonts w:eastAsia="Arial Unicode MS" w:cs="Arial" w:hint="eastAsia"/>
                <w:color w:val="7A7B7C"/>
                <w:sz w:val="14"/>
                <w:szCs w:val="14"/>
                <w:lang w:eastAsia="en-AU"/>
              </w:rPr>
              <w:t>²⁴</w:t>
            </w:r>
          </w:p>
        </w:tc>
        <w:tc>
          <w:tcPr>
            <w:tcW w:w="250" w:type="pct"/>
            <w:shd w:val="clear" w:color="auto" w:fill="E4F3F9"/>
            <w:vAlign w:val="center"/>
          </w:tcPr>
          <w:p w14:paraId="7418BE2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E2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E3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E3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E3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E3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E3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E3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E3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shd w:val="clear" w:color="auto" w:fill="E4F3F9"/>
            <w:vAlign w:val="center"/>
          </w:tcPr>
          <w:p w14:paraId="7418BE3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12.7</w:t>
            </w:r>
          </w:p>
        </w:tc>
        <w:tc>
          <w:tcPr>
            <w:tcW w:w="250" w:type="pct"/>
            <w:shd w:val="clear" w:color="auto" w:fill="E4F3F9"/>
            <w:vAlign w:val="center"/>
          </w:tcPr>
          <w:p w14:paraId="7418BE3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15.6</w:t>
            </w:r>
          </w:p>
        </w:tc>
        <w:tc>
          <w:tcPr>
            <w:tcW w:w="250" w:type="pct"/>
            <w:shd w:val="clear" w:color="auto" w:fill="E4F3F9"/>
            <w:vAlign w:val="center"/>
          </w:tcPr>
          <w:p w14:paraId="7418BE3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14.0</w:t>
            </w:r>
          </w:p>
        </w:tc>
        <w:tc>
          <w:tcPr>
            <w:tcW w:w="231" w:type="pct"/>
            <w:shd w:val="clear" w:color="auto" w:fill="E4F3F9"/>
            <w:vAlign w:val="center"/>
          </w:tcPr>
          <w:p w14:paraId="7418BE3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24.8</w:t>
            </w:r>
          </w:p>
        </w:tc>
        <w:tc>
          <w:tcPr>
            <w:tcW w:w="225" w:type="pct"/>
            <w:shd w:val="clear" w:color="auto" w:fill="E4F3F9"/>
            <w:vAlign w:val="center"/>
          </w:tcPr>
          <w:p w14:paraId="7418BE3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37.9</w:t>
            </w:r>
          </w:p>
        </w:tc>
      </w:tr>
      <w:tr w:rsidR="00D471AD" w:rsidRPr="0048563F" w14:paraId="7418BE4C" w14:textId="77777777" w:rsidTr="004A31A9">
        <w:trPr>
          <w:trHeight w:val="283"/>
        </w:trPr>
        <w:tc>
          <w:tcPr>
            <w:tcW w:w="1544" w:type="pct"/>
            <w:tcBorders>
              <w:bottom w:val="single" w:sz="8" w:space="0" w:color="22789A"/>
            </w:tcBorders>
            <w:shd w:val="clear" w:color="auto" w:fill="D5ECF5"/>
            <w:vAlign w:val="center"/>
          </w:tcPr>
          <w:p w14:paraId="7418BE3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Total environment related taxes, % of GDP</w:t>
            </w:r>
            <w:r w:rsidRPr="0048563F">
              <w:rPr>
                <w:rFonts w:eastAsia="Arial Unicode MS" w:cs="Arial" w:hint="eastAsia"/>
                <w:color w:val="7A7B7C"/>
                <w:sz w:val="14"/>
                <w:szCs w:val="14"/>
                <w:lang w:eastAsia="en-AU"/>
              </w:rPr>
              <w:t>²⁵</w:t>
            </w:r>
          </w:p>
        </w:tc>
        <w:tc>
          <w:tcPr>
            <w:tcW w:w="250" w:type="pct"/>
            <w:tcBorders>
              <w:bottom w:val="single" w:sz="8" w:space="0" w:color="22789A"/>
            </w:tcBorders>
            <w:shd w:val="clear" w:color="auto" w:fill="D5ECF5"/>
            <w:vAlign w:val="center"/>
          </w:tcPr>
          <w:p w14:paraId="7418BE3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2.57</w:t>
            </w:r>
          </w:p>
        </w:tc>
        <w:tc>
          <w:tcPr>
            <w:tcW w:w="250" w:type="pct"/>
            <w:tcBorders>
              <w:bottom w:val="single" w:sz="8" w:space="0" w:color="22789A"/>
            </w:tcBorders>
            <w:shd w:val="clear" w:color="auto" w:fill="D5ECF5"/>
            <w:vAlign w:val="center"/>
          </w:tcPr>
          <w:p w14:paraId="7418BE3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2.41</w:t>
            </w:r>
          </w:p>
        </w:tc>
        <w:tc>
          <w:tcPr>
            <w:tcW w:w="250" w:type="pct"/>
            <w:tcBorders>
              <w:bottom w:val="single" w:sz="8" w:space="0" w:color="22789A"/>
            </w:tcBorders>
            <w:shd w:val="clear" w:color="auto" w:fill="D5ECF5"/>
            <w:vAlign w:val="center"/>
          </w:tcPr>
          <w:p w14:paraId="7418BE4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2.20</w:t>
            </w:r>
          </w:p>
        </w:tc>
        <w:tc>
          <w:tcPr>
            <w:tcW w:w="250" w:type="pct"/>
            <w:tcBorders>
              <w:bottom w:val="single" w:sz="8" w:space="0" w:color="22789A"/>
            </w:tcBorders>
            <w:shd w:val="clear" w:color="auto" w:fill="D5ECF5"/>
            <w:vAlign w:val="center"/>
          </w:tcPr>
          <w:p w14:paraId="7418BE4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1.96</w:t>
            </w:r>
          </w:p>
        </w:tc>
        <w:tc>
          <w:tcPr>
            <w:tcW w:w="250" w:type="pct"/>
            <w:tcBorders>
              <w:bottom w:val="single" w:sz="8" w:space="0" w:color="22789A"/>
            </w:tcBorders>
            <w:shd w:val="clear" w:color="auto" w:fill="D5ECF5"/>
            <w:vAlign w:val="center"/>
          </w:tcPr>
          <w:p w14:paraId="7418BE4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1.94</w:t>
            </w:r>
          </w:p>
        </w:tc>
        <w:tc>
          <w:tcPr>
            <w:tcW w:w="250" w:type="pct"/>
            <w:tcBorders>
              <w:bottom w:val="single" w:sz="8" w:space="0" w:color="22789A"/>
            </w:tcBorders>
            <w:shd w:val="clear" w:color="auto" w:fill="D5ECF5"/>
            <w:vAlign w:val="center"/>
          </w:tcPr>
          <w:p w14:paraId="7418BE4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1.81</w:t>
            </w:r>
          </w:p>
        </w:tc>
        <w:tc>
          <w:tcPr>
            <w:tcW w:w="250" w:type="pct"/>
            <w:tcBorders>
              <w:bottom w:val="single" w:sz="8" w:space="0" w:color="22789A"/>
            </w:tcBorders>
            <w:shd w:val="clear" w:color="auto" w:fill="D5ECF5"/>
            <w:vAlign w:val="center"/>
          </w:tcPr>
          <w:p w14:paraId="7418BE4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1.83</w:t>
            </w:r>
          </w:p>
        </w:tc>
        <w:tc>
          <w:tcPr>
            <w:tcW w:w="250" w:type="pct"/>
            <w:tcBorders>
              <w:bottom w:val="single" w:sz="8" w:space="0" w:color="22789A"/>
            </w:tcBorders>
            <w:shd w:val="clear" w:color="auto" w:fill="D5ECF5"/>
            <w:vAlign w:val="center"/>
          </w:tcPr>
          <w:p w14:paraId="7418BE4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1.77</w:t>
            </w:r>
          </w:p>
        </w:tc>
        <w:tc>
          <w:tcPr>
            <w:tcW w:w="250" w:type="pct"/>
            <w:tcBorders>
              <w:bottom w:val="single" w:sz="8" w:space="0" w:color="22789A"/>
            </w:tcBorders>
            <w:shd w:val="clear" w:color="auto" w:fill="D5ECF5"/>
            <w:vAlign w:val="center"/>
          </w:tcPr>
          <w:p w14:paraId="7418BE4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1.77</w:t>
            </w:r>
          </w:p>
        </w:tc>
        <w:tc>
          <w:tcPr>
            <w:tcW w:w="250" w:type="pct"/>
            <w:tcBorders>
              <w:bottom w:val="single" w:sz="8" w:space="0" w:color="22789A"/>
            </w:tcBorders>
            <w:shd w:val="clear" w:color="auto" w:fill="D5ECF5"/>
            <w:vAlign w:val="center"/>
          </w:tcPr>
          <w:p w14:paraId="7418BE4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2.00</w:t>
            </w:r>
          </w:p>
        </w:tc>
        <w:tc>
          <w:tcPr>
            <w:tcW w:w="250" w:type="pct"/>
            <w:tcBorders>
              <w:bottom w:val="single" w:sz="8" w:space="0" w:color="22789A"/>
            </w:tcBorders>
            <w:shd w:val="clear" w:color="auto" w:fill="D5ECF5"/>
            <w:vAlign w:val="center"/>
          </w:tcPr>
          <w:p w14:paraId="7418BE4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50" w:type="pct"/>
            <w:tcBorders>
              <w:bottom w:val="single" w:sz="8" w:space="0" w:color="22789A"/>
            </w:tcBorders>
            <w:shd w:val="clear" w:color="auto" w:fill="D5ECF5"/>
            <w:vAlign w:val="center"/>
          </w:tcPr>
          <w:p w14:paraId="7418BE4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31" w:type="pct"/>
            <w:tcBorders>
              <w:bottom w:val="single" w:sz="8" w:space="0" w:color="22789A"/>
            </w:tcBorders>
            <w:shd w:val="clear" w:color="auto" w:fill="D5ECF5"/>
            <w:vAlign w:val="center"/>
          </w:tcPr>
          <w:p w14:paraId="7418BE4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5" w:type="pct"/>
            <w:tcBorders>
              <w:bottom w:val="single" w:sz="8" w:space="0" w:color="22789A"/>
            </w:tcBorders>
            <w:shd w:val="clear" w:color="auto" w:fill="D5ECF5"/>
            <w:vAlign w:val="center"/>
          </w:tcPr>
          <w:p w14:paraId="7418BE4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bl>
    <w:p w14:paraId="7418BE4D" w14:textId="77777777" w:rsidR="00D471AD" w:rsidRDefault="00D471AD" w:rsidP="00D471AD"/>
    <w:p w14:paraId="7418BE4E" w14:textId="77777777" w:rsidR="00D471AD" w:rsidRDefault="00D471AD" w:rsidP="00D471AD">
      <w:r>
        <w:br w:type="page"/>
      </w:r>
    </w:p>
    <w:tbl>
      <w:tblPr>
        <w:tblW w:w="5000" w:type="pct"/>
        <w:tblBorders>
          <w:bottom w:val="single" w:sz="4" w:space="0" w:color="auto"/>
        </w:tblBorders>
        <w:tblLook w:val="04A0" w:firstRow="1" w:lastRow="0" w:firstColumn="1" w:lastColumn="0" w:noHBand="0" w:noVBand="1"/>
      </w:tblPr>
      <w:tblGrid>
        <w:gridCol w:w="5539"/>
        <w:gridCol w:w="1312"/>
        <w:gridCol w:w="173"/>
        <w:gridCol w:w="1616"/>
        <w:gridCol w:w="1234"/>
        <w:gridCol w:w="1460"/>
        <w:gridCol w:w="1312"/>
        <w:gridCol w:w="1245"/>
        <w:gridCol w:w="67"/>
      </w:tblGrid>
      <w:tr w:rsidR="00D471AD" w:rsidRPr="00051CAA" w14:paraId="7418BE50" w14:textId="77777777" w:rsidTr="004A31A9">
        <w:trPr>
          <w:gridAfter w:val="1"/>
          <w:wAfter w:w="24" w:type="pct"/>
          <w:trHeight w:val="300"/>
          <w:tblHeader/>
        </w:trPr>
        <w:tc>
          <w:tcPr>
            <w:tcW w:w="4976" w:type="pct"/>
            <w:gridSpan w:val="8"/>
            <w:tcBorders>
              <w:top w:val="single" w:sz="8" w:space="0" w:color="22789A"/>
              <w:bottom w:val="nil"/>
            </w:tcBorders>
            <w:shd w:val="clear" w:color="auto" w:fill="auto"/>
            <w:vAlign w:val="center"/>
          </w:tcPr>
          <w:p w14:paraId="7418BE4F" w14:textId="77777777" w:rsidR="00D471AD" w:rsidRPr="00C10561" w:rsidRDefault="00D471AD" w:rsidP="004A31A9">
            <w:pPr>
              <w:pStyle w:val="TableParagraph"/>
              <w:spacing w:before="42"/>
              <w:ind w:left="-108"/>
              <w:rPr>
                <w:rFonts w:ascii="Arial"/>
                <w:i/>
                <w:color w:val="22789A"/>
                <w:spacing w:val="3"/>
                <w:sz w:val="18"/>
              </w:rPr>
            </w:pPr>
            <w:r w:rsidRPr="008F7EDC">
              <w:rPr>
                <w:rFonts w:ascii="Arial"/>
                <w:i/>
                <w:color w:val="22789A"/>
                <w:spacing w:val="3"/>
                <w:sz w:val="18"/>
              </w:rPr>
              <w:t>Table A5(b): Indicators of framework conditions in Australia</w:t>
            </w:r>
          </w:p>
        </w:tc>
      </w:tr>
      <w:tr w:rsidR="00D471AD" w14:paraId="7418BE54"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369"/>
        </w:trPr>
        <w:tc>
          <w:tcPr>
            <w:tcW w:w="1984" w:type="pct"/>
            <w:tcBorders>
              <w:top w:val="nil"/>
              <w:left w:val="nil"/>
              <w:bottom w:val="nil"/>
              <w:right w:val="nil"/>
            </w:tcBorders>
            <w:shd w:val="clear" w:color="auto" w:fill="22789A"/>
          </w:tcPr>
          <w:p w14:paraId="7418BE51" w14:textId="77777777" w:rsidR="00D471AD" w:rsidRDefault="00D471AD" w:rsidP="004A31A9">
            <w:pPr>
              <w:pStyle w:val="TableParagraph"/>
              <w:spacing w:before="42"/>
              <w:ind w:left="79"/>
              <w:rPr>
                <w:rFonts w:ascii="Arial" w:eastAsia="Arial" w:hAnsi="Arial" w:cs="Arial"/>
                <w:sz w:val="18"/>
                <w:szCs w:val="18"/>
              </w:rPr>
            </w:pPr>
            <w:r>
              <w:rPr>
                <w:rFonts w:ascii="Arial"/>
                <w:i/>
                <w:color w:val="FFFFFF"/>
                <w:spacing w:val="3"/>
                <w:sz w:val="18"/>
              </w:rPr>
              <w:t>OECD+</w:t>
            </w:r>
            <w:r>
              <w:rPr>
                <w:rFonts w:ascii="Arial"/>
                <w:i/>
                <w:color w:val="FFFFFF"/>
                <w:spacing w:val="8"/>
                <w:sz w:val="18"/>
              </w:rPr>
              <w:t xml:space="preserve"> </w:t>
            </w:r>
            <w:r>
              <w:rPr>
                <w:rFonts w:ascii="Arial"/>
                <w:i/>
                <w:color w:val="FFFFFF"/>
                <w:spacing w:val="3"/>
                <w:sz w:val="18"/>
              </w:rPr>
              <w:t>Comparisons</w:t>
            </w:r>
            <w:r>
              <w:rPr>
                <w:rFonts w:ascii="Arial"/>
                <w:i/>
                <w:color w:val="FFFFFF"/>
                <w:spacing w:val="9"/>
                <w:sz w:val="18"/>
              </w:rPr>
              <w:t xml:space="preserve"> </w:t>
            </w:r>
            <w:r>
              <w:rPr>
                <w:rFonts w:ascii="Arial"/>
                <w:i/>
                <w:color w:val="FFFFFF"/>
                <w:spacing w:val="4"/>
                <w:sz w:val="18"/>
              </w:rPr>
              <w:t>(ii)</w:t>
            </w:r>
          </w:p>
        </w:tc>
        <w:tc>
          <w:tcPr>
            <w:tcW w:w="470" w:type="pct"/>
            <w:tcBorders>
              <w:top w:val="nil"/>
              <w:left w:val="nil"/>
              <w:bottom w:val="nil"/>
              <w:right w:val="nil"/>
            </w:tcBorders>
            <w:shd w:val="clear" w:color="auto" w:fill="22789A"/>
          </w:tcPr>
          <w:p w14:paraId="7418BE52" w14:textId="77777777" w:rsidR="00D471AD" w:rsidRDefault="00D471AD" w:rsidP="004A31A9"/>
        </w:tc>
        <w:tc>
          <w:tcPr>
            <w:tcW w:w="2546" w:type="pct"/>
            <w:gridSpan w:val="7"/>
            <w:tcBorders>
              <w:top w:val="nil"/>
              <w:left w:val="nil"/>
              <w:bottom w:val="nil"/>
              <w:right w:val="nil"/>
            </w:tcBorders>
            <w:shd w:val="clear" w:color="auto" w:fill="22789A"/>
          </w:tcPr>
          <w:p w14:paraId="7418BE53" w14:textId="77777777" w:rsidR="00D471AD" w:rsidRDefault="00D471AD" w:rsidP="004A31A9"/>
        </w:tc>
      </w:tr>
      <w:tr w:rsidR="00D471AD" w14:paraId="7418BE5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610"/>
        </w:trPr>
        <w:tc>
          <w:tcPr>
            <w:tcW w:w="1984" w:type="pct"/>
            <w:tcBorders>
              <w:top w:val="nil"/>
              <w:left w:val="nil"/>
              <w:bottom w:val="nil"/>
              <w:right w:val="nil"/>
            </w:tcBorders>
            <w:shd w:val="clear" w:color="auto" w:fill="E4F3F9"/>
          </w:tcPr>
          <w:p w14:paraId="7418BE55" w14:textId="77777777" w:rsidR="00D471AD" w:rsidRPr="00507B05" w:rsidRDefault="00D471AD" w:rsidP="004A31A9">
            <w:pPr>
              <w:pStyle w:val="TableParagraph"/>
              <w:spacing w:before="50"/>
              <w:ind w:left="91"/>
              <w:contextualSpacing/>
              <w:rPr>
                <w:rFonts w:ascii="Arial" w:eastAsia="Arial" w:hAnsi="Arial" w:cs="Arial"/>
                <w:color w:val="44546A" w:themeColor="text2"/>
                <w:sz w:val="14"/>
                <w:szCs w:val="14"/>
              </w:rPr>
            </w:pPr>
            <w:r w:rsidRPr="00507B05">
              <w:rPr>
                <w:rFonts w:ascii="Arial"/>
                <w:i/>
                <w:color w:val="44546A" w:themeColor="text2"/>
                <w:sz w:val="14"/>
              </w:rPr>
              <w:t>Indicators</w:t>
            </w:r>
          </w:p>
        </w:tc>
        <w:tc>
          <w:tcPr>
            <w:tcW w:w="532" w:type="pct"/>
            <w:gridSpan w:val="2"/>
            <w:tcBorders>
              <w:top w:val="nil"/>
              <w:left w:val="nil"/>
              <w:bottom w:val="nil"/>
              <w:right w:val="nil"/>
            </w:tcBorders>
            <w:shd w:val="clear" w:color="auto" w:fill="E4F3F9"/>
          </w:tcPr>
          <w:p w14:paraId="7418BE56" w14:textId="77777777" w:rsidR="00D471AD" w:rsidRPr="00507B05" w:rsidRDefault="00D471AD" w:rsidP="004A31A9">
            <w:pPr>
              <w:pStyle w:val="TableParagraph"/>
              <w:spacing w:before="100" w:beforeAutospacing="1"/>
              <w:ind w:left="205"/>
              <w:contextualSpacing/>
              <w:rPr>
                <w:rFonts w:ascii="Arial" w:eastAsia="Arial" w:hAnsi="Arial" w:cs="Arial"/>
                <w:color w:val="44546A" w:themeColor="text2"/>
                <w:sz w:val="14"/>
                <w:szCs w:val="14"/>
              </w:rPr>
            </w:pPr>
            <w:r w:rsidRPr="00507B05">
              <w:rPr>
                <w:rFonts w:ascii="Arial"/>
                <w:i/>
                <w:color w:val="44546A" w:themeColor="text2"/>
                <w:sz w:val="14"/>
              </w:rPr>
              <w:t>Australia's</w:t>
            </w:r>
            <w:r w:rsidRPr="00507B05">
              <w:rPr>
                <w:rFonts w:ascii="Arial"/>
                <w:i/>
                <w:color w:val="44546A" w:themeColor="text2"/>
                <w:spacing w:val="-1"/>
                <w:sz w:val="14"/>
              </w:rPr>
              <w:t xml:space="preserve"> </w:t>
            </w:r>
            <w:r w:rsidRPr="00507B05">
              <w:rPr>
                <w:rFonts w:ascii="Arial"/>
                <w:i/>
                <w:color w:val="44546A" w:themeColor="text2"/>
                <w:sz w:val="14"/>
              </w:rPr>
              <w:t>score</w:t>
            </w:r>
            <w:r w:rsidRPr="00507B05">
              <w:rPr>
                <w:rFonts w:ascii="Arial"/>
                <w:i/>
                <w:color w:val="44546A" w:themeColor="text2"/>
                <w:spacing w:val="-1"/>
                <w:sz w:val="14"/>
              </w:rPr>
              <w:t xml:space="preserve"> </w:t>
            </w:r>
            <w:r w:rsidRPr="00507B05">
              <w:rPr>
                <w:rFonts w:ascii="Arial"/>
                <w:i/>
                <w:color w:val="44546A" w:themeColor="text2"/>
                <w:sz w:val="14"/>
              </w:rPr>
              <w:t>(iii)</w:t>
            </w:r>
          </w:p>
        </w:tc>
        <w:tc>
          <w:tcPr>
            <w:tcW w:w="579" w:type="pct"/>
            <w:tcBorders>
              <w:top w:val="nil"/>
              <w:left w:val="nil"/>
              <w:bottom w:val="nil"/>
              <w:right w:val="nil"/>
            </w:tcBorders>
            <w:shd w:val="clear" w:color="auto" w:fill="E4F3F9"/>
          </w:tcPr>
          <w:p w14:paraId="7418BE57" w14:textId="77777777" w:rsidR="00D471AD" w:rsidRPr="00507B05" w:rsidRDefault="00D471AD" w:rsidP="004A31A9">
            <w:pPr>
              <w:pStyle w:val="TableParagraph"/>
              <w:spacing w:before="100" w:beforeAutospacing="1"/>
              <w:ind w:left="100"/>
              <w:contextualSpacing/>
              <w:rPr>
                <w:rFonts w:ascii="Arial" w:eastAsia="Arial" w:hAnsi="Arial" w:cs="Arial"/>
                <w:color w:val="44546A" w:themeColor="text2"/>
                <w:sz w:val="14"/>
                <w:szCs w:val="14"/>
              </w:rPr>
            </w:pPr>
            <w:r w:rsidRPr="00507B05">
              <w:rPr>
                <w:rFonts w:ascii="Arial"/>
                <w:i/>
                <w:color w:val="44546A" w:themeColor="text2"/>
                <w:sz w:val="14"/>
              </w:rPr>
              <w:t>OECD+</w:t>
            </w:r>
            <w:r w:rsidRPr="00507B05">
              <w:rPr>
                <w:rFonts w:ascii="Arial"/>
                <w:i/>
                <w:color w:val="44546A" w:themeColor="text2"/>
                <w:spacing w:val="-7"/>
                <w:sz w:val="14"/>
              </w:rPr>
              <w:t xml:space="preserve"> </w:t>
            </w:r>
            <w:r w:rsidRPr="00507B05">
              <w:rPr>
                <w:rFonts w:ascii="Arial"/>
                <w:i/>
                <w:color w:val="44546A" w:themeColor="text2"/>
                <w:spacing w:val="-1"/>
                <w:sz w:val="14"/>
              </w:rPr>
              <w:t xml:space="preserve">Average </w:t>
            </w:r>
            <w:r w:rsidRPr="00507B05">
              <w:rPr>
                <w:rFonts w:ascii="Arial"/>
                <w:i/>
                <w:color w:val="44546A" w:themeColor="text2"/>
                <w:sz w:val="14"/>
              </w:rPr>
              <w:t>(iv)</w:t>
            </w:r>
          </w:p>
        </w:tc>
        <w:tc>
          <w:tcPr>
            <w:tcW w:w="442" w:type="pct"/>
            <w:tcBorders>
              <w:top w:val="nil"/>
              <w:left w:val="nil"/>
              <w:bottom w:val="nil"/>
              <w:right w:val="nil"/>
            </w:tcBorders>
            <w:shd w:val="clear" w:color="auto" w:fill="E4F3F9"/>
          </w:tcPr>
          <w:p w14:paraId="7418BE58" w14:textId="77777777" w:rsidR="00D471AD" w:rsidRPr="00507B05" w:rsidRDefault="00D471AD" w:rsidP="004A31A9">
            <w:pPr>
              <w:pStyle w:val="NoSpacing"/>
              <w:jc w:val="right"/>
              <w:rPr>
                <w:rFonts w:ascii="Arial" w:eastAsia="Arial" w:hAnsi="Arial" w:cs="Arial"/>
                <w:i/>
                <w:color w:val="44546A" w:themeColor="text2"/>
                <w:sz w:val="14"/>
                <w:szCs w:val="14"/>
              </w:rPr>
            </w:pPr>
            <w:r w:rsidRPr="00507B05">
              <w:rPr>
                <w:rFonts w:ascii="Arial" w:hAnsi="Arial" w:cs="Arial"/>
                <w:i/>
                <w:color w:val="44546A" w:themeColor="text2"/>
                <w:sz w:val="14"/>
                <w:szCs w:val="14"/>
              </w:rPr>
              <w:t>OECD+</w:t>
            </w:r>
            <w:r w:rsidRPr="00507B05">
              <w:rPr>
                <w:rFonts w:ascii="Arial" w:hAnsi="Arial" w:cs="Arial"/>
                <w:i/>
                <w:color w:val="44546A" w:themeColor="text2"/>
                <w:spacing w:val="-1"/>
                <w:sz w:val="14"/>
                <w:szCs w:val="14"/>
              </w:rPr>
              <w:t xml:space="preserve"> </w:t>
            </w:r>
            <w:r w:rsidRPr="00507B05">
              <w:rPr>
                <w:rFonts w:ascii="Arial" w:hAnsi="Arial" w:cs="Arial"/>
                <w:i/>
                <w:color w:val="44546A" w:themeColor="text2"/>
                <w:sz w:val="14"/>
                <w:szCs w:val="14"/>
              </w:rPr>
              <w:t>top</w:t>
            </w:r>
            <w:r w:rsidRPr="00507B05">
              <w:rPr>
                <w:rFonts w:ascii="Arial" w:hAnsi="Arial" w:cs="Arial"/>
                <w:i/>
                <w:color w:val="44546A" w:themeColor="text2"/>
                <w:spacing w:val="-1"/>
                <w:sz w:val="14"/>
                <w:szCs w:val="14"/>
              </w:rPr>
              <w:t xml:space="preserve"> </w:t>
            </w:r>
            <w:r w:rsidRPr="00507B05">
              <w:rPr>
                <w:rFonts w:ascii="Arial" w:hAnsi="Arial" w:cs="Arial"/>
                <w:i/>
                <w:color w:val="44546A" w:themeColor="text2"/>
                <w:sz w:val="14"/>
                <w:szCs w:val="14"/>
              </w:rPr>
              <w:t xml:space="preserve">5 </w:t>
            </w:r>
            <w:r w:rsidRPr="00507B05">
              <w:rPr>
                <w:rFonts w:ascii="Arial" w:hAnsi="Arial" w:cs="Arial"/>
                <w:i/>
                <w:color w:val="44546A" w:themeColor="text2"/>
                <w:spacing w:val="-1"/>
                <w:sz w:val="14"/>
                <w:szCs w:val="14"/>
              </w:rPr>
              <w:t>average</w:t>
            </w:r>
            <w:r w:rsidRPr="00507B05">
              <w:rPr>
                <w:rFonts w:ascii="Arial" w:hAnsi="Arial" w:cs="Arial"/>
                <w:i/>
                <w:color w:val="44546A" w:themeColor="text2"/>
                <w:sz w:val="14"/>
                <w:szCs w:val="14"/>
              </w:rPr>
              <w:t xml:space="preserve"> (vi)</w:t>
            </w:r>
          </w:p>
        </w:tc>
        <w:tc>
          <w:tcPr>
            <w:tcW w:w="523" w:type="pct"/>
            <w:tcBorders>
              <w:top w:val="nil"/>
              <w:left w:val="nil"/>
              <w:bottom w:val="nil"/>
              <w:right w:val="nil"/>
            </w:tcBorders>
            <w:shd w:val="clear" w:color="auto" w:fill="E4F3F9"/>
          </w:tcPr>
          <w:p w14:paraId="7418BE59"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Gap from the top 5 OECD+ performers</w:t>
            </w:r>
          </w:p>
          <w:p w14:paraId="7418BE5A"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(per cent) (vii)</w:t>
            </w:r>
          </w:p>
        </w:tc>
        <w:tc>
          <w:tcPr>
            <w:tcW w:w="470" w:type="pct"/>
            <w:tcBorders>
              <w:top w:val="nil"/>
              <w:left w:val="nil"/>
              <w:bottom w:val="nil"/>
              <w:right w:val="nil"/>
            </w:tcBorders>
            <w:shd w:val="clear" w:color="auto" w:fill="E4F3F9"/>
          </w:tcPr>
          <w:p w14:paraId="7418BE5B"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Ranking against OECD+ countries</w:t>
            </w:r>
          </w:p>
          <w:p w14:paraId="7418BE5C"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(viii)</w:t>
            </w:r>
          </w:p>
        </w:tc>
        <w:tc>
          <w:tcPr>
            <w:tcW w:w="470" w:type="pct"/>
            <w:gridSpan w:val="2"/>
            <w:tcBorders>
              <w:top w:val="nil"/>
              <w:left w:val="nil"/>
              <w:bottom w:val="nil"/>
              <w:right w:val="nil"/>
            </w:tcBorders>
            <w:shd w:val="clear" w:color="auto" w:fill="E4F3F9"/>
          </w:tcPr>
          <w:p w14:paraId="7418BE5D"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Year of OECD+ comparison</w:t>
            </w:r>
          </w:p>
        </w:tc>
      </w:tr>
      <w:tr w:rsidR="00D471AD" w:rsidRPr="005015FA" w14:paraId="7418BE6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E5F"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Financing through local equity market, score ranges from 1-7 (best)</w:t>
            </w:r>
            <w:r w:rsidRPr="00507B05">
              <w:rPr>
                <w:rFonts w:ascii="Arial Unicode MS" w:eastAsia="Arial Unicode MS" w:hAnsi="Arial Unicode MS" w:cs="Arial Unicode MS"/>
                <w:color w:val="44546A" w:themeColor="text2"/>
                <w:sz w:val="14"/>
              </w:rPr>
              <w:t>¹⁵</w:t>
            </w:r>
          </w:p>
        </w:tc>
        <w:tc>
          <w:tcPr>
            <w:tcW w:w="532" w:type="pct"/>
            <w:gridSpan w:val="2"/>
            <w:tcBorders>
              <w:top w:val="nil"/>
              <w:left w:val="nil"/>
              <w:bottom w:val="nil"/>
              <w:right w:val="nil"/>
            </w:tcBorders>
            <w:shd w:val="clear" w:color="auto" w:fill="D5ECF5"/>
          </w:tcPr>
          <w:p w14:paraId="7418BE60"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5.06</w:t>
            </w:r>
          </w:p>
        </w:tc>
        <w:tc>
          <w:tcPr>
            <w:tcW w:w="579" w:type="pct"/>
            <w:tcBorders>
              <w:top w:val="nil"/>
              <w:left w:val="nil"/>
              <w:bottom w:val="nil"/>
              <w:right w:val="nil"/>
            </w:tcBorders>
            <w:shd w:val="clear" w:color="auto" w:fill="D5ECF5"/>
          </w:tcPr>
          <w:p w14:paraId="7418BE61"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4.43</w:t>
            </w:r>
          </w:p>
        </w:tc>
        <w:tc>
          <w:tcPr>
            <w:tcW w:w="442" w:type="pct"/>
            <w:tcBorders>
              <w:top w:val="nil"/>
              <w:left w:val="nil"/>
              <w:bottom w:val="nil"/>
              <w:right w:val="nil"/>
            </w:tcBorders>
            <w:shd w:val="clear" w:color="auto" w:fill="D5ECF5"/>
          </w:tcPr>
          <w:p w14:paraId="7418BE6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5.60</w:t>
            </w:r>
          </w:p>
        </w:tc>
        <w:tc>
          <w:tcPr>
            <w:tcW w:w="523" w:type="pct"/>
            <w:tcBorders>
              <w:top w:val="nil"/>
              <w:left w:val="nil"/>
              <w:bottom w:val="nil"/>
              <w:right w:val="nil"/>
            </w:tcBorders>
            <w:shd w:val="clear" w:color="auto" w:fill="D5ECF5"/>
          </w:tcPr>
          <w:p w14:paraId="7418BE6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10</w:t>
            </w:r>
          </w:p>
        </w:tc>
        <w:tc>
          <w:tcPr>
            <w:tcW w:w="470" w:type="pct"/>
            <w:tcBorders>
              <w:top w:val="nil"/>
              <w:left w:val="nil"/>
              <w:bottom w:val="nil"/>
              <w:right w:val="nil"/>
            </w:tcBorders>
            <w:shd w:val="clear" w:color="auto" w:fill="D5ECF5"/>
          </w:tcPr>
          <w:p w14:paraId="7418BE6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12th of 38</w:t>
            </w:r>
          </w:p>
        </w:tc>
        <w:tc>
          <w:tcPr>
            <w:tcW w:w="470" w:type="pct"/>
            <w:gridSpan w:val="2"/>
            <w:tcBorders>
              <w:top w:val="nil"/>
              <w:left w:val="nil"/>
              <w:bottom w:val="nil"/>
              <w:right w:val="nil"/>
            </w:tcBorders>
            <w:shd w:val="clear" w:color="auto" w:fill="D5ECF5"/>
          </w:tcPr>
          <w:p w14:paraId="7418BE65"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2016</w:t>
            </w:r>
          </w:p>
        </w:tc>
      </w:tr>
      <w:tr w:rsidR="00D471AD" w:rsidRPr="005015FA" w14:paraId="7418BE6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E67"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Ease of access to loans, score ranges from 1-7 (best)</w:t>
            </w:r>
            <w:r w:rsidRPr="00507B05">
              <w:rPr>
                <w:rFonts w:ascii="Arial Unicode MS" w:eastAsia="Arial Unicode MS" w:hAnsi="Arial Unicode MS" w:cs="Arial Unicode MS"/>
                <w:color w:val="44546A" w:themeColor="text2"/>
                <w:sz w:val="14"/>
              </w:rPr>
              <w:t>¹⁵</w:t>
            </w:r>
          </w:p>
        </w:tc>
        <w:tc>
          <w:tcPr>
            <w:tcW w:w="532" w:type="pct"/>
            <w:gridSpan w:val="2"/>
            <w:tcBorders>
              <w:top w:val="nil"/>
              <w:left w:val="nil"/>
              <w:bottom w:val="nil"/>
              <w:right w:val="nil"/>
            </w:tcBorders>
            <w:shd w:val="clear" w:color="auto" w:fill="E4F3F9"/>
          </w:tcPr>
          <w:p w14:paraId="7418BE68"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5.08</w:t>
            </w:r>
          </w:p>
        </w:tc>
        <w:tc>
          <w:tcPr>
            <w:tcW w:w="579" w:type="pct"/>
            <w:tcBorders>
              <w:top w:val="nil"/>
              <w:left w:val="nil"/>
              <w:bottom w:val="nil"/>
              <w:right w:val="nil"/>
            </w:tcBorders>
            <w:shd w:val="clear" w:color="auto" w:fill="E4F3F9"/>
          </w:tcPr>
          <w:p w14:paraId="7418BE69"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4.46</w:t>
            </w:r>
          </w:p>
        </w:tc>
        <w:tc>
          <w:tcPr>
            <w:tcW w:w="442" w:type="pct"/>
            <w:tcBorders>
              <w:top w:val="nil"/>
              <w:left w:val="nil"/>
              <w:bottom w:val="nil"/>
              <w:right w:val="nil"/>
            </w:tcBorders>
            <w:shd w:val="clear" w:color="auto" w:fill="E4F3F9"/>
          </w:tcPr>
          <w:p w14:paraId="7418BE6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5.46</w:t>
            </w:r>
          </w:p>
        </w:tc>
        <w:tc>
          <w:tcPr>
            <w:tcW w:w="523" w:type="pct"/>
            <w:tcBorders>
              <w:top w:val="nil"/>
              <w:left w:val="nil"/>
              <w:bottom w:val="nil"/>
              <w:right w:val="nil"/>
            </w:tcBorders>
            <w:shd w:val="clear" w:color="auto" w:fill="E4F3F9"/>
          </w:tcPr>
          <w:p w14:paraId="7418BE6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7</w:t>
            </w:r>
          </w:p>
        </w:tc>
        <w:tc>
          <w:tcPr>
            <w:tcW w:w="470" w:type="pct"/>
            <w:tcBorders>
              <w:top w:val="nil"/>
              <w:left w:val="nil"/>
              <w:bottom w:val="nil"/>
              <w:right w:val="nil"/>
            </w:tcBorders>
            <w:shd w:val="clear" w:color="auto" w:fill="E4F3F9"/>
          </w:tcPr>
          <w:p w14:paraId="7418BE6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11th of 38</w:t>
            </w:r>
          </w:p>
        </w:tc>
        <w:tc>
          <w:tcPr>
            <w:tcW w:w="470" w:type="pct"/>
            <w:gridSpan w:val="2"/>
            <w:tcBorders>
              <w:top w:val="nil"/>
              <w:left w:val="nil"/>
              <w:bottom w:val="nil"/>
              <w:right w:val="nil"/>
            </w:tcBorders>
            <w:shd w:val="clear" w:color="auto" w:fill="E4F3F9"/>
          </w:tcPr>
          <w:p w14:paraId="7418BE6D"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2016</w:t>
            </w:r>
          </w:p>
        </w:tc>
      </w:tr>
      <w:tr w:rsidR="00D471AD" w:rsidRPr="005015FA" w14:paraId="7418BE7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E6F"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Venture capital availability, score ranges from 1-7 (best)</w:t>
            </w:r>
            <w:r w:rsidRPr="00507B05">
              <w:rPr>
                <w:rFonts w:ascii="Arial Unicode MS" w:eastAsia="Arial Unicode MS" w:hAnsi="Arial Unicode MS" w:cs="Arial Unicode MS"/>
                <w:color w:val="44546A" w:themeColor="text2"/>
                <w:sz w:val="14"/>
              </w:rPr>
              <w:t>¹⁵</w:t>
            </w:r>
          </w:p>
        </w:tc>
        <w:tc>
          <w:tcPr>
            <w:tcW w:w="532" w:type="pct"/>
            <w:gridSpan w:val="2"/>
            <w:tcBorders>
              <w:top w:val="nil"/>
              <w:left w:val="nil"/>
              <w:bottom w:val="nil"/>
              <w:right w:val="nil"/>
            </w:tcBorders>
            <w:shd w:val="clear" w:color="auto" w:fill="D5ECF5"/>
          </w:tcPr>
          <w:p w14:paraId="7418BE70"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3.16</w:t>
            </w:r>
          </w:p>
        </w:tc>
        <w:tc>
          <w:tcPr>
            <w:tcW w:w="579" w:type="pct"/>
            <w:tcBorders>
              <w:top w:val="nil"/>
              <w:left w:val="nil"/>
              <w:bottom w:val="nil"/>
              <w:right w:val="nil"/>
            </w:tcBorders>
            <w:shd w:val="clear" w:color="auto" w:fill="D5ECF5"/>
          </w:tcPr>
          <w:p w14:paraId="7418BE71"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3.50</w:t>
            </w:r>
          </w:p>
        </w:tc>
        <w:tc>
          <w:tcPr>
            <w:tcW w:w="442" w:type="pct"/>
            <w:tcBorders>
              <w:top w:val="nil"/>
              <w:left w:val="nil"/>
              <w:bottom w:val="nil"/>
              <w:right w:val="nil"/>
            </w:tcBorders>
            <w:shd w:val="clear" w:color="auto" w:fill="D5ECF5"/>
          </w:tcPr>
          <w:p w14:paraId="7418BE7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4.66</w:t>
            </w:r>
          </w:p>
        </w:tc>
        <w:tc>
          <w:tcPr>
            <w:tcW w:w="523" w:type="pct"/>
            <w:tcBorders>
              <w:top w:val="nil"/>
              <w:left w:val="nil"/>
              <w:bottom w:val="nil"/>
              <w:right w:val="nil"/>
            </w:tcBorders>
            <w:shd w:val="clear" w:color="auto" w:fill="D5ECF5"/>
          </w:tcPr>
          <w:p w14:paraId="7418BE7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32</w:t>
            </w:r>
          </w:p>
        </w:tc>
        <w:tc>
          <w:tcPr>
            <w:tcW w:w="470" w:type="pct"/>
            <w:tcBorders>
              <w:top w:val="nil"/>
              <w:left w:val="nil"/>
              <w:bottom w:val="nil"/>
              <w:right w:val="nil"/>
            </w:tcBorders>
            <w:shd w:val="clear" w:color="auto" w:fill="D5ECF5"/>
          </w:tcPr>
          <w:p w14:paraId="7418BE7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25th of 38</w:t>
            </w:r>
          </w:p>
        </w:tc>
        <w:tc>
          <w:tcPr>
            <w:tcW w:w="470" w:type="pct"/>
            <w:gridSpan w:val="2"/>
            <w:tcBorders>
              <w:top w:val="nil"/>
              <w:left w:val="nil"/>
              <w:bottom w:val="nil"/>
              <w:right w:val="nil"/>
            </w:tcBorders>
            <w:shd w:val="clear" w:color="auto" w:fill="D5ECF5"/>
          </w:tcPr>
          <w:p w14:paraId="7418BE75"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2016</w:t>
            </w:r>
          </w:p>
        </w:tc>
      </w:tr>
      <w:tr w:rsidR="00D471AD" w:rsidRPr="005015FA" w14:paraId="7418BE7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E77"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Venture capital investments, % of GDP</w:t>
            </w:r>
            <w:r w:rsidRPr="00507B05">
              <w:rPr>
                <w:rFonts w:ascii="Arial Unicode MS" w:eastAsia="Arial Unicode MS" w:hAnsi="Arial Unicode MS" w:cs="Arial Unicode MS"/>
                <w:color w:val="44546A" w:themeColor="text2"/>
                <w:sz w:val="14"/>
              </w:rPr>
              <w:t>¹⁷ ¹⁸</w:t>
            </w:r>
          </w:p>
        </w:tc>
        <w:tc>
          <w:tcPr>
            <w:tcW w:w="532" w:type="pct"/>
            <w:gridSpan w:val="2"/>
            <w:tcBorders>
              <w:top w:val="nil"/>
              <w:left w:val="nil"/>
              <w:bottom w:val="nil"/>
              <w:right w:val="nil"/>
            </w:tcBorders>
            <w:shd w:val="clear" w:color="auto" w:fill="E4F3F9"/>
          </w:tcPr>
          <w:p w14:paraId="7418BE78"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0.023</w:t>
            </w:r>
          </w:p>
        </w:tc>
        <w:tc>
          <w:tcPr>
            <w:tcW w:w="579" w:type="pct"/>
            <w:tcBorders>
              <w:top w:val="nil"/>
              <w:left w:val="nil"/>
              <w:bottom w:val="nil"/>
              <w:right w:val="nil"/>
            </w:tcBorders>
            <w:shd w:val="clear" w:color="auto" w:fill="E4F3F9"/>
          </w:tcPr>
          <w:p w14:paraId="7418BE79"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0.049</w:t>
            </w:r>
          </w:p>
        </w:tc>
        <w:tc>
          <w:tcPr>
            <w:tcW w:w="442" w:type="pct"/>
            <w:tcBorders>
              <w:top w:val="nil"/>
              <w:left w:val="nil"/>
              <w:bottom w:val="nil"/>
              <w:right w:val="nil"/>
            </w:tcBorders>
            <w:shd w:val="clear" w:color="auto" w:fill="E4F3F9"/>
          </w:tcPr>
          <w:p w14:paraId="7418BE7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0.192</w:t>
            </w:r>
          </w:p>
        </w:tc>
        <w:tc>
          <w:tcPr>
            <w:tcW w:w="523" w:type="pct"/>
            <w:tcBorders>
              <w:top w:val="nil"/>
              <w:left w:val="nil"/>
              <w:bottom w:val="nil"/>
              <w:right w:val="nil"/>
            </w:tcBorders>
            <w:shd w:val="clear" w:color="auto" w:fill="E4F3F9"/>
          </w:tcPr>
          <w:p w14:paraId="7418BE7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88</w:t>
            </w:r>
          </w:p>
        </w:tc>
        <w:tc>
          <w:tcPr>
            <w:tcW w:w="470" w:type="pct"/>
            <w:tcBorders>
              <w:top w:val="nil"/>
              <w:left w:val="nil"/>
              <w:bottom w:val="nil"/>
              <w:right w:val="nil"/>
            </w:tcBorders>
            <w:shd w:val="clear" w:color="auto" w:fill="E4F3F9"/>
          </w:tcPr>
          <w:p w14:paraId="7418BE7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18th of 30</w:t>
            </w:r>
          </w:p>
        </w:tc>
        <w:tc>
          <w:tcPr>
            <w:tcW w:w="470" w:type="pct"/>
            <w:gridSpan w:val="2"/>
            <w:tcBorders>
              <w:top w:val="nil"/>
              <w:left w:val="nil"/>
              <w:bottom w:val="nil"/>
              <w:right w:val="nil"/>
            </w:tcBorders>
            <w:shd w:val="clear" w:color="auto" w:fill="E4F3F9"/>
          </w:tcPr>
          <w:p w14:paraId="7418BE7D"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2015</w:t>
            </w:r>
          </w:p>
        </w:tc>
      </w:tr>
      <w:tr w:rsidR="00D471AD" w:rsidRPr="005015FA" w14:paraId="7418BE8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E7F"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Early stage venture capital investment, % of GDP</w:t>
            </w:r>
            <w:r w:rsidRPr="00507B05">
              <w:rPr>
                <w:rFonts w:ascii="Arial Unicode MS" w:eastAsia="Arial Unicode MS" w:hAnsi="Arial Unicode MS" w:cs="Arial Unicode MS"/>
                <w:color w:val="44546A" w:themeColor="text2"/>
                <w:sz w:val="14"/>
              </w:rPr>
              <w:t>¹⁷ ¹⁸</w:t>
            </w:r>
          </w:p>
        </w:tc>
        <w:tc>
          <w:tcPr>
            <w:tcW w:w="532" w:type="pct"/>
            <w:gridSpan w:val="2"/>
            <w:tcBorders>
              <w:top w:val="nil"/>
              <w:left w:val="nil"/>
              <w:bottom w:val="nil"/>
              <w:right w:val="nil"/>
            </w:tcBorders>
            <w:shd w:val="clear" w:color="auto" w:fill="D5ECF5"/>
          </w:tcPr>
          <w:p w14:paraId="7418BE80"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0.010</w:t>
            </w:r>
          </w:p>
        </w:tc>
        <w:tc>
          <w:tcPr>
            <w:tcW w:w="579" w:type="pct"/>
            <w:tcBorders>
              <w:top w:val="nil"/>
              <w:left w:val="nil"/>
              <w:bottom w:val="nil"/>
              <w:right w:val="nil"/>
            </w:tcBorders>
            <w:shd w:val="clear" w:color="auto" w:fill="D5ECF5"/>
          </w:tcPr>
          <w:p w14:paraId="7418BE81"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0.029</w:t>
            </w:r>
          </w:p>
        </w:tc>
        <w:tc>
          <w:tcPr>
            <w:tcW w:w="442" w:type="pct"/>
            <w:tcBorders>
              <w:top w:val="nil"/>
              <w:left w:val="nil"/>
              <w:bottom w:val="nil"/>
              <w:right w:val="nil"/>
            </w:tcBorders>
            <w:shd w:val="clear" w:color="auto" w:fill="D5ECF5"/>
          </w:tcPr>
          <w:p w14:paraId="7418BE8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0.107</w:t>
            </w:r>
          </w:p>
        </w:tc>
        <w:tc>
          <w:tcPr>
            <w:tcW w:w="523" w:type="pct"/>
            <w:tcBorders>
              <w:top w:val="nil"/>
              <w:left w:val="nil"/>
              <w:bottom w:val="nil"/>
              <w:right w:val="nil"/>
            </w:tcBorders>
            <w:shd w:val="clear" w:color="auto" w:fill="D5ECF5"/>
          </w:tcPr>
          <w:p w14:paraId="7418BE8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91</w:t>
            </w:r>
          </w:p>
        </w:tc>
        <w:tc>
          <w:tcPr>
            <w:tcW w:w="470" w:type="pct"/>
            <w:tcBorders>
              <w:top w:val="nil"/>
              <w:left w:val="nil"/>
              <w:bottom w:val="nil"/>
              <w:right w:val="nil"/>
            </w:tcBorders>
            <w:shd w:val="clear" w:color="auto" w:fill="D5ECF5"/>
          </w:tcPr>
          <w:p w14:paraId="7418BE8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20th of 28</w:t>
            </w:r>
          </w:p>
        </w:tc>
        <w:tc>
          <w:tcPr>
            <w:tcW w:w="470" w:type="pct"/>
            <w:gridSpan w:val="2"/>
            <w:tcBorders>
              <w:top w:val="nil"/>
              <w:left w:val="nil"/>
              <w:bottom w:val="nil"/>
              <w:right w:val="nil"/>
            </w:tcBorders>
            <w:shd w:val="clear" w:color="auto" w:fill="D5ECF5"/>
          </w:tcPr>
          <w:p w14:paraId="7418BE85"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2015</w:t>
            </w:r>
          </w:p>
        </w:tc>
      </w:tr>
      <w:tr w:rsidR="00D471AD" w:rsidRPr="005015FA" w14:paraId="7418BE8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E87"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Later Stage Private Equity investment, % of GDP</w:t>
            </w:r>
            <w:r w:rsidRPr="00507B05">
              <w:rPr>
                <w:rFonts w:ascii="Arial Unicode MS" w:eastAsia="Arial Unicode MS" w:hAnsi="Arial Unicode MS" w:cs="Arial Unicode MS"/>
                <w:color w:val="44546A" w:themeColor="text2"/>
                <w:sz w:val="14"/>
              </w:rPr>
              <w:t>¹⁷ ¹⁸</w:t>
            </w:r>
          </w:p>
        </w:tc>
        <w:tc>
          <w:tcPr>
            <w:tcW w:w="532" w:type="pct"/>
            <w:gridSpan w:val="2"/>
            <w:tcBorders>
              <w:top w:val="nil"/>
              <w:left w:val="nil"/>
              <w:bottom w:val="nil"/>
              <w:right w:val="nil"/>
            </w:tcBorders>
            <w:shd w:val="clear" w:color="auto" w:fill="E4F3F9"/>
          </w:tcPr>
          <w:p w14:paraId="7418BE88"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0.014</w:t>
            </w:r>
          </w:p>
        </w:tc>
        <w:tc>
          <w:tcPr>
            <w:tcW w:w="579" w:type="pct"/>
            <w:tcBorders>
              <w:top w:val="nil"/>
              <w:left w:val="nil"/>
              <w:bottom w:val="nil"/>
              <w:right w:val="nil"/>
            </w:tcBorders>
            <w:shd w:val="clear" w:color="auto" w:fill="E4F3F9"/>
          </w:tcPr>
          <w:p w14:paraId="7418BE89"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0.02</w:t>
            </w:r>
          </w:p>
        </w:tc>
        <w:tc>
          <w:tcPr>
            <w:tcW w:w="442" w:type="pct"/>
            <w:tcBorders>
              <w:top w:val="nil"/>
              <w:left w:val="nil"/>
              <w:bottom w:val="nil"/>
              <w:right w:val="nil"/>
            </w:tcBorders>
            <w:shd w:val="clear" w:color="auto" w:fill="E4F3F9"/>
          </w:tcPr>
          <w:p w14:paraId="7418BE8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0.082</w:t>
            </w:r>
          </w:p>
        </w:tc>
        <w:tc>
          <w:tcPr>
            <w:tcW w:w="523" w:type="pct"/>
            <w:tcBorders>
              <w:top w:val="nil"/>
              <w:left w:val="nil"/>
              <w:bottom w:val="nil"/>
              <w:right w:val="nil"/>
            </w:tcBorders>
            <w:shd w:val="clear" w:color="auto" w:fill="E4F3F9"/>
          </w:tcPr>
          <w:p w14:paraId="7418BE8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83</w:t>
            </w:r>
          </w:p>
        </w:tc>
        <w:tc>
          <w:tcPr>
            <w:tcW w:w="470" w:type="pct"/>
            <w:tcBorders>
              <w:top w:val="nil"/>
              <w:left w:val="nil"/>
              <w:bottom w:val="nil"/>
              <w:right w:val="nil"/>
            </w:tcBorders>
            <w:shd w:val="clear" w:color="auto" w:fill="E4F3F9"/>
          </w:tcPr>
          <w:p w14:paraId="7418BE8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10th of 28</w:t>
            </w:r>
          </w:p>
        </w:tc>
        <w:tc>
          <w:tcPr>
            <w:tcW w:w="470" w:type="pct"/>
            <w:gridSpan w:val="2"/>
            <w:tcBorders>
              <w:top w:val="nil"/>
              <w:left w:val="nil"/>
              <w:bottom w:val="nil"/>
              <w:right w:val="nil"/>
            </w:tcBorders>
            <w:shd w:val="clear" w:color="auto" w:fill="E4F3F9"/>
          </w:tcPr>
          <w:p w14:paraId="7418BE8D"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2015</w:t>
            </w:r>
          </w:p>
        </w:tc>
      </w:tr>
      <w:tr w:rsidR="00D471AD" w:rsidRPr="005015FA" w14:paraId="7418BE9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E8F"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Market capitalization of listed companies, % of GDP</w:t>
            </w:r>
            <w:r w:rsidRPr="00507B05">
              <w:rPr>
                <w:rFonts w:ascii="Arial Unicode MS" w:eastAsia="Arial Unicode MS" w:hAnsi="Arial Unicode MS" w:cs="Arial Unicode MS"/>
                <w:color w:val="44546A" w:themeColor="text2"/>
                <w:sz w:val="14"/>
              </w:rPr>
              <w:t>¹⁹</w:t>
            </w:r>
          </w:p>
        </w:tc>
        <w:tc>
          <w:tcPr>
            <w:tcW w:w="532" w:type="pct"/>
            <w:gridSpan w:val="2"/>
            <w:tcBorders>
              <w:top w:val="nil"/>
              <w:left w:val="nil"/>
              <w:bottom w:val="nil"/>
              <w:right w:val="nil"/>
            </w:tcBorders>
            <w:shd w:val="clear" w:color="auto" w:fill="D5ECF5"/>
          </w:tcPr>
          <w:p w14:paraId="7418BE90"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88.6</w:t>
            </w:r>
          </w:p>
        </w:tc>
        <w:tc>
          <w:tcPr>
            <w:tcW w:w="579" w:type="pct"/>
            <w:tcBorders>
              <w:top w:val="nil"/>
              <w:left w:val="nil"/>
              <w:bottom w:val="nil"/>
              <w:right w:val="nil"/>
            </w:tcBorders>
            <w:shd w:val="clear" w:color="auto" w:fill="D5ECF5"/>
          </w:tcPr>
          <w:p w14:paraId="7418BE91"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75.6</w:t>
            </w:r>
          </w:p>
        </w:tc>
        <w:tc>
          <w:tcPr>
            <w:tcW w:w="442" w:type="pct"/>
            <w:tcBorders>
              <w:top w:val="nil"/>
              <w:left w:val="nil"/>
              <w:bottom w:val="nil"/>
              <w:right w:val="nil"/>
            </w:tcBorders>
            <w:shd w:val="clear" w:color="auto" w:fill="D5ECF5"/>
          </w:tcPr>
          <w:p w14:paraId="7418BE9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162.0</w:t>
            </w:r>
          </w:p>
        </w:tc>
        <w:tc>
          <w:tcPr>
            <w:tcW w:w="523" w:type="pct"/>
            <w:tcBorders>
              <w:top w:val="nil"/>
              <w:left w:val="nil"/>
              <w:bottom w:val="nil"/>
              <w:right w:val="nil"/>
            </w:tcBorders>
            <w:shd w:val="clear" w:color="auto" w:fill="D5ECF5"/>
          </w:tcPr>
          <w:p w14:paraId="7418BE9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45</w:t>
            </w:r>
          </w:p>
        </w:tc>
        <w:tc>
          <w:tcPr>
            <w:tcW w:w="470" w:type="pct"/>
            <w:tcBorders>
              <w:top w:val="nil"/>
              <w:left w:val="nil"/>
              <w:bottom w:val="nil"/>
              <w:right w:val="nil"/>
            </w:tcBorders>
            <w:shd w:val="clear" w:color="auto" w:fill="D5ECF5"/>
          </w:tcPr>
          <w:p w14:paraId="7418BE9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9th of 27</w:t>
            </w:r>
          </w:p>
        </w:tc>
        <w:tc>
          <w:tcPr>
            <w:tcW w:w="470" w:type="pct"/>
            <w:gridSpan w:val="2"/>
            <w:tcBorders>
              <w:top w:val="nil"/>
              <w:left w:val="nil"/>
              <w:bottom w:val="nil"/>
              <w:right w:val="nil"/>
            </w:tcBorders>
            <w:shd w:val="clear" w:color="auto" w:fill="D5ECF5"/>
          </w:tcPr>
          <w:p w14:paraId="7418BE95"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2015</w:t>
            </w:r>
          </w:p>
        </w:tc>
      </w:tr>
      <w:tr w:rsidR="00D471AD" w:rsidRPr="005015FA" w14:paraId="7418BE9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E97"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Stocks traded, total value, billion, current US$</w:t>
            </w:r>
            <w:r w:rsidRPr="00507B05">
              <w:rPr>
                <w:rFonts w:ascii="Arial Unicode MS" w:eastAsia="Arial Unicode MS" w:hAnsi="Arial Unicode MS" w:cs="Arial Unicode MS"/>
                <w:color w:val="44546A" w:themeColor="text2"/>
                <w:sz w:val="14"/>
              </w:rPr>
              <w:t>¹⁹</w:t>
            </w:r>
          </w:p>
        </w:tc>
        <w:tc>
          <w:tcPr>
            <w:tcW w:w="532" w:type="pct"/>
            <w:gridSpan w:val="2"/>
            <w:tcBorders>
              <w:top w:val="nil"/>
              <w:left w:val="nil"/>
              <w:bottom w:val="nil"/>
              <w:right w:val="nil"/>
            </w:tcBorders>
            <w:shd w:val="clear" w:color="auto" w:fill="E4F3F9"/>
          </w:tcPr>
          <w:p w14:paraId="7418BE98"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751</w:t>
            </w:r>
          </w:p>
        </w:tc>
        <w:tc>
          <w:tcPr>
            <w:tcW w:w="579" w:type="pct"/>
            <w:tcBorders>
              <w:top w:val="nil"/>
              <w:left w:val="nil"/>
              <w:bottom w:val="nil"/>
              <w:right w:val="nil"/>
            </w:tcBorders>
            <w:shd w:val="clear" w:color="auto" w:fill="E4F3F9"/>
          </w:tcPr>
          <w:p w14:paraId="7418BE99"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4,100</w:t>
            </w:r>
          </w:p>
        </w:tc>
        <w:tc>
          <w:tcPr>
            <w:tcW w:w="442" w:type="pct"/>
            <w:tcBorders>
              <w:top w:val="nil"/>
              <w:left w:val="nil"/>
              <w:bottom w:val="nil"/>
              <w:right w:val="nil"/>
            </w:tcBorders>
            <w:shd w:val="clear" w:color="auto" w:fill="E4F3F9"/>
          </w:tcPr>
          <w:p w14:paraId="7418BE9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17,910</w:t>
            </w:r>
          </w:p>
        </w:tc>
        <w:tc>
          <w:tcPr>
            <w:tcW w:w="523" w:type="pct"/>
            <w:tcBorders>
              <w:top w:val="nil"/>
              <w:left w:val="nil"/>
              <w:bottom w:val="nil"/>
              <w:right w:val="nil"/>
            </w:tcBorders>
            <w:shd w:val="clear" w:color="auto" w:fill="E4F3F9"/>
          </w:tcPr>
          <w:p w14:paraId="7418BE9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96</w:t>
            </w:r>
          </w:p>
        </w:tc>
        <w:tc>
          <w:tcPr>
            <w:tcW w:w="470" w:type="pct"/>
            <w:tcBorders>
              <w:top w:val="nil"/>
              <w:left w:val="nil"/>
              <w:bottom w:val="nil"/>
              <w:right w:val="nil"/>
            </w:tcBorders>
            <w:shd w:val="clear" w:color="auto" w:fill="E4F3F9"/>
          </w:tcPr>
          <w:p w14:paraId="7418BE9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9th of 23</w:t>
            </w:r>
          </w:p>
        </w:tc>
        <w:tc>
          <w:tcPr>
            <w:tcW w:w="470" w:type="pct"/>
            <w:gridSpan w:val="2"/>
            <w:tcBorders>
              <w:top w:val="nil"/>
              <w:left w:val="nil"/>
              <w:bottom w:val="nil"/>
              <w:right w:val="nil"/>
            </w:tcBorders>
            <w:shd w:val="clear" w:color="auto" w:fill="E4F3F9"/>
          </w:tcPr>
          <w:p w14:paraId="7418BE9D"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2015</w:t>
            </w:r>
          </w:p>
        </w:tc>
      </w:tr>
      <w:tr w:rsidR="00D471AD" w:rsidRPr="005015FA" w14:paraId="7418BEA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E9F"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Stocks traded, total value, % of GDP</w:t>
            </w:r>
            <w:r w:rsidRPr="00507B05">
              <w:rPr>
                <w:rFonts w:ascii="Arial Unicode MS" w:eastAsia="Arial Unicode MS" w:hAnsi="Arial Unicode MS" w:cs="Arial Unicode MS"/>
                <w:color w:val="44546A" w:themeColor="text2"/>
                <w:sz w:val="14"/>
              </w:rPr>
              <w:t>¹⁹</w:t>
            </w:r>
          </w:p>
        </w:tc>
        <w:tc>
          <w:tcPr>
            <w:tcW w:w="532" w:type="pct"/>
            <w:gridSpan w:val="2"/>
            <w:tcBorders>
              <w:top w:val="nil"/>
              <w:left w:val="nil"/>
              <w:bottom w:val="nil"/>
              <w:right w:val="nil"/>
            </w:tcBorders>
            <w:shd w:val="clear" w:color="auto" w:fill="D5ECF5"/>
          </w:tcPr>
          <w:p w14:paraId="7418BEA0"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56.0</w:t>
            </w:r>
          </w:p>
        </w:tc>
        <w:tc>
          <w:tcPr>
            <w:tcW w:w="579" w:type="pct"/>
            <w:tcBorders>
              <w:top w:val="nil"/>
              <w:left w:val="nil"/>
              <w:bottom w:val="nil"/>
              <w:right w:val="nil"/>
            </w:tcBorders>
            <w:shd w:val="clear" w:color="auto" w:fill="D5ECF5"/>
          </w:tcPr>
          <w:p w14:paraId="7418BEA1"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64.5</w:t>
            </w:r>
          </w:p>
        </w:tc>
        <w:tc>
          <w:tcPr>
            <w:tcW w:w="442" w:type="pct"/>
            <w:tcBorders>
              <w:top w:val="nil"/>
              <w:left w:val="nil"/>
              <w:bottom w:val="nil"/>
              <w:right w:val="nil"/>
            </w:tcBorders>
            <w:shd w:val="clear" w:color="auto" w:fill="D5ECF5"/>
          </w:tcPr>
          <w:p w14:paraId="7418BEA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201.2</w:t>
            </w:r>
          </w:p>
        </w:tc>
        <w:tc>
          <w:tcPr>
            <w:tcW w:w="523" w:type="pct"/>
            <w:tcBorders>
              <w:top w:val="nil"/>
              <w:left w:val="nil"/>
              <w:bottom w:val="nil"/>
              <w:right w:val="nil"/>
            </w:tcBorders>
            <w:shd w:val="clear" w:color="auto" w:fill="D5ECF5"/>
          </w:tcPr>
          <w:p w14:paraId="7418BEA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72</w:t>
            </w:r>
          </w:p>
        </w:tc>
        <w:tc>
          <w:tcPr>
            <w:tcW w:w="470" w:type="pct"/>
            <w:tcBorders>
              <w:top w:val="nil"/>
              <w:left w:val="nil"/>
              <w:bottom w:val="nil"/>
              <w:right w:val="nil"/>
            </w:tcBorders>
            <w:shd w:val="clear" w:color="auto" w:fill="D5ECF5"/>
          </w:tcPr>
          <w:p w14:paraId="7418BEA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9th of 23</w:t>
            </w:r>
          </w:p>
        </w:tc>
        <w:tc>
          <w:tcPr>
            <w:tcW w:w="470" w:type="pct"/>
            <w:gridSpan w:val="2"/>
            <w:tcBorders>
              <w:top w:val="nil"/>
              <w:left w:val="nil"/>
              <w:bottom w:val="nil"/>
              <w:right w:val="nil"/>
            </w:tcBorders>
            <w:shd w:val="clear" w:color="auto" w:fill="D5ECF5"/>
          </w:tcPr>
          <w:p w14:paraId="7418BEA5"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2015</w:t>
            </w:r>
          </w:p>
        </w:tc>
      </w:tr>
      <w:tr w:rsidR="00D471AD" w:rsidRPr="005015FA" w14:paraId="7418BEA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EA7"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Stocks traded, turnover ratio, %</w:t>
            </w:r>
            <w:r w:rsidRPr="00507B05">
              <w:rPr>
                <w:rFonts w:ascii="Arial Unicode MS" w:eastAsia="Arial Unicode MS" w:hAnsi="Arial Unicode MS" w:cs="Arial Unicode MS"/>
                <w:color w:val="44546A" w:themeColor="text2"/>
                <w:sz w:val="14"/>
              </w:rPr>
              <w:t>¹⁹</w:t>
            </w:r>
          </w:p>
        </w:tc>
        <w:tc>
          <w:tcPr>
            <w:tcW w:w="532" w:type="pct"/>
            <w:gridSpan w:val="2"/>
            <w:tcBorders>
              <w:top w:val="nil"/>
              <w:left w:val="nil"/>
              <w:bottom w:val="nil"/>
              <w:right w:val="nil"/>
            </w:tcBorders>
            <w:shd w:val="clear" w:color="auto" w:fill="E4F3F9"/>
          </w:tcPr>
          <w:p w14:paraId="7418BEA8"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63.2</w:t>
            </w:r>
          </w:p>
        </w:tc>
        <w:tc>
          <w:tcPr>
            <w:tcW w:w="579" w:type="pct"/>
            <w:tcBorders>
              <w:top w:val="nil"/>
              <w:left w:val="nil"/>
              <w:bottom w:val="nil"/>
              <w:right w:val="nil"/>
            </w:tcBorders>
            <w:shd w:val="clear" w:color="auto" w:fill="E4F3F9"/>
          </w:tcPr>
          <w:p w14:paraId="7418BEA9"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79.5</w:t>
            </w:r>
          </w:p>
        </w:tc>
        <w:tc>
          <w:tcPr>
            <w:tcW w:w="442" w:type="pct"/>
            <w:tcBorders>
              <w:top w:val="nil"/>
              <w:left w:val="nil"/>
              <w:bottom w:val="nil"/>
              <w:right w:val="nil"/>
            </w:tcBorders>
            <w:shd w:val="clear" w:color="auto" w:fill="E4F3F9"/>
          </w:tcPr>
          <w:p w14:paraId="7418BEA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220.8</w:t>
            </w:r>
          </w:p>
        </w:tc>
        <w:tc>
          <w:tcPr>
            <w:tcW w:w="523" w:type="pct"/>
            <w:tcBorders>
              <w:top w:val="nil"/>
              <w:left w:val="nil"/>
              <w:bottom w:val="nil"/>
              <w:right w:val="nil"/>
            </w:tcBorders>
            <w:shd w:val="clear" w:color="auto" w:fill="E4F3F9"/>
          </w:tcPr>
          <w:p w14:paraId="7418BEA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71</w:t>
            </w:r>
          </w:p>
        </w:tc>
        <w:tc>
          <w:tcPr>
            <w:tcW w:w="470" w:type="pct"/>
            <w:tcBorders>
              <w:top w:val="nil"/>
              <w:left w:val="nil"/>
              <w:bottom w:val="nil"/>
              <w:right w:val="nil"/>
            </w:tcBorders>
            <w:shd w:val="clear" w:color="auto" w:fill="E4F3F9"/>
          </w:tcPr>
          <w:p w14:paraId="7418BEA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9th of 23</w:t>
            </w:r>
          </w:p>
        </w:tc>
        <w:tc>
          <w:tcPr>
            <w:tcW w:w="470" w:type="pct"/>
            <w:gridSpan w:val="2"/>
            <w:tcBorders>
              <w:top w:val="nil"/>
              <w:left w:val="nil"/>
              <w:bottom w:val="nil"/>
              <w:right w:val="nil"/>
            </w:tcBorders>
            <w:shd w:val="clear" w:color="auto" w:fill="E4F3F9"/>
          </w:tcPr>
          <w:p w14:paraId="7418BEAD"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2015</w:t>
            </w:r>
          </w:p>
        </w:tc>
      </w:tr>
      <w:tr w:rsidR="00D471AD" w:rsidRPr="005015FA" w14:paraId="7418BEB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EAF"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Government procurement of advanced tech products, score ranges from 1-7 (best)</w:t>
            </w:r>
            <w:r w:rsidRPr="00507B05">
              <w:rPr>
                <w:rFonts w:ascii="Arial Unicode MS" w:eastAsia="Arial Unicode MS" w:hAnsi="Arial Unicode MS" w:cs="Arial Unicode MS"/>
                <w:color w:val="44546A" w:themeColor="text2"/>
                <w:sz w:val="14"/>
              </w:rPr>
              <w:t>¹⁵</w:t>
            </w:r>
          </w:p>
        </w:tc>
        <w:tc>
          <w:tcPr>
            <w:tcW w:w="532" w:type="pct"/>
            <w:gridSpan w:val="2"/>
            <w:tcBorders>
              <w:top w:val="nil"/>
              <w:left w:val="nil"/>
              <w:bottom w:val="nil"/>
              <w:right w:val="nil"/>
            </w:tcBorders>
            <w:shd w:val="clear" w:color="auto" w:fill="D5ECF5"/>
          </w:tcPr>
          <w:p w14:paraId="7418BEB0"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3.3</w:t>
            </w:r>
          </w:p>
        </w:tc>
        <w:tc>
          <w:tcPr>
            <w:tcW w:w="579" w:type="pct"/>
            <w:tcBorders>
              <w:top w:val="nil"/>
              <w:left w:val="nil"/>
              <w:bottom w:val="nil"/>
              <w:right w:val="nil"/>
            </w:tcBorders>
            <w:shd w:val="clear" w:color="auto" w:fill="D5ECF5"/>
          </w:tcPr>
          <w:p w14:paraId="7418BEB1"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3.6</w:t>
            </w:r>
          </w:p>
        </w:tc>
        <w:tc>
          <w:tcPr>
            <w:tcW w:w="442" w:type="pct"/>
            <w:tcBorders>
              <w:top w:val="nil"/>
              <w:left w:val="nil"/>
              <w:bottom w:val="nil"/>
              <w:right w:val="nil"/>
            </w:tcBorders>
            <w:shd w:val="clear" w:color="auto" w:fill="D5ECF5"/>
          </w:tcPr>
          <w:p w14:paraId="7418BEB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4.6</w:t>
            </w:r>
          </w:p>
        </w:tc>
        <w:tc>
          <w:tcPr>
            <w:tcW w:w="523" w:type="pct"/>
            <w:tcBorders>
              <w:top w:val="nil"/>
              <w:left w:val="nil"/>
              <w:bottom w:val="nil"/>
              <w:right w:val="nil"/>
            </w:tcBorders>
            <w:shd w:val="clear" w:color="auto" w:fill="D5ECF5"/>
          </w:tcPr>
          <w:p w14:paraId="7418BEB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27</w:t>
            </w:r>
          </w:p>
        </w:tc>
        <w:tc>
          <w:tcPr>
            <w:tcW w:w="470" w:type="pct"/>
            <w:tcBorders>
              <w:top w:val="nil"/>
              <w:left w:val="nil"/>
              <w:bottom w:val="nil"/>
              <w:right w:val="nil"/>
            </w:tcBorders>
            <w:shd w:val="clear" w:color="auto" w:fill="D5ECF5"/>
          </w:tcPr>
          <w:p w14:paraId="7418BEB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26th of 38</w:t>
            </w:r>
          </w:p>
        </w:tc>
        <w:tc>
          <w:tcPr>
            <w:tcW w:w="470" w:type="pct"/>
            <w:gridSpan w:val="2"/>
            <w:tcBorders>
              <w:top w:val="nil"/>
              <w:left w:val="nil"/>
              <w:bottom w:val="nil"/>
              <w:right w:val="nil"/>
            </w:tcBorders>
            <w:shd w:val="clear" w:color="auto" w:fill="D5ECF5"/>
          </w:tcPr>
          <w:p w14:paraId="7418BEB5"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2016</w:t>
            </w:r>
          </w:p>
        </w:tc>
      </w:tr>
      <w:tr w:rsidR="00D471AD" w:rsidRPr="005015FA" w14:paraId="7418BEB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EB7"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Firm-level technology absorption, score ranges from 1-7 (best)</w:t>
            </w:r>
            <w:r w:rsidRPr="00507B05">
              <w:rPr>
                <w:rFonts w:ascii="Arial Unicode MS" w:eastAsia="Arial Unicode MS" w:hAnsi="Arial Unicode MS" w:cs="Arial Unicode MS"/>
                <w:color w:val="44546A" w:themeColor="text2"/>
                <w:sz w:val="14"/>
              </w:rPr>
              <w:t>¹⁵</w:t>
            </w:r>
          </w:p>
        </w:tc>
        <w:tc>
          <w:tcPr>
            <w:tcW w:w="532" w:type="pct"/>
            <w:gridSpan w:val="2"/>
            <w:tcBorders>
              <w:top w:val="nil"/>
              <w:left w:val="nil"/>
              <w:bottom w:val="nil"/>
              <w:right w:val="nil"/>
            </w:tcBorders>
            <w:shd w:val="clear" w:color="auto" w:fill="E4F3F9"/>
          </w:tcPr>
          <w:p w14:paraId="7418BEB8"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5.4</w:t>
            </w:r>
          </w:p>
        </w:tc>
        <w:tc>
          <w:tcPr>
            <w:tcW w:w="579" w:type="pct"/>
            <w:tcBorders>
              <w:top w:val="nil"/>
              <w:left w:val="nil"/>
              <w:bottom w:val="nil"/>
              <w:right w:val="nil"/>
            </w:tcBorders>
            <w:shd w:val="clear" w:color="auto" w:fill="E4F3F9"/>
          </w:tcPr>
          <w:p w14:paraId="7418BEB9"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5.3</w:t>
            </w:r>
          </w:p>
        </w:tc>
        <w:tc>
          <w:tcPr>
            <w:tcW w:w="442" w:type="pct"/>
            <w:tcBorders>
              <w:top w:val="nil"/>
              <w:left w:val="nil"/>
              <w:bottom w:val="nil"/>
              <w:right w:val="nil"/>
            </w:tcBorders>
            <w:shd w:val="clear" w:color="auto" w:fill="E4F3F9"/>
          </w:tcPr>
          <w:p w14:paraId="7418BEB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6.0</w:t>
            </w:r>
          </w:p>
        </w:tc>
        <w:tc>
          <w:tcPr>
            <w:tcW w:w="523" w:type="pct"/>
            <w:tcBorders>
              <w:top w:val="nil"/>
              <w:left w:val="nil"/>
              <w:bottom w:val="nil"/>
              <w:right w:val="nil"/>
            </w:tcBorders>
            <w:shd w:val="clear" w:color="auto" w:fill="E4F3F9"/>
          </w:tcPr>
          <w:p w14:paraId="7418BEB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10</w:t>
            </w:r>
          </w:p>
        </w:tc>
        <w:tc>
          <w:tcPr>
            <w:tcW w:w="470" w:type="pct"/>
            <w:tcBorders>
              <w:top w:val="nil"/>
              <w:left w:val="nil"/>
              <w:bottom w:val="nil"/>
              <w:right w:val="nil"/>
            </w:tcBorders>
            <w:shd w:val="clear" w:color="auto" w:fill="E4F3F9"/>
          </w:tcPr>
          <w:p w14:paraId="7418BEB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20th of 38</w:t>
            </w:r>
          </w:p>
        </w:tc>
        <w:tc>
          <w:tcPr>
            <w:tcW w:w="470" w:type="pct"/>
            <w:gridSpan w:val="2"/>
            <w:tcBorders>
              <w:top w:val="nil"/>
              <w:left w:val="nil"/>
              <w:bottom w:val="nil"/>
              <w:right w:val="nil"/>
            </w:tcBorders>
            <w:shd w:val="clear" w:color="auto" w:fill="E4F3F9"/>
          </w:tcPr>
          <w:p w14:paraId="7418BEBD"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2016</w:t>
            </w:r>
          </w:p>
        </w:tc>
      </w:tr>
      <w:tr w:rsidR="00D471AD" w:rsidRPr="005015FA" w14:paraId="7418BEC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EBF"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Entrepreneurial intentions, %</w:t>
            </w:r>
            <w:r w:rsidRPr="00507B05">
              <w:rPr>
                <w:rFonts w:ascii="Arial Unicode MS" w:eastAsia="Arial Unicode MS" w:hAnsi="Arial Unicode MS" w:cs="Arial Unicode MS"/>
                <w:color w:val="44546A" w:themeColor="text2"/>
                <w:sz w:val="14"/>
              </w:rPr>
              <w:t>²⁰ ²¹ ³⁴</w:t>
            </w:r>
          </w:p>
        </w:tc>
        <w:tc>
          <w:tcPr>
            <w:tcW w:w="532" w:type="pct"/>
            <w:gridSpan w:val="2"/>
            <w:tcBorders>
              <w:top w:val="nil"/>
              <w:left w:val="nil"/>
              <w:bottom w:val="nil"/>
              <w:right w:val="nil"/>
            </w:tcBorders>
            <w:shd w:val="clear" w:color="auto" w:fill="D5ECF5"/>
          </w:tcPr>
          <w:p w14:paraId="7418BEC0"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14.4</w:t>
            </w:r>
          </w:p>
        </w:tc>
        <w:tc>
          <w:tcPr>
            <w:tcW w:w="579" w:type="pct"/>
            <w:tcBorders>
              <w:top w:val="nil"/>
              <w:left w:val="nil"/>
              <w:bottom w:val="nil"/>
              <w:right w:val="nil"/>
            </w:tcBorders>
            <w:shd w:val="clear" w:color="auto" w:fill="D5ECF5"/>
          </w:tcPr>
          <w:p w14:paraId="7418BEC1"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14.0</w:t>
            </w:r>
          </w:p>
        </w:tc>
        <w:tc>
          <w:tcPr>
            <w:tcW w:w="442" w:type="pct"/>
            <w:tcBorders>
              <w:top w:val="nil"/>
              <w:left w:val="nil"/>
              <w:bottom w:val="nil"/>
              <w:right w:val="nil"/>
            </w:tcBorders>
            <w:shd w:val="clear" w:color="auto" w:fill="D5ECF5"/>
          </w:tcPr>
          <w:p w14:paraId="7418BEC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28.0</w:t>
            </w:r>
          </w:p>
        </w:tc>
        <w:tc>
          <w:tcPr>
            <w:tcW w:w="523" w:type="pct"/>
            <w:tcBorders>
              <w:top w:val="nil"/>
              <w:left w:val="nil"/>
              <w:bottom w:val="nil"/>
              <w:right w:val="nil"/>
            </w:tcBorders>
            <w:shd w:val="clear" w:color="auto" w:fill="D5ECF5"/>
          </w:tcPr>
          <w:p w14:paraId="7418BEC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49</w:t>
            </w:r>
          </w:p>
        </w:tc>
        <w:tc>
          <w:tcPr>
            <w:tcW w:w="470" w:type="pct"/>
            <w:tcBorders>
              <w:top w:val="nil"/>
              <w:left w:val="nil"/>
              <w:bottom w:val="nil"/>
              <w:right w:val="nil"/>
            </w:tcBorders>
            <w:shd w:val="clear" w:color="auto" w:fill="D5ECF5"/>
          </w:tcPr>
          <w:p w14:paraId="7418BEC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12th of 29</w:t>
            </w:r>
          </w:p>
        </w:tc>
        <w:tc>
          <w:tcPr>
            <w:tcW w:w="470" w:type="pct"/>
            <w:gridSpan w:val="2"/>
            <w:tcBorders>
              <w:top w:val="nil"/>
              <w:left w:val="nil"/>
              <w:bottom w:val="nil"/>
              <w:right w:val="nil"/>
            </w:tcBorders>
            <w:shd w:val="clear" w:color="auto" w:fill="D5ECF5"/>
          </w:tcPr>
          <w:p w14:paraId="7418BEC5"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2015</w:t>
            </w:r>
          </w:p>
        </w:tc>
      </w:tr>
      <w:tr w:rsidR="00D471AD" w:rsidRPr="005015FA" w14:paraId="7418BEC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EC7"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Buyer sophistication, score ranges from 1-7 (best)</w:t>
            </w:r>
            <w:r w:rsidRPr="00507B05">
              <w:rPr>
                <w:rFonts w:ascii="Arial Unicode MS" w:eastAsia="Arial Unicode MS" w:hAnsi="Arial Unicode MS" w:cs="Arial Unicode MS"/>
                <w:color w:val="44546A" w:themeColor="text2"/>
                <w:sz w:val="14"/>
              </w:rPr>
              <w:t>¹⁵</w:t>
            </w:r>
          </w:p>
        </w:tc>
        <w:tc>
          <w:tcPr>
            <w:tcW w:w="532" w:type="pct"/>
            <w:gridSpan w:val="2"/>
            <w:tcBorders>
              <w:top w:val="nil"/>
              <w:left w:val="nil"/>
              <w:bottom w:val="nil"/>
              <w:right w:val="nil"/>
            </w:tcBorders>
            <w:shd w:val="clear" w:color="auto" w:fill="E4F3F9"/>
          </w:tcPr>
          <w:p w14:paraId="7418BEC8"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3.8</w:t>
            </w:r>
          </w:p>
        </w:tc>
        <w:tc>
          <w:tcPr>
            <w:tcW w:w="579" w:type="pct"/>
            <w:tcBorders>
              <w:top w:val="nil"/>
              <w:left w:val="nil"/>
              <w:bottom w:val="nil"/>
              <w:right w:val="nil"/>
            </w:tcBorders>
            <w:shd w:val="clear" w:color="auto" w:fill="E4F3F9"/>
          </w:tcPr>
          <w:p w14:paraId="7418BEC9"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4.0</w:t>
            </w:r>
          </w:p>
        </w:tc>
        <w:tc>
          <w:tcPr>
            <w:tcW w:w="442" w:type="pct"/>
            <w:tcBorders>
              <w:top w:val="nil"/>
              <w:left w:val="nil"/>
              <w:bottom w:val="nil"/>
              <w:right w:val="nil"/>
            </w:tcBorders>
            <w:shd w:val="clear" w:color="auto" w:fill="E4F3F9"/>
          </w:tcPr>
          <w:p w14:paraId="7418BEC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4.9</w:t>
            </w:r>
          </w:p>
        </w:tc>
        <w:tc>
          <w:tcPr>
            <w:tcW w:w="523" w:type="pct"/>
            <w:tcBorders>
              <w:top w:val="nil"/>
              <w:left w:val="nil"/>
              <w:bottom w:val="nil"/>
              <w:right w:val="nil"/>
            </w:tcBorders>
            <w:shd w:val="clear" w:color="auto" w:fill="E4F3F9"/>
          </w:tcPr>
          <w:p w14:paraId="7418BEC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22</w:t>
            </w:r>
          </w:p>
        </w:tc>
        <w:tc>
          <w:tcPr>
            <w:tcW w:w="470" w:type="pct"/>
            <w:tcBorders>
              <w:top w:val="nil"/>
              <w:left w:val="nil"/>
              <w:bottom w:val="nil"/>
              <w:right w:val="nil"/>
            </w:tcBorders>
            <w:shd w:val="clear" w:color="auto" w:fill="E4F3F9"/>
          </w:tcPr>
          <w:p w14:paraId="7418BEC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23rd of 38</w:t>
            </w:r>
          </w:p>
        </w:tc>
        <w:tc>
          <w:tcPr>
            <w:tcW w:w="470" w:type="pct"/>
            <w:gridSpan w:val="2"/>
            <w:tcBorders>
              <w:top w:val="nil"/>
              <w:left w:val="nil"/>
              <w:bottom w:val="nil"/>
              <w:right w:val="nil"/>
            </w:tcBorders>
            <w:shd w:val="clear" w:color="auto" w:fill="E4F3F9"/>
          </w:tcPr>
          <w:p w14:paraId="7418BECD"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2016</w:t>
            </w:r>
          </w:p>
        </w:tc>
      </w:tr>
      <w:tr w:rsidR="00D471AD" w:rsidRPr="005015FA" w14:paraId="7418BED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ECF"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Percentage of final household consumption expenditure on Health, Communications and Education, %</w:t>
            </w:r>
            <w:r w:rsidRPr="00507B05">
              <w:rPr>
                <w:rFonts w:ascii="Arial Unicode MS" w:eastAsia="Arial Unicode MS" w:hAnsi="Arial Unicode MS" w:cs="Arial Unicode MS"/>
                <w:color w:val="44546A" w:themeColor="text2"/>
                <w:sz w:val="14"/>
              </w:rPr>
              <w:t>²²</w:t>
            </w:r>
          </w:p>
        </w:tc>
        <w:tc>
          <w:tcPr>
            <w:tcW w:w="532" w:type="pct"/>
            <w:gridSpan w:val="2"/>
            <w:tcBorders>
              <w:top w:val="nil"/>
              <w:left w:val="nil"/>
              <w:bottom w:val="nil"/>
              <w:right w:val="nil"/>
            </w:tcBorders>
            <w:shd w:val="clear" w:color="auto" w:fill="D5ECF5"/>
          </w:tcPr>
          <w:p w14:paraId="7418BED0"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13.3</w:t>
            </w:r>
          </w:p>
        </w:tc>
        <w:tc>
          <w:tcPr>
            <w:tcW w:w="579" w:type="pct"/>
            <w:tcBorders>
              <w:top w:val="nil"/>
              <w:left w:val="nil"/>
              <w:bottom w:val="nil"/>
              <w:right w:val="nil"/>
            </w:tcBorders>
            <w:shd w:val="clear" w:color="auto" w:fill="D5ECF5"/>
          </w:tcPr>
          <w:p w14:paraId="7418BED1"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8.9</w:t>
            </w:r>
          </w:p>
        </w:tc>
        <w:tc>
          <w:tcPr>
            <w:tcW w:w="442" w:type="pct"/>
            <w:tcBorders>
              <w:top w:val="nil"/>
              <w:left w:val="nil"/>
              <w:bottom w:val="nil"/>
              <w:right w:val="nil"/>
            </w:tcBorders>
            <w:shd w:val="clear" w:color="auto" w:fill="D5ECF5"/>
          </w:tcPr>
          <w:p w14:paraId="7418BED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15.8</w:t>
            </w:r>
          </w:p>
        </w:tc>
        <w:tc>
          <w:tcPr>
            <w:tcW w:w="523" w:type="pct"/>
            <w:tcBorders>
              <w:top w:val="nil"/>
              <w:left w:val="nil"/>
              <w:bottom w:val="nil"/>
              <w:right w:val="nil"/>
            </w:tcBorders>
            <w:shd w:val="clear" w:color="auto" w:fill="D5ECF5"/>
          </w:tcPr>
          <w:p w14:paraId="7418BED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16</w:t>
            </w:r>
          </w:p>
        </w:tc>
        <w:tc>
          <w:tcPr>
            <w:tcW w:w="470" w:type="pct"/>
            <w:tcBorders>
              <w:top w:val="nil"/>
              <w:left w:val="nil"/>
              <w:bottom w:val="nil"/>
              <w:right w:val="nil"/>
            </w:tcBorders>
            <w:shd w:val="clear" w:color="auto" w:fill="D5ECF5"/>
          </w:tcPr>
          <w:p w14:paraId="7418BED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4th of 33</w:t>
            </w:r>
          </w:p>
        </w:tc>
        <w:tc>
          <w:tcPr>
            <w:tcW w:w="470" w:type="pct"/>
            <w:gridSpan w:val="2"/>
            <w:tcBorders>
              <w:top w:val="nil"/>
              <w:left w:val="nil"/>
              <w:bottom w:val="nil"/>
              <w:right w:val="nil"/>
            </w:tcBorders>
            <w:shd w:val="clear" w:color="auto" w:fill="D5ECF5"/>
          </w:tcPr>
          <w:p w14:paraId="7418BED5"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2014</w:t>
            </w:r>
          </w:p>
        </w:tc>
      </w:tr>
      <w:tr w:rsidR="00D471AD" w:rsidRPr="005015FA" w14:paraId="7418BED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ED7"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Statutory corporate income tax rates, %</w:t>
            </w:r>
            <w:r w:rsidRPr="00507B05">
              <w:rPr>
                <w:rFonts w:ascii="Arial Unicode MS" w:eastAsia="Arial Unicode MS" w:hAnsi="Arial Unicode MS" w:cs="Arial Unicode MS"/>
                <w:color w:val="44546A" w:themeColor="text2"/>
                <w:sz w:val="14"/>
              </w:rPr>
              <w:t>²³</w:t>
            </w:r>
          </w:p>
        </w:tc>
        <w:tc>
          <w:tcPr>
            <w:tcW w:w="532" w:type="pct"/>
            <w:gridSpan w:val="2"/>
            <w:tcBorders>
              <w:top w:val="nil"/>
              <w:left w:val="nil"/>
              <w:bottom w:val="nil"/>
              <w:right w:val="nil"/>
            </w:tcBorders>
            <w:shd w:val="clear" w:color="auto" w:fill="E4F3F9"/>
          </w:tcPr>
          <w:p w14:paraId="7418BED8"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30</w:t>
            </w:r>
          </w:p>
        </w:tc>
        <w:tc>
          <w:tcPr>
            <w:tcW w:w="579" w:type="pct"/>
            <w:tcBorders>
              <w:top w:val="nil"/>
              <w:left w:val="nil"/>
              <w:bottom w:val="nil"/>
              <w:right w:val="nil"/>
            </w:tcBorders>
            <w:shd w:val="clear" w:color="auto" w:fill="E4F3F9"/>
          </w:tcPr>
          <w:p w14:paraId="7418BED9"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25</w:t>
            </w:r>
          </w:p>
        </w:tc>
        <w:tc>
          <w:tcPr>
            <w:tcW w:w="442" w:type="pct"/>
            <w:tcBorders>
              <w:top w:val="nil"/>
              <w:left w:val="nil"/>
              <w:bottom w:val="nil"/>
              <w:right w:val="nil"/>
            </w:tcBorders>
            <w:shd w:val="clear" w:color="auto" w:fill="E4F3F9"/>
          </w:tcPr>
          <w:p w14:paraId="7418BED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32</w:t>
            </w:r>
          </w:p>
        </w:tc>
        <w:tc>
          <w:tcPr>
            <w:tcW w:w="523" w:type="pct"/>
            <w:tcBorders>
              <w:top w:val="nil"/>
              <w:left w:val="nil"/>
              <w:bottom w:val="nil"/>
              <w:right w:val="nil"/>
            </w:tcBorders>
            <w:shd w:val="clear" w:color="auto" w:fill="E4F3F9"/>
          </w:tcPr>
          <w:p w14:paraId="7418BED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7</w:t>
            </w:r>
          </w:p>
        </w:tc>
        <w:tc>
          <w:tcPr>
            <w:tcW w:w="470" w:type="pct"/>
            <w:tcBorders>
              <w:top w:val="nil"/>
              <w:left w:val="nil"/>
              <w:bottom w:val="nil"/>
              <w:right w:val="nil"/>
            </w:tcBorders>
            <w:shd w:val="clear" w:color="auto" w:fill="E4F3F9"/>
          </w:tcPr>
          <w:p w14:paraId="7418BED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5th of 22</w:t>
            </w:r>
          </w:p>
        </w:tc>
        <w:tc>
          <w:tcPr>
            <w:tcW w:w="470" w:type="pct"/>
            <w:gridSpan w:val="2"/>
            <w:tcBorders>
              <w:top w:val="nil"/>
              <w:left w:val="nil"/>
              <w:bottom w:val="nil"/>
              <w:right w:val="nil"/>
            </w:tcBorders>
            <w:shd w:val="clear" w:color="auto" w:fill="E4F3F9"/>
          </w:tcPr>
          <w:p w14:paraId="7418BEDD"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2016</w:t>
            </w:r>
          </w:p>
        </w:tc>
      </w:tr>
      <w:tr w:rsidR="00D471AD" w:rsidRPr="005015FA" w14:paraId="7418BEE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EDF"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Start-up procedures to register a business, count</w:t>
            </w:r>
            <w:r w:rsidRPr="00507B05">
              <w:rPr>
                <w:rFonts w:ascii="Arial Unicode MS" w:eastAsia="Arial Unicode MS" w:hAnsi="Arial Unicode MS" w:cs="Arial Unicode MS"/>
                <w:color w:val="44546A" w:themeColor="text2"/>
                <w:sz w:val="14"/>
              </w:rPr>
              <w:t>¹⁹ ³²</w:t>
            </w:r>
          </w:p>
        </w:tc>
        <w:tc>
          <w:tcPr>
            <w:tcW w:w="532" w:type="pct"/>
            <w:gridSpan w:val="2"/>
            <w:tcBorders>
              <w:top w:val="nil"/>
              <w:left w:val="nil"/>
              <w:bottom w:val="nil"/>
              <w:right w:val="nil"/>
            </w:tcBorders>
            <w:shd w:val="clear" w:color="auto" w:fill="D5ECF5"/>
          </w:tcPr>
          <w:p w14:paraId="7418BEE0"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3</w:t>
            </w:r>
          </w:p>
        </w:tc>
        <w:tc>
          <w:tcPr>
            <w:tcW w:w="579" w:type="pct"/>
            <w:tcBorders>
              <w:top w:val="nil"/>
              <w:left w:val="nil"/>
              <w:bottom w:val="nil"/>
              <w:right w:val="nil"/>
            </w:tcBorders>
            <w:shd w:val="clear" w:color="auto" w:fill="D5ECF5"/>
          </w:tcPr>
          <w:p w14:paraId="7418BEE1"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5</w:t>
            </w:r>
          </w:p>
        </w:tc>
        <w:tc>
          <w:tcPr>
            <w:tcW w:w="442" w:type="pct"/>
            <w:tcBorders>
              <w:top w:val="nil"/>
              <w:left w:val="nil"/>
              <w:bottom w:val="nil"/>
              <w:right w:val="nil"/>
            </w:tcBorders>
            <w:shd w:val="clear" w:color="auto" w:fill="D5ECF5"/>
          </w:tcPr>
          <w:p w14:paraId="7418BEE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w:t>
            </w:r>
          </w:p>
        </w:tc>
        <w:tc>
          <w:tcPr>
            <w:tcW w:w="523" w:type="pct"/>
            <w:tcBorders>
              <w:top w:val="nil"/>
              <w:left w:val="nil"/>
              <w:bottom w:val="nil"/>
              <w:right w:val="nil"/>
            </w:tcBorders>
            <w:shd w:val="clear" w:color="auto" w:fill="D5ECF5"/>
          </w:tcPr>
          <w:p w14:paraId="7418BEE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36</w:t>
            </w:r>
          </w:p>
        </w:tc>
        <w:tc>
          <w:tcPr>
            <w:tcW w:w="470" w:type="pct"/>
            <w:tcBorders>
              <w:top w:val="nil"/>
              <w:left w:val="nil"/>
              <w:bottom w:val="nil"/>
              <w:right w:val="nil"/>
            </w:tcBorders>
            <w:shd w:val="clear" w:color="auto" w:fill="D5ECF5"/>
          </w:tcPr>
          <w:p w14:paraId="7418BEE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4th of 37</w:t>
            </w:r>
          </w:p>
        </w:tc>
        <w:tc>
          <w:tcPr>
            <w:tcW w:w="470" w:type="pct"/>
            <w:gridSpan w:val="2"/>
            <w:tcBorders>
              <w:top w:val="nil"/>
              <w:left w:val="nil"/>
              <w:bottom w:val="nil"/>
              <w:right w:val="nil"/>
            </w:tcBorders>
            <w:shd w:val="clear" w:color="auto" w:fill="D5ECF5"/>
          </w:tcPr>
          <w:p w14:paraId="7418BEE5"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2015</w:t>
            </w:r>
          </w:p>
        </w:tc>
      </w:tr>
      <w:tr w:rsidR="00D471AD" w:rsidRPr="005015FA" w14:paraId="7418BEE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BEE7"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Cost of business start-up procedures, % of GNI per capita</w:t>
            </w:r>
            <w:r w:rsidRPr="00507B05">
              <w:rPr>
                <w:rFonts w:ascii="Arial Unicode MS" w:eastAsia="Arial Unicode MS" w:hAnsi="Arial Unicode MS" w:cs="Arial Unicode MS"/>
                <w:color w:val="44546A" w:themeColor="text2"/>
                <w:sz w:val="14"/>
              </w:rPr>
              <w:t>¹⁹ ³²</w:t>
            </w:r>
          </w:p>
        </w:tc>
        <w:tc>
          <w:tcPr>
            <w:tcW w:w="532" w:type="pct"/>
            <w:gridSpan w:val="2"/>
            <w:tcBorders>
              <w:top w:val="nil"/>
              <w:left w:val="nil"/>
              <w:bottom w:val="nil"/>
              <w:right w:val="nil"/>
            </w:tcBorders>
            <w:shd w:val="clear" w:color="auto" w:fill="E4F3F9"/>
          </w:tcPr>
          <w:p w14:paraId="7418BEE8"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0.7</w:t>
            </w:r>
          </w:p>
        </w:tc>
        <w:tc>
          <w:tcPr>
            <w:tcW w:w="579" w:type="pct"/>
            <w:tcBorders>
              <w:top w:val="nil"/>
              <w:left w:val="nil"/>
              <w:bottom w:val="nil"/>
              <w:right w:val="nil"/>
            </w:tcBorders>
            <w:shd w:val="clear" w:color="auto" w:fill="E4F3F9"/>
          </w:tcPr>
          <w:p w14:paraId="7418BEE9"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3.8</w:t>
            </w:r>
          </w:p>
        </w:tc>
        <w:tc>
          <w:tcPr>
            <w:tcW w:w="442" w:type="pct"/>
            <w:tcBorders>
              <w:top w:val="nil"/>
              <w:left w:val="nil"/>
              <w:bottom w:val="nil"/>
              <w:right w:val="nil"/>
            </w:tcBorders>
            <w:shd w:val="clear" w:color="auto" w:fill="E4F3F9"/>
          </w:tcPr>
          <w:p w14:paraId="7418BEE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0.2</w:t>
            </w:r>
          </w:p>
        </w:tc>
        <w:tc>
          <w:tcPr>
            <w:tcW w:w="523" w:type="pct"/>
            <w:tcBorders>
              <w:top w:val="nil"/>
              <w:left w:val="nil"/>
              <w:bottom w:val="nil"/>
              <w:right w:val="nil"/>
            </w:tcBorders>
            <w:shd w:val="clear" w:color="auto" w:fill="E4F3F9"/>
          </w:tcPr>
          <w:p w14:paraId="7418BEE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337</w:t>
            </w:r>
          </w:p>
        </w:tc>
        <w:tc>
          <w:tcPr>
            <w:tcW w:w="470" w:type="pct"/>
            <w:tcBorders>
              <w:top w:val="nil"/>
              <w:left w:val="nil"/>
              <w:bottom w:val="nil"/>
              <w:right w:val="nil"/>
            </w:tcBorders>
            <w:shd w:val="clear" w:color="auto" w:fill="E4F3F9"/>
          </w:tcPr>
          <w:p w14:paraId="7418BEE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10th of 37</w:t>
            </w:r>
          </w:p>
        </w:tc>
        <w:tc>
          <w:tcPr>
            <w:tcW w:w="470" w:type="pct"/>
            <w:gridSpan w:val="2"/>
            <w:tcBorders>
              <w:top w:val="nil"/>
              <w:left w:val="nil"/>
              <w:bottom w:val="nil"/>
              <w:right w:val="nil"/>
            </w:tcBorders>
            <w:shd w:val="clear" w:color="auto" w:fill="E4F3F9"/>
          </w:tcPr>
          <w:p w14:paraId="7418BEED"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2015</w:t>
            </w:r>
          </w:p>
        </w:tc>
      </w:tr>
      <w:tr w:rsidR="00D471AD" w:rsidRPr="005015FA" w14:paraId="7418BEF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BEEF"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ISO 14001 environmental certificates, per billion PPP$ GDP</w:t>
            </w:r>
            <w:r w:rsidRPr="00507B05">
              <w:rPr>
                <w:rFonts w:ascii="Arial Unicode MS" w:eastAsia="Arial Unicode MS" w:hAnsi="Arial Unicode MS" w:cs="Arial Unicode MS"/>
                <w:color w:val="44546A" w:themeColor="text2"/>
                <w:sz w:val="14"/>
              </w:rPr>
              <w:t>²⁴</w:t>
            </w:r>
          </w:p>
        </w:tc>
        <w:tc>
          <w:tcPr>
            <w:tcW w:w="532" w:type="pct"/>
            <w:gridSpan w:val="2"/>
            <w:tcBorders>
              <w:top w:val="nil"/>
              <w:left w:val="nil"/>
              <w:bottom w:val="nil"/>
              <w:right w:val="nil"/>
            </w:tcBorders>
            <w:shd w:val="clear" w:color="auto" w:fill="D5ECF5"/>
          </w:tcPr>
          <w:p w14:paraId="7418BEF0"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37.9</w:t>
            </w:r>
          </w:p>
        </w:tc>
        <w:tc>
          <w:tcPr>
            <w:tcW w:w="579" w:type="pct"/>
            <w:tcBorders>
              <w:top w:val="nil"/>
              <w:left w:val="nil"/>
              <w:bottom w:val="nil"/>
              <w:right w:val="nil"/>
            </w:tcBorders>
            <w:shd w:val="clear" w:color="auto" w:fill="D5ECF5"/>
          </w:tcPr>
          <w:p w14:paraId="7418BEF1"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36.4</w:t>
            </w:r>
          </w:p>
        </w:tc>
        <w:tc>
          <w:tcPr>
            <w:tcW w:w="442" w:type="pct"/>
            <w:tcBorders>
              <w:top w:val="nil"/>
              <w:left w:val="nil"/>
              <w:bottom w:val="nil"/>
              <w:right w:val="nil"/>
            </w:tcBorders>
            <w:shd w:val="clear" w:color="auto" w:fill="D5ECF5"/>
          </w:tcPr>
          <w:p w14:paraId="7418BEF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88.8</w:t>
            </w:r>
          </w:p>
        </w:tc>
        <w:tc>
          <w:tcPr>
            <w:tcW w:w="523" w:type="pct"/>
            <w:tcBorders>
              <w:top w:val="nil"/>
              <w:left w:val="nil"/>
              <w:bottom w:val="nil"/>
              <w:right w:val="nil"/>
            </w:tcBorders>
            <w:shd w:val="clear" w:color="auto" w:fill="D5ECF5"/>
          </w:tcPr>
          <w:p w14:paraId="7418BEF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57</w:t>
            </w:r>
          </w:p>
        </w:tc>
        <w:tc>
          <w:tcPr>
            <w:tcW w:w="470" w:type="pct"/>
            <w:tcBorders>
              <w:top w:val="nil"/>
              <w:left w:val="nil"/>
              <w:bottom w:val="nil"/>
              <w:right w:val="nil"/>
            </w:tcBorders>
            <w:shd w:val="clear" w:color="auto" w:fill="D5ECF5"/>
          </w:tcPr>
          <w:p w14:paraId="7418BEF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14th of 37</w:t>
            </w:r>
          </w:p>
        </w:tc>
        <w:tc>
          <w:tcPr>
            <w:tcW w:w="470" w:type="pct"/>
            <w:gridSpan w:val="2"/>
            <w:tcBorders>
              <w:top w:val="nil"/>
              <w:left w:val="nil"/>
              <w:bottom w:val="nil"/>
              <w:right w:val="nil"/>
            </w:tcBorders>
            <w:shd w:val="clear" w:color="auto" w:fill="D5ECF5"/>
          </w:tcPr>
          <w:p w14:paraId="7418BEF5"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2016</w:t>
            </w:r>
          </w:p>
        </w:tc>
      </w:tr>
      <w:tr w:rsidR="00D471AD" w:rsidRPr="005015FA" w14:paraId="7418BEF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single" w:sz="8" w:space="0" w:color="22789A"/>
              <w:right w:val="nil"/>
            </w:tcBorders>
            <w:shd w:val="clear" w:color="auto" w:fill="E4F3F9"/>
          </w:tcPr>
          <w:p w14:paraId="7418BEF7"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Total environment related taxes, % of GDP</w:t>
            </w:r>
            <w:r w:rsidRPr="00507B05">
              <w:rPr>
                <w:rFonts w:ascii="Arial Unicode MS" w:eastAsia="Arial Unicode MS" w:hAnsi="Arial Unicode MS" w:cs="Arial Unicode MS"/>
                <w:color w:val="44546A" w:themeColor="text2"/>
                <w:sz w:val="14"/>
              </w:rPr>
              <w:t>²⁵</w:t>
            </w:r>
          </w:p>
        </w:tc>
        <w:tc>
          <w:tcPr>
            <w:tcW w:w="532" w:type="pct"/>
            <w:gridSpan w:val="2"/>
            <w:tcBorders>
              <w:top w:val="nil"/>
              <w:left w:val="nil"/>
              <w:bottom w:val="single" w:sz="8" w:space="0" w:color="22789A"/>
              <w:right w:val="nil"/>
            </w:tcBorders>
            <w:shd w:val="clear" w:color="auto" w:fill="E4F3F9"/>
          </w:tcPr>
          <w:p w14:paraId="7418BEF8"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2.00</w:t>
            </w:r>
          </w:p>
        </w:tc>
        <w:tc>
          <w:tcPr>
            <w:tcW w:w="579" w:type="pct"/>
            <w:tcBorders>
              <w:top w:val="nil"/>
              <w:left w:val="nil"/>
              <w:bottom w:val="single" w:sz="8" w:space="0" w:color="22789A"/>
              <w:right w:val="nil"/>
            </w:tcBorders>
            <w:shd w:val="clear" w:color="auto" w:fill="E4F3F9"/>
          </w:tcPr>
          <w:p w14:paraId="7418BEF9"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2.28</w:t>
            </w:r>
          </w:p>
        </w:tc>
        <w:tc>
          <w:tcPr>
            <w:tcW w:w="442" w:type="pct"/>
            <w:tcBorders>
              <w:top w:val="nil"/>
              <w:left w:val="nil"/>
              <w:bottom w:val="single" w:sz="8" w:space="0" w:color="22789A"/>
              <w:right w:val="nil"/>
            </w:tcBorders>
            <w:shd w:val="clear" w:color="auto" w:fill="E4F3F9"/>
          </w:tcPr>
          <w:p w14:paraId="7418BEF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3.69</w:t>
            </w:r>
          </w:p>
        </w:tc>
        <w:tc>
          <w:tcPr>
            <w:tcW w:w="523" w:type="pct"/>
            <w:tcBorders>
              <w:top w:val="nil"/>
              <w:left w:val="nil"/>
              <w:bottom w:val="single" w:sz="8" w:space="0" w:color="22789A"/>
              <w:right w:val="nil"/>
            </w:tcBorders>
            <w:shd w:val="clear" w:color="auto" w:fill="E4F3F9"/>
          </w:tcPr>
          <w:p w14:paraId="7418BEF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46</w:t>
            </w:r>
          </w:p>
        </w:tc>
        <w:tc>
          <w:tcPr>
            <w:tcW w:w="470" w:type="pct"/>
            <w:tcBorders>
              <w:top w:val="nil"/>
              <w:left w:val="nil"/>
              <w:bottom w:val="single" w:sz="8" w:space="0" w:color="22789A"/>
              <w:right w:val="nil"/>
            </w:tcBorders>
            <w:shd w:val="clear" w:color="auto" w:fill="E4F3F9"/>
          </w:tcPr>
          <w:p w14:paraId="7418BEF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24th of 35</w:t>
            </w:r>
          </w:p>
        </w:tc>
        <w:tc>
          <w:tcPr>
            <w:tcW w:w="470" w:type="pct"/>
            <w:gridSpan w:val="2"/>
            <w:tcBorders>
              <w:top w:val="nil"/>
              <w:left w:val="nil"/>
              <w:bottom w:val="single" w:sz="8" w:space="0" w:color="22789A"/>
              <w:right w:val="nil"/>
            </w:tcBorders>
            <w:shd w:val="clear" w:color="auto" w:fill="E4F3F9"/>
          </w:tcPr>
          <w:p w14:paraId="7418BEFD"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2012</w:t>
            </w:r>
          </w:p>
        </w:tc>
      </w:tr>
    </w:tbl>
    <w:p w14:paraId="7418BEFF" w14:textId="77777777" w:rsidR="00D471AD" w:rsidRPr="008B33FB" w:rsidRDefault="00D471AD" w:rsidP="00D471AD">
      <w:pPr>
        <w:spacing w:before="120" w:after="120"/>
        <w:rPr>
          <w:rFonts w:cs="Arial"/>
          <w:color w:val="22789A"/>
          <w:sz w:val="16"/>
          <w:szCs w:val="16"/>
        </w:rPr>
      </w:pPr>
      <w:r w:rsidRPr="008B33FB">
        <w:rPr>
          <w:rFonts w:cs="Arial"/>
          <w:color w:val="22789A"/>
          <w:sz w:val="16"/>
          <w:szCs w:val="16"/>
        </w:rPr>
        <w:t>– = data not available</w:t>
      </w:r>
    </w:p>
    <w:p w14:paraId="7418BF00" w14:textId="77777777" w:rsidR="00D471AD" w:rsidRPr="008B33FB" w:rsidRDefault="00D471AD" w:rsidP="00D471AD">
      <w:pPr>
        <w:spacing w:before="120" w:after="120"/>
        <w:rPr>
          <w:rFonts w:eastAsia="Times New Roman" w:cs="Arial"/>
          <w:color w:val="22789A"/>
          <w:sz w:val="16"/>
          <w:szCs w:val="16"/>
          <w:lang w:eastAsia="en-AU"/>
        </w:rPr>
      </w:pPr>
      <w:r w:rsidRPr="008671B7">
        <w:rPr>
          <w:rFonts w:eastAsia="Times New Roman" w:cs="Arial"/>
          <w:b/>
          <w:i/>
          <w:iCs/>
          <w:color w:val="22789A"/>
          <w:sz w:val="16"/>
          <w:szCs w:val="16"/>
          <w:lang w:eastAsia="en-AU"/>
        </w:rPr>
        <w:t>Table notes:</w:t>
      </w:r>
      <w:r w:rsidRPr="008671B7">
        <w:rPr>
          <w:rFonts w:eastAsia="Times New Roman" w:cs="Arial"/>
          <w:b/>
          <w:bCs/>
          <w:color w:val="22789A"/>
          <w:sz w:val="16"/>
          <w:szCs w:val="16"/>
          <w:lang w:eastAsia="en-AU"/>
        </w:rPr>
        <w:t xml:space="preserve"> (i)</w:t>
      </w:r>
      <w:r w:rsidRPr="008671B7">
        <w:rPr>
          <w:rFonts w:eastAsia="Times New Roman" w:cs="Arial"/>
          <w:color w:val="22789A"/>
          <w:sz w:val="16"/>
          <w:szCs w:val="16"/>
          <w:lang w:eastAsia="en-AU"/>
        </w:rPr>
        <w:t xml:space="preserve"> Data are presented in calendar year format. Where the data are in financial years, it is expressed in terms of the year where the financial year begins e.g. 2010–11 is shown as 2010. </w:t>
      </w:r>
      <w:r w:rsidRPr="008671B7">
        <w:rPr>
          <w:rFonts w:eastAsia="Times New Roman" w:cs="Arial"/>
          <w:b/>
          <w:bCs/>
          <w:color w:val="22789A"/>
          <w:sz w:val="16"/>
          <w:szCs w:val="16"/>
          <w:lang w:eastAsia="en-AU"/>
        </w:rPr>
        <w:t>(ii)</w:t>
      </w:r>
      <w:r w:rsidRPr="008671B7">
        <w:rPr>
          <w:rFonts w:eastAsia="Times New Roman" w:cs="Arial"/>
          <w:color w:val="22789A"/>
          <w:sz w:val="16"/>
          <w:szCs w:val="16"/>
          <w:lang w:eastAsia="en-AU"/>
        </w:rPr>
        <w:t xml:space="preserve"> OECD+ includes all countries in the OECD, as well as China, Taiwan and Singapore (where data is available).</w:t>
      </w:r>
      <w:r w:rsidRPr="008671B7">
        <w:rPr>
          <w:rFonts w:eastAsia="Times New Roman" w:cs="Arial"/>
          <w:b/>
          <w:bCs/>
          <w:color w:val="22789A"/>
          <w:sz w:val="16"/>
          <w:szCs w:val="16"/>
          <w:lang w:eastAsia="en-AU"/>
        </w:rPr>
        <w:t xml:space="preserve"> (iii) </w:t>
      </w:r>
      <w:r w:rsidRPr="008671B7">
        <w:rPr>
          <w:rFonts w:eastAsia="Times New Roman" w:cs="Arial"/>
          <w:color w:val="22789A"/>
          <w:sz w:val="16"/>
          <w:szCs w:val="16"/>
          <w:lang w:eastAsia="en-AU"/>
        </w:rPr>
        <w:t>The ‘Australia’s score’ field presents the Australian values used in the OECD+ comparisons.</w:t>
      </w:r>
      <w:r w:rsidRPr="008671B7">
        <w:rPr>
          <w:rFonts w:eastAsia="Times New Roman" w:cs="Arial"/>
          <w:b/>
          <w:bCs/>
          <w:color w:val="22789A"/>
          <w:sz w:val="16"/>
          <w:szCs w:val="16"/>
          <w:lang w:eastAsia="en-AU"/>
        </w:rPr>
        <w:t xml:space="preserve"> (iv)</w:t>
      </w:r>
      <w:r w:rsidRPr="008671B7">
        <w:rPr>
          <w:rFonts w:eastAsia="Times New Roman" w:cs="Arial"/>
          <w:color w:val="22789A"/>
          <w:sz w:val="16"/>
          <w:szCs w:val="16"/>
          <w:lang w:eastAsia="en-AU"/>
        </w:rPr>
        <w:t xml:space="preserve"> This is the arithmetic (simple) average of the OECD+ country scores. </w:t>
      </w:r>
      <w:r w:rsidRPr="008671B7">
        <w:rPr>
          <w:rFonts w:eastAsia="Times New Roman" w:cs="Arial"/>
          <w:b/>
          <w:bCs/>
          <w:color w:val="22789A"/>
          <w:sz w:val="16"/>
          <w:szCs w:val="16"/>
          <w:lang w:eastAsia="en-AU"/>
        </w:rPr>
        <w:t>(v)</w:t>
      </w:r>
      <w:r w:rsidRPr="008671B7">
        <w:rPr>
          <w:rFonts w:eastAsia="Times New Roman" w:cs="Arial"/>
          <w:color w:val="22789A"/>
          <w:sz w:val="16"/>
          <w:szCs w:val="16"/>
          <w:lang w:eastAsia="en-AU"/>
        </w:rPr>
        <w:t xml:space="preserve"> This is the median of the OECD+ country scores </w:t>
      </w:r>
      <w:r w:rsidRPr="008671B7">
        <w:rPr>
          <w:rFonts w:eastAsia="Times New Roman" w:cs="Arial"/>
          <w:b/>
          <w:bCs/>
          <w:color w:val="22789A"/>
          <w:sz w:val="16"/>
          <w:szCs w:val="16"/>
          <w:lang w:eastAsia="en-AU"/>
        </w:rPr>
        <w:t>(vi)</w:t>
      </w:r>
      <w:r w:rsidRPr="008671B7">
        <w:rPr>
          <w:rFonts w:eastAsia="Times New Roman" w:cs="Arial"/>
          <w:color w:val="22789A"/>
          <w:sz w:val="16"/>
          <w:szCs w:val="16"/>
          <w:lang w:eastAsia="en-AU"/>
        </w:rPr>
        <w:t xml:space="preserve"> This is the arithmetic (simple) average of the top five OECD+ countries in a ranked list. </w:t>
      </w:r>
      <w:r w:rsidRPr="008671B7">
        <w:rPr>
          <w:rFonts w:eastAsia="Times New Roman" w:cs="Arial"/>
          <w:b/>
          <w:bCs/>
          <w:color w:val="22789A"/>
          <w:sz w:val="16"/>
          <w:szCs w:val="16"/>
          <w:lang w:eastAsia="en-AU"/>
        </w:rPr>
        <w:t xml:space="preserve">(vii) </w:t>
      </w:r>
      <w:r w:rsidRPr="008671B7">
        <w:rPr>
          <w:rFonts w:eastAsia="Times New Roman" w:cs="Arial"/>
          <w:color w:val="22789A"/>
          <w:sz w:val="16"/>
          <w:szCs w:val="16"/>
          <w:lang w:eastAsia="en-AU"/>
        </w:rPr>
        <w:t xml:space="preserve">This represents Australia’s distance from the frontier as defined by the average of the top five ranked OECD+ countries. It is calculated as 100*(Top five average - Australia’s score)/ Top 5 average. Where the solution is a negative value or zero, ‘no gap’ is shown in the cell. </w:t>
      </w:r>
      <w:r w:rsidRPr="008671B7">
        <w:rPr>
          <w:rFonts w:eastAsia="Times New Roman" w:cs="Arial"/>
          <w:b/>
          <w:bCs/>
          <w:color w:val="22789A"/>
          <w:sz w:val="16"/>
          <w:szCs w:val="16"/>
          <w:lang w:eastAsia="en-AU"/>
        </w:rPr>
        <w:t xml:space="preserve">(viii) </w:t>
      </w:r>
      <w:r w:rsidRPr="008671B7">
        <w:rPr>
          <w:rFonts w:eastAsia="Times New Roman" w:cs="Arial"/>
          <w:color w:val="22789A"/>
          <w:sz w:val="16"/>
          <w:szCs w:val="16"/>
          <w:lang w:eastAsia="en-AU"/>
        </w:rPr>
        <w:t>OECD+ rankings are performed on those OECD+ countries for which data are available. Individual data availability may vary between indicators.</w:t>
      </w:r>
    </w:p>
    <w:p w14:paraId="7418BF01" w14:textId="77777777" w:rsidR="00D471AD" w:rsidRPr="008B33FB" w:rsidRDefault="00D471AD" w:rsidP="00D471AD">
      <w:pPr>
        <w:spacing w:before="120" w:after="120"/>
        <w:rPr>
          <w:rFonts w:eastAsia="Times New Roman" w:cs="Arial"/>
          <w:i/>
          <w:iCs/>
          <w:color w:val="22789A"/>
          <w:sz w:val="16"/>
          <w:szCs w:val="16"/>
          <w:lang w:eastAsia="en-AU"/>
        </w:rPr>
      </w:pPr>
      <w:r w:rsidRPr="008671B7">
        <w:rPr>
          <w:rFonts w:eastAsia="Times New Roman" w:cs="Arial"/>
          <w:b/>
          <w:i/>
          <w:iCs/>
          <w:color w:val="22789A"/>
          <w:sz w:val="16"/>
          <w:szCs w:val="16"/>
          <w:lang w:eastAsia="en-AU"/>
        </w:rPr>
        <w:t>Sources</w:t>
      </w:r>
      <w:r w:rsidRPr="008671B7">
        <w:rPr>
          <w:rFonts w:eastAsia="Times New Roman" w:cs="Arial"/>
          <w:b/>
          <w:color w:val="22789A"/>
          <w:sz w:val="16"/>
          <w:szCs w:val="16"/>
          <w:lang w:eastAsia="en-AU"/>
        </w:rPr>
        <w:t xml:space="preserve"> (1 - 25): </w:t>
      </w:r>
      <w:r w:rsidRPr="008671B7">
        <w:rPr>
          <w:rFonts w:eastAsia="Times New Roman" w:cs="Arial"/>
          <w:b/>
          <w:bCs/>
          <w:color w:val="22789A"/>
          <w:sz w:val="16"/>
          <w:szCs w:val="16"/>
          <w:lang w:eastAsia="en-AU"/>
        </w:rPr>
        <w:t>[1]</w:t>
      </w:r>
      <w:r w:rsidRPr="008671B7">
        <w:rPr>
          <w:rFonts w:eastAsia="Times New Roman" w:cs="Arial"/>
          <w:color w:val="22789A"/>
          <w:sz w:val="16"/>
          <w:szCs w:val="16"/>
          <w:lang w:eastAsia="en-AU"/>
        </w:rPr>
        <w:t xml:space="preserve"> ABS (2016) Australian National Accounts: National Income, Expenditure and Product, cat. no. 5206.0, June 2016, Income from GDP and Changes in Inventories, Annual;</w:t>
      </w:r>
      <w:r w:rsidRPr="008671B7">
        <w:rPr>
          <w:rFonts w:eastAsia="Times New Roman" w:cs="Arial"/>
          <w:b/>
          <w:bCs/>
          <w:color w:val="22789A"/>
          <w:sz w:val="16"/>
          <w:szCs w:val="16"/>
          <w:lang w:eastAsia="en-AU"/>
        </w:rPr>
        <w:t xml:space="preserve"> [2] </w:t>
      </w:r>
      <w:r w:rsidRPr="008671B7">
        <w:rPr>
          <w:rFonts w:eastAsia="Times New Roman" w:cs="Arial"/>
          <w:color w:val="22789A"/>
          <w:sz w:val="16"/>
          <w:szCs w:val="16"/>
          <w:lang w:eastAsia="en-AU"/>
        </w:rPr>
        <w:t xml:space="preserve">ABS (2016) Australian National Accounts: National Income, Expenditure and Product, cat. no. 5206.0, June 2016, Indexes of Industrial Production, Annual; </w:t>
      </w:r>
      <w:r w:rsidRPr="008671B7">
        <w:rPr>
          <w:rFonts w:eastAsia="Times New Roman" w:cs="Arial"/>
          <w:b/>
          <w:bCs/>
          <w:color w:val="22789A"/>
          <w:sz w:val="16"/>
          <w:szCs w:val="16"/>
          <w:lang w:eastAsia="en-AU"/>
        </w:rPr>
        <w:t>[3]</w:t>
      </w:r>
      <w:r w:rsidRPr="008671B7">
        <w:rPr>
          <w:rFonts w:eastAsia="Times New Roman" w:cs="Arial"/>
          <w:color w:val="22789A"/>
          <w:sz w:val="16"/>
          <w:szCs w:val="16"/>
          <w:lang w:eastAsia="en-AU"/>
        </w:rPr>
        <w:t xml:space="preserve"> National Australia Bank (NAB) (2016) NAB Index of capacity utilisation, 2017, Ref: Thomson Reuters Subscription database; </w:t>
      </w:r>
      <w:r w:rsidRPr="008671B7">
        <w:rPr>
          <w:rFonts w:eastAsia="Times New Roman" w:cs="Arial"/>
          <w:b/>
          <w:bCs/>
          <w:color w:val="22789A"/>
          <w:sz w:val="16"/>
          <w:szCs w:val="16"/>
          <w:lang w:eastAsia="en-AU"/>
        </w:rPr>
        <w:t xml:space="preserve">[4] </w:t>
      </w:r>
      <w:r w:rsidRPr="008671B7">
        <w:rPr>
          <w:rFonts w:eastAsia="Times New Roman" w:cs="Arial"/>
          <w:color w:val="22789A"/>
          <w:sz w:val="16"/>
          <w:szCs w:val="16"/>
          <w:lang w:eastAsia="en-AU"/>
        </w:rPr>
        <w:t xml:space="preserve">ABS (2015) Australian National Accounts: National Income, Expenditure and Product, cat. no. 5206.0, June 2015, Industry Gross Value Added, Chain volume measures, Annual; </w:t>
      </w:r>
      <w:r w:rsidRPr="008671B7">
        <w:rPr>
          <w:rFonts w:eastAsia="Times New Roman" w:cs="Arial"/>
          <w:b/>
          <w:bCs/>
          <w:color w:val="22789A"/>
          <w:sz w:val="16"/>
          <w:szCs w:val="16"/>
          <w:lang w:eastAsia="en-AU"/>
        </w:rPr>
        <w:t xml:space="preserve">[5] </w:t>
      </w:r>
      <w:r w:rsidRPr="008671B7">
        <w:rPr>
          <w:rFonts w:eastAsia="Times New Roman" w:cs="Arial"/>
          <w:color w:val="22789A"/>
          <w:sz w:val="16"/>
          <w:szCs w:val="16"/>
          <w:lang w:eastAsia="en-AU"/>
        </w:rPr>
        <w:t>ABS (2016) Labour Force, Australia, cat. no. 6202.0, June 2016, URL: http://www.abs.gov.au/;</w:t>
      </w:r>
      <w:r w:rsidRPr="008671B7">
        <w:rPr>
          <w:rFonts w:eastAsia="Times New Roman" w:cs="Arial"/>
          <w:b/>
          <w:bCs/>
          <w:color w:val="22789A"/>
          <w:sz w:val="16"/>
          <w:szCs w:val="16"/>
          <w:lang w:eastAsia="en-AU"/>
        </w:rPr>
        <w:t xml:space="preserve"> [6]</w:t>
      </w:r>
      <w:r w:rsidRPr="008671B7">
        <w:rPr>
          <w:rFonts w:eastAsia="Times New Roman" w:cs="Arial"/>
          <w:color w:val="22789A"/>
          <w:sz w:val="16"/>
          <w:szCs w:val="16"/>
          <w:lang w:eastAsia="en-AU"/>
        </w:rPr>
        <w:t xml:space="preserve"> ABS (2014–2015) Consumer Price Index, Australia, cat. no. 6401.0, 2014–2015, CPI: All Groups, Index Numbers and Percentage Changes, URL: http://www.abs.gov.au/; </w:t>
      </w:r>
      <w:r w:rsidRPr="008671B7">
        <w:rPr>
          <w:rFonts w:eastAsia="Times New Roman" w:cs="Arial"/>
          <w:b/>
          <w:bCs/>
          <w:color w:val="22789A"/>
          <w:sz w:val="16"/>
          <w:szCs w:val="16"/>
          <w:lang w:eastAsia="en-AU"/>
        </w:rPr>
        <w:t xml:space="preserve">[7] </w:t>
      </w:r>
      <w:r w:rsidRPr="008671B7">
        <w:rPr>
          <w:rFonts w:eastAsia="Times New Roman" w:cs="Arial"/>
          <w:color w:val="22789A"/>
          <w:sz w:val="16"/>
          <w:szCs w:val="16"/>
          <w:lang w:eastAsia="en-AU"/>
        </w:rPr>
        <w:t xml:space="preserve">ABS (2016) Consumer Price Index, Australia, cat. no. 6401.0, June 2016, Tables 1 and 2: CPI: All Groups, Index Numbers and Percentage Changes , URL: http://www.abs.gov.au/; </w:t>
      </w:r>
      <w:r w:rsidRPr="008671B7">
        <w:rPr>
          <w:rFonts w:eastAsia="Times New Roman" w:cs="Arial"/>
          <w:b/>
          <w:bCs/>
          <w:color w:val="22789A"/>
          <w:sz w:val="16"/>
          <w:szCs w:val="16"/>
          <w:lang w:eastAsia="en-AU"/>
        </w:rPr>
        <w:t>[8]</w:t>
      </w:r>
      <w:r w:rsidRPr="008671B7">
        <w:rPr>
          <w:rFonts w:eastAsia="Times New Roman" w:cs="Arial"/>
          <w:color w:val="22789A"/>
          <w:sz w:val="16"/>
          <w:szCs w:val="16"/>
          <w:lang w:eastAsia="en-AU"/>
        </w:rPr>
        <w:t xml:space="preserve"> RBA (2010-2016) Trade Weighted Index (TWI), December 2009 - July 2016, URL: http://www.rba.gov.au/;</w:t>
      </w:r>
      <w:r w:rsidRPr="008671B7">
        <w:rPr>
          <w:rFonts w:eastAsia="Times New Roman" w:cs="Arial"/>
          <w:b/>
          <w:bCs/>
          <w:color w:val="22789A"/>
          <w:sz w:val="16"/>
          <w:szCs w:val="16"/>
          <w:lang w:eastAsia="en-AU"/>
        </w:rPr>
        <w:t xml:space="preserve"> [9]</w:t>
      </w:r>
      <w:r w:rsidRPr="008671B7">
        <w:rPr>
          <w:rFonts w:eastAsia="Times New Roman" w:cs="Arial"/>
          <w:color w:val="22789A"/>
          <w:sz w:val="16"/>
          <w:szCs w:val="16"/>
          <w:lang w:eastAsia="en-AU"/>
        </w:rPr>
        <w:t xml:space="preserve"> National Australia Bank (NAB) (2016) NAB Business Confidence Survey, 2017, Ref: Thomson Reuters Subscription database;</w:t>
      </w:r>
      <w:r w:rsidRPr="008671B7">
        <w:rPr>
          <w:rFonts w:eastAsia="Times New Roman" w:cs="Arial"/>
          <w:b/>
          <w:bCs/>
          <w:color w:val="22789A"/>
          <w:sz w:val="16"/>
          <w:szCs w:val="16"/>
          <w:lang w:eastAsia="en-AU"/>
        </w:rPr>
        <w:t xml:space="preserve"> [10]</w:t>
      </w:r>
      <w:r w:rsidRPr="008671B7">
        <w:rPr>
          <w:rFonts w:eastAsia="Times New Roman" w:cs="Arial"/>
          <w:color w:val="22789A"/>
          <w:sz w:val="16"/>
          <w:szCs w:val="16"/>
          <w:lang w:eastAsia="en-AU"/>
        </w:rPr>
        <w:t xml:space="preserve"> ABS (2008–2013) Selected Characteristics of Australian Business, cat. no. 8167.0, 2005–06 - 2011–12, Barriers to innovation - by innovation status, employment size, and industry, URL: http://www.abs.gov.au/;</w:t>
      </w:r>
      <w:r w:rsidRPr="008671B7">
        <w:rPr>
          <w:rFonts w:eastAsia="Times New Roman" w:cs="Arial"/>
          <w:b/>
          <w:bCs/>
          <w:color w:val="22789A"/>
          <w:sz w:val="16"/>
          <w:szCs w:val="16"/>
          <w:lang w:eastAsia="en-AU"/>
        </w:rPr>
        <w:t xml:space="preserve"> [11]</w:t>
      </w:r>
      <w:r w:rsidRPr="008671B7">
        <w:rPr>
          <w:rFonts w:eastAsia="Times New Roman" w:cs="Arial"/>
          <w:color w:val="22789A"/>
          <w:sz w:val="16"/>
          <w:szCs w:val="16"/>
          <w:lang w:eastAsia="en-AU"/>
        </w:rPr>
        <w:t xml:space="preserve"> ABS (2014–2015) Selected Characteristics of Australian Business, cat. no. 8167.0, 2012–13 - 2013–14, Barriers, URL: http://www.abs.gov.au/;</w:t>
      </w:r>
      <w:r w:rsidRPr="008671B7">
        <w:rPr>
          <w:rFonts w:eastAsia="Times New Roman" w:cs="Arial"/>
          <w:b/>
          <w:bCs/>
          <w:color w:val="22789A"/>
          <w:sz w:val="16"/>
          <w:szCs w:val="16"/>
          <w:lang w:eastAsia="en-AU"/>
        </w:rPr>
        <w:t xml:space="preserve"> [12]</w:t>
      </w:r>
      <w:r w:rsidRPr="008671B7">
        <w:rPr>
          <w:rFonts w:eastAsia="Times New Roman" w:cs="Arial"/>
          <w:color w:val="22789A"/>
          <w:sz w:val="16"/>
          <w:szCs w:val="16"/>
          <w:lang w:eastAsia="en-AU"/>
        </w:rPr>
        <w:t xml:space="preserve"> ABS (2016) Innovation in Australian Business, cat. no. 8158.0, 2014–15, Barriers to innovation, URL: http://www.abs.gov.au/; </w:t>
      </w:r>
      <w:r w:rsidRPr="008671B7">
        <w:rPr>
          <w:rFonts w:eastAsia="Times New Roman" w:cs="Arial"/>
          <w:b/>
          <w:bCs/>
          <w:color w:val="22789A"/>
          <w:sz w:val="16"/>
          <w:szCs w:val="16"/>
          <w:lang w:eastAsia="en-AU"/>
        </w:rPr>
        <w:t xml:space="preserve">[13] </w:t>
      </w:r>
      <w:r w:rsidRPr="008671B7">
        <w:rPr>
          <w:rFonts w:eastAsia="Times New Roman" w:cs="Arial"/>
          <w:color w:val="22789A"/>
          <w:sz w:val="16"/>
          <w:szCs w:val="16"/>
          <w:lang w:eastAsia="en-AU"/>
        </w:rPr>
        <w:t xml:space="preserve">ABS (2008–2013) Selected Characteristics of Australian Business, cat. no. 8167.0, 2005–06 - 2011–12, Reasons for seeking debt or equity finance, by innovation status, by employment size, by industry, URL: http://www.abs.gov.au/; </w:t>
      </w:r>
      <w:r w:rsidRPr="008671B7">
        <w:rPr>
          <w:rFonts w:eastAsia="Times New Roman" w:cs="Arial"/>
          <w:b/>
          <w:bCs/>
          <w:color w:val="22789A"/>
          <w:sz w:val="16"/>
          <w:szCs w:val="16"/>
          <w:lang w:eastAsia="en-AU"/>
        </w:rPr>
        <w:t>[14]</w:t>
      </w:r>
      <w:r w:rsidRPr="008671B7">
        <w:rPr>
          <w:rFonts w:eastAsia="Times New Roman" w:cs="Arial"/>
          <w:color w:val="22789A"/>
          <w:sz w:val="16"/>
          <w:szCs w:val="16"/>
          <w:lang w:eastAsia="en-AU"/>
        </w:rPr>
        <w:t xml:space="preserve"> ABS (2014–2016) Selected Characteristics of Australian Business, cat. no. 8167.0, 2012–13 - 2014–15, Business finance, URL: http://www.abs.gov.au/; </w:t>
      </w:r>
      <w:r w:rsidRPr="008671B7">
        <w:rPr>
          <w:rFonts w:eastAsia="Times New Roman" w:cs="Arial"/>
          <w:b/>
          <w:bCs/>
          <w:color w:val="22789A"/>
          <w:sz w:val="16"/>
          <w:szCs w:val="16"/>
          <w:lang w:eastAsia="en-AU"/>
        </w:rPr>
        <w:t>[15]</w:t>
      </w:r>
      <w:r w:rsidRPr="008671B7">
        <w:rPr>
          <w:rFonts w:eastAsia="Times New Roman" w:cs="Arial"/>
          <w:color w:val="22789A"/>
          <w:sz w:val="16"/>
          <w:szCs w:val="16"/>
          <w:lang w:eastAsia="en-AU"/>
        </w:rPr>
        <w:t xml:space="preserve"> World Economic Forum (2014–2016) Global Competitiveness Index, 2014–15 - 2016–17, URL: http://www.weforum.org/; </w:t>
      </w:r>
      <w:r w:rsidRPr="008671B7">
        <w:rPr>
          <w:rFonts w:eastAsia="Times New Roman" w:cs="Arial"/>
          <w:b/>
          <w:bCs/>
          <w:color w:val="22789A"/>
          <w:sz w:val="16"/>
          <w:szCs w:val="16"/>
          <w:lang w:eastAsia="en-AU"/>
        </w:rPr>
        <w:t>[16]</w:t>
      </w:r>
      <w:r w:rsidRPr="008671B7">
        <w:rPr>
          <w:rFonts w:eastAsia="Times New Roman" w:cs="Arial"/>
          <w:color w:val="22789A"/>
          <w:sz w:val="16"/>
          <w:szCs w:val="16"/>
          <w:lang w:eastAsia="en-AU"/>
        </w:rPr>
        <w:t xml:space="preserve"> ABS (2016) Venture Capital and Later Stage Private Equity, Australia, cat. No. 5678.0, 2014–15, Ref: www.abs.gov.au/ausstats/abs@.nsf/mf/5678.0; </w:t>
      </w:r>
      <w:r w:rsidRPr="008671B7">
        <w:rPr>
          <w:rFonts w:eastAsia="Times New Roman" w:cs="Arial"/>
          <w:b/>
          <w:bCs/>
          <w:color w:val="22789A"/>
          <w:sz w:val="16"/>
          <w:szCs w:val="16"/>
          <w:lang w:eastAsia="en-AU"/>
        </w:rPr>
        <w:t>[17]</w:t>
      </w:r>
      <w:r w:rsidRPr="008671B7">
        <w:rPr>
          <w:rFonts w:eastAsia="Times New Roman" w:cs="Arial"/>
          <w:color w:val="22789A"/>
          <w:sz w:val="16"/>
          <w:szCs w:val="16"/>
          <w:lang w:eastAsia="en-AU"/>
        </w:rPr>
        <w:t xml:space="preserve"> OECD (2013) Entrepreneurship at a Glance , 2013, DOI: 10.1787/data-00283-en;</w:t>
      </w:r>
      <w:r w:rsidRPr="008671B7">
        <w:rPr>
          <w:rFonts w:eastAsia="Times New Roman" w:cs="Arial"/>
          <w:b/>
          <w:bCs/>
          <w:color w:val="22789A"/>
          <w:sz w:val="16"/>
          <w:szCs w:val="16"/>
          <w:lang w:eastAsia="en-AU"/>
        </w:rPr>
        <w:t xml:space="preserve"> [18] </w:t>
      </w:r>
      <w:r w:rsidRPr="008671B7">
        <w:rPr>
          <w:rFonts w:eastAsia="Times New Roman" w:cs="Arial"/>
          <w:color w:val="22789A"/>
          <w:sz w:val="16"/>
          <w:szCs w:val="16"/>
          <w:lang w:eastAsia="en-AU"/>
        </w:rPr>
        <w:t xml:space="preserve">OECD (2014-2016) Entrepreneurship at a Glance , 2014 –2016, URL: http://www.oecd.org/; </w:t>
      </w:r>
      <w:r w:rsidRPr="008671B7">
        <w:rPr>
          <w:rFonts w:eastAsia="Times New Roman" w:cs="Arial"/>
          <w:b/>
          <w:bCs/>
          <w:color w:val="22789A"/>
          <w:sz w:val="16"/>
          <w:szCs w:val="16"/>
          <w:lang w:eastAsia="en-AU"/>
        </w:rPr>
        <w:t>[19]</w:t>
      </w:r>
      <w:r w:rsidRPr="008671B7">
        <w:rPr>
          <w:rFonts w:eastAsia="Times New Roman" w:cs="Arial"/>
          <w:color w:val="22789A"/>
          <w:sz w:val="16"/>
          <w:szCs w:val="16"/>
          <w:lang w:eastAsia="en-AU"/>
        </w:rPr>
        <w:t xml:space="preserve"> World Bank (2016) World Development Indicators, 2016, URL: http://data.worldbank.org/;</w:t>
      </w:r>
      <w:r w:rsidRPr="008671B7">
        <w:rPr>
          <w:rFonts w:eastAsia="Times New Roman" w:cs="Arial"/>
          <w:b/>
          <w:bCs/>
          <w:color w:val="22789A"/>
          <w:sz w:val="16"/>
          <w:szCs w:val="16"/>
          <w:lang w:eastAsia="en-AU"/>
        </w:rPr>
        <w:t xml:space="preserve"> [20]</w:t>
      </w:r>
      <w:r w:rsidRPr="008671B7">
        <w:rPr>
          <w:rFonts w:eastAsia="Times New Roman" w:cs="Arial"/>
          <w:color w:val="22789A"/>
          <w:sz w:val="16"/>
          <w:szCs w:val="16"/>
          <w:lang w:eastAsia="en-AU"/>
        </w:rPr>
        <w:t xml:space="preserve"> Global Entrepreneurship Research Association (GERA) (2015) Global Entrepreneurship Monitor (GEM), 2014, URL: http://www.gemconsortium.org/; </w:t>
      </w:r>
      <w:r w:rsidRPr="008671B7">
        <w:rPr>
          <w:rFonts w:eastAsia="Times New Roman" w:cs="Arial"/>
          <w:b/>
          <w:bCs/>
          <w:color w:val="22789A"/>
          <w:sz w:val="16"/>
          <w:szCs w:val="16"/>
          <w:lang w:eastAsia="en-AU"/>
        </w:rPr>
        <w:t xml:space="preserve">[21] </w:t>
      </w:r>
      <w:r w:rsidRPr="008671B7">
        <w:rPr>
          <w:rFonts w:eastAsia="Times New Roman" w:cs="Arial"/>
          <w:color w:val="22789A"/>
          <w:sz w:val="16"/>
          <w:szCs w:val="16"/>
          <w:lang w:eastAsia="en-AU"/>
        </w:rPr>
        <w:t xml:space="preserve">Global Entrepreneurship Research Association (GERA) (2016) Global Entrepreneurship Monitor (GEM), 2015–16, Adult Population Survey, URL: http://www.gemconsortium.org/; </w:t>
      </w:r>
      <w:r w:rsidRPr="008671B7">
        <w:rPr>
          <w:rFonts w:eastAsia="Times New Roman" w:cs="Arial"/>
          <w:b/>
          <w:bCs/>
          <w:color w:val="22789A"/>
          <w:sz w:val="16"/>
          <w:szCs w:val="16"/>
          <w:lang w:eastAsia="en-AU"/>
        </w:rPr>
        <w:t xml:space="preserve">[22] </w:t>
      </w:r>
      <w:r w:rsidRPr="008671B7">
        <w:rPr>
          <w:rFonts w:eastAsia="Times New Roman" w:cs="Arial"/>
          <w:color w:val="22789A"/>
          <w:sz w:val="16"/>
          <w:szCs w:val="16"/>
          <w:lang w:eastAsia="en-AU"/>
        </w:rPr>
        <w:t xml:space="preserve">OECD (2016) National Accounts, 2016, 5. Final consumption expenditure of households, URL: http://stats.oecd.org/; </w:t>
      </w:r>
      <w:r w:rsidRPr="008671B7">
        <w:rPr>
          <w:rFonts w:eastAsia="Times New Roman" w:cs="Arial"/>
          <w:b/>
          <w:bCs/>
          <w:color w:val="22789A"/>
          <w:sz w:val="16"/>
          <w:szCs w:val="16"/>
          <w:lang w:eastAsia="en-AU"/>
        </w:rPr>
        <w:t xml:space="preserve">[23] </w:t>
      </w:r>
      <w:r w:rsidRPr="008671B7">
        <w:rPr>
          <w:rFonts w:eastAsia="Times New Roman" w:cs="Arial"/>
          <w:color w:val="22789A"/>
          <w:sz w:val="16"/>
          <w:szCs w:val="16"/>
          <w:lang w:eastAsia="en-AU"/>
        </w:rPr>
        <w:t xml:space="preserve">KPMG (2016) Corporate tax rates by country, 2016, URL: http://www.kpmg.com/; </w:t>
      </w:r>
      <w:r w:rsidRPr="008671B7">
        <w:rPr>
          <w:rFonts w:eastAsia="Times New Roman" w:cs="Arial"/>
          <w:b/>
          <w:bCs/>
          <w:color w:val="22789A"/>
          <w:sz w:val="16"/>
          <w:szCs w:val="16"/>
          <w:lang w:eastAsia="en-AU"/>
        </w:rPr>
        <w:t xml:space="preserve">[24] </w:t>
      </w:r>
      <w:r w:rsidRPr="008671B7">
        <w:rPr>
          <w:rFonts w:eastAsia="Times New Roman" w:cs="Arial"/>
          <w:color w:val="22789A"/>
          <w:sz w:val="16"/>
          <w:szCs w:val="16"/>
          <w:lang w:eastAsia="en-AU"/>
        </w:rPr>
        <w:t xml:space="preserve">Cornell University, INSEAD, WIPO (2012–2016) Global Innovation Index, GII 2012–2016, URL: http://www.globalinnovationindex.org; </w:t>
      </w:r>
      <w:r w:rsidRPr="008671B7">
        <w:rPr>
          <w:rFonts w:eastAsia="Times New Roman" w:cs="Arial"/>
          <w:b/>
          <w:bCs/>
          <w:color w:val="22789A"/>
          <w:sz w:val="16"/>
          <w:szCs w:val="16"/>
          <w:lang w:eastAsia="en-AU"/>
        </w:rPr>
        <w:t xml:space="preserve">[25] </w:t>
      </w:r>
      <w:r w:rsidRPr="008671B7">
        <w:rPr>
          <w:rFonts w:eastAsia="Times New Roman" w:cs="Arial"/>
          <w:color w:val="22789A"/>
          <w:sz w:val="16"/>
          <w:szCs w:val="16"/>
          <w:lang w:eastAsia="en-AU"/>
        </w:rPr>
        <w:t>OECD (2014) Green growth indicators, 2014, DOI: 10.1787/data-00686-en</w:t>
      </w:r>
    </w:p>
    <w:p w14:paraId="7418BF02" w14:textId="77777777" w:rsidR="00D471AD" w:rsidRPr="008B33FB" w:rsidRDefault="00D471AD" w:rsidP="00D471AD">
      <w:pPr>
        <w:spacing w:before="120" w:after="120"/>
        <w:rPr>
          <w:rFonts w:eastAsia="Times New Roman" w:cs="Arial"/>
          <w:i/>
          <w:iCs/>
          <w:color w:val="22789A"/>
          <w:sz w:val="16"/>
          <w:szCs w:val="16"/>
          <w:lang w:eastAsia="en-AU"/>
        </w:rPr>
      </w:pPr>
      <w:r w:rsidRPr="008671B7">
        <w:rPr>
          <w:rFonts w:eastAsia="Times New Roman" w:cs="Arial"/>
          <w:b/>
          <w:i/>
          <w:iCs/>
          <w:color w:val="22789A"/>
          <w:sz w:val="16"/>
          <w:szCs w:val="16"/>
          <w:lang w:eastAsia="en-AU"/>
        </w:rPr>
        <w:t>Indicator notes</w:t>
      </w:r>
      <w:r w:rsidRPr="008671B7">
        <w:rPr>
          <w:rFonts w:eastAsia="Times New Roman" w:cs="Arial"/>
          <w:b/>
          <w:color w:val="22789A"/>
          <w:sz w:val="16"/>
          <w:szCs w:val="16"/>
          <w:lang w:eastAsia="en-AU"/>
        </w:rPr>
        <w:t xml:space="preserve"> (26 - 34):</w:t>
      </w:r>
      <w:r w:rsidRPr="008671B7">
        <w:rPr>
          <w:rFonts w:eastAsia="Times New Roman" w:cs="Arial"/>
          <w:color w:val="22789A"/>
          <w:sz w:val="16"/>
          <w:szCs w:val="16"/>
          <w:lang w:eastAsia="en-AU"/>
        </w:rPr>
        <w:t xml:space="preserve"> </w:t>
      </w:r>
      <w:r w:rsidRPr="008671B7">
        <w:rPr>
          <w:rFonts w:eastAsia="Times New Roman" w:cs="Arial"/>
          <w:b/>
          <w:bCs/>
          <w:color w:val="22789A"/>
          <w:sz w:val="16"/>
          <w:szCs w:val="16"/>
          <w:lang w:eastAsia="en-AU"/>
        </w:rPr>
        <w:t>[26]</w:t>
      </w:r>
      <w:r w:rsidRPr="008671B7">
        <w:rPr>
          <w:rFonts w:eastAsia="Times New Roman" w:cs="Arial"/>
          <w:color w:val="22789A"/>
          <w:sz w:val="16"/>
          <w:szCs w:val="16"/>
          <w:lang w:eastAsia="en-AU"/>
        </w:rPr>
        <w:t xml:space="preserve"> 1996 data used in place of 1995 data.; </w:t>
      </w:r>
      <w:r w:rsidRPr="008671B7">
        <w:rPr>
          <w:rFonts w:eastAsia="Times New Roman" w:cs="Arial"/>
          <w:b/>
          <w:bCs/>
          <w:color w:val="22789A"/>
          <w:sz w:val="16"/>
          <w:szCs w:val="16"/>
          <w:lang w:eastAsia="en-AU"/>
        </w:rPr>
        <w:t>[27]</w:t>
      </w:r>
      <w:r w:rsidRPr="008671B7">
        <w:rPr>
          <w:rFonts w:eastAsia="Times New Roman" w:cs="Arial"/>
          <w:color w:val="22789A"/>
          <w:sz w:val="16"/>
          <w:szCs w:val="16"/>
          <w:lang w:eastAsia="en-AU"/>
        </w:rPr>
        <w:t xml:space="preserve"> Index is value taken at end June. June 2014 refers to 2013 year. Data code in Thomson Reuters is AUCAPUTLQ; </w:t>
      </w:r>
      <w:r w:rsidRPr="008671B7">
        <w:rPr>
          <w:rFonts w:eastAsia="Times New Roman" w:cs="Arial"/>
          <w:b/>
          <w:bCs/>
          <w:color w:val="22789A"/>
          <w:sz w:val="16"/>
          <w:szCs w:val="16"/>
          <w:lang w:eastAsia="en-AU"/>
        </w:rPr>
        <w:t>[28]</w:t>
      </w:r>
      <w:r w:rsidRPr="008671B7">
        <w:rPr>
          <w:rFonts w:eastAsia="Times New Roman" w:cs="Arial"/>
          <w:color w:val="22789A"/>
          <w:sz w:val="16"/>
          <w:szCs w:val="16"/>
          <w:lang w:eastAsia="en-AU"/>
        </w:rPr>
        <w:t xml:space="preserve"> NULL; </w:t>
      </w:r>
      <w:r w:rsidRPr="008671B7">
        <w:rPr>
          <w:rFonts w:eastAsia="Times New Roman" w:cs="Arial"/>
          <w:b/>
          <w:bCs/>
          <w:color w:val="22789A"/>
          <w:sz w:val="16"/>
          <w:szCs w:val="16"/>
          <w:lang w:eastAsia="en-AU"/>
        </w:rPr>
        <w:t xml:space="preserve">[29] </w:t>
      </w:r>
      <w:r w:rsidRPr="008671B7">
        <w:rPr>
          <w:rFonts w:eastAsia="Times New Roman" w:cs="Arial"/>
          <w:color w:val="22789A"/>
          <w:sz w:val="16"/>
          <w:szCs w:val="16"/>
          <w:lang w:eastAsia="en-AU"/>
        </w:rPr>
        <w:t>Series ID A2304757K; series type original; data type derived; collection month is June;</w:t>
      </w:r>
      <w:r w:rsidRPr="008671B7">
        <w:rPr>
          <w:rFonts w:eastAsia="Times New Roman" w:cs="Arial"/>
          <w:b/>
          <w:bCs/>
          <w:color w:val="22789A"/>
          <w:sz w:val="16"/>
          <w:szCs w:val="16"/>
          <w:lang w:eastAsia="en-AU"/>
        </w:rPr>
        <w:t xml:space="preserve"> [30] </w:t>
      </w:r>
      <w:r w:rsidRPr="008671B7">
        <w:rPr>
          <w:rFonts w:eastAsia="Times New Roman" w:cs="Arial"/>
          <w:color w:val="22789A"/>
          <w:sz w:val="16"/>
          <w:szCs w:val="16"/>
          <w:lang w:eastAsia="en-AU"/>
        </w:rPr>
        <w:t xml:space="preserve">May 1970 = 100; values are for June month; </w:t>
      </w:r>
      <w:r w:rsidRPr="008671B7">
        <w:rPr>
          <w:rFonts w:eastAsia="Times New Roman" w:cs="Arial"/>
          <w:b/>
          <w:bCs/>
          <w:color w:val="22789A"/>
          <w:sz w:val="16"/>
          <w:szCs w:val="16"/>
          <w:lang w:eastAsia="en-AU"/>
        </w:rPr>
        <w:t>[31]</w:t>
      </w:r>
      <w:r w:rsidRPr="008671B7">
        <w:rPr>
          <w:rFonts w:eastAsia="Times New Roman" w:cs="Arial"/>
          <w:color w:val="22789A"/>
          <w:sz w:val="16"/>
          <w:szCs w:val="16"/>
          <w:lang w:eastAsia="en-AU"/>
        </w:rPr>
        <w:t xml:space="preserve"> Index is value taken at end June. June 2014 refers to 2013 year. Data code in Thomson Reuters is AUNAB…Q (use monthly records); </w:t>
      </w:r>
      <w:r w:rsidRPr="008671B7">
        <w:rPr>
          <w:rFonts w:eastAsia="Times New Roman" w:cs="Arial"/>
          <w:b/>
          <w:bCs/>
          <w:color w:val="22789A"/>
          <w:sz w:val="16"/>
          <w:szCs w:val="16"/>
          <w:lang w:eastAsia="en-AU"/>
        </w:rPr>
        <w:t xml:space="preserve">[32] </w:t>
      </w:r>
      <w:r w:rsidRPr="008671B7">
        <w:rPr>
          <w:rFonts w:eastAsia="Times New Roman" w:cs="Arial"/>
          <w:color w:val="22789A"/>
          <w:sz w:val="16"/>
          <w:szCs w:val="16"/>
          <w:lang w:eastAsia="en-AU"/>
        </w:rPr>
        <w:t xml:space="preserve">A lower score is better, gap from the top 5 performers represents absolute gap; </w:t>
      </w:r>
      <w:r w:rsidRPr="008671B7">
        <w:rPr>
          <w:rFonts w:eastAsia="Times New Roman" w:cs="Arial"/>
          <w:b/>
          <w:bCs/>
          <w:color w:val="22789A"/>
          <w:sz w:val="16"/>
          <w:szCs w:val="16"/>
          <w:lang w:eastAsia="en-AU"/>
        </w:rPr>
        <w:t>[33]</w:t>
      </w:r>
      <w:r w:rsidRPr="008671B7">
        <w:rPr>
          <w:rFonts w:eastAsia="Times New Roman" w:cs="Arial"/>
          <w:color w:val="22789A"/>
          <w:sz w:val="16"/>
          <w:szCs w:val="16"/>
          <w:lang w:eastAsia="en-AU"/>
        </w:rPr>
        <w:t xml:space="preserve"> Venture capital from the ABS data is defined as: pre-seed; seed; start-up; and early expansion; </w:t>
      </w:r>
      <w:r w:rsidRPr="008671B7">
        <w:rPr>
          <w:rFonts w:eastAsia="Times New Roman" w:cs="Arial"/>
          <w:b/>
          <w:bCs/>
          <w:color w:val="22789A"/>
          <w:sz w:val="16"/>
          <w:szCs w:val="16"/>
          <w:lang w:eastAsia="en-AU"/>
        </w:rPr>
        <w:t xml:space="preserve">[34] </w:t>
      </w:r>
      <w:r w:rsidRPr="008671B7">
        <w:rPr>
          <w:rFonts w:eastAsia="Times New Roman" w:cs="Arial"/>
          <w:color w:val="22789A"/>
          <w:sz w:val="16"/>
          <w:szCs w:val="16"/>
          <w:lang w:eastAsia="en-AU"/>
        </w:rPr>
        <w:t>2002 data used in place of 2000 data.</w:t>
      </w:r>
    </w:p>
    <w:p w14:paraId="7418BF03" w14:textId="77777777" w:rsidR="00D471AD" w:rsidRDefault="00D471AD" w:rsidP="00D471AD"/>
    <w:p w14:paraId="7418BF04" w14:textId="77777777" w:rsidR="00D471AD" w:rsidRDefault="00D471AD" w:rsidP="00D471AD">
      <w:r>
        <w:br w:type="page"/>
      </w:r>
    </w:p>
    <w:tbl>
      <w:tblPr>
        <w:tblW w:w="5025" w:type="pct"/>
        <w:tblBorders>
          <w:bottom w:val="single" w:sz="4" w:space="0" w:color="auto"/>
        </w:tblBorders>
        <w:tblLook w:val="04A0" w:firstRow="1" w:lastRow="0" w:firstColumn="1" w:lastColumn="0" w:noHBand="0" w:noVBand="1"/>
      </w:tblPr>
      <w:tblGrid>
        <w:gridCol w:w="5007"/>
        <w:gridCol w:w="698"/>
        <w:gridCol w:w="698"/>
        <w:gridCol w:w="698"/>
        <w:gridCol w:w="698"/>
        <w:gridCol w:w="699"/>
        <w:gridCol w:w="699"/>
        <w:gridCol w:w="699"/>
        <w:gridCol w:w="699"/>
        <w:gridCol w:w="699"/>
        <w:gridCol w:w="699"/>
        <w:gridCol w:w="699"/>
        <w:gridCol w:w="699"/>
        <w:gridCol w:w="637"/>
      </w:tblGrid>
      <w:tr w:rsidR="00D471AD" w:rsidRPr="0048563F" w14:paraId="7418BF06" w14:textId="77777777" w:rsidTr="004A31A9">
        <w:trPr>
          <w:trHeight w:val="300"/>
          <w:tblHeader/>
        </w:trPr>
        <w:tc>
          <w:tcPr>
            <w:tcW w:w="5000" w:type="pct"/>
            <w:gridSpan w:val="14"/>
            <w:tcBorders>
              <w:top w:val="single" w:sz="8" w:space="0" w:color="22789A"/>
              <w:bottom w:val="nil"/>
            </w:tcBorders>
            <w:shd w:val="clear" w:color="auto" w:fill="auto"/>
            <w:vAlign w:val="center"/>
          </w:tcPr>
          <w:p w14:paraId="7418BF05" w14:textId="77777777" w:rsidR="00D471AD" w:rsidRPr="0048563F" w:rsidRDefault="00D471AD" w:rsidP="004A31A9">
            <w:pPr>
              <w:widowControl w:val="0"/>
              <w:spacing w:before="42" w:after="0" w:line="240" w:lineRule="auto"/>
              <w:ind w:left="-108"/>
              <w:rPr>
                <w:rFonts w:eastAsia="Calibri" w:hAnsi="Calibri" w:cs="Times New Roman"/>
                <w:i/>
                <w:color w:val="22789A"/>
                <w:spacing w:val="3"/>
                <w:sz w:val="18"/>
                <w:lang w:val="en-US"/>
              </w:rPr>
            </w:pPr>
            <w:r w:rsidRPr="0048563F">
              <w:rPr>
                <w:rFonts w:eastAsia="Calibri" w:hAnsi="Calibri" w:cs="Times New Roman"/>
                <w:i/>
                <w:color w:val="22789A"/>
                <w:spacing w:val="3"/>
                <w:sz w:val="18"/>
                <w:lang w:val="en-US"/>
              </w:rPr>
              <w:t>Table A6(a): Australia</w:t>
            </w:r>
            <w:r w:rsidRPr="0048563F">
              <w:rPr>
                <w:rFonts w:eastAsia="Calibri" w:hAnsi="Calibri" w:cs="Times New Roman"/>
                <w:i/>
                <w:color w:val="22789A"/>
                <w:spacing w:val="3"/>
                <w:sz w:val="18"/>
                <w:lang w:val="en-US"/>
              </w:rPr>
              <w:t>’</w:t>
            </w:r>
            <w:r w:rsidRPr="0048563F">
              <w:rPr>
                <w:rFonts w:eastAsia="Calibri" w:hAnsi="Calibri" w:cs="Times New Roman"/>
                <w:i/>
                <w:color w:val="22789A"/>
                <w:spacing w:val="3"/>
                <w:sz w:val="18"/>
                <w:lang w:val="en-US"/>
              </w:rPr>
              <w:t>s education and skills base</w:t>
            </w:r>
          </w:p>
        </w:tc>
      </w:tr>
      <w:tr w:rsidR="00D471AD" w:rsidRPr="0048563F" w14:paraId="7418BF08" w14:textId="77777777" w:rsidTr="004A31A9">
        <w:trPr>
          <w:trHeight w:val="300"/>
          <w:tblHeader/>
        </w:trPr>
        <w:tc>
          <w:tcPr>
            <w:tcW w:w="5000" w:type="pct"/>
            <w:gridSpan w:val="14"/>
            <w:tcBorders>
              <w:top w:val="nil"/>
            </w:tcBorders>
            <w:shd w:val="clear" w:color="292B67" w:fill="22789A"/>
            <w:vAlign w:val="center"/>
            <w:hideMark/>
          </w:tcPr>
          <w:p w14:paraId="7418BF07" w14:textId="77777777" w:rsidR="00D471AD" w:rsidRPr="0048563F" w:rsidRDefault="00D471AD" w:rsidP="004A31A9">
            <w:pPr>
              <w:widowControl w:val="0"/>
              <w:spacing w:before="42" w:after="0" w:line="240" w:lineRule="auto"/>
              <w:ind w:left="79"/>
              <w:rPr>
                <w:rFonts w:eastAsia="Calibri" w:hAnsi="Calibri" w:cs="Times New Roman"/>
                <w:i/>
                <w:color w:val="FFFFFF"/>
                <w:spacing w:val="3"/>
                <w:sz w:val="18"/>
                <w:lang w:val="en-US"/>
              </w:rPr>
            </w:pPr>
            <w:r w:rsidRPr="0048563F">
              <w:rPr>
                <w:rFonts w:eastAsia="Calibri" w:hAnsi="Calibri" w:cs="Times New Roman"/>
                <w:i/>
                <w:color w:val="FFFFFF"/>
                <w:spacing w:val="3"/>
                <w:sz w:val="18"/>
                <w:lang w:val="en-US"/>
              </w:rPr>
              <w:t>Australian Trend Data (i)</w:t>
            </w:r>
          </w:p>
        </w:tc>
      </w:tr>
      <w:tr w:rsidR="00D471AD" w:rsidRPr="0048563F" w14:paraId="7418BF17" w14:textId="77777777" w:rsidTr="004A31A9">
        <w:trPr>
          <w:trHeight w:val="300"/>
          <w:tblHeader/>
        </w:trPr>
        <w:tc>
          <w:tcPr>
            <w:tcW w:w="1785" w:type="pct"/>
            <w:shd w:val="clear" w:color="auto" w:fill="E4F3F9"/>
            <w:vAlign w:val="center"/>
            <w:hideMark/>
          </w:tcPr>
          <w:p w14:paraId="7418BF09" w14:textId="77777777" w:rsidR="00D471AD" w:rsidRPr="0048563F" w:rsidRDefault="00D471AD" w:rsidP="004A31A9">
            <w:pPr>
              <w:spacing w:after="0" w:line="240" w:lineRule="auto"/>
              <w:rPr>
                <w:rFonts w:eastAsia="Times New Roman" w:cs="Arial"/>
                <w:b/>
                <w:bCs/>
                <w:i/>
                <w:color w:val="7A7B7C"/>
                <w:sz w:val="14"/>
                <w:szCs w:val="14"/>
                <w:lang w:eastAsia="en-AU"/>
              </w:rPr>
            </w:pPr>
            <w:r w:rsidRPr="0048563F">
              <w:rPr>
                <w:rFonts w:eastAsia="Times New Roman" w:cs="Arial"/>
                <w:b/>
                <w:bCs/>
                <w:i/>
                <w:color w:val="7A7B7C"/>
                <w:sz w:val="14"/>
                <w:szCs w:val="14"/>
                <w:lang w:eastAsia="en-AU"/>
              </w:rPr>
              <w:t>Indicators</w:t>
            </w:r>
          </w:p>
        </w:tc>
        <w:tc>
          <w:tcPr>
            <w:tcW w:w="249" w:type="pct"/>
            <w:shd w:val="clear" w:color="auto" w:fill="E4F3F9"/>
            <w:vAlign w:val="center"/>
            <w:hideMark/>
          </w:tcPr>
          <w:p w14:paraId="7418BF0A"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1995</w:t>
            </w:r>
          </w:p>
        </w:tc>
        <w:tc>
          <w:tcPr>
            <w:tcW w:w="249" w:type="pct"/>
            <w:shd w:val="clear" w:color="auto" w:fill="E4F3F9"/>
            <w:vAlign w:val="center"/>
            <w:hideMark/>
          </w:tcPr>
          <w:p w14:paraId="7418BF0B"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2000</w:t>
            </w:r>
          </w:p>
        </w:tc>
        <w:tc>
          <w:tcPr>
            <w:tcW w:w="249" w:type="pct"/>
            <w:shd w:val="clear" w:color="auto" w:fill="E4F3F9"/>
            <w:vAlign w:val="center"/>
            <w:hideMark/>
          </w:tcPr>
          <w:p w14:paraId="7418BF0C"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2005</w:t>
            </w:r>
          </w:p>
        </w:tc>
        <w:tc>
          <w:tcPr>
            <w:tcW w:w="249" w:type="pct"/>
            <w:shd w:val="clear" w:color="auto" w:fill="E4F3F9"/>
            <w:vAlign w:val="center"/>
            <w:hideMark/>
          </w:tcPr>
          <w:p w14:paraId="7418BF0D"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2006</w:t>
            </w:r>
          </w:p>
        </w:tc>
        <w:tc>
          <w:tcPr>
            <w:tcW w:w="249" w:type="pct"/>
            <w:shd w:val="clear" w:color="auto" w:fill="E4F3F9"/>
            <w:vAlign w:val="center"/>
            <w:hideMark/>
          </w:tcPr>
          <w:p w14:paraId="7418BF0E"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2007</w:t>
            </w:r>
          </w:p>
        </w:tc>
        <w:tc>
          <w:tcPr>
            <w:tcW w:w="249" w:type="pct"/>
            <w:shd w:val="clear" w:color="auto" w:fill="E4F3F9"/>
            <w:vAlign w:val="center"/>
            <w:hideMark/>
          </w:tcPr>
          <w:p w14:paraId="7418BF0F"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2008</w:t>
            </w:r>
          </w:p>
        </w:tc>
        <w:tc>
          <w:tcPr>
            <w:tcW w:w="249" w:type="pct"/>
            <w:shd w:val="clear" w:color="auto" w:fill="E4F3F9"/>
            <w:vAlign w:val="center"/>
            <w:hideMark/>
          </w:tcPr>
          <w:p w14:paraId="7418BF10"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2009</w:t>
            </w:r>
          </w:p>
        </w:tc>
        <w:tc>
          <w:tcPr>
            <w:tcW w:w="249" w:type="pct"/>
            <w:shd w:val="clear" w:color="auto" w:fill="E4F3F9"/>
            <w:vAlign w:val="center"/>
            <w:hideMark/>
          </w:tcPr>
          <w:p w14:paraId="7418BF11"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2010</w:t>
            </w:r>
          </w:p>
        </w:tc>
        <w:tc>
          <w:tcPr>
            <w:tcW w:w="249" w:type="pct"/>
            <w:shd w:val="clear" w:color="auto" w:fill="E4F3F9"/>
            <w:vAlign w:val="center"/>
            <w:hideMark/>
          </w:tcPr>
          <w:p w14:paraId="7418BF12"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2011</w:t>
            </w:r>
          </w:p>
        </w:tc>
        <w:tc>
          <w:tcPr>
            <w:tcW w:w="249" w:type="pct"/>
            <w:shd w:val="clear" w:color="auto" w:fill="E4F3F9"/>
            <w:vAlign w:val="center"/>
            <w:hideMark/>
          </w:tcPr>
          <w:p w14:paraId="7418BF13"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2012</w:t>
            </w:r>
          </w:p>
        </w:tc>
        <w:tc>
          <w:tcPr>
            <w:tcW w:w="249" w:type="pct"/>
            <w:shd w:val="clear" w:color="auto" w:fill="E4F3F9"/>
            <w:vAlign w:val="center"/>
            <w:hideMark/>
          </w:tcPr>
          <w:p w14:paraId="7418BF14"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2013</w:t>
            </w:r>
          </w:p>
        </w:tc>
        <w:tc>
          <w:tcPr>
            <w:tcW w:w="249" w:type="pct"/>
            <w:shd w:val="clear" w:color="auto" w:fill="E4F3F9"/>
            <w:vAlign w:val="center"/>
            <w:hideMark/>
          </w:tcPr>
          <w:p w14:paraId="7418BF15"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2014</w:t>
            </w:r>
          </w:p>
        </w:tc>
        <w:tc>
          <w:tcPr>
            <w:tcW w:w="227" w:type="pct"/>
            <w:shd w:val="clear" w:color="auto" w:fill="E4F3F9"/>
            <w:vAlign w:val="center"/>
            <w:hideMark/>
          </w:tcPr>
          <w:p w14:paraId="7418BF16" w14:textId="77777777" w:rsidR="00D471AD" w:rsidRPr="0048563F" w:rsidRDefault="00D471AD" w:rsidP="004A31A9">
            <w:pPr>
              <w:spacing w:after="0" w:line="240" w:lineRule="auto"/>
              <w:jc w:val="right"/>
              <w:rPr>
                <w:rFonts w:eastAsia="Times New Roman" w:cs="Arial"/>
                <w:b/>
                <w:bCs/>
                <w:i/>
                <w:color w:val="7A7B7C"/>
                <w:sz w:val="14"/>
                <w:szCs w:val="14"/>
                <w:lang w:eastAsia="en-AU"/>
              </w:rPr>
            </w:pPr>
            <w:r w:rsidRPr="0048563F">
              <w:rPr>
                <w:rFonts w:eastAsia="Times New Roman" w:cs="Arial"/>
                <w:b/>
                <w:bCs/>
                <w:i/>
                <w:color w:val="7A7B7C"/>
                <w:sz w:val="14"/>
                <w:szCs w:val="14"/>
                <w:lang w:eastAsia="en-AU"/>
              </w:rPr>
              <w:t>2015</w:t>
            </w:r>
          </w:p>
        </w:tc>
      </w:tr>
      <w:tr w:rsidR="00D471AD" w:rsidRPr="0048563F" w14:paraId="7418BF26" w14:textId="77777777" w:rsidTr="004A31A9">
        <w:trPr>
          <w:trHeight w:val="283"/>
        </w:trPr>
        <w:tc>
          <w:tcPr>
            <w:tcW w:w="1785" w:type="pct"/>
            <w:shd w:val="clear" w:color="auto" w:fill="D5ECF5"/>
            <w:vAlign w:val="center"/>
          </w:tcPr>
          <w:p w14:paraId="7418BF18"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Total expenditure on educational institutions, % of GDP</w:t>
            </w:r>
            <w:r w:rsidRPr="0048563F">
              <w:rPr>
                <w:rFonts w:eastAsia="Arial Unicode MS" w:cs="Arial" w:hint="eastAsia"/>
                <w:color w:val="7A7B7C"/>
                <w:sz w:val="14"/>
                <w:szCs w:val="14"/>
                <w:lang w:eastAsia="en-AU"/>
              </w:rPr>
              <w:t>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⁴</w:t>
            </w:r>
          </w:p>
        </w:tc>
        <w:tc>
          <w:tcPr>
            <w:tcW w:w="249" w:type="pct"/>
            <w:shd w:val="clear" w:color="auto" w:fill="D5ECF5"/>
            <w:vAlign w:val="center"/>
          </w:tcPr>
          <w:p w14:paraId="7418BF1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5.05</w:t>
            </w:r>
          </w:p>
        </w:tc>
        <w:tc>
          <w:tcPr>
            <w:tcW w:w="249" w:type="pct"/>
            <w:shd w:val="clear" w:color="auto" w:fill="D5ECF5"/>
            <w:vAlign w:val="center"/>
          </w:tcPr>
          <w:p w14:paraId="7418BF1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5.09</w:t>
            </w:r>
          </w:p>
        </w:tc>
        <w:tc>
          <w:tcPr>
            <w:tcW w:w="249" w:type="pct"/>
            <w:shd w:val="clear" w:color="auto" w:fill="D5ECF5"/>
            <w:vAlign w:val="center"/>
          </w:tcPr>
          <w:p w14:paraId="7418BF1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5.19</w:t>
            </w:r>
          </w:p>
        </w:tc>
        <w:tc>
          <w:tcPr>
            <w:tcW w:w="249" w:type="pct"/>
            <w:shd w:val="clear" w:color="auto" w:fill="D5ECF5"/>
            <w:vAlign w:val="center"/>
          </w:tcPr>
          <w:p w14:paraId="7418BF1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5.71</w:t>
            </w:r>
          </w:p>
        </w:tc>
        <w:tc>
          <w:tcPr>
            <w:tcW w:w="249" w:type="pct"/>
            <w:shd w:val="clear" w:color="auto" w:fill="D5ECF5"/>
            <w:vAlign w:val="center"/>
          </w:tcPr>
          <w:p w14:paraId="7418BF1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5.18</w:t>
            </w:r>
          </w:p>
        </w:tc>
        <w:tc>
          <w:tcPr>
            <w:tcW w:w="249" w:type="pct"/>
            <w:shd w:val="clear" w:color="auto" w:fill="D5ECF5"/>
            <w:vAlign w:val="center"/>
          </w:tcPr>
          <w:p w14:paraId="7418BF1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5.21</w:t>
            </w:r>
          </w:p>
        </w:tc>
        <w:tc>
          <w:tcPr>
            <w:tcW w:w="249" w:type="pct"/>
            <w:shd w:val="clear" w:color="auto" w:fill="D5ECF5"/>
            <w:vAlign w:val="center"/>
          </w:tcPr>
          <w:p w14:paraId="7418BF1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5.95</w:t>
            </w:r>
          </w:p>
        </w:tc>
        <w:tc>
          <w:tcPr>
            <w:tcW w:w="249" w:type="pct"/>
            <w:shd w:val="clear" w:color="auto" w:fill="D5ECF5"/>
            <w:vAlign w:val="center"/>
          </w:tcPr>
          <w:p w14:paraId="7418BF2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5.94</w:t>
            </w:r>
          </w:p>
        </w:tc>
        <w:tc>
          <w:tcPr>
            <w:tcW w:w="249" w:type="pct"/>
            <w:shd w:val="clear" w:color="auto" w:fill="D5ECF5"/>
            <w:vAlign w:val="center"/>
          </w:tcPr>
          <w:p w14:paraId="7418BF2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5.68</w:t>
            </w:r>
          </w:p>
        </w:tc>
        <w:tc>
          <w:tcPr>
            <w:tcW w:w="249" w:type="pct"/>
            <w:shd w:val="clear" w:color="auto" w:fill="D5ECF5"/>
            <w:vAlign w:val="center"/>
          </w:tcPr>
          <w:p w14:paraId="7418BF2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5.58</w:t>
            </w:r>
          </w:p>
        </w:tc>
        <w:tc>
          <w:tcPr>
            <w:tcW w:w="249" w:type="pct"/>
            <w:shd w:val="clear" w:color="auto" w:fill="D5ECF5"/>
            <w:vAlign w:val="center"/>
          </w:tcPr>
          <w:p w14:paraId="7418BF2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5.61</w:t>
            </w:r>
          </w:p>
        </w:tc>
        <w:tc>
          <w:tcPr>
            <w:tcW w:w="249" w:type="pct"/>
            <w:shd w:val="clear" w:color="auto" w:fill="D5ECF5"/>
            <w:vAlign w:val="center"/>
          </w:tcPr>
          <w:p w14:paraId="7418BF2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7" w:type="pct"/>
            <w:shd w:val="clear" w:color="auto" w:fill="D5ECF5"/>
            <w:vAlign w:val="center"/>
          </w:tcPr>
          <w:p w14:paraId="7418BF2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F35" w14:textId="77777777" w:rsidTr="004A31A9">
        <w:trPr>
          <w:trHeight w:val="283"/>
        </w:trPr>
        <w:tc>
          <w:tcPr>
            <w:tcW w:w="1785" w:type="pct"/>
            <w:shd w:val="clear" w:color="auto" w:fill="E4F3F9"/>
            <w:vAlign w:val="center"/>
          </w:tcPr>
          <w:p w14:paraId="7418BF27"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Public expenditure on education, % of GDP</w:t>
            </w:r>
            <w:r w:rsidRPr="0048563F">
              <w:rPr>
                <w:rFonts w:eastAsia="Arial Unicode MS" w:cs="Arial" w:hint="eastAsia"/>
                <w:color w:val="7A7B7C"/>
                <w:sz w:val="14"/>
                <w:szCs w:val="14"/>
                <w:lang w:eastAsia="en-AU"/>
              </w:rPr>
              <w:t>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⁵</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⁶</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⁷</w:t>
            </w:r>
          </w:p>
        </w:tc>
        <w:tc>
          <w:tcPr>
            <w:tcW w:w="249" w:type="pct"/>
            <w:shd w:val="clear" w:color="auto" w:fill="E4F3F9"/>
            <w:vAlign w:val="center"/>
          </w:tcPr>
          <w:p w14:paraId="7418BF2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4.81</w:t>
            </w:r>
          </w:p>
        </w:tc>
        <w:tc>
          <w:tcPr>
            <w:tcW w:w="249" w:type="pct"/>
            <w:shd w:val="clear" w:color="auto" w:fill="E4F3F9"/>
            <w:vAlign w:val="center"/>
          </w:tcPr>
          <w:p w14:paraId="7418BF2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4.49</w:t>
            </w:r>
          </w:p>
        </w:tc>
        <w:tc>
          <w:tcPr>
            <w:tcW w:w="249" w:type="pct"/>
            <w:shd w:val="clear" w:color="auto" w:fill="E4F3F9"/>
            <w:vAlign w:val="center"/>
          </w:tcPr>
          <w:p w14:paraId="7418BF2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4.46</w:t>
            </w:r>
          </w:p>
        </w:tc>
        <w:tc>
          <w:tcPr>
            <w:tcW w:w="249" w:type="pct"/>
            <w:shd w:val="clear" w:color="auto" w:fill="E4F3F9"/>
            <w:vAlign w:val="center"/>
          </w:tcPr>
          <w:p w14:paraId="7418BF2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4.60</w:t>
            </w:r>
          </w:p>
        </w:tc>
        <w:tc>
          <w:tcPr>
            <w:tcW w:w="249" w:type="pct"/>
            <w:shd w:val="clear" w:color="auto" w:fill="E4F3F9"/>
            <w:vAlign w:val="center"/>
          </w:tcPr>
          <w:p w14:paraId="7418BF2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4.28</w:t>
            </w:r>
          </w:p>
        </w:tc>
        <w:tc>
          <w:tcPr>
            <w:tcW w:w="249" w:type="pct"/>
            <w:shd w:val="clear" w:color="auto" w:fill="E4F3F9"/>
            <w:vAlign w:val="center"/>
          </w:tcPr>
          <w:p w14:paraId="7418BF2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4.26</w:t>
            </w:r>
          </w:p>
        </w:tc>
        <w:tc>
          <w:tcPr>
            <w:tcW w:w="249" w:type="pct"/>
            <w:shd w:val="clear" w:color="auto" w:fill="E4F3F9"/>
            <w:vAlign w:val="center"/>
          </w:tcPr>
          <w:p w14:paraId="7418BF2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4.94</w:t>
            </w:r>
          </w:p>
        </w:tc>
        <w:tc>
          <w:tcPr>
            <w:tcW w:w="249" w:type="pct"/>
            <w:shd w:val="clear" w:color="auto" w:fill="E4F3F9"/>
            <w:vAlign w:val="center"/>
          </w:tcPr>
          <w:p w14:paraId="7418BF2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5.01</w:t>
            </w:r>
          </w:p>
        </w:tc>
        <w:tc>
          <w:tcPr>
            <w:tcW w:w="249" w:type="pct"/>
            <w:shd w:val="clear" w:color="auto" w:fill="E4F3F9"/>
            <w:vAlign w:val="center"/>
          </w:tcPr>
          <w:p w14:paraId="7418BF3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4.76</w:t>
            </w:r>
          </w:p>
        </w:tc>
        <w:tc>
          <w:tcPr>
            <w:tcW w:w="249" w:type="pct"/>
            <w:shd w:val="clear" w:color="auto" w:fill="E4F3F9"/>
            <w:vAlign w:val="center"/>
          </w:tcPr>
          <w:p w14:paraId="7418BF3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4.57</w:t>
            </w:r>
          </w:p>
        </w:tc>
        <w:tc>
          <w:tcPr>
            <w:tcW w:w="249" w:type="pct"/>
            <w:shd w:val="clear" w:color="auto" w:fill="E4F3F9"/>
            <w:vAlign w:val="center"/>
          </w:tcPr>
          <w:p w14:paraId="7418BF3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4.75</w:t>
            </w:r>
          </w:p>
        </w:tc>
        <w:tc>
          <w:tcPr>
            <w:tcW w:w="249" w:type="pct"/>
            <w:shd w:val="clear" w:color="auto" w:fill="E4F3F9"/>
            <w:vAlign w:val="center"/>
          </w:tcPr>
          <w:p w14:paraId="7418BF3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7" w:type="pct"/>
            <w:shd w:val="clear" w:color="auto" w:fill="E4F3F9"/>
            <w:vAlign w:val="center"/>
          </w:tcPr>
          <w:p w14:paraId="7418BF3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F44" w14:textId="77777777" w:rsidTr="004A31A9">
        <w:trPr>
          <w:trHeight w:val="283"/>
        </w:trPr>
        <w:tc>
          <w:tcPr>
            <w:tcW w:w="1785" w:type="pct"/>
            <w:shd w:val="clear" w:color="auto" w:fill="D5ECF5"/>
            <w:vAlign w:val="center"/>
          </w:tcPr>
          <w:p w14:paraId="7418BF36"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Expenditure on tertiary education institutions, % of GDP</w:t>
            </w:r>
            <w:r w:rsidRPr="0048563F">
              <w:rPr>
                <w:rFonts w:eastAsia="Arial Unicode MS" w:cs="Arial" w:hint="eastAsia"/>
                <w:color w:val="7A7B7C"/>
                <w:sz w:val="14"/>
                <w:szCs w:val="14"/>
                <w:lang w:eastAsia="en-AU"/>
              </w:rPr>
              <w:t>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⁴</w:t>
            </w:r>
          </w:p>
        </w:tc>
        <w:tc>
          <w:tcPr>
            <w:tcW w:w="249" w:type="pct"/>
            <w:shd w:val="clear" w:color="auto" w:fill="D5ECF5"/>
            <w:vAlign w:val="center"/>
          </w:tcPr>
          <w:p w14:paraId="7418BF3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1.57</w:t>
            </w:r>
          </w:p>
        </w:tc>
        <w:tc>
          <w:tcPr>
            <w:tcW w:w="249" w:type="pct"/>
            <w:shd w:val="clear" w:color="auto" w:fill="D5ECF5"/>
            <w:vAlign w:val="center"/>
          </w:tcPr>
          <w:p w14:paraId="7418BF3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1.45</w:t>
            </w:r>
          </w:p>
        </w:tc>
        <w:tc>
          <w:tcPr>
            <w:tcW w:w="249" w:type="pct"/>
            <w:shd w:val="clear" w:color="auto" w:fill="D5ECF5"/>
            <w:vAlign w:val="center"/>
          </w:tcPr>
          <w:p w14:paraId="7418BF3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1.46</w:t>
            </w:r>
          </w:p>
        </w:tc>
        <w:tc>
          <w:tcPr>
            <w:tcW w:w="249" w:type="pct"/>
            <w:shd w:val="clear" w:color="auto" w:fill="D5ECF5"/>
            <w:vAlign w:val="center"/>
          </w:tcPr>
          <w:p w14:paraId="7418BF3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1.63</w:t>
            </w:r>
          </w:p>
        </w:tc>
        <w:tc>
          <w:tcPr>
            <w:tcW w:w="249" w:type="pct"/>
            <w:shd w:val="clear" w:color="auto" w:fill="D5ECF5"/>
            <w:vAlign w:val="center"/>
          </w:tcPr>
          <w:p w14:paraId="7418BF3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1.55</w:t>
            </w:r>
          </w:p>
        </w:tc>
        <w:tc>
          <w:tcPr>
            <w:tcW w:w="249" w:type="pct"/>
            <w:shd w:val="clear" w:color="auto" w:fill="D5ECF5"/>
            <w:vAlign w:val="center"/>
          </w:tcPr>
          <w:p w14:paraId="7418BF3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1.49</w:t>
            </w:r>
          </w:p>
        </w:tc>
        <w:tc>
          <w:tcPr>
            <w:tcW w:w="249" w:type="pct"/>
            <w:shd w:val="clear" w:color="auto" w:fill="D5ECF5"/>
            <w:vAlign w:val="center"/>
          </w:tcPr>
          <w:p w14:paraId="7418BF3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1.60</w:t>
            </w:r>
          </w:p>
        </w:tc>
        <w:tc>
          <w:tcPr>
            <w:tcW w:w="249" w:type="pct"/>
            <w:shd w:val="clear" w:color="auto" w:fill="D5ECF5"/>
            <w:vAlign w:val="center"/>
          </w:tcPr>
          <w:p w14:paraId="7418BF3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1.62</w:t>
            </w:r>
          </w:p>
        </w:tc>
        <w:tc>
          <w:tcPr>
            <w:tcW w:w="249" w:type="pct"/>
            <w:shd w:val="clear" w:color="auto" w:fill="D5ECF5"/>
            <w:vAlign w:val="center"/>
          </w:tcPr>
          <w:p w14:paraId="7418BF3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1.60</w:t>
            </w:r>
          </w:p>
        </w:tc>
        <w:tc>
          <w:tcPr>
            <w:tcW w:w="249" w:type="pct"/>
            <w:shd w:val="clear" w:color="auto" w:fill="D5ECF5"/>
            <w:vAlign w:val="center"/>
          </w:tcPr>
          <w:p w14:paraId="7418BF4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1.59</w:t>
            </w:r>
          </w:p>
        </w:tc>
        <w:tc>
          <w:tcPr>
            <w:tcW w:w="249" w:type="pct"/>
            <w:shd w:val="clear" w:color="auto" w:fill="D5ECF5"/>
            <w:vAlign w:val="center"/>
          </w:tcPr>
          <w:p w14:paraId="7418BF4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1.67</w:t>
            </w:r>
          </w:p>
        </w:tc>
        <w:tc>
          <w:tcPr>
            <w:tcW w:w="249" w:type="pct"/>
            <w:shd w:val="clear" w:color="auto" w:fill="D5ECF5"/>
            <w:vAlign w:val="center"/>
          </w:tcPr>
          <w:p w14:paraId="7418BF4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7" w:type="pct"/>
            <w:shd w:val="clear" w:color="auto" w:fill="D5ECF5"/>
            <w:vAlign w:val="center"/>
          </w:tcPr>
          <w:p w14:paraId="7418BF4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F53" w14:textId="77777777" w:rsidTr="004A31A9">
        <w:trPr>
          <w:trHeight w:val="283"/>
        </w:trPr>
        <w:tc>
          <w:tcPr>
            <w:tcW w:w="1785" w:type="pct"/>
            <w:shd w:val="clear" w:color="auto" w:fill="E4F3F9"/>
            <w:vAlign w:val="center"/>
          </w:tcPr>
          <w:p w14:paraId="7418BF45"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Public expenditure on tertiary education, % of GDP</w:t>
            </w:r>
            <w:r w:rsidRPr="0048563F">
              <w:rPr>
                <w:rFonts w:eastAsia="Arial Unicode MS" w:cs="Arial" w:hint="eastAsia"/>
                <w:color w:val="7A7B7C"/>
                <w:sz w:val="14"/>
                <w:szCs w:val="14"/>
                <w:lang w:eastAsia="en-AU"/>
              </w:rPr>
              <w:t>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⁵</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⁶</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⁷</w:t>
            </w:r>
          </w:p>
        </w:tc>
        <w:tc>
          <w:tcPr>
            <w:tcW w:w="249" w:type="pct"/>
            <w:shd w:val="clear" w:color="auto" w:fill="E4F3F9"/>
            <w:vAlign w:val="center"/>
          </w:tcPr>
          <w:p w14:paraId="7418BF4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4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1.16</w:t>
            </w:r>
          </w:p>
        </w:tc>
        <w:tc>
          <w:tcPr>
            <w:tcW w:w="249" w:type="pct"/>
            <w:shd w:val="clear" w:color="auto" w:fill="E4F3F9"/>
            <w:vAlign w:val="center"/>
          </w:tcPr>
          <w:p w14:paraId="7418BF4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1.14</w:t>
            </w:r>
          </w:p>
        </w:tc>
        <w:tc>
          <w:tcPr>
            <w:tcW w:w="249" w:type="pct"/>
            <w:shd w:val="clear" w:color="auto" w:fill="E4F3F9"/>
            <w:vAlign w:val="center"/>
          </w:tcPr>
          <w:p w14:paraId="7418BF4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1.13</w:t>
            </w:r>
          </w:p>
        </w:tc>
        <w:tc>
          <w:tcPr>
            <w:tcW w:w="249" w:type="pct"/>
            <w:shd w:val="clear" w:color="auto" w:fill="E4F3F9"/>
            <w:vAlign w:val="center"/>
          </w:tcPr>
          <w:p w14:paraId="7418BF4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1.00</w:t>
            </w:r>
          </w:p>
        </w:tc>
        <w:tc>
          <w:tcPr>
            <w:tcW w:w="249" w:type="pct"/>
            <w:shd w:val="clear" w:color="auto" w:fill="E4F3F9"/>
            <w:vAlign w:val="center"/>
          </w:tcPr>
          <w:p w14:paraId="7418BF4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0.97</w:t>
            </w:r>
          </w:p>
        </w:tc>
        <w:tc>
          <w:tcPr>
            <w:tcW w:w="249" w:type="pct"/>
            <w:shd w:val="clear" w:color="auto" w:fill="E4F3F9"/>
            <w:vAlign w:val="center"/>
          </w:tcPr>
          <w:p w14:paraId="7418BF4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1.10</w:t>
            </w:r>
          </w:p>
        </w:tc>
        <w:tc>
          <w:tcPr>
            <w:tcW w:w="249" w:type="pct"/>
            <w:shd w:val="clear" w:color="auto" w:fill="E4F3F9"/>
            <w:vAlign w:val="center"/>
          </w:tcPr>
          <w:p w14:paraId="7418BF4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1.15</w:t>
            </w:r>
          </w:p>
        </w:tc>
        <w:tc>
          <w:tcPr>
            <w:tcW w:w="249" w:type="pct"/>
            <w:shd w:val="clear" w:color="auto" w:fill="E4F3F9"/>
            <w:vAlign w:val="center"/>
          </w:tcPr>
          <w:p w14:paraId="7418BF4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1.12</w:t>
            </w:r>
          </w:p>
        </w:tc>
        <w:tc>
          <w:tcPr>
            <w:tcW w:w="249" w:type="pct"/>
            <w:shd w:val="clear" w:color="auto" w:fill="E4F3F9"/>
            <w:vAlign w:val="center"/>
          </w:tcPr>
          <w:p w14:paraId="7418BF4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1.14</w:t>
            </w:r>
          </w:p>
        </w:tc>
        <w:tc>
          <w:tcPr>
            <w:tcW w:w="249" w:type="pct"/>
            <w:shd w:val="clear" w:color="auto" w:fill="E4F3F9"/>
            <w:vAlign w:val="center"/>
          </w:tcPr>
          <w:p w14:paraId="7418BF5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1.32</w:t>
            </w:r>
          </w:p>
        </w:tc>
        <w:tc>
          <w:tcPr>
            <w:tcW w:w="249" w:type="pct"/>
            <w:shd w:val="clear" w:color="auto" w:fill="E4F3F9"/>
            <w:vAlign w:val="center"/>
          </w:tcPr>
          <w:p w14:paraId="7418BF5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7" w:type="pct"/>
            <w:shd w:val="clear" w:color="auto" w:fill="E4F3F9"/>
            <w:vAlign w:val="center"/>
          </w:tcPr>
          <w:p w14:paraId="7418BF5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F62" w14:textId="77777777" w:rsidTr="004A31A9">
        <w:trPr>
          <w:trHeight w:val="283"/>
        </w:trPr>
        <w:tc>
          <w:tcPr>
            <w:tcW w:w="1785" w:type="pct"/>
            <w:shd w:val="clear" w:color="auto" w:fill="D5ECF5"/>
            <w:vAlign w:val="center"/>
          </w:tcPr>
          <w:p w14:paraId="7418BF54"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Expenditure on primary, secondary and post-secondary (non-tertiary educational) institutions, % of GDP</w:t>
            </w:r>
            <w:r w:rsidRPr="0048563F">
              <w:rPr>
                <w:rFonts w:eastAsia="Arial Unicode MS" w:cs="Arial" w:hint="eastAsia"/>
                <w:color w:val="7A7B7C"/>
                <w:sz w:val="14"/>
                <w:szCs w:val="14"/>
                <w:lang w:eastAsia="en-AU"/>
              </w:rPr>
              <w:t>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⁴</w:t>
            </w:r>
          </w:p>
        </w:tc>
        <w:tc>
          <w:tcPr>
            <w:tcW w:w="249" w:type="pct"/>
            <w:shd w:val="clear" w:color="auto" w:fill="D5ECF5"/>
            <w:vAlign w:val="center"/>
          </w:tcPr>
          <w:p w14:paraId="7418BF5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3.40</w:t>
            </w:r>
          </w:p>
        </w:tc>
        <w:tc>
          <w:tcPr>
            <w:tcW w:w="249" w:type="pct"/>
            <w:shd w:val="clear" w:color="auto" w:fill="D5ECF5"/>
            <w:vAlign w:val="center"/>
          </w:tcPr>
          <w:p w14:paraId="7418BF5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3.64</w:t>
            </w:r>
          </w:p>
        </w:tc>
        <w:tc>
          <w:tcPr>
            <w:tcW w:w="249" w:type="pct"/>
            <w:shd w:val="clear" w:color="auto" w:fill="D5ECF5"/>
            <w:vAlign w:val="center"/>
          </w:tcPr>
          <w:p w14:paraId="7418BF5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3.72</w:t>
            </w:r>
          </w:p>
        </w:tc>
        <w:tc>
          <w:tcPr>
            <w:tcW w:w="249" w:type="pct"/>
            <w:shd w:val="clear" w:color="auto" w:fill="D5ECF5"/>
            <w:vAlign w:val="center"/>
          </w:tcPr>
          <w:p w14:paraId="7418BF5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3.99</w:t>
            </w:r>
          </w:p>
        </w:tc>
        <w:tc>
          <w:tcPr>
            <w:tcW w:w="249" w:type="pct"/>
            <w:shd w:val="clear" w:color="auto" w:fill="D5ECF5"/>
            <w:vAlign w:val="center"/>
          </w:tcPr>
          <w:p w14:paraId="7418BF5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3.51</w:t>
            </w:r>
          </w:p>
        </w:tc>
        <w:tc>
          <w:tcPr>
            <w:tcW w:w="249" w:type="pct"/>
            <w:shd w:val="clear" w:color="auto" w:fill="D5ECF5"/>
            <w:vAlign w:val="center"/>
          </w:tcPr>
          <w:p w14:paraId="7418BF5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3.73</w:t>
            </w:r>
          </w:p>
        </w:tc>
        <w:tc>
          <w:tcPr>
            <w:tcW w:w="249" w:type="pct"/>
            <w:shd w:val="clear" w:color="auto" w:fill="D5ECF5"/>
            <w:vAlign w:val="center"/>
          </w:tcPr>
          <w:p w14:paraId="7418BF5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4.19</w:t>
            </w:r>
          </w:p>
        </w:tc>
        <w:tc>
          <w:tcPr>
            <w:tcW w:w="249" w:type="pct"/>
            <w:shd w:val="clear" w:color="auto" w:fill="D5ECF5"/>
            <w:vAlign w:val="center"/>
          </w:tcPr>
          <w:p w14:paraId="7418BF5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4.32</w:t>
            </w:r>
          </w:p>
        </w:tc>
        <w:tc>
          <w:tcPr>
            <w:tcW w:w="249" w:type="pct"/>
            <w:shd w:val="clear" w:color="auto" w:fill="D5ECF5"/>
            <w:vAlign w:val="center"/>
          </w:tcPr>
          <w:p w14:paraId="7418BF5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4.09</w:t>
            </w:r>
          </w:p>
        </w:tc>
        <w:tc>
          <w:tcPr>
            <w:tcW w:w="249" w:type="pct"/>
            <w:shd w:val="clear" w:color="auto" w:fill="D5ECF5"/>
            <w:vAlign w:val="center"/>
          </w:tcPr>
          <w:p w14:paraId="7418BF5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3.98</w:t>
            </w:r>
          </w:p>
        </w:tc>
        <w:tc>
          <w:tcPr>
            <w:tcW w:w="249" w:type="pct"/>
            <w:shd w:val="clear" w:color="auto" w:fill="D5ECF5"/>
            <w:vAlign w:val="center"/>
          </w:tcPr>
          <w:p w14:paraId="7418BF5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3.94</w:t>
            </w:r>
          </w:p>
        </w:tc>
        <w:tc>
          <w:tcPr>
            <w:tcW w:w="249" w:type="pct"/>
            <w:shd w:val="clear" w:color="auto" w:fill="D5ECF5"/>
            <w:vAlign w:val="center"/>
          </w:tcPr>
          <w:p w14:paraId="7418BF6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7" w:type="pct"/>
            <w:shd w:val="clear" w:color="auto" w:fill="D5ECF5"/>
            <w:vAlign w:val="center"/>
          </w:tcPr>
          <w:p w14:paraId="7418BF6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F71" w14:textId="77777777" w:rsidTr="004A31A9">
        <w:trPr>
          <w:trHeight w:val="283"/>
        </w:trPr>
        <w:tc>
          <w:tcPr>
            <w:tcW w:w="1785" w:type="pct"/>
            <w:shd w:val="clear" w:color="auto" w:fill="E4F3F9"/>
            <w:vAlign w:val="center"/>
          </w:tcPr>
          <w:p w14:paraId="7418BF63"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Percentage of 25-34 year olds with bachelor degree or higher, %</w:t>
            </w:r>
            <w:r w:rsidRPr="0048563F">
              <w:rPr>
                <w:rFonts w:eastAsia="Arial Unicode MS" w:cs="Arial" w:hint="eastAsia"/>
                <w:color w:val="7A7B7C"/>
                <w:sz w:val="14"/>
                <w:szCs w:val="14"/>
                <w:lang w:eastAsia="en-AU"/>
              </w:rPr>
              <w:t>⁸</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¹⁰</w:t>
            </w:r>
          </w:p>
        </w:tc>
        <w:tc>
          <w:tcPr>
            <w:tcW w:w="249" w:type="pct"/>
            <w:shd w:val="clear" w:color="auto" w:fill="E4F3F9"/>
            <w:vAlign w:val="center"/>
          </w:tcPr>
          <w:p w14:paraId="7418BF6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14.3</w:t>
            </w:r>
          </w:p>
        </w:tc>
        <w:tc>
          <w:tcPr>
            <w:tcW w:w="249" w:type="pct"/>
            <w:shd w:val="clear" w:color="auto" w:fill="E4F3F9"/>
            <w:vAlign w:val="center"/>
          </w:tcPr>
          <w:p w14:paraId="7418BF6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22.2</w:t>
            </w:r>
          </w:p>
        </w:tc>
        <w:tc>
          <w:tcPr>
            <w:tcW w:w="249" w:type="pct"/>
            <w:shd w:val="clear" w:color="auto" w:fill="E4F3F9"/>
            <w:vAlign w:val="center"/>
          </w:tcPr>
          <w:p w14:paraId="7418BF6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29.2</w:t>
            </w:r>
          </w:p>
        </w:tc>
        <w:tc>
          <w:tcPr>
            <w:tcW w:w="249" w:type="pct"/>
            <w:shd w:val="clear" w:color="auto" w:fill="E4F3F9"/>
            <w:vAlign w:val="center"/>
          </w:tcPr>
          <w:p w14:paraId="7418BF6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29.2</w:t>
            </w:r>
          </w:p>
        </w:tc>
        <w:tc>
          <w:tcPr>
            <w:tcW w:w="249" w:type="pct"/>
            <w:shd w:val="clear" w:color="auto" w:fill="E4F3F9"/>
            <w:vAlign w:val="center"/>
          </w:tcPr>
          <w:p w14:paraId="7418BF6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30.6</w:t>
            </w:r>
          </w:p>
        </w:tc>
        <w:tc>
          <w:tcPr>
            <w:tcW w:w="249" w:type="pct"/>
            <w:shd w:val="clear" w:color="auto" w:fill="E4F3F9"/>
            <w:vAlign w:val="center"/>
          </w:tcPr>
          <w:p w14:paraId="7418BF6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31.9</w:t>
            </w:r>
          </w:p>
        </w:tc>
        <w:tc>
          <w:tcPr>
            <w:tcW w:w="249" w:type="pct"/>
            <w:shd w:val="clear" w:color="auto" w:fill="E4F3F9"/>
            <w:vAlign w:val="center"/>
          </w:tcPr>
          <w:p w14:paraId="7418BF6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34.6</w:t>
            </w:r>
          </w:p>
        </w:tc>
        <w:tc>
          <w:tcPr>
            <w:tcW w:w="249" w:type="pct"/>
            <w:shd w:val="clear" w:color="auto" w:fill="E4F3F9"/>
            <w:vAlign w:val="center"/>
          </w:tcPr>
          <w:p w14:paraId="7418BF6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34.0</w:t>
            </w:r>
          </w:p>
        </w:tc>
        <w:tc>
          <w:tcPr>
            <w:tcW w:w="249" w:type="pct"/>
            <w:shd w:val="clear" w:color="auto" w:fill="E4F3F9"/>
            <w:vAlign w:val="center"/>
          </w:tcPr>
          <w:p w14:paraId="7418BF6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35.0</w:t>
            </w:r>
          </w:p>
        </w:tc>
        <w:tc>
          <w:tcPr>
            <w:tcW w:w="249" w:type="pct"/>
            <w:shd w:val="clear" w:color="auto" w:fill="E4F3F9"/>
            <w:vAlign w:val="center"/>
          </w:tcPr>
          <w:p w14:paraId="7418BF6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36.8</w:t>
            </w:r>
          </w:p>
        </w:tc>
        <w:tc>
          <w:tcPr>
            <w:tcW w:w="249" w:type="pct"/>
            <w:shd w:val="clear" w:color="auto" w:fill="E4F3F9"/>
            <w:vAlign w:val="center"/>
          </w:tcPr>
          <w:p w14:paraId="7418BF6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35.2</w:t>
            </w:r>
          </w:p>
        </w:tc>
        <w:tc>
          <w:tcPr>
            <w:tcW w:w="249" w:type="pct"/>
            <w:shd w:val="clear" w:color="auto" w:fill="E4F3F9"/>
            <w:vAlign w:val="center"/>
          </w:tcPr>
          <w:p w14:paraId="7418BF6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36.9</w:t>
            </w:r>
          </w:p>
        </w:tc>
        <w:tc>
          <w:tcPr>
            <w:tcW w:w="227" w:type="pct"/>
            <w:shd w:val="clear" w:color="auto" w:fill="E4F3F9"/>
            <w:vAlign w:val="center"/>
          </w:tcPr>
          <w:p w14:paraId="7418BF7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37.3</w:t>
            </w:r>
          </w:p>
        </w:tc>
      </w:tr>
      <w:tr w:rsidR="00D471AD" w:rsidRPr="0048563F" w14:paraId="7418BF80" w14:textId="77777777" w:rsidTr="004A31A9">
        <w:trPr>
          <w:trHeight w:val="283"/>
        </w:trPr>
        <w:tc>
          <w:tcPr>
            <w:tcW w:w="1785" w:type="pct"/>
            <w:shd w:val="clear" w:color="auto" w:fill="D5ECF5"/>
            <w:vAlign w:val="center"/>
          </w:tcPr>
          <w:p w14:paraId="7418BF72"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Proportion of population aged 25-64 attaining tertiary education, %</w:t>
            </w:r>
            <w:r w:rsidRPr="0048563F">
              <w:rPr>
                <w:rFonts w:eastAsia="Arial Unicode MS" w:cs="Arial" w:hint="eastAsia"/>
                <w:color w:val="7A7B7C"/>
                <w:sz w:val="14"/>
                <w:szCs w:val="14"/>
                <w:lang w:eastAsia="en-AU"/>
              </w:rPr>
              <w:t>¹⁰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¹²</w:t>
            </w:r>
          </w:p>
        </w:tc>
        <w:tc>
          <w:tcPr>
            <w:tcW w:w="249" w:type="pct"/>
            <w:shd w:val="clear" w:color="auto" w:fill="D5ECF5"/>
            <w:vAlign w:val="center"/>
          </w:tcPr>
          <w:p w14:paraId="7418BF7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7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27.5</w:t>
            </w:r>
          </w:p>
        </w:tc>
        <w:tc>
          <w:tcPr>
            <w:tcW w:w="249" w:type="pct"/>
            <w:shd w:val="clear" w:color="auto" w:fill="D5ECF5"/>
            <w:vAlign w:val="center"/>
          </w:tcPr>
          <w:p w14:paraId="7418BF7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31.7</w:t>
            </w:r>
          </w:p>
        </w:tc>
        <w:tc>
          <w:tcPr>
            <w:tcW w:w="249" w:type="pct"/>
            <w:shd w:val="clear" w:color="auto" w:fill="D5ECF5"/>
            <w:vAlign w:val="center"/>
          </w:tcPr>
          <w:p w14:paraId="7418BF7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33.0</w:t>
            </w:r>
          </w:p>
        </w:tc>
        <w:tc>
          <w:tcPr>
            <w:tcW w:w="249" w:type="pct"/>
            <w:shd w:val="clear" w:color="auto" w:fill="D5ECF5"/>
            <w:vAlign w:val="center"/>
          </w:tcPr>
          <w:p w14:paraId="7418BF7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33.7</w:t>
            </w:r>
          </w:p>
        </w:tc>
        <w:tc>
          <w:tcPr>
            <w:tcW w:w="249" w:type="pct"/>
            <w:shd w:val="clear" w:color="auto" w:fill="D5ECF5"/>
            <w:vAlign w:val="center"/>
          </w:tcPr>
          <w:p w14:paraId="7418BF7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36.2</w:t>
            </w:r>
          </w:p>
        </w:tc>
        <w:tc>
          <w:tcPr>
            <w:tcW w:w="249" w:type="pct"/>
            <w:shd w:val="clear" w:color="auto" w:fill="D5ECF5"/>
            <w:vAlign w:val="center"/>
          </w:tcPr>
          <w:p w14:paraId="7418BF7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36.9</w:t>
            </w:r>
          </w:p>
        </w:tc>
        <w:tc>
          <w:tcPr>
            <w:tcW w:w="249" w:type="pct"/>
            <w:shd w:val="clear" w:color="auto" w:fill="D5ECF5"/>
            <w:vAlign w:val="center"/>
          </w:tcPr>
          <w:p w14:paraId="7418BF7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37.6</w:t>
            </w:r>
          </w:p>
        </w:tc>
        <w:tc>
          <w:tcPr>
            <w:tcW w:w="249" w:type="pct"/>
            <w:shd w:val="clear" w:color="auto" w:fill="D5ECF5"/>
            <w:vAlign w:val="center"/>
          </w:tcPr>
          <w:p w14:paraId="7418BF7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38.3</w:t>
            </w:r>
          </w:p>
        </w:tc>
        <w:tc>
          <w:tcPr>
            <w:tcW w:w="249" w:type="pct"/>
            <w:shd w:val="clear" w:color="auto" w:fill="D5ECF5"/>
            <w:vAlign w:val="center"/>
          </w:tcPr>
          <w:p w14:paraId="7418BF7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41.3</w:t>
            </w:r>
          </w:p>
        </w:tc>
        <w:tc>
          <w:tcPr>
            <w:tcW w:w="249" w:type="pct"/>
            <w:shd w:val="clear" w:color="auto" w:fill="D5ECF5"/>
            <w:vAlign w:val="center"/>
          </w:tcPr>
          <w:p w14:paraId="7418BF7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39.5</w:t>
            </w:r>
          </w:p>
        </w:tc>
        <w:tc>
          <w:tcPr>
            <w:tcW w:w="249" w:type="pct"/>
            <w:shd w:val="clear" w:color="auto" w:fill="D5ECF5"/>
            <w:vAlign w:val="center"/>
          </w:tcPr>
          <w:p w14:paraId="7418BF7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41.9</w:t>
            </w:r>
          </w:p>
        </w:tc>
        <w:tc>
          <w:tcPr>
            <w:tcW w:w="227" w:type="pct"/>
            <w:shd w:val="clear" w:color="auto" w:fill="D5ECF5"/>
            <w:vAlign w:val="center"/>
          </w:tcPr>
          <w:p w14:paraId="7418BF7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42.9</w:t>
            </w:r>
          </w:p>
        </w:tc>
      </w:tr>
      <w:tr w:rsidR="00D471AD" w:rsidRPr="0048563F" w14:paraId="7418BF8F" w14:textId="77777777" w:rsidTr="004A31A9">
        <w:trPr>
          <w:trHeight w:val="283"/>
        </w:trPr>
        <w:tc>
          <w:tcPr>
            <w:tcW w:w="1785" w:type="pct"/>
            <w:shd w:val="clear" w:color="auto" w:fill="E4F3F9"/>
            <w:vAlign w:val="center"/>
          </w:tcPr>
          <w:p w14:paraId="7418BF81"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Proportion of population aged 25-34 with tertiary education, %</w:t>
            </w:r>
            <w:r w:rsidRPr="0048563F">
              <w:rPr>
                <w:rFonts w:eastAsia="Arial Unicode MS" w:cs="Arial" w:hint="eastAsia"/>
                <w:color w:val="7A7B7C"/>
                <w:sz w:val="14"/>
                <w:szCs w:val="14"/>
                <w:lang w:eastAsia="en-AU"/>
              </w:rPr>
              <w:t>¹⁰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¹²</w:t>
            </w:r>
          </w:p>
        </w:tc>
        <w:tc>
          <w:tcPr>
            <w:tcW w:w="249" w:type="pct"/>
            <w:shd w:val="clear" w:color="auto" w:fill="E4F3F9"/>
            <w:vAlign w:val="center"/>
          </w:tcPr>
          <w:p w14:paraId="7418BF8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8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31.4</w:t>
            </w:r>
          </w:p>
        </w:tc>
        <w:tc>
          <w:tcPr>
            <w:tcW w:w="249" w:type="pct"/>
            <w:shd w:val="clear" w:color="auto" w:fill="E4F3F9"/>
            <w:vAlign w:val="center"/>
          </w:tcPr>
          <w:p w14:paraId="7418BF8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38.1</w:t>
            </w:r>
          </w:p>
        </w:tc>
        <w:tc>
          <w:tcPr>
            <w:tcW w:w="249" w:type="pct"/>
            <w:shd w:val="clear" w:color="auto" w:fill="E4F3F9"/>
            <w:vAlign w:val="center"/>
          </w:tcPr>
          <w:p w14:paraId="7418BF8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38.8</w:t>
            </w:r>
          </w:p>
        </w:tc>
        <w:tc>
          <w:tcPr>
            <w:tcW w:w="249" w:type="pct"/>
            <w:shd w:val="clear" w:color="auto" w:fill="E4F3F9"/>
            <w:vAlign w:val="center"/>
          </w:tcPr>
          <w:p w14:paraId="7418BF8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40.7</w:t>
            </w:r>
          </w:p>
        </w:tc>
        <w:tc>
          <w:tcPr>
            <w:tcW w:w="249" w:type="pct"/>
            <w:shd w:val="clear" w:color="auto" w:fill="E4F3F9"/>
            <w:vAlign w:val="center"/>
          </w:tcPr>
          <w:p w14:paraId="7418BF8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42.0</w:t>
            </w:r>
          </w:p>
        </w:tc>
        <w:tc>
          <w:tcPr>
            <w:tcW w:w="249" w:type="pct"/>
            <w:shd w:val="clear" w:color="auto" w:fill="E4F3F9"/>
            <w:vAlign w:val="center"/>
          </w:tcPr>
          <w:p w14:paraId="7418BF8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44.8</w:t>
            </w:r>
          </w:p>
        </w:tc>
        <w:tc>
          <w:tcPr>
            <w:tcW w:w="249" w:type="pct"/>
            <w:shd w:val="clear" w:color="auto" w:fill="E4F3F9"/>
            <w:vAlign w:val="center"/>
          </w:tcPr>
          <w:p w14:paraId="7418BF8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44.4</w:t>
            </w:r>
          </w:p>
        </w:tc>
        <w:tc>
          <w:tcPr>
            <w:tcW w:w="249" w:type="pct"/>
            <w:shd w:val="clear" w:color="auto" w:fill="E4F3F9"/>
            <w:vAlign w:val="center"/>
          </w:tcPr>
          <w:p w14:paraId="7418BF8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44.6</w:t>
            </w:r>
          </w:p>
        </w:tc>
        <w:tc>
          <w:tcPr>
            <w:tcW w:w="249" w:type="pct"/>
            <w:shd w:val="clear" w:color="auto" w:fill="E4F3F9"/>
            <w:vAlign w:val="center"/>
          </w:tcPr>
          <w:p w14:paraId="7418BF8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47.2</w:t>
            </w:r>
          </w:p>
        </w:tc>
        <w:tc>
          <w:tcPr>
            <w:tcW w:w="249" w:type="pct"/>
            <w:shd w:val="clear" w:color="auto" w:fill="E4F3F9"/>
            <w:vAlign w:val="center"/>
          </w:tcPr>
          <w:p w14:paraId="7418BF8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45.7</w:t>
            </w:r>
          </w:p>
        </w:tc>
        <w:tc>
          <w:tcPr>
            <w:tcW w:w="249" w:type="pct"/>
            <w:shd w:val="clear" w:color="auto" w:fill="E4F3F9"/>
            <w:vAlign w:val="center"/>
          </w:tcPr>
          <w:p w14:paraId="7418BF8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48.1</w:t>
            </w:r>
          </w:p>
        </w:tc>
        <w:tc>
          <w:tcPr>
            <w:tcW w:w="227" w:type="pct"/>
            <w:shd w:val="clear" w:color="auto" w:fill="E4F3F9"/>
            <w:vAlign w:val="center"/>
          </w:tcPr>
          <w:p w14:paraId="7418BF8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48.5</w:t>
            </w:r>
          </w:p>
        </w:tc>
      </w:tr>
      <w:tr w:rsidR="00D471AD" w:rsidRPr="0048563F" w14:paraId="7418BF9E" w14:textId="77777777" w:rsidTr="004A31A9">
        <w:trPr>
          <w:trHeight w:val="454"/>
        </w:trPr>
        <w:tc>
          <w:tcPr>
            <w:tcW w:w="1785" w:type="pct"/>
            <w:shd w:val="clear" w:color="auto" w:fill="D5ECF5"/>
            <w:vAlign w:val="center"/>
          </w:tcPr>
          <w:p w14:paraId="7418BF90"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Proportion of population aged 25-64 attaining upper secondary or post-secondary non-tertiary education, %</w:t>
            </w:r>
            <w:r w:rsidRPr="0048563F">
              <w:rPr>
                <w:rFonts w:eastAsia="Arial Unicode MS" w:cs="Arial" w:hint="eastAsia"/>
                <w:color w:val="7A7B7C"/>
                <w:sz w:val="14"/>
                <w:szCs w:val="14"/>
                <w:lang w:eastAsia="en-AU"/>
              </w:rPr>
              <w:t>¹⁰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¹²</w:t>
            </w:r>
          </w:p>
        </w:tc>
        <w:tc>
          <w:tcPr>
            <w:tcW w:w="249" w:type="pct"/>
            <w:shd w:val="clear" w:color="auto" w:fill="D5ECF5"/>
            <w:vAlign w:val="center"/>
          </w:tcPr>
          <w:p w14:paraId="7418BF9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9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31.3</w:t>
            </w:r>
          </w:p>
        </w:tc>
        <w:tc>
          <w:tcPr>
            <w:tcW w:w="249" w:type="pct"/>
            <w:shd w:val="clear" w:color="auto" w:fill="D5ECF5"/>
            <w:vAlign w:val="center"/>
          </w:tcPr>
          <w:p w14:paraId="7418BF9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33.3</w:t>
            </w:r>
          </w:p>
        </w:tc>
        <w:tc>
          <w:tcPr>
            <w:tcW w:w="249" w:type="pct"/>
            <w:shd w:val="clear" w:color="auto" w:fill="D5ECF5"/>
            <w:vAlign w:val="center"/>
          </w:tcPr>
          <w:p w14:paraId="7418BF9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33.7</w:t>
            </w:r>
          </w:p>
        </w:tc>
        <w:tc>
          <w:tcPr>
            <w:tcW w:w="249" w:type="pct"/>
            <w:shd w:val="clear" w:color="auto" w:fill="D5ECF5"/>
            <w:vAlign w:val="center"/>
          </w:tcPr>
          <w:p w14:paraId="7418BF9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34.4</w:t>
            </w:r>
          </w:p>
        </w:tc>
        <w:tc>
          <w:tcPr>
            <w:tcW w:w="249" w:type="pct"/>
            <w:shd w:val="clear" w:color="auto" w:fill="D5ECF5"/>
            <w:vAlign w:val="center"/>
          </w:tcPr>
          <w:p w14:paraId="7418BF9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33.8</w:t>
            </w:r>
          </w:p>
        </w:tc>
        <w:tc>
          <w:tcPr>
            <w:tcW w:w="249" w:type="pct"/>
            <w:shd w:val="clear" w:color="auto" w:fill="D5ECF5"/>
            <w:vAlign w:val="center"/>
          </w:tcPr>
          <w:p w14:paraId="7418BF9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34.1</w:t>
            </w:r>
          </w:p>
        </w:tc>
        <w:tc>
          <w:tcPr>
            <w:tcW w:w="249" w:type="pct"/>
            <w:shd w:val="clear" w:color="auto" w:fill="D5ECF5"/>
            <w:vAlign w:val="center"/>
          </w:tcPr>
          <w:p w14:paraId="7418BF9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35.6</w:t>
            </w:r>
          </w:p>
        </w:tc>
        <w:tc>
          <w:tcPr>
            <w:tcW w:w="249" w:type="pct"/>
            <w:shd w:val="clear" w:color="auto" w:fill="D5ECF5"/>
            <w:vAlign w:val="center"/>
          </w:tcPr>
          <w:p w14:paraId="7418BF9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35.7</w:t>
            </w:r>
          </w:p>
        </w:tc>
        <w:tc>
          <w:tcPr>
            <w:tcW w:w="249" w:type="pct"/>
            <w:shd w:val="clear" w:color="auto" w:fill="D5ECF5"/>
            <w:vAlign w:val="center"/>
          </w:tcPr>
          <w:p w14:paraId="7418BF9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35.2</w:t>
            </w:r>
          </w:p>
        </w:tc>
        <w:tc>
          <w:tcPr>
            <w:tcW w:w="249" w:type="pct"/>
            <w:shd w:val="clear" w:color="auto" w:fill="D5ECF5"/>
            <w:vAlign w:val="center"/>
          </w:tcPr>
          <w:p w14:paraId="7418BF9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36.2</w:t>
            </w:r>
          </w:p>
        </w:tc>
        <w:tc>
          <w:tcPr>
            <w:tcW w:w="249" w:type="pct"/>
            <w:shd w:val="clear" w:color="auto" w:fill="D5ECF5"/>
            <w:vAlign w:val="center"/>
          </w:tcPr>
          <w:p w14:paraId="7418BF9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35.2</w:t>
            </w:r>
          </w:p>
        </w:tc>
        <w:tc>
          <w:tcPr>
            <w:tcW w:w="227" w:type="pct"/>
            <w:shd w:val="clear" w:color="auto" w:fill="D5ECF5"/>
            <w:vAlign w:val="center"/>
          </w:tcPr>
          <w:p w14:paraId="7418BF9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36.1</w:t>
            </w:r>
          </w:p>
        </w:tc>
      </w:tr>
      <w:tr w:rsidR="00D471AD" w:rsidRPr="0048563F" w14:paraId="7418BFAD" w14:textId="77777777" w:rsidTr="004A31A9">
        <w:trPr>
          <w:trHeight w:val="454"/>
        </w:trPr>
        <w:tc>
          <w:tcPr>
            <w:tcW w:w="1785" w:type="pct"/>
            <w:shd w:val="clear" w:color="auto" w:fill="E4F3F9"/>
            <w:vAlign w:val="center"/>
          </w:tcPr>
          <w:p w14:paraId="7418BF9F"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Proportion of population aged 25-64 attaining below upper secondary school education, %</w:t>
            </w:r>
            <w:r w:rsidRPr="0048563F">
              <w:rPr>
                <w:rFonts w:eastAsia="Arial Unicode MS" w:cs="Arial" w:hint="eastAsia"/>
                <w:color w:val="7A7B7C"/>
                <w:sz w:val="14"/>
                <w:szCs w:val="14"/>
                <w:lang w:eastAsia="en-AU"/>
              </w:rPr>
              <w:t>¹⁰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¹²</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³³</w:t>
            </w:r>
          </w:p>
        </w:tc>
        <w:tc>
          <w:tcPr>
            <w:tcW w:w="249" w:type="pct"/>
            <w:shd w:val="clear" w:color="auto" w:fill="E4F3F9"/>
            <w:vAlign w:val="center"/>
          </w:tcPr>
          <w:p w14:paraId="7418BFA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A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41.2</w:t>
            </w:r>
          </w:p>
        </w:tc>
        <w:tc>
          <w:tcPr>
            <w:tcW w:w="249" w:type="pct"/>
            <w:shd w:val="clear" w:color="auto" w:fill="E4F3F9"/>
            <w:vAlign w:val="center"/>
          </w:tcPr>
          <w:p w14:paraId="7418BFA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35.0</w:t>
            </w:r>
          </w:p>
        </w:tc>
        <w:tc>
          <w:tcPr>
            <w:tcW w:w="249" w:type="pct"/>
            <w:shd w:val="clear" w:color="auto" w:fill="E4F3F9"/>
            <w:vAlign w:val="center"/>
          </w:tcPr>
          <w:p w14:paraId="7418BFA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33.3</w:t>
            </w:r>
          </w:p>
        </w:tc>
        <w:tc>
          <w:tcPr>
            <w:tcW w:w="249" w:type="pct"/>
            <w:shd w:val="clear" w:color="auto" w:fill="E4F3F9"/>
            <w:vAlign w:val="center"/>
          </w:tcPr>
          <w:p w14:paraId="7418BFA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31.8</w:t>
            </w:r>
          </w:p>
        </w:tc>
        <w:tc>
          <w:tcPr>
            <w:tcW w:w="249" w:type="pct"/>
            <w:shd w:val="clear" w:color="auto" w:fill="E4F3F9"/>
            <w:vAlign w:val="center"/>
          </w:tcPr>
          <w:p w14:paraId="7418BFA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30.1</w:t>
            </w:r>
          </w:p>
        </w:tc>
        <w:tc>
          <w:tcPr>
            <w:tcW w:w="249" w:type="pct"/>
            <w:shd w:val="clear" w:color="auto" w:fill="E4F3F9"/>
            <w:vAlign w:val="center"/>
          </w:tcPr>
          <w:p w14:paraId="7418BFA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29.0</w:t>
            </w:r>
          </w:p>
        </w:tc>
        <w:tc>
          <w:tcPr>
            <w:tcW w:w="249" w:type="pct"/>
            <w:shd w:val="clear" w:color="auto" w:fill="E4F3F9"/>
            <w:vAlign w:val="center"/>
          </w:tcPr>
          <w:p w14:paraId="7418BFA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26.8</w:t>
            </w:r>
          </w:p>
        </w:tc>
        <w:tc>
          <w:tcPr>
            <w:tcW w:w="249" w:type="pct"/>
            <w:shd w:val="clear" w:color="auto" w:fill="E4F3F9"/>
            <w:vAlign w:val="center"/>
          </w:tcPr>
          <w:p w14:paraId="7418BFA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25.9</w:t>
            </w:r>
          </w:p>
        </w:tc>
        <w:tc>
          <w:tcPr>
            <w:tcW w:w="249" w:type="pct"/>
            <w:shd w:val="clear" w:color="auto" w:fill="E4F3F9"/>
            <w:vAlign w:val="center"/>
          </w:tcPr>
          <w:p w14:paraId="7418BFA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23.6</w:t>
            </w:r>
          </w:p>
        </w:tc>
        <w:tc>
          <w:tcPr>
            <w:tcW w:w="249" w:type="pct"/>
            <w:shd w:val="clear" w:color="auto" w:fill="E4F3F9"/>
            <w:vAlign w:val="center"/>
          </w:tcPr>
          <w:p w14:paraId="7418BFA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24.3</w:t>
            </w:r>
          </w:p>
        </w:tc>
        <w:tc>
          <w:tcPr>
            <w:tcW w:w="249" w:type="pct"/>
            <w:shd w:val="clear" w:color="auto" w:fill="E4F3F9"/>
            <w:vAlign w:val="center"/>
          </w:tcPr>
          <w:p w14:paraId="7418BFA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22.9</w:t>
            </w:r>
          </w:p>
        </w:tc>
        <w:tc>
          <w:tcPr>
            <w:tcW w:w="227" w:type="pct"/>
            <w:shd w:val="clear" w:color="auto" w:fill="E4F3F9"/>
            <w:vAlign w:val="center"/>
          </w:tcPr>
          <w:p w14:paraId="7418BFA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21.0</w:t>
            </w:r>
          </w:p>
        </w:tc>
      </w:tr>
      <w:tr w:rsidR="00D471AD" w:rsidRPr="0048563F" w14:paraId="7418BFBC" w14:textId="77777777" w:rsidTr="004A31A9">
        <w:trPr>
          <w:trHeight w:val="283"/>
        </w:trPr>
        <w:tc>
          <w:tcPr>
            <w:tcW w:w="1785" w:type="pct"/>
            <w:shd w:val="clear" w:color="auto" w:fill="D5ECF5"/>
            <w:vAlign w:val="center"/>
          </w:tcPr>
          <w:p w14:paraId="7418BFAE"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Share of international tertiary education market, %</w:t>
            </w:r>
            <w:r w:rsidRPr="0048563F">
              <w:rPr>
                <w:rFonts w:eastAsia="Arial Unicode MS" w:cs="Arial" w:hint="eastAsia"/>
                <w:color w:val="7A7B7C"/>
                <w:sz w:val="14"/>
                <w:szCs w:val="14"/>
                <w:lang w:eastAsia="en-AU"/>
              </w:rPr>
              <w:t>¹</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¹³</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¹⁴</w:t>
            </w:r>
          </w:p>
        </w:tc>
        <w:tc>
          <w:tcPr>
            <w:tcW w:w="249" w:type="pct"/>
            <w:shd w:val="clear" w:color="auto" w:fill="D5ECF5"/>
            <w:vAlign w:val="center"/>
          </w:tcPr>
          <w:p w14:paraId="7418BFA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B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5.1</w:t>
            </w:r>
          </w:p>
        </w:tc>
        <w:tc>
          <w:tcPr>
            <w:tcW w:w="249" w:type="pct"/>
            <w:shd w:val="clear" w:color="auto" w:fill="D5ECF5"/>
            <w:vAlign w:val="center"/>
          </w:tcPr>
          <w:p w14:paraId="7418BFB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6.5</w:t>
            </w:r>
          </w:p>
        </w:tc>
        <w:tc>
          <w:tcPr>
            <w:tcW w:w="249" w:type="pct"/>
            <w:shd w:val="clear" w:color="auto" w:fill="D5ECF5"/>
            <w:vAlign w:val="center"/>
          </w:tcPr>
          <w:p w14:paraId="7418BFB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6.3</w:t>
            </w:r>
          </w:p>
        </w:tc>
        <w:tc>
          <w:tcPr>
            <w:tcW w:w="249" w:type="pct"/>
            <w:shd w:val="clear" w:color="auto" w:fill="D5ECF5"/>
            <w:vAlign w:val="center"/>
          </w:tcPr>
          <w:p w14:paraId="7418BFB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7.0</w:t>
            </w:r>
          </w:p>
        </w:tc>
        <w:tc>
          <w:tcPr>
            <w:tcW w:w="249" w:type="pct"/>
            <w:shd w:val="clear" w:color="auto" w:fill="D5ECF5"/>
            <w:vAlign w:val="center"/>
          </w:tcPr>
          <w:p w14:paraId="7418BFB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6.9</w:t>
            </w:r>
          </w:p>
        </w:tc>
        <w:tc>
          <w:tcPr>
            <w:tcW w:w="249" w:type="pct"/>
            <w:shd w:val="clear" w:color="auto" w:fill="D5ECF5"/>
            <w:vAlign w:val="center"/>
          </w:tcPr>
          <w:p w14:paraId="7418BFB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7.0</w:t>
            </w:r>
          </w:p>
        </w:tc>
        <w:tc>
          <w:tcPr>
            <w:tcW w:w="249" w:type="pct"/>
            <w:shd w:val="clear" w:color="auto" w:fill="D5ECF5"/>
            <w:vAlign w:val="center"/>
          </w:tcPr>
          <w:p w14:paraId="7418BFB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6.6</w:t>
            </w:r>
          </w:p>
        </w:tc>
        <w:tc>
          <w:tcPr>
            <w:tcW w:w="249" w:type="pct"/>
            <w:shd w:val="clear" w:color="auto" w:fill="D5ECF5"/>
            <w:vAlign w:val="center"/>
          </w:tcPr>
          <w:p w14:paraId="7418BFB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6.1</w:t>
            </w:r>
          </w:p>
        </w:tc>
        <w:tc>
          <w:tcPr>
            <w:tcW w:w="249" w:type="pct"/>
            <w:shd w:val="clear" w:color="auto" w:fill="D5ECF5"/>
            <w:vAlign w:val="center"/>
          </w:tcPr>
          <w:p w14:paraId="7418BFB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5.5</w:t>
            </w:r>
          </w:p>
        </w:tc>
        <w:tc>
          <w:tcPr>
            <w:tcW w:w="249" w:type="pct"/>
            <w:shd w:val="clear" w:color="auto" w:fill="D5ECF5"/>
            <w:vAlign w:val="center"/>
          </w:tcPr>
          <w:p w14:paraId="7418BFB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6.2</w:t>
            </w:r>
          </w:p>
        </w:tc>
        <w:tc>
          <w:tcPr>
            <w:tcW w:w="249" w:type="pct"/>
            <w:shd w:val="clear" w:color="auto" w:fill="D5ECF5"/>
            <w:vAlign w:val="center"/>
          </w:tcPr>
          <w:p w14:paraId="7418BFB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7" w:type="pct"/>
            <w:shd w:val="clear" w:color="auto" w:fill="D5ECF5"/>
            <w:vAlign w:val="center"/>
          </w:tcPr>
          <w:p w14:paraId="7418BFB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FCB" w14:textId="77777777" w:rsidTr="004A31A9">
        <w:trPr>
          <w:trHeight w:val="283"/>
        </w:trPr>
        <w:tc>
          <w:tcPr>
            <w:tcW w:w="1785" w:type="pct"/>
            <w:shd w:val="clear" w:color="auto" w:fill="E4F3F9"/>
            <w:vAlign w:val="center"/>
          </w:tcPr>
          <w:p w14:paraId="7418BFBD"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Percentage of adults scoring at proficiency level 3 or above in literacy, %</w:t>
            </w:r>
            <w:r w:rsidRPr="0048563F">
              <w:rPr>
                <w:rFonts w:eastAsia="Arial Unicode MS" w:cs="Arial" w:hint="eastAsia"/>
                <w:color w:val="7A7B7C"/>
                <w:sz w:val="14"/>
                <w:szCs w:val="14"/>
                <w:lang w:eastAsia="en-AU"/>
              </w:rPr>
              <w:t>¹⁵</w:t>
            </w:r>
          </w:p>
        </w:tc>
        <w:tc>
          <w:tcPr>
            <w:tcW w:w="249" w:type="pct"/>
            <w:shd w:val="clear" w:color="auto" w:fill="E4F3F9"/>
            <w:vAlign w:val="center"/>
          </w:tcPr>
          <w:p w14:paraId="7418BFB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B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C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C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C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C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C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C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C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C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C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56.4</w:t>
            </w:r>
          </w:p>
        </w:tc>
        <w:tc>
          <w:tcPr>
            <w:tcW w:w="249" w:type="pct"/>
            <w:shd w:val="clear" w:color="auto" w:fill="E4F3F9"/>
            <w:vAlign w:val="center"/>
          </w:tcPr>
          <w:p w14:paraId="7418BFC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7" w:type="pct"/>
            <w:shd w:val="clear" w:color="auto" w:fill="E4F3F9"/>
            <w:vAlign w:val="center"/>
          </w:tcPr>
          <w:p w14:paraId="7418BFC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FDA" w14:textId="77777777" w:rsidTr="004A31A9">
        <w:trPr>
          <w:trHeight w:val="283"/>
        </w:trPr>
        <w:tc>
          <w:tcPr>
            <w:tcW w:w="1785" w:type="pct"/>
            <w:shd w:val="clear" w:color="auto" w:fill="D5ECF5"/>
            <w:vAlign w:val="center"/>
          </w:tcPr>
          <w:p w14:paraId="7418BFCC"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Percentage of adults scoring at proficiency level 3 or above in numeracy, %</w:t>
            </w:r>
            <w:r w:rsidRPr="0048563F">
              <w:rPr>
                <w:rFonts w:eastAsia="Arial Unicode MS" w:cs="Arial" w:hint="eastAsia"/>
                <w:color w:val="7A7B7C"/>
                <w:sz w:val="14"/>
                <w:szCs w:val="14"/>
                <w:lang w:eastAsia="en-AU"/>
              </w:rPr>
              <w:t>¹⁵</w:t>
            </w:r>
          </w:p>
        </w:tc>
        <w:tc>
          <w:tcPr>
            <w:tcW w:w="249" w:type="pct"/>
            <w:shd w:val="clear" w:color="auto" w:fill="D5ECF5"/>
            <w:vAlign w:val="center"/>
          </w:tcPr>
          <w:p w14:paraId="7418BFC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C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C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D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D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D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D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D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D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D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D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45.9</w:t>
            </w:r>
          </w:p>
        </w:tc>
        <w:tc>
          <w:tcPr>
            <w:tcW w:w="249" w:type="pct"/>
            <w:shd w:val="clear" w:color="auto" w:fill="D5ECF5"/>
            <w:vAlign w:val="center"/>
          </w:tcPr>
          <w:p w14:paraId="7418BFD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7" w:type="pct"/>
            <w:shd w:val="clear" w:color="auto" w:fill="D5ECF5"/>
            <w:vAlign w:val="center"/>
          </w:tcPr>
          <w:p w14:paraId="7418BFD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FE9" w14:textId="77777777" w:rsidTr="004A31A9">
        <w:trPr>
          <w:trHeight w:val="454"/>
        </w:trPr>
        <w:tc>
          <w:tcPr>
            <w:tcW w:w="1785" w:type="pct"/>
            <w:shd w:val="clear" w:color="auto" w:fill="E4F3F9"/>
            <w:vAlign w:val="center"/>
          </w:tcPr>
          <w:p w14:paraId="7418BFDB"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Percentage of adults scoring at proficiency level 2 or above in problem solving in technology-rich environments, %</w:t>
            </w:r>
            <w:r w:rsidRPr="0048563F">
              <w:rPr>
                <w:rFonts w:eastAsia="Arial Unicode MS" w:cs="Arial" w:hint="eastAsia"/>
                <w:color w:val="7A7B7C"/>
                <w:sz w:val="14"/>
                <w:szCs w:val="14"/>
                <w:lang w:eastAsia="en-AU"/>
              </w:rPr>
              <w:t>¹⁵</w:t>
            </w:r>
          </w:p>
        </w:tc>
        <w:tc>
          <w:tcPr>
            <w:tcW w:w="249" w:type="pct"/>
            <w:shd w:val="clear" w:color="auto" w:fill="E4F3F9"/>
            <w:vAlign w:val="center"/>
          </w:tcPr>
          <w:p w14:paraId="7418BFD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D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D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D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E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E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E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E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E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E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E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38.0</w:t>
            </w:r>
          </w:p>
        </w:tc>
        <w:tc>
          <w:tcPr>
            <w:tcW w:w="249" w:type="pct"/>
            <w:shd w:val="clear" w:color="auto" w:fill="E4F3F9"/>
            <w:vAlign w:val="center"/>
          </w:tcPr>
          <w:p w14:paraId="7418BFE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7" w:type="pct"/>
            <w:shd w:val="clear" w:color="auto" w:fill="E4F3F9"/>
            <w:vAlign w:val="center"/>
          </w:tcPr>
          <w:p w14:paraId="7418BFE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BFF8" w14:textId="77777777" w:rsidTr="004A31A9">
        <w:trPr>
          <w:trHeight w:val="454"/>
        </w:trPr>
        <w:tc>
          <w:tcPr>
            <w:tcW w:w="1785" w:type="pct"/>
            <w:shd w:val="clear" w:color="auto" w:fill="D5ECF5"/>
            <w:vAlign w:val="center"/>
          </w:tcPr>
          <w:p w14:paraId="7418BFEA"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VET system Government recurrent expenditure (per adjusted full year equivalent (FYTEs)), A$</w:t>
            </w:r>
            <w:r w:rsidRPr="0048563F">
              <w:rPr>
                <w:rFonts w:eastAsia="Arial Unicode MS" w:cs="Arial" w:hint="eastAsia"/>
                <w:color w:val="7A7B7C"/>
                <w:sz w:val="14"/>
                <w:szCs w:val="14"/>
                <w:lang w:eastAsia="en-AU"/>
              </w:rPr>
              <w:t>¹⁶</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³⁴</w:t>
            </w:r>
          </w:p>
        </w:tc>
        <w:tc>
          <w:tcPr>
            <w:tcW w:w="249" w:type="pct"/>
            <w:shd w:val="clear" w:color="auto" w:fill="D5ECF5"/>
            <w:vAlign w:val="center"/>
          </w:tcPr>
          <w:p w14:paraId="7418BFE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E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E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E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BFE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11,402</w:t>
            </w:r>
          </w:p>
        </w:tc>
        <w:tc>
          <w:tcPr>
            <w:tcW w:w="249" w:type="pct"/>
            <w:shd w:val="clear" w:color="auto" w:fill="D5ECF5"/>
            <w:vAlign w:val="center"/>
          </w:tcPr>
          <w:p w14:paraId="7418BFF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11,009</w:t>
            </w:r>
          </w:p>
        </w:tc>
        <w:tc>
          <w:tcPr>
            <w:tcW w:w="249" w:type="pct"/>
            <w:shd w:val="clear" w:color="auto" w:fill="D5ECF5"/>
            <w:vAlign w:val="center"/>
          </w:tcPr>
          <w:p w14:paraId="7418BFF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10,671</w:t>
            </w:r>
          </w:p>
        </w:tc>
        <w:tc>
          <w:tcPr>
            <w:tcW w:w="249" w:type="pct"/>
            <w:shd w:val="clear" w:color="auto" w:fill="D5ECF5"/>
            <w:vAlign w:val="center"/>
          </w:tcPr>
          <w:p w14:paraId="7418BFF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10,031</w:t>
            </w:r>
          </w:p>
        </w:tc>
        <w:tc>
          <w:tcPr>
            <w:tcW w:w="249" w:type="pct"/>
            <w:shd w:val="clear" w:color="auto" w:fill="D5ECF5"/>
            <w:vAlign w:val="center"/>
          </w:tcPr>
          <w:p w14:paraId="7418BFF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9,922</w:t>
            </w:r>
          </w:p>
        </w:tc>
        <w:tc>
          <w:tcPr>
            <w:tcW w:w="249" w:type="pct"/>
            <w:shd w:val="clear" w:color="auto" w:fill="D5ECF5"/>
            <w:vAlign w:val="center"/>
          </w:tcPr>
          <w:p w14:paraId="7418BFF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9,501</w:t>
            </w:r>
          </w:p>
        </w:tc>
        <w:tc>
          <w:tcPr>
            <w:tcW w:w="249" w:type="pct"/>
            <w:shd w:val="clear" w:color="auto" w:fill="D5ECF5"/>
            <w:vAlign w:val="center"/>
          </w:tcPr>
          <w:p w14:paraId="7418BFF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9,697</w:t>
            </w:r>
          </w:p>
        </w:tc>
        <w:tc>
          <w:tcPr>
            <w:tcW w:w="249" w:type="pct"/>
            <w:shd w:val="clear" w:color="auto" w:fill="D5ECF5"/>
            <w:vAlign w:val="center"/>
          </w:tcPr>
          <w:p w14:paraId="7418BFF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7" w:type="pct"/>
            <w:shd w:val="clear" w:color="auto" w:fill="D5ECF5"/>
            <w:vAlign w:val="center"/>
          </w:tcPr>
          <w:p w14:paraId="7418BFF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C007" w14:textId="77777777" w:rsidTr="004A31A9">
        <w:trPr>
          <w:trHeight w:val="283"/>
        </w:trPr>
        <w:tc>
          <w:tcPr>
            <w:tcW w:w="1785" w:type="pct"/>
            <w:shd w:val="clear" w:color="auto" w:fill="E4F3F9"/>
            <w:vAlign w:val="center"/>
          </w:tcPr>
          <w:p w14:paraId="7418BFF9"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Participation rate of Australians aged 15 years and older in VET, %</w:t>
            </w:r>
            <w:r w:rsidRPr="0048563F">
              <w:rPr>
                <w:rFonts w:eastAsia="Arial Unicode MS" w:cs="Arial" w:hint="eastAsia"/>
                <w:color w:val="7A7B7C"/>
                <w:sz w:val="14"/>
                <w:szCs w:val="14"/>
                <w:lang w:eastAsia="en-AU"/>
              </w:rPr>
              <w:t>¹⁷</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¹⁸</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¹⁹</w:t>
            </w:r>
          </w:p>
        </w:tc>
        <w:tc>
          <w:tcPr>
            <w:tcW w:w="249" w:type="pct"/>
            <w:shd w:val="clear" w:color="auto" w:fill="E4F3F9"/>
            <w:vAlign w:val="center"/>
          </w:tcPr>
          <w:p w14:paraId="7418BFF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F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BFF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11.4</w:t>
            </w:r>
          </w:p>
        </w:tc>
        <w:tc>
          <w:tcPr>
            <w:tcW w:w="249" w:type="pct"/>
            <w:shd w:val="clear" w:color="auto" w:fill="E4F3F9"/>
            <w:vAlign w:val="center"/>
          </w:tcPr>
          <w:p w14:paraId="7418BFF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11.4</w:t>
            </w:r>
          </w:p>
        </w:tc>
        <w:tc>
          <w:tcPr>
            <w:tcW w:w="249" w:type="pct"/>
            <w:shd w:val="clear" w:color="auto" w:fill="E4F3F9"/>
            <w:vAlign w:val="center"/>
          </w:tcPr>
          <w:p w14:paraId="7418BFF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11.3</w:t>
            </w:r>
          </w:p>
        </w:tc>
        <w:tc>
          <w:tcPr>
            <w:tcW w:w="249" w:type="pct"/>
            <w:shd w:val="clear" w:color="auto" w:fill="E4F3F9"/>
            <w:vAlign w:val="center"/>
          </w:tcPr>
          <w:p w14:paraId="7418BFF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11.3</w:t>
            </w:r>
          </w:p>
        </w:tc>
        <w:tc>
          <w:tcPr>
            <w:tcW w:w="249" w:type="pct"/>
            <w:shd w:val="clear" w:color="auto" w:fill="E4F3F9"/>
            <w:vAlign w:val="center"/>
          </w:tcPr>
          <w:p w14:paraId="7418C00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11.3</w:t>
            </w:r>
          </w:p>
        </w:tc>
        <w:tc>
          <w:tcPr>
            <w:tcW w:w="249" w:type="pct"/>
            <w:shd w:val="clear" w:color="auto" w:fill="E4F3F9"/>
            <w:vAlign w:val="center"/>
          </w:tcPr>
          <w:p w14:paraId="7418C00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11.6</w:t>
            </w:r>
          </w:p>
        </w:tc>
        <w:tc>
          <w:tcPr>
            <w:tcW w:w="249" w:type="pct"/>
            <w:shd w:val="clear" w:color="auto" w:fill="E4F3F9"/>
            <w:vAlign w:val="center"/>
          </w:tcPr>
          <w:p w14:paraId="7418C00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12.1</w:t>
            </w:r>
          </w:p>
        </w:tc>
        <w:tc>
          <w:tcPr>
            <w:tcW w:w="249" w:type="pct"/>
            <w:shd w:val="clear" w:color="auto" w:fill="E4F3F9"/>
            <w:vAlign w:val="center"/>
          </w:tcPr>
          <w:p w14:paraId="7418C00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12.4</w:t>
            </w:r>
          </w:p>
        </w:tc>
        <w:tc>
          <w:tcPr>
            <w:tcW w:w="249" w:type="pct"/>
            <w:shd w:val="clear" w:color="auto" w:fill="E4F3F9"/>
            <w:vAlign w:val="center"/>
          </w:tcPr>
          <w:p w14:paraId="7418C00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11.8</w:t>
            </w:r>
          </w:p>
        </w:tc>
        <w:tc>
          <w:tcPr>
            <w:tcW w:w="249" w:type="pct"/>
            <w:shd w:val="clear" w:color="auto" w:fill="E4F3F9"/>
            <w:vAlign w:val="center"/>
          </w:tcPr>
          <w:p w14:paraId="7418C00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11.2</w:t>
            </w:r>
          </w:p>
        </w:tc>
        <w:tc>
          <w:tcPr>
            <w:tcW w:w="227" w:type="pct"/>
            <w:shd w:val="clear" w:color="auto" w:fill="E4F3F9"/>
            <w:vAlign w:val="center"/>
          </w:tcPr>
          <w:p w14:paraId="7418C00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10.0</w:t>
            </w:r>
          </w:p>
        </w:tc>
      </w:tr>
      <w:tr w:rsidR="00D471AD" w:rsidRPr="0048563F" w14:paraId="7418C016" w14:textId="77777777" w:rsidTr="004A31A9">
        <w:trPr>
          <w:trHeight w:val="283"/>
        </w:trPr>
        <w:tc>
          <w:tcPr>
            <w:tcW w:w="1785" w:type="pct"/>
            <w:shd w:val="clear" w:color="auto" w:fill="D5ECF5"/>
            <w:vAlign w:val="center"/>
          </w:tcPr>
          <w:p w14:paraId="7418C008"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Number of qualifications completed by students in VET, '000s</w:t>
            </w:r>
            <w:r w:rsidRPr="0048563F">
              <w:rPr>
                <w:rFonts w:eastAsia="Arial Unicode MS" w:cs="Arial" w:hint="eastAsia"/>
                <w:color w:val="7A7B7C"/>
                <w:sz w:val="14"/>
                <w:szCs w:val="14"/>
                <w:lang w:eastAsia="en-AU"/>
              </w:rPr>
              <w:t>¹⁷</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²⁰</w:t>
            </w:r>
          </w:p>
        </w:tc>
        <w:tc>
          <w:tcPr>
            <w:tcW w:w="249" w:type="pct"/>
            <w:shd w:val="clear" w:color="auto" w:fill="D5ECF5"/>
            <w:vAlign w:val="center"/>
          </w:tcPr>
          <w:p w14:paraId="7418C00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C00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C00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296</w:t>
            </w:r>
          </w:p>
        </w:tc>
        <w:tc>
          <w:tcPr>
            <w:tcW w:w="249" w:type="pct"/>
            <w:shd w:val="clear" w:color="auto" w:fill="D5ECF5"/>
            <w:vAlign w:val="center"/>
          </w:tcPr>
          <w:p w14:paraId="7418C00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292</w:t>
            </w:r>
          </w:p>
        </w:tc>
        <w:tc>
          <w:tcPr>
            <w:tcW w:w="249" w:type="pct"/>
            <w:shd w:val="clear" w:color="auto" w:fill="D5ECF5"/>
            <w:vAlign w:val="center"/>
          </w:tcPr>
          <w:p w14:paraId="7418C00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319</w:t>
            </w:r>
          </w:p>
        </w:tc>
        <w:tc>
          <w:tcPr>
            <w:tcW w:w="249" w:type="pct"/>
            <w:shd w:val="clear" w:color="auto" w:fill="D5ECF5"/>
            <w:vAlign w:val="center"/>
          </w:tcPr>
          <w:p w14:paraId="7418C00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352</w:t>
            </w:r>
          </w:p>
        </w:tc>
        <w:tc>
          <w:tcPr>
            <w:tcW w:w="249" w:type="pct"/>
            <w:shd w:val="clear" w:color="auto" w:fill="D5ECF5"/>
            <w:vAlign w:val="center"/>
          </w:tcPr>
          <w:p w14:paraId="7418C00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394</w:t>
            </w:r>
          </w:p>
        </w:tc>
        <w:tc>
          <w:tcPr>
            <w:tcW w:w="249" w:type="pct"/>
            <w:shd w:val="clear" w:color="auto" w:fill="D5ECF5"/>
            <w:vAlign w:val="center"/>
          </w:tcPr>
          <w:p w14:paraId="7418C01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441</w:t>
            </w:r>
          </w:p>
        </w:tc>
        <w:tc>
          <w:tcPr>
            <w:tcW w:w="249" w:type="pct"/>
            <w:shd w:val="clear" w:color="auto" w:fill="D5ECF5"/>
            <w:vAlign w:val="center"/>
          </w:tcPr>
          <w:p w14:paraId="7418C01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519</w:t>
            </w:r>
          </w:p>
        </w:tc>
        <w:tc>
          <w:tcPr>
            <w:tcW w:w="249" w:type="pct"/>
            <w:shd w:val="clear" w:color="auto" w:fill="D5ECF5"/>
            <w:vAlign w:val="center"/>
          </w:tcPr>
          <w:p w14:paraId="7418C01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583</w:t>
            </w:r>
          </w:p>
        </w:tc>
        <w:tc>
          <w:tcPr>
            <w:tcW w:w="249" w:type="pct"/>
            <w:shd w:val="clear" w:color="auto" w:fill="D5ECF5"/>
            <w:vAlign w:val="center"/>
          </w:tcPr>
          <w:p w14:paraId="7418C01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562</w:t>
            </w:r>
          </w:p>
        </w:tc>
        <w:tc>
          <w:tcPr>
            <w:tcW w:w="249" w:type="pct"/>
            <w:shd w:val="clear" w:color="auto" w:fill="D5ECF5"/>
            <w:vAlign w:val="center"/>
          </w:tcPr>
          <w:p w14:paraId="7418C01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577</w:t>
            </w:r>
          </w:p>
        </w:tc>
        <w:tc>
          <w:tcPr>
            <w:tcW w:w="227" w:type="pct"/>
            <w:shd w:val="clear" w:color="auto" w:fill="D5ECF5"/>
            <w:vAlign w:val="center"/>
          </w:tcPr>
          <w:p w14:paraId="7418C01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C025" w14:textId="77777777" w:rsidTr="004A31A9">
        <w:trPr>
          <w:trHeight w:val="397"/>
        </w:trPr>
        <w:tc>
          <w:tcPr>
            <w:tcW w:w="1785" w:type="pct"/>
            <w:shd w:val="clear" w:color="auto" w:fill="E4F3F9"/>
            <w:vAlign w:val="center"/>
          </w:tcPr>
          <w:p w14:paraId="7418C017"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Number of qualification equivalents completed by students in VET (Management and commerce), '000s</w:t>
            </w:r>
            <w:r w:rsidRPr="0048563F">
              <w:rPr>
                <w:rFonts w:eastAsia="Arial Unicode MS" w:cs="Arial" w:hint="eastAsia"/>
                <w:color w:val="7A7B7C"/>
                <w:sz w:val="14"/>
                <w:szCs w:val="14"/>
                <w:lang w:eastAsia="en-AU"/>
              </w:rPr>
              <w:t>¹⁶</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²¹</w:t>
            </w:r>
          </w:p>
        </w:tc>
        <w:tc>
          <w:tcPr>
            <w:tcW w:w="249" w:type="pct"/>
            <w:shd w:val="clear" w:color="auto" w:fill="E4F3F9"/>
            <w:vAlign w:val="center"/>
          </w:tcPr>
          <w:p w14:paraId="7418C01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C01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C01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127</w:t>
            </w:r>
          </w:p>
        </w:tc>
        <w:tc>
          <w:tcPr>
            <w:tcW w:w="249" w:type="pct"/>
            <w:shd w:val="clear" w:color="auto" w:fill="E4F3F9"/>
            <w:vAlign w:val="center"/>
          </w:tcPr>
          <w:p w14:paraId="7418C01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128</w:t>
            </w:r>
          </w:p>
        </w:tc>
        <w:tc>
          <w:tcPr>
            <w:tcW w:w="249" w:type="pct"/>
            <w:shd w:val="clear" w:color="auto" w:fill="E4F3F9"/>
            <w:vAlign w:val="center"/>
          </w:tcPr>
          <w:p w14:paraId="7418C01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142</w:t>
            </w:r>
          </w:p>
        </w:tc>
        <w:tc>
          <w:tcPr>
            <w:tcW w:w="249" w:type="pct"/>
            <w:shd w:val="clear" w:color="auto" w:fill="E4F3F9"/>
            <w:vAlign w:val="center"/>
          </w:tcPr>
          <w:p w14:paraId="7418C01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153</w:t>
            </w:r>
          </w:p>
        </w:tc>
        <w:tc>
          <w:tcPr>
            <w:tcW w:w="249" w:type="pct"/>
            <w:shd w:val="clear" w:color="auto" w:fill="E4F3F9"/>
            <w:vAlign w:val="center"/>
          </w:tcPr>
          <w:p w14:paraId="7418C01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153</w:t>
            </w:r>
          </w:p>
        </w:tc>
        <w:tc>
          <w:tcPr>
            <w:tcW w:w="249" w:type="pct"/>
            <w:shd w:val="clear" w:color="auto" w:fill="E4F3F9"/>
            <w:vAlign w:val="center"/>
          </w:tcPr>
          <w:p w14:paraId="7418C01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168</w:t>
            </w:r>
          </w:p>
        </w:tc>
        <w:tc>
          <w:tcPr>
            <w:tcW w:w="249" w:type="pct"/>
            <w:shd w:val="clear" w:color="auto" w:fill="E4F3F9"/>
            <w:vAlign w:val="center"/>
          </w:tcPr>
          <w:p w14:paraId="7418C02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194</w:t>
            </w:r>
          </w:p>
        </w:tc>
        <w:tc>
          <w:tcPr>
            <w:tcW w:w="249" w:type="pct"/>
            <w:shd w:val="clear" w:color="auto" w:fill="E4F3F9"/>
            <w:vAlign w:val="center"/>
          </w:tcPr>
          <w:p w14:paraId="7418C02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203</w:t>
            </w:r>
          </w:p>
        </w:tc>
        <w:tc>
          <w:tcPr>
            <w:tcW w:w="249" w:type="pct"/>
            <w:shd w:val="clear" w:color="auto" w:fill="E4F3F9"/>
            <w:vAlign w:val="center"/>
          </w:tcPr>
          <w:p w14:paraId="7418C02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167</w:t>
            </w:r>
          </w:p>
        </w:tc>
        <w:tc>
          <w:tcPr>
            <w:tcW w:w="249" w:type="pct"/>
            <w:shd w:val="clear" w:color="auto" w:fill="E4F3F9"/>
            <w:vAlign w:val="center"/>
          </w:tcPr>
          <w:p w14:paraId="7418C02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169</w:t>
            </w:r>
          </w:p>
        </w:tc>
        <w:tc>
          <w:tcPr>
            <w:tcW w:w="227" w:type="pct"/>
            <w:shd w:val="clear" w:color="auto" w:fill="E4F3F9"/>
            <w:vAlign w:val="center"/>
          </w:tcPr>
          <w:p w14:paraId="7418C02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110</w:t>
            </w:r>
          </w:p>
        </w:tc>
      </w:tr>
      <w:tr w:rsidR="00D471AD" w:rsidRPr="0048563F" w14:paraId="7418C034" w14:textId="77777777" w:rsidTr="004A31A9">
        <w:trPr>
          <w:trHeight w:val="397"/>
        </w:trPr>
        <w:tc>
          <w:tcPr>
            <w:tcW w:w="1785" w:type="pct"/>
            <w:shd w:val="clear" w:color="auto" w:fill="D5ECF5"/>
            <w:vAlign w:val="center"/>
          </w:tcPr>
          <w:p w14:paraId="7418C026"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Businesses reporting some or a lot of difficulty in recruiting staff, % of all employers</w:t>
            </w:r>
            <w:r w:rsidRPr="0048563F">
              <w:rPr>
                <w:rFonts w:eastAsia="Arial Unicode MS" w:cs="Arial" w:hint="eastAsia"/>
                <w:color w:val="7A7B7C"/>
                <w:sz w:val="14"/>
                <w:szCs w:val="14"/>
                <w:lang w:eastAsia="en-AU"/>
              </w:rPr>
              <w:t>²²</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²³</w:t>
            </w:r>
          </w:p>
        </w:tc>
        <w:tc>
          <w:tcPr>
            <w:tcW w:w="249" w:type="pct"/>
            <w:shd w:val="clear" w:color="auto" w:fill="D5ECF5"/>
            <w:vAlign w:val="center"/>
          </w:tcPr>
          <w:p w14:paraId="7418C02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C02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C02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40.6</w:t>
            </w:r>
          </w:p>
        </w:tc>
        <w:tc>
          <w:tcPr>
            <w:tcW w:w="249" w:type="pct"/>
            <w:shd w:val="clear" w:color="auto" w:fill="D5ECF5"/>
            <w:vAlign w:val="center"/>
          </w:tcPr>
          <w:p w14:paraId="7418C02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C02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44.4</w:t>
            </w:r>
          </w:p>
        </w:tc>
        <w:tc>
          <w:tcPr>
            <w:tcW w:w="249" w:type="pct"/>
            <w:shd w:val="clear" w:color="auto" w:fill="D5ECF5"/>
            <w:vAlign w:val="center"/>
          </w:tcPr>
          <w:p w14:paraId="7418C02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C02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33.7</w:t>
            </w:r>
          </w:p>
        </w:tc>
        <w:tc>
          <w:tcPr>
            <w:tcW w:w="249" w:type="pct"/>
            <w:shd w:val="clear" w:color="auto" w:fill="D5ECF5"/>
            <w:vAlign w:val="center"/>
          </w:tcPr>
          <w:p w14:paraId="7418C02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C02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34.1</w:t>
            </w:r>
          </w:p>
        </w:tc>
        <w:tc>
          <w:tcPr>
            <w:tcW w:w="249" w:type="pct"/>
            <w:shd w:val="clear" w:color="auto" w:fill="D5ECF5"/>
            <w:vAlign w:val="center"/>
          </w:tcPr>
          <w:p w14:paraId="7418C03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C03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36.4</w:t>
            </w:r>
          </w:p>
        </w:tc>
        <w:tc>
          <w:tcPr>
            <w:tcW w:w="249" w:type="pct"/>
            <w:shd w:val="clear" w:color="auto" w:fill="D5ECF5"/>
            <w:vAlign w:val="center"/>
          </w:tcPr>
          <w:p w14:paraId="7418C03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7" w:type="pct"/>
            <w:shd w:val="clear" w:color="auto" w:fill="D5ECF5"/>
            <w:vAlign w:val="center"/>
          </w:tcPr>
          <w:p w14:paraId="7418C03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36.4</w:t>
            </w:r>
          </w:p>
        </w:tc>
      </w:tr>
      <w:tr w:rsidR="00D471AD" w:rsidRPr="0048563F" w14:paraId="7418C043" w14:textId="77777777" w:rsidTr="004A31A9">
        <w:trPr>
          <w:trHeight w:val="397"/>
        </w:trPr>
        <w:tc>
          <w:tcPr>
            <w:tcW w:w="1785" w:type="pct"/>
            <w:shd w:val="clear" w:color="auto" w:fill="E4F3F9"/>
            <w:vAlign w:val="center"/>
          </w:tcPr>
          <w:p w14:paraId="7418C035"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Employers who use new product releases to determine training needs, % of all employers</w:t>
            </w:r>
            <w:r w:rsidRPr="0048563F">
              <w:rPr>
                <w:rFonts w:eastAsia="Arial Unicode MS" w:cs="Arial" w:hint="eastAsia"/>
                <w:color w:val="7A7B7C"/>
                <w:sz w:val="14"/>
                <w:szCs w:val="14"/>
                <w:lang w:eastAsia="en-AU"/>
              </w:rPr>
              <w:t>²²</w:t>
            </w:r>
          </w:p>
        </w:tc>
        <w:tc>
          <w:tcPr>
            <w:tcW w:w="249" w:type="pct"/>
            <w:shd w:val="clear" w:color="auto" w:fill="E4F3F9"/>
            <w:vAlign w:val="center"/>
          </w:tcPr>
          <w:p w14:paraId="7418C03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C03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C03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7.1</w:t>
            </w:r>
          </w:p>
        </w:tc>
        <w:tc>
          <w:tcPr>
            <w:tcW w:w="249" w:type="pct"/>
            <w:shd w:val="clear" w:color="auto" w:fill="E4F3F9"/>
            <w:vAlign w:val="center"/>
          </w:tcPr>
          <w:p w14:paraId="7418C03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C03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3.2</w:t>
            </w:r>
          </w:p>
        </w:tc>
        <w:tc>
          <w:tcPr>
            <w:tcW w:w="249" w:type="pct"/>
            <w:shd w:val="clear" w:color="auto" w:fill="E4F3F9"/>
            <w:vAlign w:val="center"/>
          </w:tcPr>
          <w:p w14:paraId="7418C03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C03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w:t>
            </w:r>
          </w:p>
        </w:tc>
        <w:tc>
          <w:tcPr>
            <w:tcW w:w="249" w:type="pct"/>
            <w:shd w:val="clear" w:color="auto" w:fill="E4F3F9"/>
            <w:vAlign w:val="center"/>
          </w:tcPr>
          <w:p w14:paraId="7418C03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C03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3.5</w:t>
            </w:r>
          </w:p>
        </w:tc>
        <w:tc>
          <w:tcPr>
            <w:tcW w:w="249" w:type="pct"/>
            <w:shd w:val="clear" w:color="auto" w:fill="E4F3F9"/>
            <w:vAlign w:val="center"/>
          </w:tcPr>
          <w:p w14:paraId="7418C03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C04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C04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7" w:type="pct"/>
            <w:shd w:val="clear" w:color="auto" w:fill="E4F3F9"/>
            <w:vAlign w:val="center"/>
          </w:tcPr>
          <w:p w14:paraId="7418C04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C052" w14:textId="77777777" w:rsidTr="004A31A9">
        <w:trPr>
          <w:trHeight w:val="397"/>
        </w:trPr>
        <w:tc>
          <w:tcPr>
            <w:tcW w:w="1785" w:type="pct"/>
            <w:shd w:val="clear" w:color="auto" w:fill="D5ECF5"/>
            <w:vAlign w:val="center"/>
          </w:tcPr>
          <w:p w14:paraId="7418C044"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Barrier to innovation: Lack of skilled persons in any location, % of respondents</w:t>
            </w:r>
            <w:r w:rsidRPr="0048563F">
              <w:rPr>
                <w:rFonts w:eastAsia="Arial Unicode MS" w:cs="Arial" w:hint="eastAsia"/>
                <w:color w:val="7A7B7C"/>
                <w:sz w:val="14"/>
                <w:szCs w:val="14"/>
                <w:lang w:eastAsia="en-AU"/>
              </w:rPr>
              <w:t>²⁴</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²⁵</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²⁶</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³³</w:t>
            </w:r>
          </w:p>
        </w:tc>
        <w:tc>
          <w:tcPr>
            <w:tcW w:w="249" w:type="pct"/>
            <w:shd w:val="clear" w:color="auto" w:fill="D5ECF5"/>
            <w:vAlign w:val="center"/>
          </w:tcPr>
          <w:p w14:paraId="7418C04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C04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C04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22.8</w:t>
            </w:r>
          </w:p>
        </w:tc>
        <w:tc>
          <w:tcPr>
            <w:tcW w:w="249" w:type="pct"/>
            <w:shd w:val="clear" w:color="auto" w:fill="D5ECF5"/>
            <w:vAlign w:val="center"/>
          </w:tcPr>
          <w:p w14:paraId="7418C04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25.7</w:t>
            </w:r>
          </w:p>
        </w:tc>
        <w:tc>
          <w:tcPr>
            <w:tcW w:w="249" w:type="pct"/>
            <w:shd w:val="clear" w:color="auto" w:fill="D5ECF5"/>
            <w:vAlign w:val="center"/>
          </w:tcPr>
          <w:p w14:paraId="7418C04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23.0</w:t>
            </w:r>
          </w:p>
        </w:tc>
        <w:tc>
          <w:tcPr>
            <w:tcW w:w="249" w:type="pct"/>
            <w:shd w:val="clear" w:color="auto" w:fill="D5ECF5"/>
            <w:vAlign w:val="center"/>
          </w:tcPr>
          <w:p w14:paraId="7418C04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19.4</w:t>
            </w:r>
          </w:p>
        </w:tc>
        <w:tc>
          <w:tcPr>
            <w:tcW w:w="249" w:type="pct"/>
            <w:shd w:val="clear" w:color="auto" w:fill="D5ECF5"/>
            <w:vAlign w:val="center"/>
          </w:tcPr>
          <w:p w14:paraId="7418C04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20.4</w:t>
            </w:r>
          </w:p>
        </w:tc>
        <w:tc>
          <w:tcPr>
            <w:tcW w:w="249" w:type="pct"/>
            <w:shd w:val="clear" w:color="auto" w:fill="D5ECF5"/>
            <w:vAlign w:val="center"/>
          </w:tcPr>
          <w:p w14:paraId="7418C04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20.0</w:t>
            </w:r>
          </w:p>
        </w:tc>
        <w:tc>
          <w:tcPr>
            <w:tcW w:w="249" w:type="pct"/>
            <w:shd w:val="clear" w:color="auto" w:fill="D5ECF5"/>
            <w:vAlign w:val="center"/>
          </w:tcPr>
          <w:p w14:paraId="7418C04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17.8</w:t>
            </w:r>
          </w:p>
        </w:tc>
        <w:tc>
          <w:tcPr>
            <w:tcW w:w="249" w:type="pct"/>
            <w:shd w:val="clear" w:color="auto" w:fill="D5ECF5"/>
            <w:vAlign w:val="center"/>
          </w:tcPr>
          <w:p w14:paraId="7418C04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17.2</w:t>
            </w:r>
          </w:p>
        </w:tc>
        <w:tc>
          <w:tcPr>
            <w:tcW w:w="249" w:type="pct"/>
            <w:shd w:val="clear" w:color="auto" w:fill="D5ECF5"/>
            <w:vAlign w:val="center"/>
          </w:tcPr>
          <w:p w14:paraId="7418C04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16.4</w:t>
            </w:r>
          </w:p>
        </w:tc>
        <w:tc>
          <w:tcPr>
            <w:tcW w:w="249" w:type="pct"/>
            <w:shd w:val="clear" w:color="auto" w:fill="D5ECF5"/>
            <w:vAlign w:val="center"/>
          </w:tcPr>
          <w:p w14:paraId="7418C05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16.4</w:t>
            </w:r>
          </w:p>
        </w:tc>
        <w:tc>
          <w:tcPr>
            <w:tcW w:w="227" w:type="pct"/>
            <w:shd w:val="clear" w:color="auto" w:fill="D5ECF5"/>
            <w:vAlign w:val="center"/>
          </w:tcPr>
          <w:p w14:paraId="7418C05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C061" w14:textId="77777777" w:rsidTr="004A31A9">
        <w:trPr>
          <w:trHeight w:val="397"/>
        </w:trPr>
        <w:tc>
          <w:tcPr>
            <w:tcW w:w="1785" w:type="pct"/>
            <w:shd w:val="clear" w:color="auto" w:fill="E4F3F9"/>
            <w:vAlign w:val="center"/>
          </w:tcPr>
          <w:p w14:paraId="7418C053"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Proportion of graduates employed in labour force after completing VET, % of respondents</w:t>
            </w:r>
            <w:r w:rsidRPr="0048563F">
              <w:rPr>
                <w:rFonts w:eastAsia="Arial Unicode MS" w:cs="Arial" w:hint="eastAsia"/>
                <w:color w:val="7A7B7C"/>
                <w:sz w:val="14"/>
                <w:szCs w:val="14"/>
                <w:lang w:eastAsia="en-AU"/>
              </w:rPr>
              <w:t>²⁷</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²⁸</w:t>
            </w:r>
          </w:p>
        </w:tc>
        <w:tc>
          <w:tcPr>
            <w:tcW w:w="249" w:type="pct"/>
            <w:shd w:val="clear" w:color="auto" w:fill="E4F3F9"/>
            <w:vAlign w:val="center"/>
          </w:tcPr>
          <w:p w14:paraId="7418C05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C05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C05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81</w:t>
            </w:r>
          </w:p>
        </w:tc>
        <w:tc>
          <w:tcPr>
            <w:tcW w:w="249" w:type="pct"/>
            <w:shd w:val="clear" w:color="auto" w:fill="E4F3F9"/>
            <w:vAlign w:val="center"/>
          </w:tcPr>
          <w:p w14:paraId="7418C05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82</w:t>
            </w:r>
          </w:p>
        </w:tc>
        <w:tc>
          <w:tcPr>
            <w:tcW w:w="249" w:type="pct"/>
            <w:shd w:val="clear" w:color="auto" w:fill="E4F3F9"/>
            <w:vAlign w:val="center"/>
          </w:tcPr>
          <w:p w14:paraId="7418C05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83</w:t>
            </w:r>
          </w:p>
        </w:tc>
        <w:tc>
          <w:tcPr>
            <w:tcW w:w="249" w:type="pct"/>
            <w:shd w:val="clear" w:color="auto" w:fill="E4F3F9"/>
            <w:vAlign w:val="center"/>
          </w:tcPr>
          <w:p w14:paraId="7418C05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82</w:t>
            </w:r>
          </w:p>
        </w:tc>
        <w:tc>
          <w:tcPr>
            <w:tcW w:w="249" w:type="pct"/>
            <w:shd w:val="clear" w:color="auto" w:fill="E4F3F9"/>
            <w:vAlign w:val="center"/>
          </w:tcPr>
          <w:p w14:paraId="7418C05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80</w:t>
            </w:r>
          </w:p>
        </w:tc>
        <w:tc>
          <w:tcPr>
            <w:tcW w:w="249" w:type="pct"/>
            <w:shd w:val="clear" w:color="auto" w:fill="E4F3F9"/>
            <w:vAlign w:val="center"/>
          </w:tcPr>
          <w:p w14:paraId="7418C05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78</w:t>
            </w:r>
          </w:p>
        </w:tc>
        <w:tc>
          <w:tcPr>
            <w:tcW w:w="249" w:type="pct"/>
            <w:shd w:val="clear" w:color="auto" w:fill="E4F3F9"/>
            <w:vAlign w:val="center"/>
          </w:tcPr>
          <w:p w14:paraId="7418C05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79</w:t>
            </w:r>
          </w:p>
        </w:tc>
        <w:tc>
          <w:tcPr>
            <w:tcW w:w="249" w:type="pct"/>
            <w:shd w:val="clear" w:color="auto" w:fill="E4F3F9"/>
            <w:vAlign w:val="center"/>
          </w:tcPr>
          <w:p w14:paraId="7418C05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78</w:t>
            </w:r>
          </w:p>
        </w:tc>
        <w:tc>
          <w:tcPr>
            <w:tcW w:w="249" w:type="pct"/>
            <w:shd w:val="clear" w:color="auto" w:fill="E4F3F9"/>
            <w:vAlign w:val="center"/>
          </w:tcPr>
          <w:p w14:paraId="7418C05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78</w:t>
            </w:r>
          </w:p>
        </w:tc>
        <w:tc>
          <w:tcPr>
            <w:tcW w:w="249" w:type="pct"/>
            <w:shd w:val="clear" w:color="auto" w:fill="E4F3F9"/>
            <w:vAlign w:val="center"/>
          </w:tcPr>
          <w:p w14:paraId="7418C05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78</w:t>
            </w:r>
          </w:p>
        </w:tc>
        <w:tc>
          <w:tcPr>
            <w:tcW w:w="227" w:type="pct"/>
            <w:shd w:val="clear" w:color="auto" w:fill="E4F3F9"/>
            <w:vAlign w:val="center"/>
          </w:tcPr>
          <w:p w14:paraId="7418C06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74</w:t>
            </w:r>
          </w:p>
        </w:tc>
      </w:tr>
      <w:tr w:rsidR="00D471AD" w:rsidRPr="0048563F" w14:paraId="7418C070" w14:textId="77777777" w:rsidTr="004A31A9">
        <w:trPr>
          <w:trHeight w:val="283"/>
        </w:trPr>
        <w:tc>
          <w:tcPr>
            <w:tcW w:w="1785" w:type="pct"/>
            <w:shd w:val="clear" w:color="auto" w:fill="D5ECF5"/>
            <w:vAlign w:val="center"/>
          </w:tcPr>
          <w:p w14:paraId="7418C062"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VET graduates satisfied with overall quality of training, % of respondents</w:t>
            </w:r>
            <w:r w:rsidRPr="0048563F">
              <w:rPr>
                <w:rFonts w:eastAsia="Arial Unicode MS" w:cs="Arial" w:hint="eastAsia"/>
                <w:color w:val="7A7B7C"/>
                <w:sz w:val="14"/>
                <w:szCs w:val="14"/>
                <w:lang w:eastAsia="en-AU"/>
              </w:rPr>
              <w:t>²⁷</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²⁸</w:t>
            </w:r>
          </w:p>
        </w:tc>
        <w:tc>
          <w:tcPr>
            <w:tcW w:w="249" w:type="pct"/>
            <w:shd w:val="clear" w:color="auto" w:fill="D5ECF5"/>
            <w:vAlign w:val="center"/>
          </w:tcPr>
          <w:p w14:paraId="7418C06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C06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C06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87</w:t>
            </w:r>
          </w:p>
        </w:tc>
        <w:tc>
          <w:tcPr>
            <w:tcW w:w="249" w:type="pct"/>
            <w:shd w:val="clear" w:color="auto" w:fill="D5ECF5"/>
            <w:vAlign w:val="center"/>
          </w:tcPr>
          <w:p w14:paraId="7418C06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87</w:t>
            </w:r>
          </w:p>
        </w:tc>
        <w:tc>
          <w:tcPr>
            <w:tcW w:w="249" w:type="pct"/>
            <w:shd w:val="clear" w:color="auto" w:fill="D5ECF5"/>
            <w:vAlign w:val="center"/>
          </w:tcPr>
          <w:p w14:paraId="7418C06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88</w:t>
            </w:r>
          </w:p>
        </w:tc>
        <w:tc>
          <w:tcPr>
            <w:tcW w:w="249" w:type="pct"/>
            <w:shd w:val="clear" w:color="auto" w:fill="D5ECF5"/>
            <w:vAlign w:val="center"/>
          </w:tcPr>
          <w:p w14:paraId="7418C06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88</w:t>
            </w:r>
          </w:p>
        </w:tc>
        <w:tc>
          <w:tcPr>
            <w:tcW w:w="249" w:type="pct"/>
            <w:shd w:val="clear" w:color="auto" w:fill="D5ECF5"/>
            <w:vAlign w:val="center"/>
          </w:tcPr>
          <w:p w14:paraId="7418C06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89</w:t>
            </w:r>
          </w:p>
        </w:tc>
        <w:tc>
          <w:tcPr>
            <w:tcW w:w="249" w:type="pct"/>
            <w:shd w:val="clear" w:color="auto" w:fill="D5ECF5"/>
            <w:vAlign w:val="center"/>
          </w:tcPr>
          <w:p w14:paraId="7418C06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88</w:t>
            </w:r>
          </w:p>
        </w:tc>
        <w:tc>
          <w:tcPr>
            <w:tcW w:w="249" w:type="pct"/>
            <w:shd w:val="clear" w:color="auto" w:fill="D5ECF5"/>
            <w:vAlign w:val="center"/>
          </w:tcPr>
          <w:p w14:paraId="7418C06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89</w:t>
            </w:r>
          </w:p>
        </w:tc>
        <w:tc>
          <w:tcPr>
            <w:tcW w:w="249" w:type="pct"/>
            <w:shd w:val="clear" w:color="auto" w:fill="D5ECF5"/>
            <w:vAlign w:val="center"/>
          </w:tcPr>
          <w:p w14:paraId="7418C06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89</w:t>
            </w:r>
          </w:p>
        </w:tc>
        <w:tc>
          <w:tcPr>
            <w:tcW w:w="249" w:type="pct"/>
            <w:shd w:val="clear" w:color="auto" w:fill="D5ECF5"/>
            <w:vAlign w:val="center"/>
          </w:tcPr>
          <w:p w14:paraId="7418C06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87</w:t>
            </w:r>
          </w:p>
        </w:tc>
        <w:tc>
          <w:tcPr>
            <w:tcW w:w="249" w:type="pct"/>
            <w:shd w:val="clear" w:color="auto" w:fill="D5ECF5"/>
            <w:vAlign w:val="center"/>
          </w:tcPr>
          <w:p w14:paraId="7418C06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88</w:t>
            </w:r>
          </w:p>
        </w:tc>
        <w:tc>
          <w:tcPr>
            <w:tcW w:w="227" w:type="pct"/>
            <w:shd w:val="clear" w:color="auto" w:fill="D5ECF5"/>
            <w:vAlign w:val="center"/>
          </w:tcPr>
          <w:p w14:paraId="7418C06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87</w:t>
            </w:r>
          </w:p>
        </w:tc>
      </w:tr>
      <w:tr w:rsidR="00D471AD" w:rsidRPr="0048563F" w14:paraId="7418C07F" w14:textId="77777777" w:rsidTr="004A31A9">
        <w:trPr>
          <w:trHeight w:val="283"/>
        </w:trPr>
        <w:tc>
          <w:tcPr>
            <w:tcW w:w="1785" w:type="pct"/>
            <w:shd w:val="clear" w:color="auto" w:fill="E4F3F9"/>
            <w:vAlign w:val="center"/>
          </w:tcPr>
          <w:p w14:paraId="7418C071"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Labour force participation rate</w:t>
            </w:r>
            <w:r w:rsidRPr="0048563F">
              <w:rPr>
                <w:rFonts w:eastAsia="Arial Unicode MS" w:cs="Arial" w:hint="eastAsia"/>
                <w:color w:val="7A7B7C"/>
                <w:sz w:val="14"/>
                <w:szCs w:val="14"/>
                <w:lang w:eastAsia="en-AU"/>
              </w:rPr>
              <w:t>²⁹</w:t>
            </w:r>
          </w:p>
        </w:tc>
        <w:tc>
          <w:tcPr>
            <w:tcW w:w="249" w:type="pct"/>
            <w:shd w:val="clear" w:color="auto" w:fill="E4F3F9"/>
            <w:vAlign w:val="center"/>
          </w:tcPr>
          <w:p w14:paraId="7418C07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63.5</w:t>
            </w:r>
          </w:p>
        </w:tc>
        <w:tc>
          <w:tcPr>
            <w:tcW w:w="249" w:type="pct"/>
            <w:shd w:val="clear" w:color="auto" w:fill="E4F3F9"/>
            <w:vAlign w:val="center"/>
          </w:tcPr>
          <w:p w14:paraId="7418C07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63.4</w:t>
            </w:r>
          </w:p>
        </w:tc>
        <w:tc>
          <w:tcPr>
            <w:tcW w:w="249" w:type="pct"/>
            <w:shd w:val="clear" w:color="auto" w:fill="E4F3F9"/>
            <w:vAlign w:val="center"/>
          </w:tcPr>
          <w:p w14:paraId="7418C07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64.8</w:t>
            </w:r>
          </w:p>
        </w:tc>
        <w:tc>
          <w:tcPr>
            <w:tcW w:w="249" w:type="pct"/>
            <w:shd w:val="clear" w:color="auto" w:fill="E4F3F9"/>
            <w:vAlign w:val="center"/>
          </w:tcPr>
          <w:p w14:paraId="7418C07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65.1</w:t>
            </w:r>
          </w:p>
        </w:tc>
        <w:tc>
          <w:tcPr>
            <w:tcW w:w="249" w:type="pct"/>
            <w:shd w:val="clear" w:color="auto" w:fill="E4F3F9"/>
            <w:vAlign w:val="center"/>
          </w:tcPr>
          <w:p w14:paraId="7418C07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65.5</w:t>
            </w:r>
          </w:p>
        </w:tc>
        <w:tc>
          <w:tcPr>
            <w:tcW w:w="249" w:type="pct"/>
            <w:shd w:val="clear" w:color="auto" w:fill="E4F3F9"/>
            <w:vAlign w:val="center"/>
          </w:tcPr>
          <w:p w14:paraId="7418C07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65.4</w:t>
            </w:r>
          </w:p>
        </w:tc>
        <w:tc>
          <w:tcPr>
            <w:tcW w:w="249" w:type="pct"/>
            <w:shd w:val="clear" w:color="auto" w:fill="E4F3F9"/>
            <w:vAlign w:val="center"/>
          </w:tcPr>
          <w:p w14:paraId="7418C07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65.2</w:t>
            </w:r>
          </w:p>
        </w:tc>
        <w:tc>
          <w:tcPr>
            <w:tcW w:w="249" w:type="pct"/>
            <w:shd w:val="clear" w:color="auto" w:fill="E4F3F9"/>
            <w:vAlign w:val="center"/>
          </w:tcPr>
          <w:p w14:paraId="7418C07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65.4</w:t>
            </w:r>
          </w:p>
        </w:tc>
        <w:tc>
          <w:tcPr>
            <w:tcW w:w="249" w:type="pct"/>
            <w:shd w:val="clear" w:color="auto" w:fill="E4F3F9"/>
            <w:vAlign w:val="center"/>
          </w:tcPr>
          <w:p w14:paraId="7418C07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65.1</w:t>
            </w:r>
          </w:p>
        </w:tc>
        <w:tc>
          <w:tcPr>
            <w:tcW w:w="249" w:type="pct"/>
            <w:shd w:val="clear" w:color="auto" w:fill="E4F3F9"/>
            <w:vAlign w:val="center"/>
          </w:tcPr>
          <w:p w14:paraId="7418C07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65.0</w:t>
            </w:r>
          </w:p>
        </w:tc>
        <w:tc>
          <w:tcPr>
            <w:tcW w:w="249" w:type="pct"/>
            <w:shd w:val="clear" w:color="auto" w:fill="E4F3F9"/>
            <w:vAlign w:val="center"/>
          </w:tcPr>
          <w:p w14:paraId="7418C07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64.7</w:t>
            </w:r>
          </w:p>
        </w:tc>
        <w:tc>
          <w:tcPr>
            <w:tcW w:w="249" w:type="pct"/>
            <w:shd w:val="clear" w:color="auto" w:fill="E4F3F9"/>
            <w:vAlign w:val="center"/>
          </w:tcPr>
          <w:p w14:paraId="7418C07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64.9</w:t>
            </w:r>
          </w:p>
        </w:tc>
        <w:tc>
          <w:tcPr>
            <w:tcW w:w="227" w:type="pct"/>
            <w:shd w:val="clear" w:color="auto" w:fill="E4F3F9"/>
            <w:vAlign w:val="center"/>
          </w:tcPr>
          <w:p w14:paraId="7418C07E"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64.8</w:t>
            </w:r>
          </w:p>
        </w:tc>
      </w:tr>
      <w:tr w:rsidR="00D471AD" w:rsidRPr="0048563F" w14:paraId="7418C08E" w14:textId="77777777" w:rsidTr="004A31A9">
        <w:trPr>
          <w:trHeight w:val="283"/>
        </w:trPr>
        <w:tc>
          <w:tcPr>
            <w:tcW w:w="1785" w:type="pct"/>
            <w:shd w:val="clear" w:color="auto" w:fill="D5ECF5"/>
            <w:vAlign w:val="center"/>
          </w:tcPr>
          <w:p w14:paraId="7418C080"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Percentage of employers recruiting international students, %</w:t>
            </w:r>
            <w:r w:rsidRPr="0048563F">
              <w:rPr>
                <w:rFonts w:eastAsia="Arial Unicode MS" w:cs="Arial" w:hint="eastAsia"/>
                <w:color w:val="7A7B7C"/>
                <w:sz w:val="14"/>
                <w:szCs w:val="14"/>
                <w:lang w:eastAsia="en-AU"/>
              </w:rPr>
              <w:t>³⁰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³¹</w:t>
            </w:r>
          </w:p>
        </w:tc>
        <w:tc>
          <w:tcPr>
            <w:tcW w:w="249" w:type="pct"/>
            <w:shd w:val="clear" w:color="auto" w:fill="D5ECF5"/>
            <w:vAlign w:val="center"/>
          </w:tcPr>
          <w:p w14:paraId="7418C08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C08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D5ECF5"/>
            <w:vAlign w:val="center"/>
          </w:tcPr>
          <w:p w14:paraId="7418C08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15.7</w:t>
            </w:r>
          </w:p>
        </w:tc>
        <w:tc>
          <w:tcPr>
            <w:tcW w:w="249" w:type="pct"/>
            <w:shd w:val="clear" w:color="auto" w:fill="D5ECF5"/>
            <w:vAlign w:val="center"/>
          </w:tcPr>
          <w:p w14:paraId="7418C08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20.7</w:t>
            </w:r>
          </w:p>
        </w:tc>
        <w:tc>
          <w:tcPr>
            <w:tcW w:w="249" w:type="pct"/>
            <w:shd w:val="clear" w:color="auto" w:fill="D5ECF5"/>
            <w:vAlign w:val="center"/>
          </w:tcPr>
          <w:p w14:paraId="7418C08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24.1</w:t>
            </w:r>
          </w:p>
        </w:tc>
        <w:tc>
          <w:tcPr>
            <w:tcW w:w="249" w:type="pct"/>
            <w:shd w:val="clear" w:color="auto" w:fill="D5ECF5"/>
            <w:vAlign w:val="center"/>
          </w:tcPr>
          <w:p w14:paraId="7418C08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35.3</w:t>
            </w:r>
          </w:p>
        </w:tc>
        <w:tc>
          <w:tcPr>
            <w:tcW w:w="249" w:type="pct"/>
            <w:shd w:val="clear" w:color="auto" w:fill="D5ECF5"/>
            <w:vAlign w:val="center"/>
          </w:tcPr>
          <w:p w14:paraId="7418C08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20.5</w:t>
            </w:r>
          </w:p>
        </w:tc>
        <w:tc>
          <w:tcPr>
            <w:tcW w:w="249" w:type="pct"/>
            <w:shd w:val="clear" w:color="auto" w:fill="D5ECF5"/>
            <w:vAlign w:val="center"/>
          </w:tcPr>
          <w:p w14:paraId="7418C08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19.0</w:t>
            </w:r>
          </w:p>
        </w:tc>
        <w:tc>
          <w:tcPr>
            <w:tcW w:w="249" w:type="pct"/>
            <w:shd w:val="clear" w:color="auto" w:fill="D5ECF5"/>
            <w:vAlign w:val="center"/>
          </w:tcPr>
          <w:p w14:paraId="7418C08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30.8</w:t>
            </w:r>
          </w:p>
        </w:tc>
        <w:tc>
          <w:tcPr>
            <w:tcW w:w="249" w:type="pct"/>
            <w:shd w:val="clear" w:color="auto" w:fill="D5ECF5"/>
            <w:vAlign w:val="center"/>
          </w:tcPr>
          <w:p w14:paraId="7418C08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23.2</w:t>
            </w:r>
          </w:p>
        </w:tc>
        <w:tc>
          <w:tcPr>
            <w:tcW w:w="249" w:type="pct"/>
            <w:shd w:val="clear" w:color="auto" w:fill="D5ECF5"/>
            <w:vAlign w:val="center"/>
          </w:tcPr>
          <w:p w14:paraId="7418C08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18.5</w:t>
            </w:r>
          </w:p>
        </w:tc>
        <w:tc>
          <w:tcPr>
            <w:tcW w:w="249" w:type="pct"/>
            <w:shd w:val="clear" w:color="auto" w:fill="D5ECF5"/>
            <w:vAlign w:val="center"/>
          </w:tcPr>
          <w:p w14:paraId="7418C08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13.3</w:t>
            </w:r>
          </w:p>
        </w:tc>
        <w:tc>
          <w:tcPr>
            <w:tcW w:w="227" w:type="pct"/>
            <w:shd w:val="clear" w:color="auto" w:fill="D5ECF5"/>
            <w:vAlign w:val="center"/>
          </w:tcPr>
          <w:p w14:paraId="7418C08D"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C09D" w14:textId="77777777" w:rsidTr="004A31A9">
        <w:trPr>
          <w:trHeight w:val="283"/>
        </w:trPr>
        <w:tc>
          <w:tcPr>
            <w:tcW w:w="1785" w:type="pct"/>
            <w:shd w:val="clear" w:color="auto" w:fill="E4F3F9"/>
            <w:vAlign w:val="center"/>
          </w:tcPr>
          <w:p w14:paraId="7418C08F"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Employer difficulty sourcing/recruiting graduates, %</w:t>
            </w:r>
            <w:r w:rsidRPr="0048563F">
              <w:rPr>
                <w:rFonts w:eastAsia="Arial Unicode MS" w:cs="Arial" w:hint="eastAsia"/>
                <w:color w:val="7A7B7C"/>
                <w:sz w:val="14"/>
                <w:szCs w:val="14"/>
                <w:lang w:eastAsia="en-AU"/>
              </w:rPr>
              <w:t>³⁰</w:t>
            </w:r>
            <w:r w:rsidRPr="0048563F">
              <w:rPr>
                <w:rFonts w:eastAsia="Arial Unicode MS" w:cs="Arial" w:hint="eastAsia"/>
                <w:color w:val="7A7B7C"/>
                <w:sz w:val="14"/>
                <w:szCs w:val="14"/>
                <w:lang w:eastAsia="en-AU"/>
              </w:rPr>
              <w:t xml:space="preserve"> </w:t>
            </w:r>
            <w:r w:rsidRPr="0048563F">
              <w:rPr>
                <w:rFonts w:eastAsia="Arial Unicode MS" w:cs="Arial" w:hint="eastAsia"/>
                <w:color w:val="7A7B7C"/>
                <w:sz w:val="14"/>
                <w:szCs w:val="14"/>
                <w:lang w:eastAsia="en-AU"/>
              </w:rPr>
              <w:t>³²</w:t>
            </w:r>
          </w:p>
        </w:tc>
        <w:tc>
          <w:tcPr>
            <w:tcW w:w="249" w:type="pct"/>
            <w:shd w:val="clear" w:color="auto" w:fill="E4F3F9"/>
            <w:vAlign w:val="center"/>
          </w:tcPr>
          <w:p w14:paraId="7418C09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C09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shd w:val="clear" w:color="auto" w:fill="E4F3F9"/>
            <w:vAlign w:val="center"/>
          </w:tcPr>
          <w:p w14:paraId="7418C09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49.3</w:t>
            </w:r>
          </w:p>
        </w:tc>
        <w:tc>
          <w:tcPr>
            <w:tcW w:w="249" w:type="pct"/>
            <w:shd w:val="clear" w:color="auto" w:fill="E4F3F9"/>
            <w:vAlign w:val="center"/>
          </w:tcPr>
          <w:p w14:paraId="7418C09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56.5</w:t>
            </w:r>
          </w:p>
        </w:tc>
        <w:tc>
          <w:tcPr>
            <w:tcW w:w="249" w:type="pct"/>
            <w:shd w:val="clear" w:color="auto" w:fill="E4F3F9"/>
            <w:vAlign w:val="center"/>
          </w:tcPr>
          <w:p w14:paraId="7418C09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62.4</w:t>
            </w:r>
          </w:p>
        </w:tc>
        <w:tc>
          <w:tcPr>
            <w:tcW w:w="249" w:type="pct"/>
            <w:shd w:val="clear" w:color="auto" w:fill="E4F3F9"/>
            <w:vAlign w:val="center"/>
          </w:tcPr>
          <w:p w14:paraId="7418C09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53.5</w:t>
            </w:r>
          </w:p>
        </w:tc>
        <w:tc>
          <w:tcPr>
            <w:tcW w:w="249" w:type="pct"/>
            <w:shd w:val="clear" w:color="auto" w:fill="E4F3F9"/>
            <w:vAlign w:val="center"/>
          </w:tcPr>
          <w:p w14:paraId="7418C09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30.7</w:t>
            </w:r>
          </w:p>
        </w:tc>
        <w:tc>
          <w:tcPr>
            <w:tcW w:w="249" w:type="pct"/>
            <w:shd w:val="clear" w:color="auto" w:fill="E4F3F9"/>
            <w:vAlign w:val="center"/>
          </w:tcPr>
          <w:p w14:paraId="7418C09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36.3</w:t>
            </w:r>
          </w:p>
        </w:tc>
        <w:tc>
          <w:tcPr>
            <w:tcW w:w="249" w:type="pct"/>
            <w:shd w:val="clear" w:color="auto" w:fill="E4F3F9"/>
            <w:vAlign w:val="center"/>
          </w:tcPr>
          <w:p w14:paraId="7418C09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42.1</w:t>
            </w:r>
          </w:p>
        </w:tc>
        <w:tc>
          <w:tcPr>
            <w:tcW w:w="249" w:type="pct"/>
            <w:shd w:val="clear" w:color="auto" w:fill="E4F3F9"/>
            <w:vAlign w:val="center"/>
          </w:tcPr>
          <w:p w14:paraId="7418C09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34.3</w:t>
            </w:r>
          </w:p>
        </w:tc>
        <w:tc>
          <w:tcPr>
            <w:tcW w:w="249" w:type="pct"/>
            <w:shd w:val="clear" w:color="auto" w:fill="E4F3F9"/>
            <w:vAlign w:val="center"/>
          </w:tcPr>
          <w:p w14:paraId="7418C09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32.6</w:t>
            </w:r>
          </w:p>
        </w:tc>
        <w:tc>
          <w:tcPr>
            <w:tcW w:w="249" w:type="pct"/>
            <w:shd w:val="clear" w:color="auto" w:fill="E4F3F9"/>
            <w:vAlign w:val="center"/>
          </w:tcPr>
          <w:p w14:paraId="7418C09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41.0</w:t>
            </w:r>
          </w:p>
        </w:tc>
        <w:tc>
          <w:tcPr>
            <w:tcW w:w="227" w:type="pct"/>
            <w:shd w:val="clear" w:color="auto" w:fill="E4F3F9"/>
            <w:vAlign w:val="center"/>
          </w:tcPr>
          <w:p w14:paraId="7418C09C"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r>
      <w:tr w:rsidR="00D471AD" w:rsidRPr="0048563F" w14:paraId="7418C0AC" w14:textId="77777777" w:rsidTr="004A31A9">
        <w:trPr>
          <w:trHeight w:val="283"/>
        </w:trPr>
        <w:tc>
          <w:tcPr>
            <w:tcW w:w="1785" w:type="pct"/>
            <w:tcBorders>
              <w:bottom w:val="single" w:sz="8" w:space="0" w:color="22789A"/>
            </w:tcBorders>
            <w:shd w:val="clear" w:color="auto" w:fill="D5ECF5"/>
            <w:vAlign w:val="center"/>
          </w:tcPr>
          <w:p w14:paraId="7418C09E" w14:textId="77777777" w:rsidR="00D471AD" w:rsidRPr="0048563F" w:rsidRDefault="00D471AD" w:rsidP="004A31A9">
            <w:pPr>
              <w:spacing w:after="0" w:line="240" w:lineRule="auto"/>
              <w:rPr>
                <w:rFonts w:eastAsia="Arial Unicode MS" w:cs="Arial"/>
                <w:color w:val="7A7B7C"/>
                <w:sz w:val="14"/>
                <w:szCs w:val="14"/>
                <w:lang w:eastAsia="en-AU"/>
              </w:rPr>
            </w:pPr>
            <w:r w:rsidRPr="0048563F">
              <w:rPr>
                <w:rFonts w:eastAsia="Arial Unicode MS" w:cs="Arial" w:hint="eastAsia"/>
                <w:color w:val="7A7B7C"/>
                <w:sz w:val="14"/>
                <w:szCs w:val="14"/>
                <w:lang w:eastAsia="en-AU"/>
              </w:rPr>
              <w:t>Employer overall satisfaction with VET system, %</w:t>
            </w:r>
            <w:r w:rsidRPr="0048563F">
              <w:rPr>
                <w:rFonts w:eastAsia="Arial Unicode MS" w:cs="Arial" w:hint="eastAsia"/>
                <w:color w:val="7A7B7C"/>
                <w:sz w:val="14"/>
                <w:szCs w:val="14"/>
                <w:lang w:eastAsia="en-AU"/>
              </w:rPr>
              <w:t>¹⁶</w:t>
            </w:r>
          </w:p>
        </w:tc>
        <w:tc>
          <w:tcPr>
            <w:tcW w:w="249" w:type="pct"/>
            <w:tcBorders>
              <w:bottom w:val="single" w:sz="8" w:space="0" w:color="22789A"/>
            </w:tcBorders>
            <w:shd w:val="clear" w:color="auto" w:fill="D5ECF5"/>
            <w:vAlign w:val="center"/>
          </w:tcPr>
          <w:p w14:paraId="7418C09F"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tcBorders>
              <w:bottom w:val="single" w:sz="8" w:space="0" w:color="22789A"/>
            </w:tcBorders>
            <w:shd w:val="clear" w:color="auto" w:fill="D5ECF5"/>
            <w:vAlign w:val="center"/>
          </w:tcPr>
          <w:p w14:paraId="7418C0A0"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tcBorders>
              <w:bottom w:val="single" w:sz="8" w:space="0" w:color="22789A"/>
            </w:tcBorders>
            <w:shd w:val="clear" w:color="auto" w:fill="D5ECF5"/>
            <w:vAlign w:val="center"/>
          </w:tcPr>
          <w:p w14:paraId="7418C0A1"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70.7</w:t>
            </w:r>
          </w:p>
        </w:tc>
        <w:tc>
          <w:tcPr>
            <w:tcW w:w="249" w:type="pct"/>
            <w:tcBorders>
              <w:bottom w:val="single" w:sz="8" w:space="0" w:color="22789A"/>
            </w:tcBorders>
            <w:shd w:val="clear" w:color="auto" w:fill="D5ECF5"/>
            <w:vAlign w:val="center"/>
          </w:tcPr>
          <w:p w14:paraId="7418C0A2"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tcBorders>
              <w:bottom w:val="single" w:sz="8" w:space="0" w:color="22789A"/>
            </w:tcBorders>
            <w:shd w:val="clear" w:color="auto" w:fill="D5ECF5"/>
            <w:vAlign w:val="center"/>
          </w:tcPr>
          <w:p w14:paraId="7418C0A3"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74.0</w:t>
            </w:r>
          </w:p>
        </w:tc>
        <w:tc>
          <w:tcPr>
            <w:tcW w:w="249" w:type="pct"/>
            <w:tcBorders>
              <w:bottom w:val="single" w:sz="8" w:space="0" w:color="22789A"/>
            </w:tcBorders>
            <w:shd w:val="clear" w:color="auto" w:fill="D5ECF5"/>
            <w:vAlign w:val="center"/>
          </w:tcPr>
          <w:p w14:paraId="7418C0A4"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tcBorders>
              <w:bottom w:val="single" w:sz="8" w:space="0" w:color="22789A"/>
            </w:tcBorders>
            <w:shd w:val="clear" w:color="auto" w:fill="D5ECF5"/>
            <w:vAlign w:val="center"/>
          </w:tcPr>
          <w:p w14:paraId="7418C0A5"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77.8</w:t>
            </w:r>
          </w:p>
        </w:tc>
        <w:tc>
          <w:tcPr>
            <w:tcW w:w="249" w:type="pct"/>
            <w:tcBorders>
              <w:bottom w:val="single" w:sz="8" w:space="0" w:color="22789A"/>
            </w:tcBorders>
            <w:shd w:val="clear" w:color="auto" w:fill="D5ECF5"/>
            <w:vAlign w:val="center"/>
          </w:tcPr>
          <w:p w14:paraId="7418C0A6"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tcBorders>
              <w:bottom w:val="single" w:sz="8" w:space="0" w:color="22789A"/>
            </w:tcBorders>
            <w:shd w:val="clear" w:color="auto" w:fill="D5ECF5"/>
            <w:vAlign w:val="center"/>
          </w:tcPr>
          <w:p w14:paraId="7418C0A7"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77.8</w:t>
            </w:r>
          </w:p>
        </w:tc>
        <w:tc>
          <w:tcPr>
            <w:tcW w:w="249" w:type="pct"/>
            <w:tcBorders>
              <w:bottom w:val="single" w:sz="8" w:space="0" w:color="22789A"/>
            </w:tcBorders>
            <w:shd w:val="clear" w:color="auto" w:fill="D5ECF5"/>
            <w:vAlign w:val="center"/>
          </w:tcPr>
          <w:p w14:paraId="7418C0A8"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49" w:type="pct"/>
            <w:tcBorders>
              <w:bottom w:val="single" w:sz="8" w:space="0" w:color="22789A"/>
            </w:tcBorders>
            <w:shd w:val="clear" w:color="auto" w:fill="D5ECF5"/>
            <w:vAlign w:val="center"/>
          </w:tcPr>
          <w:p w14:paraId="7418C0A9"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73.1</w:t>
            </w:r>
          </w:p>
        </w:tc>
        <w:tc>
          <w:tcPr>
            <w:tcW w:w="249" w:type="pct"/>
            <w:tcBorders>
              <w:bottom w:val="single" w:sz="8" w:space="0" w:color="22789A"/>
            </w:tcBorders>
            <w:shd w:val="clear" w:color="auto" w:fill="D5ECF5"/>
            <w:vAlign w:val="center"/>
          </w:tcPr>
          <w:p w14:paraId="7418C0AA"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w:t>
            </w:r>
          </w:p>
        </w:tc>
        <w:tc>
          <w:tcPr>
            <w:tcW w:w="227" w:type="pct"/>
            <w:tcBorders>
              <w:bottom w:val="single" w:sz="8" w:space="0" w:color="22789A"/>
            </w:tcBorders>
            <w:shd w:val="clear" w:color="auto" w:fill="D5ECF5"/>
            <w:vAlign w:val="center"/>
          </w:tcPr>
          <w:p w14:paraId="7418C0AB" w14:textId="77777777" w:rsidR="00D471AD" w:rsidRPr="0048563F" w:rsidRDefault="00D471AD" w:rsidP="004A31A9">
            <w:pPr>
              <w:spacing w:after="0" w:line="240" w:lineRule="auto"/>
              <w:jc w:val="right"/>
              <w:rPr>
                <w:rFonts w:eastAsia="Times New Roman" w:cs="Arial"/>
                <w:color w:val="7A7B7C"/>
                <w:sz w:val="14"/>
                <w:szCs w:val="14"/>
                <w:lang w:eastAsia="en-AU"/>
              </w:rPr>
            </w:pPr>
            <w:r w:rsidRPr="0048563F">
              <w:rPr>
                <w:rFonts w:eastAsia="Times New Roman" w:cs="Arial"/>
                <w:color w:val="7A7B7C"/>
                <w:sz w:val="14"/>
                <w:szCs w:val="14"/>
                <w:lang w:eastAsia="en-AU"/>
              </w:rPr>
              <w:t>72.9</w:t>
            </w:r>
          </w:p>
        </w:tc>
      </w:tr>
    </w:tbl>
    <w:p w14:paraId="7418C0AD" w14:textId="77777777" w:rsidR="00D471AD" w:rsidRDefault="00D471AD" w:rsidP="00D471AD"/>
    <w:tbl>
      <w:tblPr>
        <w:tblW w:w="5000" w:type="pct"/>
        <w:tblBorders>
          <w:bottom w:val="single" w:sz="4" w:space="0" w:color="auto"/>
        </w:tblBorders>
        <w:tblLook w:val="04A0" w:firstRow="1" w:lastRow="0" w:firstColumn="1" w:lastColumn="0" w:noHBand="0" w:noVBand="1"/>
      </w:tblPr>
      <w:tblGrid>
        <w:gridCol w:w="5539"/>
        <w:gridCol w:w="1312"/>
        <w:gridCol w:w="173"/>
        <w:gridCol w:w="1616"/>
        <w:gridCol w:w="1234"/>
        <w:gridCol w:w="1460"/>
        <w:gridCol w:w="1312"/>
        <w:gridCol w:w="1245"/>
        <w:gridCol w:w="67"/>
      </w:tblGrid>
      <w:tr w:rsidR="00D471AD" w:rsidRPr="00051CAA" w14:paraId="7418C0AF" w14:textId="77777777" w:rsidTr="004A31A9">
        <w:trPr>
          <w:gridAfter w:val="1"/>
          <w:wAfter w:w="24" w:type="pct"/>
          <w:trHeight w:val="300"/>
          <w:tblHeader/>
        </w:trPr>
        <w:tc>
          <w:tcPr>
            <w:tcW w:w="4976" w:type="pct"/>
            <w:gridSpan w:val="8"/>
            <w:tcBorders>
              <w:top w:val="single" w:sz="8" w:space="0" w:color="22789A"/>
              <w:bottom w:val="nil"/>
            </w:tcBorders>
            <w:shd w:val="clear" w:color="auto" w:fill="auto"/>
            <w:vAlign w:val="center"/>
          </w:tcPr>
          <w:p w14:paraId="7418C0AE" w14:textId="77777777" w:rsidR="00D471AD" w:rsidRPr="00C10561" w:rsidRDefault="00D471AD" w:rsidP="004A31A9">
            <w:pPr>
              <w:pStyle w:val="TableParagraph"/>
              <w:spacing w:before="42"/>
              <w:ind w:left="-108"/>
              <w:rPr>
                <w:rFonts w:ascii="Arial"/>
                <w:i/>
                <w:color w:val="22789A"/>
                <w:spacing w:val="3"/>
                <w:sz w:val="18"/>
              </w:rPr>
            </w:pPr>
            <w:r w:rsidRPr="008F7EDC">
              <w:rPr>
                <w:rFonts w:ascii="Arial"/>
                <w:i/>
                <w:color w:val="22789A"/>
                <w:spacing w:val="3"/>
                <w:sz w:val="18"/>
              </w:rPr>
              <w:t>Table A6(b): Australia</w:t>
            </w:r>
            <w:r w:rsidRPr="008F7EDC">
              <w:rPr>
                <w:rFonts w:ascii="Arial"/>
                <w:i/>
                <w:color w:val="22789A"/>
                <w:spacing w:val="3"/>
                <w:sz w:val="18"/>
              </w:rPr>
              <w:t>’</w:t>
            </w:r>
            <w:r w:rsidRPr="008F7EDC">
              <w:rPr>
                <w:rFonts w:ascii="Arial"/>
                <w:i/>
                <w:color w:val="22789A"/>
                <w:spacing w:val="3"/>
                <w:sz w:val="18"/>
              </w:rPr>
              <w:t>s education and skills base</w:t>
            </w:r>
          </w:p>
        </w:tc>
      </w:tr>
      <w:tr w:rsidR="00D471AD" w14:paraId="7418C0B3"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369"/>
          <w:tblHeader/>
        </w:trPr>
        <w:tc>
          <w:tcPr>
            <w:tcW w:w="1984" w:type="pct"/>
            <w:tcBorders>
              <w:top w:val="nil"/>
              <w:left w:val="nil"/>
              <w:bottom w:val="nil"/>
              <w:right w:val="nil"/>
            </w:tcBorders>
            <w:shd w:val="clear" w:color="auto" w:fill="22789A"/>
          </w:tcPr>
          <w:p w14:paraId="7418C0B0" w14:textId="77777777" w:rsidR="00D471AD" w:rsidRDefault="00D471AD" w:rsidP="004A31A9">
            <w:pPr>
              <w:pStyle w:val="TableParagraph"/>
              <w:spacing w:before="42"/>
              <w:ind w:left="79"/>
              <w:rPr>
                <w:rFonts w:ascii="Arial" w:eastAsia="Arial" w:hAnsi="Arial" w:cs="Arial"/>
                <w:sz w:val="18"/>
                <w:szCs w:val="18"/>
              </w:rPr>
            </w:pPr>
            <w:r>
              <w:rPr>
                <w:rFonts w:ascii="Arial"/>
                <w:i/>
                <w:color w:val="FFFFFF"/>
                <w:spacing w:val="3"/>
                <w:sz w:val="18"/>
              </w:rPr>
              <w:t>OECD+</w:t>
            </w:r>
            <w:r>
              <w:rPr>
                <w:rFonts w:ascii="Arial"/>
                <w:i/>
                <w:color w:val="FFFFFF"/>
                <w:spacing w:val="8"/>
                <w:sz w:val="18"/>
              </w:rPr>
              <w:t xml:space="preserve"> </w:t>
            </w:r>
            <w:r>
              <w:rPr>
                <w:rFonts w:ascii="Arial"/>
                <w:i/>
                <w:color w:val="FFFFFF"/>
                <w:spacing w:val="3"/>
                <w:sz w:val="18"/>
              </w:rPr>
              <w:t>Comparisons</w:t>
            </w:r>
            <w:r>
              <w:rPr>
                <w:rFonts w:ascii="Arial"/>
                <w:i/>
                <w:color w:val="FFFFFF"/>
                <w:spacing w:val="9"/>
                <w:sz w:val="18"/>
              </w:rPr>
              <w:t xml:space="preserve"> </w:t>
            </w:r>
            <w:r>
              <w:rPr>
                <w:rFonts w:ascii="Arial"/>
                <w:i/>
                <w:color w:val="FFFFFF"/>
                <w:spacing w:val="4"/>
                <w:sz w:val="18"/>
              </w:rPr>
              <w:t>(ii)</w:t>
            </w:r>
          </w:p>
        </w:tc>
        <w:tc>
          <w:tcPr>
            <w:tcW w:w="470" w:type="pct"/>
            <w:tcBorders>
              <w:top w:val="nil"/>
              <w:left w:val="nil"/>
              <w:bottom w:val="nil"/>
              <w:right w:val="nil"/>
            </w:tcBorders>
            <w:shd w:val="clear" w:color="auto" w:fill="22789A"/>
          </w:tcPr>
          <w:p w14:paraId="7418C0B1" w14:textId="77777777" w:rsidR="00D471AD" w:rsidRDefault="00D471AD" w:rsidP="004A31A9"/>
        </w:tc>
        <w:tc>
          <w:tcPr>
            <w:tcW w:w="2546" w:type="pct"/>
            <w:gridSpan w:val="7"/>
            <w:tcBorders>
              <w:top w:val="nil"/>
              <w:left w:val="nil"/>
              <w:bottom w:val="nil"/>
              <w:right w:val="nil"/>
            </w:tcBorders>
            <w:shd w:val="clear" w:color="auto" w:fill="22789A"/>
          </w:tcPr>
          <w:p w14:paraId="7418C0B2" w14:textId="77777777" w:rsidR="00D471AD" w:rsidRDefault="00D471AD" w:rsidP="004A31A9"/>
        </w:tc>
      </w:tr>
      <w:tr w:rsidR="00D471AD" w14:paraId="7418C0BD"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610"/>
          <w:tblHeader/>
        </w:trPr>
        <w:tc>
          <w:tcPr>
            <w:tcW w:w="1984" w:type="pct"/>
            <w:tcBorders>
              <w:top w:val="nil"/>
              <w:left w:val="nil"/>
              <w:bottom w:val="nil"/>
              <w:right w:val="nil"/>
            </w:tcBorders>
            <w:shd w:val="clear" w:color="auto" w:fill="E4F3F9"/>
          </w:tcPr>
          <w:p w14:paraId="7418C0B4" w14:textId="77777777" w:rsidR="00D471AD" w:rsidRPr="00507B05" w:rsidRDefault="00D471AD" w:rsidP="004A31A9">
            <w:pPr>
              <w:pStyle w:val="TableParagraph"/>
              <w:spacing w:before="50"/>
              <w:ind w:left="91"/>
              <w:contextualSpacing/>
              <w:rPr>
                <w:rFonts w:ascii="Arial" w:eastAsia="Arial" w:hAnsi="Arial" w:cs="Arial"/>
                <w:color w:val="44546A" w:themeColor="text2"/>
                <w:sz w:val="14"/>
                <w:szCs w:val="14"/>
              </w:rPr>
            </w:pPr>
            <w:r w:rsidRPr="00507B05">
              <w:rPr>
                <w:rFonts w:ascii="Arial"/>
                <w:i/>
                <w:color w:val="44546A" w:themeColor="text2"/>
                <w:sz w:val="14"/>
              </w:rPr>
              <w:t>Indicators</w:t>
            </w:r>
          </w:p>
        </w:tc>
        <w:tc>
          <w:tcPr>
            <w:tcW w:w="532" w:type="pct"/>
            <w:gridSpan w:val="2"/>
            <w:tcBorders>
              <w:top w:val="nil"/>
              <w:left w:val="nil"/>
              <w:bottom w:val="nil"/>
              <w:right w:val="nil"/>
            </w:tcBorders>
            <w:shd w:val="clear" w:color="auto" w:fill="E4F3F9"/>
          </w:tcPr>
          <w:p w14:paraId="7418C0B5" w14:textId="77777777" w:rsidR="00D471AD" w:rsidRPr="00507B05" w:rsidRDefault="00D471AD" w:rsidP="004A31A9">
            <w:pPr>
              <w:pStyle w:val="TableParagraph"/>
              <w:spacing w:before="100" w:beforeAutospacing="1"/>
              <w:ind w:left="205"/>
              <w:contextualSpacing/>
              <w:rPr>
                <w:rFonts w:ascii="Arial" w:eastAsia="Arial" w:hAnsi="Arial" w:cs="Arial"/>
                <w:color w:val="44546A" w:themeColor="text2"/>
                <w:sz w:val="14"/>
                <w:szCs w:val="14"/>
              </w:rPr>
            </w:pPr>
            <w:r w:rsidRPr="00507B05">
              <w:rPr>
                <w:rFonts w:ascii="Arial"/>
                <w:i/>
                <w:color w:val="44546A" w:themeColor="text2"/>
                <w:sz w:val="14"/>
              </w:rPr>
              <w:t>Australia's</w:t>
            </w:r>
            <w:r w:rsidRPr="00507B05">
              <w:rPr>
                <w:rFonts w:ascii="Arial"/>
                <w:i/>
                <w:color w:val="44546A" w:themeColor="text2"/>
                <w:spacing w:val="-1"/>
                <w:sz w:val="14"/>
              </w:rPr>
              <w:t xml:space="preserve"> </w:t>
            </w:r>
            <w:r w:rsidRPr="00507B05">
              <w:rPr>
                <w:rFonts w:ascii="Arial"/>
                <w:i/>
                <w:color w:val="44546A" w:themeColor="text2"/>
                <w:sz w:val="14"/>
              </w:rPr>
              <w:t>score</w:t>
            </w:r>
            <w:r w:rsidRPr="00507B05">
              <w:rPr>
                <w:rFonts w:ascii="Arial"/>
                <w:i/>
                <w:color w:val="44546A" w:themeColor="text2"/>
                <w:spacing w:val="-1"/>
                <w:sz w:val="14"/>
              </w:rPr>
              <w:t xml:space="preserve"> </w:t>
            </w:r>
            <w:r w:rsidRPr="00507B05">
              <w:rPr>
                <w:rFonts w:ascii="Arial"/>
                <w:i/>
                <w:color w:val="44546A" w:themeColor="text2"/>
                <w:sz w:val="14"/>
              </w:rPr>
              <w:t>(iii)</w:t>
            </w:r>
          </w:p>
        </w:tc>
        <w:tc>
          <w:tcPr>
            <w:tcW w:w="579" w:type="pct"/>
            <w:tcBorders>
              <w:top w:val="nil"/>
              <w:left w:val="nil"/>
              <w:bottom w:val="nil"/>
              <w:right w:val="nil"/>
            </w:tcBorders>
            <w:shd w:val="clear" w:color="auto" w:fill="E4F3F9"/>
          </w:tcPr>
          <w:p w14:paraId="7418C0B6" w14:textId="77777777" w:rsidR="00D471AD" w:rsidRPr="00507B05" w:rsidRDefault="00D471AD" w:rsidP="004A31A9">
            <w:pPr>
              <w:pStyle w:val="TableParagraph"/>
              <w:spacing w:before="100" w:beforeAutospacing="1"/>
              <w:ind w:left="100"/>
              <w:contextualSpacing/>
              <w:rPr>
                <w:rFonts w:ascii="Arial" w:eastAsia="Arial" w:hAnsi="Arial" w:cs="Arial"/>
                <w:color w:val="44546A" w:themeColor="text2"/>
                <w:sz w:val="14"/>
                <w:szCs w:val="14"/>
              </w:rPr>
            </w:pPr>
            <w:r w:rsidRPr="00507B05">
              <w:rPr>
                <w:rFonts w:ascii="Arial"/>
                <w:i/>
                <w:color w:val="44546A" w:themeColor="text2"/>
                <w:sz w:val="14"/>
              </w:rPr>
              <w:t>OECD+</w:t>
            </w:r>
            <w:r w:rsidRPr="00507B05">
              <w:rPr>
                <w:rFonts w:ascii="Arial"/>
                <w:i/>
                <w:color w:val="44546A" w:themeColor="text2"/>
                <w:spacing w:val="-7"/>
                <w:sz w:val="14"/>
              </w:rPr>
              <w:t xml:space="preserve"> </w:t>
            </w:r>
            <w:r w:rsidRPr="00507B05">
              <w:rPr>
                <w:rFonts w:ascii="Arial"/>
                <w:i/>
                <w:color w:val="44546A" w:themeColor="text2"/>
                <w:spacing w:val="-1"/>
                <w:sz w:val="14"/>
              </w:rPr>
              <w:t xml:space="preserve">Average </w:t>
            </w:r>
            <w:r w:rsidRPr="00507B05">
              <w:rPr>
                <w:rFonts w:ascii="Arial"/>
                <w:i/>
                <w:color w:val="44546A" w:themeColor="text2"/>
                <w:sz w:val="14"/>
              </w:rPr>
              <w:t>(iv)</w:t>
            </w:r>
          </w:p>
        </w:tc>
        <w:tc>
          <w:tcPr>
            <w:tcW w:w="442" w:type="pct"/>
            <w:tcBorders>
              <w:top w:val="nil"/>
              <w:left w:val="nil"/>
              <w:bottom w:val="nil"/>
              <w:right w:val="nil"/>
            </w:tcBorders>
            <w:shd w:val="clear" w:color="auto" w:fill="E4F3F9"/>
          </w:tcPr>
          <w:p w14:paraId="7418C0B7" w14:textId="77777777" w:rsidR="00D471AD" w:rsidRPr="00507B05" w:rsidRDefault="00D471AD" w:rsidP="004A31A9">
            <w:pPr>
              <w:pStyle w:val="NoSpacing"/>
              <w:jc w:val="right"/>
              <w:rPr>
                <w:rFonts w:ascii="Arial" w:eastAsia="Arial" w:hAnsi="Arial" w:cs="Arial"/>
                <w:i/>
                <w:color w:val="44546A" w:themeColor="text2"/>
                <w:sz w:val="14"/>
                <w:szCs w:val="14"/>
              </w:rPr>
            </w:pPr>
            <w:r w:rsidRPr="00507B05">
              <w:rPr>
                <w:rFonts w:ascii="Arial" w:hAnsi="Arial" w:cs="Arial"/>
                <w:i/>
                <w:color w:val="44546A" w:themeColor="text2"/>
                <w:sz w:val="14"/>
                <w:szCs w:val="14"/>
              </w:rPr>
              <w:t>OECD+</w:t>
            </w:r>
            <w:r w:rsidRPr="00507B05">
              <w:rPr>
                <w:rFonts w:ascii="Arial" w:hAnsi="Arial" w:cs="Arial"/>
                <w:i/>
                <w:color w:val="44546A" w:themeColor="text2"/>
                <w:spacing w:val="-1"/>
                <w:sz w:val="14"/>
                <w:szCs w:val="14"/>
              </w:rPr>
              <w:t xml:space="preserve"> </w:t>
            </w:r>
            <w:r w:rsidRPr="00507B05">
              <w:rPr>
                <w:rFonts w:ascii="Arial" w:hAnsi="Arial" w:cs="Arial"/>
                <w:i/>
                <w:color w:val="44546A" w:themeColor="text2"/>
                <w:sz w:val="14"/>
                <w:szCs w:val="14"/>
              </w:rPr>
              <w:t>top</w:t>
            </w:r>
            <w:r w:rsidRPr="00507B05">
              <w:rPr>
                <w:rFonts w:ascii="Arial" w:hAnsi="Arial" w:cs="Arial"/>
                <w:i/>
                <w:color w:val="44546A" w:themeColor="text2"/>
                <w:spacing w:val="-1"/>
                <w:sz w:val="14"/>
                <w:szCs w:val="14"/>
              </w:rPr>
              <w:t xml:space="preserve"> </w:t>
            </w:r>
            <w:r w:rsidRPr="00507B05">
              <w:rPr>
                <w:rFonts w:ascii="Arial" w:hAnsi="Arial" w:cs="Arial"/>
                <w:i/>
                <w:color w:val="44546A" w:themeColor="text2"/>
                <w:sz w:val="14"/>
                <w:szCs w:val="14"/>
              </w:rPr>
              <w:t xml:space="preserve">5 </w:t>
            </w:r>
            <w:r w:rsidRPr="00507B05">
              <w:rPr>
                <w:rFonts w:ascii="Arial" w:hAnsi="Arial" w:cs="Arial"/>
                <w:i/>
                <w:color w:val="44546A" w:themeColor="text2"/>
                <w:spacing w:val="-1"/>
                <w:sz w:val="14"/>
                <w:szCs w:val="14"/>
              </w:rPr>
              <w:t>average</w:t>
            </w:r>
            <w:r w:rsidRPr="00507B05">
              <w:rPr>
                <w:rFonts w:ascii="Arial" w:hAnsi="Arial" w:cs="Arial"/>
                <w:i/>
                <w:color w:val="44546A" w:themeColor="text2"/>
                <w:sz w:val="14"/>
                <w:szCs w:val="14"/>
              </w:rPr>
              <w:t xml:space="preserve"> (vi)</w:t>
            </w:r>
          </w:p>
        </w:tc>
        <w:tc>
          <w:tcPr>
            <w:tcW w:w="523" w:type="pct"/>
            <w:tcBorders>
              <w:top w:val="nil"/>
              <w:left w:val="nil"/>
              <w:bottom w:val="nil"/>
              <w:right w:val="nil"/>
            </w:tcBorders>
            <w:shd w:val="clear" w:color="auto" w:fill="E4F3F9"/>
          </w:tcPr>
          <w:p w14:paraId="7418C0B8"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Gap from the top 5 OECD+ performers</w:t>
            </w:r>
          </w:p>
          <w:p w14:paraId="7418C0B9"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(per cent) (vii)</w:t>
            </w:r>
          </w:p>
        </w:tc>
        <w:tc>
          <w:tcPr>
            <w:tcW w:w="470" w:type="pct"/>
            <w:tcBorders>
              <w:top w:val="nil"/>
              <w:left w:val="nil"/>
              <w:bottom w:val="nil"/>
              <w:right w:val="nil"/>
            </w:tcBorders>
            <w:shd w:val="clear" w:color="auto" w:fill="E4F3F9"/>
          </w:tcPr>
          <w:p w14:paraId="7418C0BA"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Ranking against OECD+ countries</w:t>
            </w:r>
          </w:p>
          <w:p w14:paraId="7418C0BB"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(viii)</w:t>
            </w:r>
          </w:p>
        </w:tc>
        <w:tc>
          <w:tcPr>
            <w:tcW w:w="470" w:type="pct"/>
            <w:gridSpan w:val="2"/>
            <w:tcBorders>
              <w:top w:val="nil"/>
              <w:left w:val="nil"/>
              <w:bottom w:val="nil"/>
              <w:right w:val="nil"/>
            </w:tcBorders>
            <w:shd w:val="clear" w:color="auto" w:fill="E4F3F9"/>
          </w:tcPr>
          <w:p w14:paraId="7418C0BC"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Year of OECD+ comparison</w:t>
            </w:r>
          </w:p>
        </w:tc>
      </w:tr>
      <w:tr w:rsidR="00D471AD" w:rsidRPr="000A073C" w14:paraId="7418C0C5"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23"/>
          <w:tblHeader/>
        </w:trPr>
        <w:tc>
          <w:tcPr>
            <w:tcW w:w="1984" w:type="pct"/>
            <w:tcBorders>
              <w:top w:val="nil"/>
              <w:left w:val="nil"/>
              <w:bottom w:val="nil"/>
              <w:right w:val="nil"/>
            </w:tcBorders>
            <w:shd w:val="clear" w:color="auto" w:fill="D5ECF5"/>
          </w:tcPr>
          <w:p w14:paraId="7418C0BE"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Total expenditure on educational institutions, % of GDP</w:t>
            </w:r>
            <w:r w:rsidRPr="00507B05">
              <w:rPr>
                <w:rFonts w:ascii="Arial Unicode MS" w:eastAsia="Arial Unicode MS" w:hAnsi="Arial Unicode MS" w:cs="Arial Unicode MS"/>
                <w:color w:val="44546A" w:themeColor="text2"/>
                <w:sz w:val="14"/>
              </w:rPr>
              <w:t>¹ ² ³ ⁴</w:t>
            </w:r>
          </w:p>
        </w:tc>
        <w:tc>
          <w:tcPr>
            <w:tcW w:w="532" w:type="pct"/>
            <w:gridSpan w:val="2"/>
            <w:tcBorders>
              <w:top w:val="nil"/>
              <w:left w:val="nil"/>
              <w:bottom w:val="nil"/>
              <w:right w:val="nil"/>
            </w:tcBorders>
            <w:shd w:val="clear" w:color="auto" w:fill="D5ECF5"/>
          </w:tcPr>
          <w:p w14:paraId="7418C0BF"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5.61</w:t>
            </w:r>
          </w:p>
        </w:tc>
        <w:tc>
          <w:tcPr>
            <w:tcW w:w="579" w:type="pct"/>
            <w:tcBorders>
              <w:top w:val="nil"/>
              <w:left w:val="nil"/>
              <w:bottom w:val="nil"/>
              <w:right w:val="nil"/>
            </w:tcBorders>
            <w:shd w:val="clear" w:color="auto" w:fill="D5ECF5"/>
          </w:tcPr>
          <w:p w14:paraId="7418C0C0"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5.21</w:t>
            </w:r>
          </w:p>
        </w:tc>
        <w:tc>
          <w:tcPr>
            <w:tcW w:w="442" w:type="pct"/>
            <w:tcBorders>
              <w:top w:val="nil"/>
              <w:left w:val="nil"/>
              <w:bottom w:val="nil"/>
              <w:right w:val="nil"/>
            </w:tcBorders>
            <w:shd w:val="clear" w:color="auto" w:fill="D5ECF5"/>
          </w:tcPr>
          <w:p w14:paraId="7418C0C1"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6.39</w:t>
            </w:r>
          </w:p>
        </w:tc>
        <w:tc>
          <w:tcPr>
            <w:tcW w:w="523" w:type="pct"/>
            <w:tcBorders>
              <w:top w:val="nil"/>
              <w:left w:val="nil"/>
              <w:bottom w:val="nil"/>
              <w:right w:val="nil"/>
            </w:tcBorders>
            <w:shd w:val="clear" w:color="auto" w:fill="D5ECF5"/>
          </w:tcPr>
          <w:p w14:paraId="7418C0C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12</w:t>
            </w:r>
          </w:p>
        </w:tc>
        <w:tc>
          <w:tcPr>
            <w:tcW w:w="470" w:type="pct"/>
            <w:tcBorders>
              <w:top w:val="nil"/>
              <w:left w:val="nil"/>
              <w:bottom w:val="nil"/>
              <w:right w:val="nil"/>
            </w:tcBorders>
            <w:shd w:val="clear" w:color="auto" w:fill="D5ECF5"/>
          </w:tcPr>
          <w:p w14:paraId="7418C0C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13th of 33</w:t>
            </w:r>
          </w:p>
        </w:tc>
        <w:tc>
          <w:tcPr>
            <w:tcW w:w="470" w:type="pct"/>
            <w:gridSpan w:val="2"/>
            <w:tcBorders>
              <w:top w:val="nil"/>
              <w:left w:val="nil"/>
              <w:bottom w:val="nil"/>
              <w:right w:val="nil"/>
            </w:tcBorders>
            <w:shd w:val="clear" w:color="auto" w:fill="D5ECF5"/>
          </w:tcPr>
          <w:p w14:paraId="7418C0C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2013</w:t>
            </w:r>
          </w:p>
        </w:tc>
      </w:tr>
      <w:tr w:rsidR="00D471AD" w:rsidRPr="000A073C" w14:paraId="7418C0CD"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23"/>
          <w:tblHeader/>
        </w:trPr>
        <w:tc>
          <w:tcPr>
            <w:tcW w:w="1984" w:type="pct"/>
            <w:tcBorders>
              <w:top w:val="nil"/>
              <w:left w:val="nil"/>
              <w:bottom w:val="nil"/>
              <w:right w:val="nil"/>
            </w:tcBorders>
            <w:shd w:val="clear" w:color="auto" w:fill="E4F3F9"/>
          </w:tcPr>
          <w:p w14:paraId="7418C0C6"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Public expenditure on education, % of GDP</w:t>
            </w:r>
            <w:r w:rsidRPr="00507B05">
              <w:rPr>
                <w:rFonts w:ascii="Arial Unicode MS" w:eastAsia="Arial Unicode MS" w:hAnsi="Arial Unicode MS" w:cs="Arial Unicode MS"/>
                <w:color w:val="44546A" w:themeColor="text2"/>
                <w:sz w:val="14"/>
              </w:rPr>
              <w:t>¹ ⁵ ⁶ ⁷</w:t>
            </w:r>
          </w:p>
        </w:tc>
        <w:tc>
          <w:tcPr>
            <w:tcW w:w="532" w:type="pct"/>
            <w:gridSpan w:val="2"/>
            <w:tcBorders>
              <w:top w:val="nil"/>
              <w:left w:val="nil"/>
              <w:bottom w:val="nil"/>
              <w:right w:val="nil"/>
            </w:tcBorders>
            <w:shd w:val="clear" w:color="auto" w:fill="E4F3F9"/>
          </w:tcPr>
          <w:p w14:paraId="7418C0C7"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4.75</w:t>
            </w:r>
          </w:p>
        </w:tc>
        <w:tc>
          <w:tcPr>
            <w:tcW w:w="579" w:type="pct"/>
            <w:tcBorders>
              <w:top w:val="nil"/>
              <w:left w:val="nil"/>
              <w:bottom w:val="nil"/>
              <w:right w:val="nil"/>
            </w:tcBorders>
            <w:shd w:val="clear" w:color="auto" w:fill="E4F3F9"/>
          </w:tcPr>
          <w:p w14:paraId="7418C0C8"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4.79</w:t>
            </w:r>
          </w:p>
        </w:tc>
        <w:tc>
          <w:tcPr>
            <w:tcW w:w="442" w:type="pct"/>
            <w:tcBorders>
              <w:top w:val="nil"/>
              <w:left w:val="nil"/>
              <w:bottom w:val="nil"/>
              <w:right w:val="nil"/>
            </w:tcBorders>
            <w:shd w:val="clear" w:color="auto" w:fill="E4F3F9"/>
          </w:tcPr>
          <w:p w14:paraId="7418C0C9"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6.48</w:t>
            </w:r>
          </w:p>
        </w:tc>
        <w:tc>
          <w:tcPr>
            <w:tcW w:w="523" w:type="pct"/>
            <w:tcBorders>
              <w:top w:val="nil"/>
              <w:left w:val="nil"/>
              <w:bottom w:val="nil"/>
              <w:right w:val="nil"/>
            </w:tcBorders>
            <w:shd w:val="clear" w:color="auto" w:fill="E4F3F9"/>
          </w:tcPr>
          <w:p w14:paraId="7418C0C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27</w:t>
            </w:r>
          </w:p>
        </w:tc>
        <w:tc>
          <w:tcPr>
            <w:tcW w:w="470" w:type="pct"/>
            <w:tcBorders>
              <w:top w:val="nil"/>
              <w:left w:val="nil"/>
              <w:bottom w:val="nil"/>
              <w:right w:val="nil"/>
            </w:tcBorders>
            <w:shd w:val="clear" w:color="auto" w:fill="E4F3F9"/>
          </w:tcPr>
          <w:p w14:paraId="7418C0C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16th of 32</w:t>
            </w:r>
          </w:p>
        </w:tc>
        <w:tc>
          <w:tcPr>
            <w:tcW w:w="470" w:type="pct"/>
            <w:gridSpan w:val="2"/>
            <w:tcBorders>
              <w:top w:val="nil"/>
              <w:left w:val="nil"/>
              <w:bottom w:val="nil"/>
              <w:right w:val="nil"/>
            </w:tcBorders>
            <w:shd w:val="clear" w:color="auto" w:fill="E4F3F9"/>
          </w:tcPr>
          <w:p w14:paraId="7418C0C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2013</w:t>
            </w:r>
          </w:p>
        </w:tc>
      </w:tr>
      <w:tr w:rsidR="00D471AD" w:rsidRPr="000A073C" w14:paraId="7418C0D5"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23"/>
          <w:tblHeader/>
        </w:trPr>
        <w:tc>
          <w:tcPr>
            <w:tcW w:w="1984" w:type="pct"/>
            <w:tcBorders>
              <w:top w:val="nil"/>
              <w:left w:val="nil"/>
              <w:bottom w:val="nil"/>
              <w:right w:val="nil"/>
            </w:tcBorders>
            <w:shd w:val="clear" w:color="auto" w:fill="D5ECF5"/>
          </w:tcPr>
          <w:p w14:paraId="7418C0CE"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Expenditure on tertiary education institutions, % of GDP</w:t>
            </w:r>
            <w:r w:rsidRPr="00507B05">
              <w:rPr>
                <w:rFonts w:ascii="Arial Unicode MS" w:eastAsia="Arial Unicode MS" w:hAnsi="Arial Unicode MS" w:cs="Arial Unicode MS"/>
                <w:color w:val="44546A" w:themeColor="text2"/>
                <w:sz w:val="14"/>
              </w:rPr>
              <w:t>¹ ² ³ ⁴</w:t>
            </w:r>
          </w:p>
        </w:tc>
        <w:tc>
          <w:tcPr>
            <w:tcW w:w="532" w:type="pct"/>
            <w:gridSpan w:val="2"/>
            <w:tcBorders>
              <w:top w:val="nil"/>
              <w:left w:val="nil"/>
              <w:bottom w:val="nil"/>
              <w:right w:val="nil"/>
            </w:tcBorders>
            <w:shd w:val="clear" w:color="auto" w:fill="D5ECF5"/>
          </w:tcPr>
          <w:p w14:paraId="7418C0CF"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1.67</w:t>
            </w:r>
          </w:p>
        </w:tc>
        <w:tc>
          <w:tcPr>
            <w:tcW w:w="579" w:type="pct"/>
            <w:tcBorders>
              <w:top w:val="nil"/>
              <w:left w:val="nil"/>
              <w:bottom w:val="nil"/>
              <w:right w:val="nil"/>
            </w:tcBorders>
            <w:shd w:val="clear" w:color="auto" w:fill="D5ECF5"/>
          </w:tcPr>
          <w:p w14:paraId="7418C0D0"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1.54</w:t>
            </w:r>
          </w:p>
        </w:tc>
        <w:tc>
          <w:tcPr>
            <w:tcW w:w="442" w:type="pct"/>
            <w:tcBorders>
              <w:top w:val="nil"/>
              <w:left w:val="nil"/>
              <w:bottom w:val="nil"/>
              <w:right w:val="nil"/>
            </w:tcBorders>
            <w:shd w:val="clear" w:color="auto" w:fill="D5ECF5"/>
          </w:tcPr>
          <w:p w14:paraId="7418C0D1"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2.24</w:t>
            </w:r>
          </w:p>
        </w:tc>
        <w:tc>
          <w:tcPr>
            <w:tcW w:w="523" w:type="pct"/>
            <w:tcBorders>
              <w:top w:val="nil"/>
              <w:left w:val="nil"/>
              <w:bottom w:val="nil"/>
              <w:right w:val="nil"/>
            </w:tcBorders>
            <w:shd w:val="clear" w:color="auto" w:fill="D5ECF5"/>
          </w:tcPr>
          <w:p w14:paraId="7418C0D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25</w:t>
            </w:r>
          </w:p>
        </w:tc>
        <w:tc>
          <w:tcPr>
            <w:tcW w:w="470" w:type="pct"/>
            <w:tcBorders>
              <w:top w:val="nil"/>
              <w:left w:val="nil"/>
              <w:bottom w:val="nil"/>
              <w:right w:val="nil"/>
            </w:tcBorders>
            <w:shd w:val="clear" w:color="auto" w:fill="D5ECF5"/>
          </w:tcPr>
          <w:p w14:paraId="7418C0D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13th of 33</w:t>
            </w:r>
          </w:p>
        </w:tc>
        <w:tc>
          <w:tcPr>
            <w:tcW w:w="470" w:type="pct"/>
            <w:gridSpan w:val="2"/>
            <w:tcBorders>
              <w:top w:val="nil"/>
              <w:left w:val="nil"/>
              <w:bottom w:val="nil"/>
              <w:right w:val="nil"/>
            </w:tcBorders>
            <w:shd w:val="clear" w:color="auto" w:fill="D5ECF5"/>
          </w:tcPr>
          <w:p w14:paraId="7418C0D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2013</w:t>
            </w:r>
          </w:p>
        </w:tc>
      </w:tr>
      <w:tr w:rsidR="00D471AD" w:rsidRPr="000A073C" w14:paraId="7418C0DD"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23"/>
          <w:tblHeader/>
        </w:trPr>
        <w:tc>
          <w:tcPr>
            <w:tcW w:w="1984" w:type="pct"/>
            <w:tcBorders>
              <w:top w:val="nil"/>
              <w:left w:val="nil"/>
              <w:bottom w:val="nil"/>
              <w:right w:val="nil"/>
            </w:tcBorders>
            <w:shd w:val="clear" w:color="auto" w:fill="E4F3F9"/>
          </w:tcPr>
          <w:p w14:paraId="7418C0D6"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Public expenditure on tertiary education, % of GDP</w:t>
            </w:r>
            <w:r w:rsidRPr="00507B05">
              <w:rPr>
                <w:rFonts w:ascii="Arial Unicode MS" w:eastAsia="Arial Unicode MS" w:hAnsi="Arial Unicode MS" w:cs="Arial Unicode MS"/>
                <w:color w:val="44546A" w:themeColor="text2"/>
                <w:sz w:val="14"/>
              </w:rPr>
              <w:t>¹ ⁵ ⁶ ⁷</w:t>
            </w:r>
          </w:p>
        </w:tc>
        <w:tc>
          <w:tcPr>
            <w:tcW w:w="532" w:type="pct"/>
            <w:gridSpan w:val="2"/>
            <w:tcBorders>
              <w:top w:val="nil"/>
              <w:left w:val="nil"/>
              <w:bottom w:val="nil"/>
              <w:right w:val="nil"/>
            </w:tcBorders>
            <w:shd w:val="clear" w:color="auto" w:fill="E4F3F9"/>
          </w:tcPr>
          <w:p w14:paraId="7418C0D7"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1.32</w:t>
            </w:r>
          </w:p>
        </w:tc>
        <w:tc>
          <w:tcPr>
            <w:tcW w:w="579" w:type="pct"/>
            <w:tcBorders>
              <w:top w:val="nil"/>
              <w:left w:val="nil"/>
              <w:bottom w:val="nil"/>
              <w:right w:val="nil"/>
            </w:tcBorders>
            <w:shd w:val="clear" w:color="auto" w:fill="E4F3F9"/>
          </w:tcPr>
          <w:p w14:paraId="7418C0D8"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1.33</w:t>
            </w:r>
          </w:p>
        </w:tc>
        <w:tc>
          <w:tcPr>
            <w:tcW w:w="442" w:type="pct"/>
            <w:tcBorders>
              <w:top w:val="nil"/>
              <w:left w:val="nil"/>
              <w:bottom w:val="nil"/>
              <w:right w:val="nil"/>
            </w:tcBorders>
            <w:shd w:val="clear" w:color="auto" w:fill="E4F3F9"/>
          </w:tcPr>
          <w:p w14:paraId="7418C0D9"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2.1</w:t>
            </w:r>
          </w:p>
        </w:tc>
        <w:tc>
          <w:tcPr>
            <w:tcW w:w="523" w:type="pct"/>
            <w:tcBorders>
              <w:top w:val="nil"/>
              <w:left w:val="nil"/>
              <w:bottom w:val="nil"/>
              <w:right w:val="nil"/>
            </w:tcBorders>
            <w:shd w:val="clear" w:color="auto" w:fill="E4F3F9"/>
          </w:tcPr>
          <w:p w14:paraId="7418C0D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37</w:t>
            </w:r>
          </w:p>
        </w:tc>
        <w:tc>
          <w:tcPr>
            <w:tcW w:w="470" w:type="pct"/>
            <w:tcBorders>
              <w:top w:val="nil"/>
              <w:left w:val="nil"/>
              <w:bottom w:val="nil"/>
              <w:right w:val="nil"/>
            </w:tcBorders>
            <w:shd w:val="clear" w:color="auto" w:fill="E4F3F9"/>
          </w:tcPr>
          <w:p w14:paraId="7418C0D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15th of 33</w:t>
            </w:r>
          </w:p>
        </w:tc>
        <w:tc>
          <w:tcPr>
            <w:tcW w:w="470" w:type="pct"/>
            <w:gridSpan w:val="2"/>
            <w:tcBorders>
              <w:top w:val="nil"/>
              <w:left w:val="nil"/>
              <w:bottom w:val="nil"/>
              <w:right w:val="nil"/>
            </w:tcBorders>
            <w:shd w:val="clear" w:color="auto" w:fill="E4F3F9"/>
          </w:tcPr>
          <w:p w14:paraId="7418C0D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2013</w:t>
            </w:r>
          </w:p>
        </w:tc>
      </w:tr>
      <w:tr w:rsidR="00D471AD" w:rsidRPr="000A073C" w14:paraId="7418C0E5"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23"/>
          <w:tblHeader/>
        </w:trPr>
        <w:tc>
          <w:tcPr>
            <w:tcW w:w="1984" w:type="pct"/>
            <w:tcBorders>
              <w:top w:val="nil"/>
              <w:left w:val="nil"/>
              <w:bottom w:val="nil"/>
              <w:right w:val="nil"/>
            </w:tcBorders>
            <w:shd w:val="clear" w:color="auto" w:fill="D5ECF5"/>
          </w:tcPr>
          <w:p w14:paraId="7418C0DE"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Expenditure on primary, secondary and post-secondary (non-tertiary educational) institutions, % of GDP</w:t>
            </w:r>
            <w:r w:rsidRPr="00507B05">
              <w:rPr>
                <w:rFonts w:ascii="Arial Unicode MS" w:eastAsia="Arial Unicode MS" w:hAnsi="Arial Unicode MS" w:cs="Arial Unicode MS"/>
                <w:color w:val="44546A" w:themeColor="text2"/>
                <w:sz w:val="14"/>
              </w:rPr>
              <w:t>¹ ² ³ ⁴</w:t>
            </w:r>
          </w:p>
        </w:tc>
        <w:tc>
          <w:tcPr>
            <w:tcW w:w="532" w:type="pct"/>
            <w:gridSpan w:val="2"/>
            <w:tcBorders>
              <w:top w:val="nil"/>
              <w:left w:val="nil"/>
              <w:bottom w:val="nil"/>
              <w:right w:val="nil"/>
            </w:tcBorders>
            <w:shd w:val="clear" w:color="auto" w:fill="D5ECF5"/>
          </w:tcPr>
          <w:p w14:paraId="7418C0DF"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3.94</w:t>
            </w:r>
          </w:p>
        </w:tc>
        <w:tc>
          <w:tcPr>
            <w:tcW w:w="579" w:type="pct"/>
            <w:tcBorders>
              <w:top w:val="nil"/>
              <w:left w:val="nil"/>
              <w:bottom w:val="nil"/>
              <w:right w:val="nil"/>
            </w:tcBorders>
            <w:shd w:val="clear" w:color="auto" w:fill="D5ECF5"/>
          </w:tcPr>
          <w:p w14:paraId="7418C0E0"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3.67</w:t>
            </w:r>
          </w:p>
        </w:tc>
        <w:tc>
          <w:tcPr>
            <w:tcW w:w="442" w:type="pct"/>
            <w:tcBorders>
              <w:top w:val="nil"/>
              <w:left w:val="nil"/>
              <w:bottom w:val="nil"/>
              <w:right w:val="nil"/>
            </w:tcBorders>
            <w:shd w:val="clear" w:color="auto" w:fill="D5ECF5"/>
          </w:tcPr>
          <w:p w14:paraId="7418C0E1"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4.71</w:t>
            </w:r>
          </w:p>
        </w:tc>
        <w:tc>
          <w:tcPr>
            <w:tcW w:w="523" w:type="pct"/>
            <w:tcBorders>
              <w:top w:val="nil"/>
              <w:left w:val="nil"/>
              <w:bottom w:val="nil"/>
              <w:right w:val="nil"/>
            </w:tcBorders>
            <w:shd w:val="clear" w:color="auto" w:fill="D5ECF5"/>
          </w:tcPr>
          <w:p w14:paraId="7418C0E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16</w:t>
            </w:r>
          </w:p>
        </w:tc>
        <w:tc>
          <w:tcPr>
            <w:tcW w:w="470" w:type="pct"/>
            <w:tcBorders>
              <w:top w:val="nil"/>
              <w:left w:val="nil"/>
              <w:bottom w:val="nil"/>
              <w:right w:val="nil"/>
            </w:tcBorders>
            <w:shd w:val="clear" w:color="auto" w:fill="D5ECF5"/>
          </w:tcPr>
          <w:p w14:paraId="7418C0E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10th of 33</w:t>
            </w:r>
          </w:p>
        </w:tc>
        <w:tc>
          <w:tcPr>
            <w:tcW w:w="470" w:type="pct"/>
            <w:gridSpan w:val="2"/>
            <w:tcBorders>
              <w:top w:val="nil"/>
              <w:left w:val="nil"/>
              <w:bottom w:val="nil"/>
              <w:right w:val="nil"/>
            </w:tcBorders>
            <w:shd w:val="clear" w:color="auto" w:fill="D5ECF5"/>
          </w:tcPr>
          <w:p w14:paraId="7418C0E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2013</w:t>
            </w:r>
          </w:p>
        </w:tc>
      </w:tr>
      <w:tr w:rsidR="00D471AD" w:rsidRPr="000A073C" w14:paraId="7418C0ED"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23"/>
          <w:tblHeader/>
        </w:trPr>
        <w:tc>
          <w:tcPr>
            <w:tcW w:w="1984" w:type="pct"/>
            <w:tcBorders>
              <w:top w:val="nil"/>
              <w:left w:val="nil"/>
              <w:bottom w:val="nil"/>
              <w:right w:val="nil"/>
            </w:tcBorders>
            <w:shd w:val="clear" w:color="auto" w:fill="E4F3F9"/>
          </w:tcPr>
          <w:p w14:paraId="7418C0E6"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Percentage of 25-34 year olds with bachelor degree or higher, %</w:t>
            </w:r>
            <w:r w:rsidRPr="00507B05">
              <w:rPr>
                <w:rFonts w:ascii="Arial Unicode MS" w:eastAsia="Arial Unicode MS" w:hAnsi="Arial Unicode MS" w:cs="Arial Unicode MS"/>
                <w:color w:val="44546A" w:themeColor="text2"/>
                <w:sz w:val="14"/>
              </w:rPr>
              <w:t>⁸ ⁹ ¹⁰</w:t>
            </w:r>
          </w:p>
        </w:tc>
        <w:tc>
          <w:tcPr>
            <w:tcW w:w="532" w:type="pct"/>
            <w:gridSpan w:val="2"/>
            <w:tcBorders>
              <w:top w:val="nil"/>
              <w:left w:val="nil"/>
              <w:bottom w:val="nil"/>
              <w:right w:val="nil"/>
            </w:tcBorders>
            <w:shd w:val="clear" w:color="auto" w:fill="E4F3F9"/>
          </w:tcPr>
          <w:p w14:paraId="7418C0E7"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35.2</w:t>
            </w:r>
          </w:p>
        </w:tc>
        <w:tc>
          <w:tcPr>
            <w:tcW w:w="579" w:type="pct"/>
            <w:tcBorders>
              <w:top w:val="nil"/>
              <w:left w:val="nil"/>
              <w:bottom w:val="nil"/>
              <w:right w:val="nil"/>
            </w:tcBorders>
            <w:shd w:val="clear" w:color="auto" w:fill="E4F3F9"/>
          </w:tcPr>
          <w:p w14:paraId="7418C0E8"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32.0</w:t>
            </w:r>
          </w:p>
        </w:tc>
        <w:tc>
          <w:tcPr>
            <w:tcW w:w="442" w:type="pct"/>
            <w:tcBorders>
              <w:top w:val="nil"/>
              <w:left w:val="nil"/>
              <w:bottom w:val="nil"/>
              <w:right w:val="nil"/>
            </w:tcBorders>
            <w:shd w:val="clear" w:color="auto" w:fill="E4F3F9"/>
          </w:tcPr>
          <w:p w14:paraId="7418C0E9"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42.3</w:t>
            </w:r>
          </w:p>
        </w:tc>
        <w:tc>
          <w:tcPr>
            <w:tcW w:w="523" w:type="pct"/>
            <w:tcBorders>
              <w:top w:val="nil"/>
              <w:left w:val="nil"/>
              <w:bottom w:val="nil"/>
              <w:right w:val="nil"/>
            </w:tcBorders>
            <w:shd w:val="clear" w:color="auto" w:fill="E4F3F9"/>
          </w:tcPr>
          <w:p w14:paraId="7418C0E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17</w:t>
            </w:r>
          </w:p>
        </w:tc>
        <w:tc>
          <w:tcPr>
            <w:tcW w:w="470" w:type="pct"/>
            <w:tcBorders>
              <w:top w:val="nil"/>
              <w:left w:val="nil"/>
              <w:bottom w:val="nil"/>
              <w:right w:val="nil"/>
            </w:tcBorders>
            <w:shd w:val="clear" w:color="auto" w:fill="E4F3F9"/>
          </w:tcPr>
          <w:p w14:paraId="7418C0E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12th of 34</w:t>
            </w:r>
          </w:p>
        </w:tc>
        <w:tc>
          <w:tcPr>
            <w:tcW w:w="470" w:type="pct"/>
            <w:gridSpan w:val="2"/>
            <w:tcBorders>
              <w:top w:val="nil"/>
              <w:left w:val="nil"/>
              <w:bottom w:val="nil"/>
              <w:right w:val="nil"/>
            </w:tcBorders>
            <w:shd w:val="clear" w:color="auto" w:fill="E4F3F9"/>
          </w:tcPr>
          <w:p w14:paraId="7418C0E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2013</w:t>
            </w:r>
          </w:p>
        </w:tc>
      </w:tr>
      <w:tr w:rsidR="00D471AD" w:rsidRPr="000A073C" w14:paraId="7418C0F5"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23"/>
          <w:tblHeader/>
        </w:trPr>
        <w:tc>
          <w:tcPr>
            <w:tcW w:w="1984" w:type="pct"/>
            <w:tcBorders>
              <w:top w:val="nil"/>
              <w:left w:val="nil"/>
              <w:bottom w:val="nil"/>
              <w:right w:val="nil"/>
            </w:tcBorders>
            <w:shd w:val="clear" w:color="auto" w:fill="D5ECF5"/>
          </w:tcPr>
          <w:p w14:paraId="7418C0EE"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Proportion of population aged 25-64 attaining tertiary education, %</w:t>
            </w:r>
            <w:r w:rsidRPr="00507B05">
              <w:rPr>
                <w:rFonts w:ascii="Arial Unicode MS" w:eastAsia="Arial Unicode MS" w:hAnsi="Arial Unicode MS" w:cs="Arial Unicode MS"/>
                <w:color w:val="44546A" w:themeColor="text2"/>
                <w:sz w:val="14"/>
              </w:rPr>
              <w:t>¹⁰ ¹¹ ¹²</w:t>
            </w:r>
          </w:p>
        </w:tc>
        <w:tc>
          <w:tcPr>
            <w:tcW w:w="532" w:type="pct"/>
            <w:gridSpan w:val="2"/>
            <w:tcBorders>
              <w:top w:val="nil"/>
              <w:left w:val="nil"/>
              <w:bottom w:val="nil"/>
              <w:right w:val="nil"/>
            </w:tcBorders>
            <w:shd w:val="clear" w:color="auto" w:fill="D5ECF5"/>
          </w:tcPr>
          <w:p w14:paraId="7418C0EF"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42.9</w:t>
            </w:r>
          </w:p>
        </w:tc>
        <w:tc>
          <w:tcPr>
            <w:tcW w:w="579" w:type="pct"/>
            <w:tcBorders>
              <w:top w:val="nil"/>
              <w:left w:val="nil"/>
              <w:bottom w:val="nil"/>
              <w:right w:val="nil"/>
            </w:tcBorders>
            <w:shd w:val="clear" w:color="auto" w:fill="D5ECF5"/>
          </w:tcPr>
          <w:p w14:paraId="7418C0F0"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34.5</w:t>
            </w:r>
          </w:p>
        </w:tc>
        <w:tc>
          <w:tcPr>
            <w:tcW w:w="442" w:type="pct"/>
            <w:tcBorders>
              <w:top w:val="nil"/>
              <w:left w:val="nil"/>
              <w:bottom w:val="nil"/>
              <w:right w:val="nil"/>
            </w:tcBorders>
            <w:shd w:val="clear" w:color="auto" w:fill="D5ECF5"/>
          </w:tcPr>
          <w:p w14:paraId="7418C0F1"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48.7</w:t>
            </w:r>
          </w:p>
        </w:tc>
        <w:tc>
          <w:tcPr>
            <w:tcW w:w="523" w:type="pct"/>
            <w:tcBorders>
              <w:top w:val="nil"/>
              <w:left w:val="nil"/>
              <w:bottom w:val="nil"/>
              <w:right w:val="nil"/>
            </w:tcBorders>
            <w:shd w:val="clear" w:color="auto" w:fill="D5ECF5"/>
          </w:tcPr>
          <w:p w14:paraId="7418C0F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12</w:t>
            </w:r>
          </w:p>
        </w:tc>
        <w:tc>
          <w:tcPr>
            <w:tcW w:w="470" w:type="pct"/>
            <w:tcBorders>
              <w:top w:val="nil"/>
              <w:left w:val="nil"/>
              <w:bottom w:val="nil"/>
              <w:right w:val="nil"/>
            </w:tcBorders>
            <w:shd w:val="clear" w:color="auto" w:fill="D5ECF5"/>
          </w:tcPr>
          <w:p w14:paraId="7418C0F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7th of 35</w:t>
            </w:r>
          </w:p>
        </w:tc>
        <w:tc>
          <w:tcPr>
            <w:tcW w:w="470" w:type="pct"/>
            <w:gridSpan w:val="2"/>
            <w:tcBorders>
              <w:top w:val="nil"/>
              <w:left w:val="nil"/>
              <w:bottom w:val="nil"/>
              <w:right w:val="nil"/>
            </w:tcBorders>
            <w:shd w:val="clear" w:color="auto" w:fill="D5ECF5"/>
          </w:tcPr>
          <w:p w14:paraId="7418C0F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2015</w:t>
            </w:r>
          </w:p>
        </w:tc>
      </w:tr>
      <w:tr w:rsidR="00D471AD" w:rsidRPr="000A073C" w14:paraId="7418C0FD"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23"/>
          <w:tblHeader/>
        </w:trPr>
        <w:tc>
          <w:tcPr>
            <w:tcW w:w="1984" w:type="pct"/>
            <w:tcBorders>
              <w:top w:val="nil"/>
              <w:left w:val="nil"/>
              <w:bottom w:val="nil"/>
              <w:right w:val="nil"/>
            </w:tcBorders>
            <w:shd w:val="clear" w:color="auto" w:fill="E4F3F9"/>
          </w:tcPr>
          <w:p w14:paraId="7418C0F6"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Proportion of population aged 25-34 with tertiary education, %</w:t>
            </w:r>
            <w:r w:rsidRPr="00507B05">
              <w:rPr>
                <w:rFonts w:ascii="Arial Unicode MS" w:eastAsia="Arial Unicode MS" w:hAnsi="Arial Unicode MS" w:cs="Arial Unicode MS"/>
                <w:color w:val="44546A" w:themeColor="text2"/>
                <w:sz w:val="14"/>
              </w:rPr>
              <w:t>¹⁰ ¹¹ ¹²</w:t>
            </w:r>
          </w:p>
        </w:tc>
        <w:tc>
          <w:tcPr>
            <w:tcW w:w="532" w:type="pct"/>
            <w:gridSpan w:val="2"/>
            <w:tcBorders>
              <w:top w:val="nil"/>
              <w:left w:val="nil"/>
              <w:bottom w:val="nil"/>
              <w:right w:val="nil"/>
            </w:tcBorders>
            <w:shd w:val="clear" w:color="auto" w:fill="E4F3F9"/>
          </w:tcPr>
          <w:p w14:paraId="7418C0F7"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48.5</w:t>
            </w:r>
          </w:p>
        </w:tc>
        <w:tc>
          <w:tcPr>
            <w:tcW w:w="579" w:type="pct"/>
            <w:tcBorders>
              <w:top w:val="nil"/>
              <w:left w:val="nil"/>
              <w:bottom w:val="nil"/>
              <w:right w:val="nil"/>
            </w:tcBorders>
            <w:shd w:val="clear" w:color="auto" w:fill="E4F3F9"/>
          </w:tcPr>
          <w:p w14:paraId="7418C0F8"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41.8</w:t>
            </w:r>
          </w:p>
        </w:tc>
        <w:tc>
          <w:tcPr>
            <w:tcW w:w="442" w:type="pct"/>
            <w:tcBorders>
              <w:top w:val="nil"/>
              <w:left w:val="nil"/>
              <w:bottom w:val="nil"/>
              <w:right w:val="nil"/>
            </w:tcBorders>
            <w:shd w:val="clear" w:color="auto" w:fill="E4F3F9"/>
          </w:tcPr>
          <w:p w14:paraId="7418C0F9"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58.0</w:t>
            </w:r>
          </w:p>
        </w:tc>
        <w:tc>
          <w:tcPr>
            <w:tcW w:w="523" w:type="pct"/>
            <w:tcBorders>
              <w:top w:val="nil"/>
              <w:left w:val="nil"/>
              <w:bottom w:val="nil"/>
              <w:right w:val="nil"/>
            </w:tcBorders>
            <w:shd w:val="clear" w:color="auto" w:fill="E4F3F9"/>
          </w:tcPr>
          <w:p w14:paraId="7418C0F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16</w:t>
            </w:r>
          </w:p>
        </w:tc>
        <w:tc>
          <w:tcPr>
            <w:tcW w:w="470" w:type="pct"/>
            <w:tcBorders>
              <w:top w:val="nil"/>
              <w:left w:val="nil"/>
              <w:bottom w:val="nil"/>
              <w:right w:val="nil"/>
            </w:tcBorders>
            <w:shd w:val="clear" w:color="auto" w:fill="E4F3F9"/>
          </w:tcPr>
          <w:p w14:paraId="7418C0F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8th of 35</w:t>
            </w:r>
          </w:p>
        </w:tc>
        <w:tc>
          <w:tcPr>
            <w:tcW w:w="470" w:type="pct"/>
            <w:gridSpan w:val="2"/>
            <w:tcBorders>
              <w:top w:val="nil"/>
              <w:left w:val="nil"/>
              <w:bottom w:val="nil"/>
              <w:right w:val="nil"/>
            </w:tcBorders>
            <w:shd w:val="clear" w:color="auto" w:fill="E4F3F9"/>
          </w:tcPr>
          <w:p w14:paraId="7418C0F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2015</w:t>
            </w:r>
          </w:p>
        </w:tc>
      </w:tr>
      <w:tr w:rsidR="00D471AD" w:rsidRPr="000A073C" w14:paraId="7418C105"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23"/>
          <w:tblHeader/>
        </w:trPr>
        <w:tc>
          <w:tcPr>
            <w:tcW w:w="1984" w:type="pct"/>
            <w:tcBorders>
              <w:top w:val="nil"/>
              <w:left w:val="nil"/>
              <w:bottom w:val="nil"/>
              <w:right w:val="nil"/>
            </w:tcBorders>
            <w:shd w:val="clear" w:color="auto" w:fill="D5ECF5"/>
          </w:tcPr>
          <w:p w14:paraId="7418C0FE"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 xml:space="preserve">Proportion of population aged 25-64 attaining upper secondary or post-secondary </w:t>
            </w:r>
            <w:r w:rsidRPr="00507B05">
              <w:rPr>
                <w:rFonts w:ascii="Arial"/>
                <w:color w:val="44546A" w:themeColor="text2"/>
                <w:sz w:val="14"/>
              </w:rPr>
              <w:br/>
            </w:r>
            <w:r w:rsidRPr="00507B05">
              <w:rPr>
                <w:rFonts w:ascii="Arial" w:hint="eastAsia"/>
                <w:color w:val="44546A" w:themeColor="text2"/>
                <w:sz w:val="14"/>
              </w:rPr>
              <w:t>non-tertiary education, %</w:t>
            </w:r>
            <w:r w:rsidRPr="00507B05">
              <w:rPr>
                <w:rFonts w:ascii="Arial Unicode MS" w:eastAsia="Arial Unicode MS" w:hAnsi="Arial Unicode MS" w:cs="Arial Unicode MS"/>
                <w:color w:val="44546A" w:themeColor="text2"/>
                <w:sz w:val="14"/>
              </w:rPr>
              <w:t>¹⁰ ¹¹ ¹²</w:t>
            </w:r>
          </w:p>
        </w:tc>
        <w:tc>
          <w:tcPr>
            <w:tcW w:w="532" w:type="pct"/>
            <w:gridSpan w:val="2"/>
            <w:tcBorders>
              <w:top w:val="nil"/>
              <w:left w:val="nil"/>
              <w:bottom w:val="nil"/>
              <w:right w:val="nil"/>
            </w:tcBorders>
            <w:shd w:val="clear" w:color="auto" w:fill="D5ECF5"/>
          </w:tcPr>
          <w:p w14:paraId="7418C0FF"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36.1</w:t>
            </w:r>
          </w:p>
        </w:tc>
        <w:tc>
          <w:tcPr>
            <w:tcW w:w="579" w:type="pct"/>
            <w:tcBorders>
              <w:top w:val="nil"/>
              <w:left w:val="nil"/>
              <w:bottom w:val="nil"/>
              <w:right w:val="nil"/>
            </w:tcBorders>
            <w:shd w:val="clear" w:color="auto" w:fill="D5ECF5"/>
          </w:tcPr>
          <w:p w14:paraId="7418C100"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43.1</w:t>
            </w:r>
          </w:p>
        </w:tc>
        <w:tc>
          <w:tcPr>
            <w:tcW w:w="442" w:type="pct"/>
            <w:tcBorders>
              <w:top w:val="nil"/>
              <w:left w:val="nil"/>
              <w:bottom w:val="nil"/>
              <w:right w:val="nil"/>
            </w:tcBorders>
            <w:shd w:val="clear" w:color="auto" w:fill="D5ECF5"/>
          </w:tcPr>
          <w:p w14:paraId="7418C101"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64.5</w:t>
            </w:r>
          </w:p>
        </w:tc>
        <w:tc>
          <w:tcPr>
            <w:tcW w:w="523" w:type="pct"/>
            <w:tcBorders>
              <w:top w:val="nil"/>
              <w:left w:val="nil"/>
              <w:bottom w:val="nil"/>
              <w:right w:val="nil"/>
            </w:tcBorders>
            <w:shd w:val="clear" w:color="auto" w:fill="D5ECF5"/>
          </w:tcPr>
          <w:p w14:paraId="7418C10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44</w:t>
            </w:r>
          </w:p>
        </w:tc>
        <w:tc>
          <w:tcPr>
            <w:tcW w:w="470" w:type="pct"/>
            <w:tcBorders>
              <w:top w:val="nil"/>
              <w:left w:val="nil"/>
              <w:bottom w:val="nil"/>
              <w:right w:val="nil"/>
            </w:tcBorders>
            <w:shd w:val="clear" w:color="auto" w:fill="D5ECF5"/>
          </w:tcPr>
          <w:p w14:paraId="7418C10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26th of 34</w:t>
            </w:r>
          </w:p>
        </w:tc>
        <w:tc>
          <w:tcPr>
            <w:tcW w:w="470" w:type="pct"/>
            <w:gridSpan w:val="2"/>
            <w:tcBorders>
              <w:top w:val="nil"/>
              <w:left w:val="nil"/>
              <w:bottom w:val="nil"/>
              <w:right w:val="nil"/>
            </w:tcBorders>
            <w:shd w:val="clear" w:color="auto" w:fill="D5ECF5"/>
          </w:tcPr>
          <w:p w14:paraId="7418C10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2015</w:t>
            </w:r>
          </w:p>
        </w:tc>
      </w:tr>
      <w:tr w:rsidR="00D471AD" w:rsidRPr="000A073C" w14:paraId="7418C10D"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23"/>
          <w:tblHeader/>
        </w:trPr>
        <w:tc>
          <w:tcPr>
            <w:tcW w:w="1984" w:type="pct"/>
            <w:tcBorders>
              <w:top w:val="nil"/>
              <w:left w:val="nil"/>
              <w:bottom w:val="nil"/>
              <w:right w:val="nil"/>
            </w:tcBorders>
            <w:shd w:val="clear" w:color="auto" w:fill="E4F3F9"/>
          </w:tcPr>
          <w:p w14:paraId="7418C106"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 xml:space="preserve">Proportion of population aged 25-64 attaining below upper secondary school </w:t>
            </w:r>
            <w:r w:rsidRPr="00507B05">
              <w:rPr>
                <w:rFonts w:ascii="Arial"/>
                <w:color w:val="44546A" w:themeColor="text2"/>
                <w:sz w:val="14"/>
              </w:rPr>
              <w:br/>
            </w:r>
            <w:r w:rsidRPr="00507B05">
              <w:rPr>
                <w:rFonts w:ascii="Arial" w:hint="eastAsia"/>
                <w:color w:val="44546A" w:themeColor="text2"/>
                <w:sz w:val="14"/>
              </w:rPr>
              <w:t>education, %</w:t>
            </w:r>
            <w:r w:rsidRPr="00507B05">
              <w:rPr>
                <w:rFonts w:ascii="Arial Unicode MS" w:eastAsia="Arial Unicode MS" w:hAnsi="Arial Unicode MS" w:cs="Arial Unicode MS"/>
                <w:color w:val="44546A" w:themeColor="text2"/>
                <w:sz w:val="14"/>
              </w:rPr>
              <w:t>¹⁰ ¹¹ ¹² ³³</w:t>
            </w:r>
          </w:p>
        </w:tc>
        <w:tc>
          <w:tcPr>
            <w:tcW w:w="532" w:type="pct"/>
            <w:gridSpan w:val="2"/>
            <w:tcBorders>
              <w:top w:val="nil"/>
              <w:left w:val="nil"/>
              <w:bottom w:val="nil"/>
              <w:right w:val="nil"/>
            </w:tcBorders>
            <w:shd w:val="clear" w:color="auto" w:fill="E4F3F9"/>
          </w:tcPr>
          <w:p w14:paraId="7418C107"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21.0</w:t>
            </w:r>
          </w:p>
        </w:tc>
        <w:tc>
          <w:tcPr>
            <w:tcW w:w="579" w:type="pct"/>
            <w:tcBorders>
              <w:top w:val="nil"/>
              <w:left w:val="nil"/>
              <w:bottom w:val="nil"/>
              <w:right w:val="nil"/>
            </w:tcBorders>
            <w:shd w:val="clear" w:color="auto" w:fill="E4F3F9"/>
          </w:tcPr>
          <w:p w14:paraId="7418C108"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22.8</w:t>
            </w:r>
          </w:p>
        </w:tc>
        <w:tc>
          <w:tcPr>
            <w:tcW w:w="442" w:type="pct"/>
            <w:tcBorders>
              <w:top w:val="nil"/>
              <w:left w:val="nil"/>
              <w:bottom w:val="nil"/>
              <w:right w:val="nil"/>
            </w:tcBorders>
            <w:shd w:val="clear" w:color="auto" w:fill="E4F3F9"/>
          </w:tcPr>
          <w:p w14:paraId="7418C109"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8.7</w:t>
            </w:r>
          </w:p>
        </w:tc>
        <w:tc>
          <w:tcPr>
            <w:tcW w:w="523" w:type="pct"/>
            <w:tcBorders>
              <w:top w:val="nil"/>
              <w:left w:val="nil"/>
              <w:bottom w:val="nil"/>
              <w:right w:val="nil"/>
            </w:tcBorders>
            <w:shd w:val="clear" w:color="auto" w:fill="E4F3F9"/>
          </w:tcPr>
          <w:p w14:paraId="7418C10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142</w:t>
            </w:r>
          </w:p>
        </w:tc>
        <w:tc>
          <w:tcPr>
            <w:tcW w:w="470" w:type="pct"/>
            <w:tcBorders>
              <w:top w:val="nil"/>
              <w:left w:val="nil"/>
              <w:bottom w:val="nil"/>
              <w:right w:val="nil"/>
            </w:tcBorders>
            <w:shd w:val="clear" w:color="auto" w:fill="E4F3F9"/>
          </w:tcPr>
          <w:p w14:paraId="7418C10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21st of 34</w:t>
            </w:r>
          </w:p>
        </w:tc>
        <w:tc>
          <w:tcPr>
            <w:tcW w:w="470" w:type="pct"/>
            <w:gridSpan w:val="2"/>
            <w:tcBorders>
              <w:top w:val="nil"/>
              <w:left w:val="nil"/>
              <w:bottom w:val="nil"/>
              <w:right w:val="nil"/>
            </w:tcBorders>
            <w:shd w:val="clear" w:color="auto" w:fill="E4F3F9"/>
          </w:tcPr>
          <w:p w14:paraId="7418C10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2015</w:t>
            </w:r>
          </w:p>
        </w:tc>
      </w:tr>
      <w:tr w:rsidR="00D471AD" w:rsidRPr="000A073C" w14:paraId="7418C115"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23"/>
          <w:tblHeader/>
        </w:trPr>
        <w:tc>
          <w:tcPr>
            <w:tcW w:w="1984" w:type="pct"/>
            <w:tcBorders>
              <w:top w:val="nil"/>
              <w:left w:val="nil"/>
              <w:bottom w:val="nil"/>
              <w:right w:val="nil"/>
            </w:tcBorders>
            <w:shd w:val="clear" w:color="auto" w:fill="D5ECF5"/>
          </w:tcPr>
          <w:p w14:paraId="7418C10E"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Share of international tertiary education market, %</w:t>
            </w:r>
            <w:r w:rsidRPr="00507B05">
              <w:rPr>
                <w:rFonts w:ascii="Arial Unicode MS" w:eastAsia="Arial Unicode MS" w:hAnsi="Arial Unicode MS" w:cs="Arial Unicode MS"/>
                <w:color w:val="44546A" w:themeColor="text2"/>
                <w:sz w:val="14"/>
              </w:rPr>
              <w:t>¹ ¹³ ¹⁴</w:t>
            </w:r>
          </w:p>
        </w:tc>
        <w:tc>
          <w:tcPr>
            <w:tcW w:w="532" w:type="pct"/>
            <w:gridSpan w:val="2"/>
            <w:tcBorders>
              <w:top w:val="nil"/>
              <w:left w:val="nil"/>
              <w:bottom w:val="nil"/>
              <w:right w:val="nil"/>
            </w:tcBorders>
            <w:shd w:val="clear" w:color="auto" w:fill="D5ECF5"/>
          </w:tcPr>
          <w:p w14:paraId="7418C10F"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6.2</w:t>
            </w:r>
          </w:p>
        </w:tc>
        <w:tc>
          <w:tcPr>
            <w:tcW w:w="579" w:type="pct"/>
            <w:tcBorders>
              <w:top w:val="nil"/>
              <w:left w:val="nil"/>
              <w:bottom w:val="nil"/>
              <w:right w:val="nil"/>
            </w:tcBorders>
            <w:shd w:val="clear" w:color="auto" w:fill="D5ECF5"/>
          </w:tcPr>
          <w:p w14:paraId="7418C110"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2.1</w:t>
            </w:r>
          </w:p>
        </w:tc>
        <w:tc>
          <w:tcPr>
            <w:tcW w:w="442" w:type="pct"/>
            <w:tcBorders>
              <w:top w:val="nil"/>
              <w:left w:val="nil"/>
              <w:bottom w:val="nil"/>
              <w:right w:val="nil"/>
            </w:tcBorders>
            <w:shd w:val="clear" w:color="auto" w:fill="D5ECF5"/>
          </w:tcPr>
          <w:p w14:paraId="7418C111"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9.3</w:t>
            </w:r>
          </w:p>
        </w:tc>
        <w:tc>
          <w:tcPr>
            <w:tcW w:w="523" w:type="pct"/>
            <w:tcBorders>
              <w:top w:val="nil"/>
              <w:left w:val="nil"/>
              <w:bottom w:val="nil"/>
              <w:right w:val="nil"/>
            </w:tcBorders>
            <w:shd w:val="clear" w:color="auto" w:fill="D5ECF5"/>
          </w:tcPr>
          <w:p w14:paraId="7418C11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33</w:t>
            </w:r>
          </w:p>
        </w:tc>
        <w:tc>
          <w:tcPr>
            <w:tcW w:w="470" w:type="pct"/>
            <w:tcBorders>
              <w:top w:val="nil"/>
              <w:left w:val="nil"/>
              <w:bottom w:val="nil"/>
              <w:right w:val="nil"/>
            </w:tcBorders>
            <w:shd w:val="clear" w:color="auto" w:fill="D5ECF5"/>
          </w:tcPr>
          <w:p w14:paraId="7418C11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3rd of 36</w:t>
            </w:r>
          </w:p>
        </w:tc>
        <w:tc>
          <w:tcPr>
            <w:tcW w:w="470" w:type="pct"/>
            <w:gridSpan w:val="2"/>
            <w:tcBorders>
              <w:top w:val="nil"/>
              <w:left w:val="nil"/>
              <w:bottom w:val="nil"/>
              <w:right w:val="nil"/>
            </w:tcBorders>
            <w:shd w:val="clear" w:color="auto" w:fill="D5ECF5"/>
          </w:tcPr>
          <w:p w14:paraId="7418C11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2013</w:t>
            </w:r>
          </w:p>
        </w:tc>
      </w:tr>
      <w:tr w:rsidR="00D471AD" w:rsidRPr="000A073C" w14:paraId="7418C11D"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23"/>
          <w:tblHeader/>
        </w:trPr>
        <w:tc>
          <w:tcPr>
            <w:tcW w:w="1984" w:type="pct"/>
            <w:tcBorders>
              <w:top w:val="nil"/>
              <w:left w:val="nil"/>
              <w:bottom w:val="nil"/>
              <w:right w:val="nil"/>
            </w:tcBorders>
            <w:shd w:val="clear" w:color="auto" w:fill="E4F3F9"/>
          </w:tcPr>
          <w:p w14:paraId="7418C116"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Percentage of adults scoring at proficiency level 3 or above in literacy, %</w:t>
            </w:r>
            <w:r w:rsidRPr="00507B05">
              <w:rPr>
                <w:rFonts w:ascii="Arial Unicode MS" w:eastAsia="Arial Unicode MS" w:hAnsi="Arial Unicode MS" w:cs="Arial Unicode MS"/>
                <w:color w:val="44546A" w:themeColor="text2"/>
                <w:sz w:val="14"/>
              </w:rPr>
              <w:t>¹⁵</w:t>
            </w:r>
          </w:p>
        </w:tc>
        <w:tc>
          <w:tcPr>
            <w:tcW w:w="532" w:type="pct"/>
            <w:gridSpan w:val="2"/>
            <w:tcBorders>
              <w:top w:val="nil"/>
              <w:left w:val="nil"/>
              <w:bottom w:val="nil"/>
              <w:right w:val="nil"/>
            </w:tcBorders>
            <w:shd w:val="clear" w:color="auto" w:fill="E4F3F9"/>
          </w:tcPr>
          <w:p w14:paraId="7418C117"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56.4</w:t>
            </w:r>
          </w:p>
        </w:tc>
        <w:tc>
          <w:tcPr>
            <w:tcW w:w="579" w:type="pct"/>
            <w:tcBorders>
              <w:top w:val="nil"/>
              <w:left w:val="nil"/>
              <w:bottom w:val="nil"/>
              <w:right w:val="nil"/>
            </w:tcBorders>
            <w:shd w:val="clear" w:color="auto" w:fill="E4F3F9"/>
          </w:tcPr>
          <w:p w14:paraId="7418C118"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50.0</w:t>
            </w:r>
          </w:p>
        </w:tc>
        <w:tc>
          <w:tcPr>
            <w:tcW w:w="442" w:type="pct"/>
            <w:tcBorders>
              <w:top w:val="nil"/>
              <w:left w:val="nil"/>
              <w:bottom w:val="nil"/>
              <w:right w:val="nil"/>
            </w:tcBorders>
            <w:shd w:val="clear" w:color="auto" w:fill="E4F3F9"/>
          </w:tcPr>
          <w:p w14:paraId="7418C119"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61.5</w:t>
            </w:r>
          </w:p>
        </w:tc>
        <w:tc>
          <w:tcPr>
            <w:tcW w:w="523" w:type="pct"/>
            <w:tcBorders>
              <w:top w:val="nil"/>
              <w:left w:val="nil"/>
              <w:bottom w:val="nil"/>
              <w:right w:val="nil"/>
            </w:tcBorders>
            <w:shd w:val="clear" w:color="auto" w:fill="E4F3F9"/>
          </w:tcPr>
          <w:p w14:paraId="7418C11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8</w:t>
            </w:r>
          </w:p>
        </w:tc>
        <w:tc>
          <w:tcPr>
            <w:tcW w:w="470" w:type="pct"/>
            <w:tcBorders>
              <w:top w:val="nil"/>
              <w:left w:val="nil"/>
              <w:bottom w:val="nil"/>
              <w:right w:val="nil"/>
            </w:tcBorders>
            <w:shd w:val="clear" w:color="auto" w:fill="E4F3F9"/>
          </w:tcPr>
          <w:p w14:paraId="7418C11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5th of 22</w:t>
            </w:r>
          </w:p>
        </w:tc>
        <w:tc>
          <w:tcPr>
            <w:tcW w:w="470" w:type="pct"/>
            <w:gridSpan w:val="2"/>
            <w:tcBorders>
              <w:top w:val="nil"/>
              <w:left w:val="nil"/>
              <w:bottom w:val="nil"/>
              <w:right w:val="nil"/>
            </w:tcBorders>
            <w:shd w:val="clear" w:color="auto" w:fill="E4F3F9"/>
          </w:tcPr>
          <w:p w14:paraId="7418C11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2013</w:t>
            </w:r>
          </w:p>
        </w:tc>
      </w:tr>
      <w:tr w:rsidR="00D471AD" w:rsidRPr="000A073C" w14:paraId="7418C125"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23"/>
          <w:tblHeader/>
        </w:trPr>
        <w:tc>
          <w:tcPr>
            <w:tcW w:w="1984" w:type="pct"/>
            <w:tcBorders>
              <w:top w:val="nil"/>
              <w:left w:val="nil"/>
              <w:bottom w:val="nil"/>
              <w:right w:val="nil"/>
            </w:tcBorders>
            <w:shd w:val="clear" w:color="auto" w:fill="D5ECF5"/>
          </w:tcPr>
          <w:p w14:paraId="7418C11E"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Percentage of adults scoring at proficiency level 3 or above in numeracy, %</w:t>
            </w:r>
            <w:r w:rsidRPr="00507B05">
              <w:rPr>
                <w:rFonts w:ascii="Arial Unicode MS" w:eastAsia="Arial Unicode MS" w:hAnsi="Arial Unicode MS" w:cs="Arial Unicode MS"/>
                <w:color w:val="44546A" w:themeColor="text2"/>
                <w:sz w:val="14"/>
              </w:rPr>
              <w:t>¹⁵</w:t>
            </w:r>
          </w:p>
        </w:tc>
        <w:tc>
          <w:tcPr>
            <w:tcW w:w="532" w:type="pct"/>
            <w:gridSpan w:val="2"/>
            <w:tcBorders>
              <w:top w:val="nil"/>
              <w:left w:val="nil"/>
              <w:bottom w:val="nil"/>
              <w:right w:val="nil"/>
            </w:tcBorders>
            <w:shd w:val="clear" w:color="auto" w:fill="D5ECF5"/>
          </w:tcPr>
          <w:p w14:paraId="7418C11F"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45.9</w:t>
            </w:r>
          </w:p>
        </w:tc>
        <w:tc>
          <w:tcPr>
            <w:tcW w:w="579" w:type="pct"/>
            <w:tcBorders>
              <w:top w:val="nil"/>
              <w:left w:val="nil"/>
              <w:bottom w:val="nil"/>
              <w:right w:val="nil"/>
            </w:tcBorders>
            <w:shd w:val="clear" w:color="auto" w:fill="D5ECF5"/>
          </w:tcPr>
          <w:p w14:paraId="7418C120"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46.8</w:t>
            </w:r>
          </w:p>
        </w:tc>
        <w:tc>
          <w:tcPr>
            <w:tcW w:w="442" w:type="pct"/>
            <w:tcBorders>
              <w:top w:val="nil"/>
              <w:left w:val="nil"/>
              <w:bottom w:val="nil"/>
              <w:right w:val="nil"/>
            </w:tcBorders>
            <w:shd w:val="clear" w:color="auto" w:fill="D5ECF5"/>
          </w:tcPr>
          <w:p w14:paraId="7418C121"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57.6</w:t>
            </w:r>
          </w:p>
        </w:tc>
        <w:tc>
          <w:tcPr>
            <w:tcW w:w="523" w:type="pct"/>
            <w:tcBorders>
              <w:top w:val="nil"/>
              <w:left w:val="nil"/>
              <w:bottom w:val="nil"/>
              <w:right w:val="nil"/>
            </w:tcBorders>
            <w:shd w:val="clear" w:color="auto" w:fill="D5ECF5"/>
          </w:tcPr>
          <w:p w14:paraId="7418C122"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w:t>
            </w:r>
          </w:p>
        </w:tc>
        <w:tc>
          <w:tcPr>
            <w:tcW w:w="470" w:type="pct"/>
            <w:tcBorders>
              <w:top w:val="nil"/>
              <w:left w:val="nil"/>
              <w:bottom w:val="nil"/>
              <w:right w:val="nil"/>
            </w:tcBorders>
            <w:shd w:val="clear" w:color="auto" w:fill="D5ECF5"/>
          </w:tcPr>
          <w:p w14:paraId="7418C123"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13th of 22</w:t>
            </w:r>
          </w:p>
        </w:tc>
        <w:tc>
          <w:tcPr>
            <w:tcW w:w="470" w:type="pct"/>
            <w:gridSpan w:val="2"/>
            <w:tcBorders>
              <w:top w:val="nil"/>
              <w:left w:val="nil"/>
              <w:bottom w:val="nil"/>
              <w:right w:val="nil"/>
            </w:tcBorders>
            <w:shd w:val="clear" w:color="auto" w:fill="D5ECF5"/>
          </w:tcPr>
          <w:p w14:paraId="7418C124"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2013</w:t>
            </w:r>
          </w:p>
        </w:tc>
      </w:tr>
      <w:tr w:rsidR="00D471AD" w:rsidRPr="000A073C" w14:paraId="7418C12D"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23"/>
          <w:tblHeader/>
        </w:trPr>
        <w:tc>
          <w:tcPr>
            <w:tcW w:w="1984" w:type="pct"/>
            <w:tcBorders>
              <w:top w:val="nil"/>
              <w:left w:val="nil"/>
              <w:bottom w:val="single" w:sz="8" w:space="0" w:color="22789A"/>
              <w:right w:val="nil"/>
            </w:tcBorders>
            <w:shd w:val="clear" w:color="auto" w:fill="E4F3F9"/>
          </w:tcPr>
          <w:p w14:paraId="7418C126" w14:textId="77777777" w:rsidR="00D471AD" w:rsidRPr="00507B05" w:rsidRDefault="00D471AD" w:rsidP="004A31A9">
            <w:pPr>
              <w:pStyle w:val="TableParagraph"/>
              <w:spacing w:before="50"/>
              <w:ind w:left="91"/>
              <w:contextualSpacing/>
              <w:rPr>
                <w:rFonts w:ascii="Arial"/>
                <w:color w:val="44546A" w:themeColor="text2"/>
                <w:sz w:val="14"/>
              </w:rPr>
            </w:pPr>
            <w:r w:rsidRPr="00507B05">
              <w:rPr>
                <w:rFonts w:ascii="Arial" w:hint="eastAsia"/>
                <w:color w:val="44546A" w:themeColor="text2"/>
                <w:sz w:val="14"/>
              </w:rPr>
              <w:t>Percentage of adults scoring at proficiency level 2 or above in problem solving in technology-rich environments, %</w:t>
            </w:r>
            <w:r w:rsidRPr="00507B05">
              <w:rPr>
                <w:rFonts w:ascii="Arial Unicode MS" w:eastAsia="Arial Unicode MS" w:hAnsi="Arial Unicode MS" w:cs="Arial Unicode MS"/>
                <w:color w:val="44546A" w:themeColor="text2"/>
                <w:sz w:val="14"/>
              </w:rPr>
              <w:t>¹⁵</w:t>
            </w:r>
          </w:p>
        </w:tc>
        <w:tc>
          <w:tcPr>
            <w:tcW w:w="532" w:type="pct"/>
            <w:gridSpan w:val="2"/>
            <w:tcBorders>
              <w:top w:val="nil"/>
              <w:left w:val="nil"/>
              <w:bottom w:val="single" w:sz="8" w:space="0" w:color="22789A"/>
              <w:right w:val="nil"/>
            </w:tcBorders>
            <w:shd w:val="clear" w:color="auto" w:fill="E4F3F9"/>
          </w:tcPr>
          <w:p w14:paraId="7418C127" w14:textId="77777777" w:rsidR="00D471AD" w:rsidRPr="00507B05" w:rsidRDefault="00D471AD" w:rsidP="004A31A9">
            <w:pPr>
              <w:pStyle w:val="TableParagraph"/>
              <w:spacing w:before="100" w:beforeAutospacing="1"/>
              <w:ind w:left="205"/>
              <w:contextualSpacing/>
              <w:jc w:val="right"/>
              <w:rPr>
                <w:rFonts w:ascii="Arial"/>
                <w:color w:val="44546A" w:themeColor="text2"/>
                <w:sz w:val="14"/>
              </w:rPr>
            </w:pPr>
            <w:r w:rsidRPr="00507B05">
              <w:rPr>
                <w:rFonts w:ascii="Arial"/>
                <w:color w:val="44546A" w:themeColor="text2"/>
                <w:sz w:val="14"/>
              </w:rPr>
              <w:t>38.0</w:t>
            </w:r>
          </w:p>
        </w:tc>
        <w:tc>
          <w:tcPr>
            <w:tcW w:w="579" w:type="pct"/>
            <w:tcBorders>
              <w:top w:val="nil"/>
              <w:left w:val="nil"/>
              <w:bottom w:val="single" w:sz="8" w:space="0" w:color="22789A"/>
              <w:right w:val="nil"/>
            </w:tcBorders>
            <w:shd w:val="clear" w:color="auto" w:fill="E4F3F9"/>
          </w:tcPr>
          <w:p w14:paraId="7418C128" w14:textId="77777777" w:rsidR="00D471AD" w:rsidRPr="00507B05" w:rsidRDefault="00D471AD" w:rsidP="004A31A9">
            <w:pPr>
              <w:pStyle w:val="TableParagraph"/>
              <w:spacing w:before="100" w:beforeAutospacing="1"/>
              <w:ind w:left="100"/>
              <w:contextualSpacing/>
              <w:jc w:val="right"/>
              <w:rPr>
                <w:rFonts w:ascii="Arial"/>
                <w:color w:val="44546A" w:themeColor="text2"/>
                <w:sz w:val="14"/>
              </w:rPr>
            </w:pPr>
            <w:r w:rsidRPr="00507B05">
              <w:rPr>
                <w:rFonts w:ascii="Arial"/>
                <w:color w:val="44546A" w:themeColor="text2"/>
                <w:sz w:val="14"/>
              </w:rPr>
              <w:t>29.4</w:t>
            </w:r>
          </w:p>
        </w:tc>
        <w:tc>
          <w:tcPr>
            <w:tcW w:w="442" w:type="pct"/>
            <w:tcBorders>
              <w:top w:val="nil"/>
              <w:left w:val="nil"/>
              <w:bottom w:val="single" w:sz="8" w:space="0" w:color="22789A"/>
              <w:right w:val="nil"/>
            </w:tcBorders>
            <w:shd w:val="clear" w:color="auto" w:fill="E4F3F9"/>
          </w:tcPr>
          <w:p w14:paraId="7418C129"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41.3</w:t>
            </w:r>
          </w:p>
        </w:tc>
        <w:tc>
          <w:tcPr>
            <w:tcW w:w="523" w:type="pct"/>
            <w:tcBorders>
              <w:top w:val="nil"/>
              <w:left w:val="nil"/>
              <w:bottom w:val="single" w:sz="8" w:space="0" w:color="22789A"/>
              <w:right w:val="nil"/>
            </w:tcBorders>
            <w:shd w:val="clear" w:color="auto" w:fill="E4F3F9"/>
          </w:tcPr>
          <w:p w14:paraId="7418C12A"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8</w:t>
            </w:r>
          </w:p>
        </w:tc>
        <w:tc>
          <w:tcPr>
            <w:tcW w:w="470" w:type="pct"/>
            <w:tcBorders>
              <w:top w:val="nil"/>
              <w:left w:val="nil"/>
              <w:bottom w:val="single" w:sz="8" w:space="0" w:color="22789A"/>
              <w:right w:val="nil"/>
            </w:tcBorders>
            <w:shd w:val="clear" w:color="auto" w:fill="E4F3F9"/>
          </w:tcPr>
          <w:p w14:paraId="7418C12B"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6th of 22</w:t>
            </w:r>
          </w:p>
        </w:tc>
        <w:tc>
          <w:tcPr>
            <w:tcW w:w="470" w:type="pct"/>
            <w:gridSpan w:val="2"/>
            <w:tcBorders>
              <w:top w:val="nil"/>
              <w:left w:val="nil"/>
              <w:bottom w:val="single" w:sz="8" w:space="0" w:color="22789A"/>
              <w:right w:val="nil"/>
            </w:tcBorders>
            <w:shd w:val="clear" w:color="auto" w:fill="E4F3F9"/>
          </w:tcPr>
          <w:p w14:paraId="7418C12C" w14:textId="77777777" w:rsidR="00D471AD" w:rsidRPr="00507B05" w:rsidRDefault="00D471AD" w:rsidP="004A31A9">
            <w:pPr>
              <w:pStyle w:val="NoSpacing"/>
              <w:jc w:val="right"/>
              <w:rPr>
                <w:rFonts w:ascii="Arial" w:hAnsi="Arial" w:cs="Arial"/>
                <w:color w:val="44546A" w:themeColor="text2"/>
                <w:sz w:val="14"/>
                <w:szCs w:val="14"/>
              </w:rPr>
            </w:pPr>
            <w:r w:rsidRPr="00507B05">
              <w:rPr>
                <w:rFonts w:ascii="Arial" w:hAnsi="Arial" w:cs="Arial"/>
                <w:color w:val="44546A" w:themeColor="text2"/>
                <w:sz w:val="14"/>
                <w:szCs w:val="14"/>
              </w:rPr>
              <w:t>2013</w:t>
            </w:r>
          </w:p>
        </w:tc>
      </w:tr>
    </w:tbl>
    <w:p w14:paraId="7418C12E" w14:textId="77777777" w:rsidR="00D471AD" w:rsidRPr="008B33FB" w:rsidRDefault="00D471AD" w:rsidP="00D471AD">
      <w:pPr>
        <w:spacing w:before="120" w:after="120"/>
        <w:rPr>
          <w:rFonts w:cs="Arial"/>
          <w:color w:val="22789A"/>
          <w:sz w:val="16"/>
          <w:szCs w:val="16"/>
        </w:rPr>
      </w:pPr>
      <w:r w:rsidRPr="008B33FB">
        <w:rPr>
          <w:rFonts w:cs="Arial"/>
          <w:color w:val="22789A"/>
          <w:sz w:val="16"/>
          <w:szCs w:val="16"/>
        </w:rPr>
        <w:t>– = data not available</w:t>
      </w:r>
    </w:p>
    <w:p w14:paraId="7418C12F" w14:textId="77777777" w:rsidR="00D471AD" w:rsidRPr="008B33FB" w:rsidRDefault="00D471AD" w:rsidP="00D471AD">
      <w:pPr>
        <w:spacing w:before="120" w:after="120"/>
        <w:rPr>
          <w:rFonts w:eastAsia="Times New Roman" w:cs="Arial"/>
          <w:color w:val="22789A"/>
          <w:sz w:val="16"/>
          <w:szCs w:val="16"/>
          <w:lang w:eastAsia="en-AU"/>
        </w:rPr>
      </w:pPr>
      <w:r w:rsidRPr="008671B7">
        <w:rPr>
          <w:rFonts w:eastAsia="Times New Roman" w:cs="Arial"/>
          <w:b/>
          <w:i/>
          <w:iCs/>
          <w:color w:val="22789A"/>
          <w:sz w:val="16"/>
          <w:szCs w:val="16"/>
          <w:lang w:eastAsia="en-AU"/>
        </w:rPr>
        <w:t>Table notes:</w:t>
      </w:r>
      <w:r w:rsidRPr="008671B7">
        <w:rPr>
          <w:rFonts w:eastAsia="Times New Roman" w:cs="Arial"/>
          <w:color w:val="22789A"/>
          <w:sz w:val="16"/>
          <w:szCs w:val="16"/>
          <w:lang w:eastAsia="en-AU"/>
        </w:rPr>
        <w:t xml:space="preserve"> </w:t>
      </w:r>
      <w:r w:rsidRPr="008671B7">
        <w:rPr>
          <w:rFonts w:eastAsia="Times New Roman" w:cs="Arial"/>
          <w:b/>
          <w:bCs/>
          <w:color w:val="22789A"/>
          <w:sz w:val="16"/>
          <w:szCs w:val="16"/>
          <w:lang w:eastAsia="en-AU"/>
        </w:rPr>
        <w:t>(i)</w:t>
      </w:r>
      <w:r w:rsidRPr="008671B7">
        <w:rPr>
          <w:rFonts w:eastAsia="Times New Roman" w:cs="Arial"/>
          <w:color w:val="22789A"/>
          <w:sz w:val="16"/>
          <w:szCs w:val="16"/>
          <w:lang w:eastAsia="en-AU"/>
        </w:rPr>
        <w:t xml:space="preserve"> Data are presented in calendar year format. Where the data are in financial years, it is expressed in terms of the year where the financial year begins e.g. 2010–11 is shown as 2010.</w:t>
      </w:r>
      <w:r w:rsidRPr="008671B7">
        <w:rPr>
          <w:rFonts w:eastAsia="Times New Roman" w:cs="Arial"/>
          <w:b/>
          <w:bCs/>
          <w:color w:val="22789A"/>
          <w:sz w:val="16"/>
          <w:szCs w:val="16"/>
          <w:lang w:eastAsia="en-AU"/>
        </w:rPr>
        <w:t xml:space="preserve"> (ii) </w:t>
      </w:r>
      <w:r w:rsidRPr="008671B7">
        <w:rPr>
          <w:rFonts w:eastAsia="Times New Roman" w:cs="Arial"/>
          <w:color w:val="22789A"/>
          <w:sz w:val="16"/>
          <w:szCs w:val="16"/>
          <w:lang w:eastAsia="en-AU"/>
        </w:rPr>
        <w:t>OECD+ includes all countries in the OECD, as well as China, Taiwan and Singapore (where data is available).</w:t>
      </w:r>
      <w:r w:rsidRPr="008671B7">
        <w:rPr>
          <w:rFonts w:eastAsia="Times New Roman" w:cs="Arial"/>
          <w:b/>
          <w:bCs/>
          <w:color w:val="22789A"/>
          <w:sz w:val="16"/>
          <w:szCs w:val="16"/>
          <w:lang w:eastAsia="en-AU"/>
        </w:rPr>
        <w:t xml:space="preserve"> (iii) </w:t>
      </w:r>
      <w:r w:rsidRPr="008671B7">
        <w:rPr>
          <w:rFonts w:eastAsia="Times New Roman" w:cs="Arial"/>
          <w:color w:val="22789A"/>
          <w:sz w:val="16"/>
          <w:szCs w:val="16"/>
          <w:lang w:eastAsia="en-AU"/>
        </w:rPr>
        <w:t xml:space="preserve">The ‘Australia’s score’ field presents the Australian values used in the OECD+ comparisons. </w:t>
      </w:r>
      <w:r w:rsidRPr="008671B7">
        <w:rPr>
          <w:rFonts w:eastAsia="Times New Roman" w:cs="Arial"/>
          <w:b/>
          <w:bCs/>
          <w:color w:val="22789A"/>
          <w:sz w:val="16"/>
          <w:szCs w:val="16"/>
          <w:lang w:eastAsia="en-AU"/>
        </w:rPr>
        <w:t>(iv)</w:t>
      </w:r>
      <w:r w:rsidRPr="008671B7">
        <w:rPr>
          <w:rFonts w:eastAsia="Times New Roman" w:cs="Arial"/>
          <w:color w:val="22789A"/>
          <w:sz w:val="16"/>
          <w:szCs w:val="16"/>
          <w:lang w:eastAsia="en-AU"/>
        </w:rPr>
        <w:t xml:space="preserve"> This is the arithmetic (simple) average of the OECD+ country scores. </w:t>
      </w:r>
      <w:r w:rsidRPr="008671B7">
        <w:rPr>
          <w:rFonts w:eastAsia="Times New Roman" w:cs="Arial"/>
          <w:b/>
          <w:bCs/>
          <w:color w:val="22789A"/>
          <w:sz w:val="16"/>
          <w:szCs w:val="16"/>
          <w:lang w:eastAsia="en-AU"/>
        </w:rPr>
        <w:t xml:space="preserve">(v) </w:t>
      </w:r>
      <w:r w:rsidRPr="008671B7">
        <w:rPr>
          <w:rFonts w:eastAsia="Times New Roman" w:cs="Arial"/>
          <w:color w:val="22789A"/>
          <w:sz w:val="16"/>
          <w:szCs w:val="16"/>
          <w:lang w:eastAsia="en-AU"/>
        </w:rPr>
        <w:t>This is the median of the OECD+ country scores</w:t>
      </w:r>
      <w:r w:rsidRPr="008671B7">
        <w:rPr>
          <w:rFonts w:eastAsia="Times New Roman" w:cs="Arial"/>
          <w:b/>
          <w:bCs/>
          <w:color w:val="22789A"/>
          <w:sz w:val="16"/>
          <w:szCs w:val="16"/>
          <w:lang w:eastAsia="en-AU"/>
        </w:rPr>
        <w:t xml:space="preserve"> (vi)</w:t>
      </w:r>
      <w:r w:rsidRPr="008671B7">
        <w:rPr>
          <w:rFonts w:eastAsia="Times New Roman" w:cs="Arial"/>
          <w:color w:val="22789A"/>
          <w:sz w:val="16"/>
          <w:szCs w:val="16"/>
          <w:lang w:eastAsia="en-AU"/>
        </w:rPr>
        <w:t xml:space="preserve"> This is the arithmetic (simple) average of the top five OECD+ countries in a ranked list.</w:t>
      </w:r>
      <w:r w:rsidRPr="008671B7">
        <w:rPr>
          <w:rFonts w:eastAsia="Times New Roman" w:cs="Arial"/>
          <w:b/>
          <w:bCs/>
          <w:color w:val="22789A"/>
          <w:sz w:val="16"/>
          <w:szCs w:val="16"/>
          <w:lang w:eastAsia="en-AU"/>
        </w:rPr>
        <w:t xml:space="preserve"> (vii)</w:t>
      </w:r>
      <w:r w:rsidRPr="008671B7">
        <w:rPr>
          <w:rFonts w:eastAsia="Times New Roman" w:cs="Arial"/>
          <w:color w:val="22789A"/>
          <w:sz w:val="16"/>
          <w:szCs w:val="16"/>
          <w:lang w:eastAsia="en-AU"/>
        </w:rPr>
        <w:t xml:space="preserve"> This represents Australia’s distance from the frontier as defined by the average of the top five ranked OECD+ countries. It is calculated as 100*(Top five average - Australia’s score)/ Top 5 average. Where the solution is a negative value or zero, ‘no gap’ is shown in the cell.</w:t>
      </w:r>
      <w:r w:rsidRPr="008671B7">
        <w:rPr>
          <w:rFonts w:eastAsia="Times New Roman" w:cs="Arial"/>
          <w:b/>
          <w:bCs/>
          <w:color w:val="22789A"/>
          <w:sz w:val="16"/>
          <w:szCs w:val="16"/>
          <w:lang w:eastAsia="en-AU"/>
        </w:rPr>
        <w:t xml:space="preserve"> (viii)</w:t>
      </w:r>
      <w:r w:rsidRPr="008671B7">
        <w:rPr>
          <w:rFonts w:eastAsia="Times New Roman" w:cs="Arial"/>
          <w:color w:val="22789A"/>
          <w:sz w:val="16"/>
          <w:szCs w:val="16"/>
          <w:lang w:eastAsia="en-AU"/>
        </w:rPr>
        <w:t xml:space="preserve"> OECD+ rankings are performed on those OECD+ countries for which data are available. Individual data availability may vary between indicators.</w:t>
      </w:r>
    </w:p>
    <w:p w14:paraId="7418C130" w14:textId="77777777" w:rsidR="00D471AD" w:rsidRPr="008B33FB" w:rsidRDefault="00D471AD" w:rsidP="00D471AD">
      <w:pPr>
        <w:spacing w:before="120" w:after="120"/>
        <w:rPr>
          <w:rFonts w:eastAsia="Times New Roman" w:cs="Arial"/>
          <w:i/>
          <w:iCs/>
          <w:color w:val="22789A"/>
          <w:sz w:val="16"/>
          <w:szCs w:val="16"/>
          <w:lang w:eastAsia="en-AU"/>
        </w:rPr>
      </w:pPr>
      <w:r w:rsidRPr="008671B7">
        <w:rPr>
          <w:rFonts w:eastAsia="Times New Roman" w:cs="Arial"/>
          <w:b/>
          <w:i/>
          <w:iCs/>
          <w:color w:val="22789A"/>
          <w:sz w:val="16"/>
          <w:szCs w:val="16"/>
          <w:lang w:eastAsia="en-AU"/>
        </w:rPr>
        <w:t>Sources</w:t>
      </w:r>
      <w:r w:rsidRPr="008671B7">
        <w:rPr>
          <w:rFonts w:eastAsia="Times New Roman" w:cs="Arial"/>
          <w:b/>
          <w:color w:val="22789A"/>
          <w:sz w:val="16"/>
          <w:szCs w:val="16"/>
          <w:lang w:eastAsia="en-AU"/>
        </w:rPr>
        <w:t xml:space="preserve"> (1 - 32):</w:t>
      </w:r>
      <w:r w:rsidRPr="008671B7">
        <w:rPr>
          <w:rFonts w:eastAsia="Times New Roman" w:cs="Arial"/>
          <w:b/>
          <w:bCs/>
          <w:color w:val="22789A"/>
          <w:sz w:val="16"/>
          <w:szCs w:val="16"/>
          <w:lang w:eastAsia="en-AU"/>
        </w:rPr>
        <w:t xml:space="preserve"> [1]</w:t>
      </w:r>
      <w:r w:rsidRPr="008671B7">
        <w:rPr>
          <w:rFonts w:eastAsia="Times New Roman" w:cs="Arial"/>
          <w:color w:val="22789A"/>
          <w:sz w:val="16"/>
          <w:szCs w:val="16"/>
          <w:lang w:eastAsia="en-AU"/>
        </w:rPr>
        <w:t xml:space="preserve"> OECD (2003–2013) Education at a Glance, 2003–2013, DOI: 10.1787/19991487;</w:t>
      </w:r>
      <w:r w:rsidRPr="008671B7">
        <w:rPr>
          <w:rFonts w:eastAsia="Times New Roman" w:cs="Arial"/>
          <w:b/>
          <w:bCs/>
          <w:color w:val="22789A"/>
          <w:sz w:val="16"/>
          <w:szCs w:val="16"/>
          <w:lang w:eastAsia="en-AU"/>
        </w:rPr>
        <w:t xml:space="preserve"> [2] </w:t>
      </w:r>
      <w:r w:rsidRPr="008671B7">
        <w:rPr>
          <w:rFonts w:eastAsia="Times New Roman" w:cs="Arial"/>
          <w:color w:val="22789A"/>
          <w:sz w:val="16"/>
          <w:szCs w:val="16"/>
          <w:lang w:eastAsia="en-AU"/>
        </w:rPr>
        <w:t xml:space="preserve">OECD (2014) Education at a Glance, 2014, Indicator B2: What proportion of national wealth is spent on education, URL: http://www.oecd.org/; </w:t>
      </w:r>
      <w:r w:rsidRPr="008671B7">
        <w:rPr>
          <w:rFonts w:eastAsia="Times New Roman" w:cs="Arial"/>
          <w:b/>
          <w:bCs/>
          <w:color w:val="22789A"/>
          <w:sz w:val="16"/>
          <w:szCs w:val="16"/>
          <w:lang w:eastAsia="en-AU"/>
        </w:rPr>
        <w:t>[3]</w:t>
      </w:r>
      <w:r w:rsidRPr="008671B7">
        <w:rPr>
          <w:rFonts w:eastAsia="Times New Roman" w:cs="Arial"/>
          <w:color w:val="22789A"/>
          <w:sz w:val="16"/>
          <w:szCs w:val="16"/>
          <w:lang w:eastAsia="en-AU"/>
        </w:rPr>
        <w:t xml:space="preserve"> OECD (2015) Education at a Glance, 2015, Indicator B2: What proportion of national wealth is spent on education?, DOI: 10.1787/19991487;</w:t>
      </w:r>
      <w:r w:rsidRPr="008671B7">
        <w:rPr>
          <w:rFonts w:eastAsia="Times New Roman" w:cs="Arial"/>
          <w:b/>
          <w:bCs/>
          <w:color w:val="22789A"/>
          <w:sz w:val="16"/>
          <w:szCs w:val="16"/>
          <w:lang w:eastAsia="en-AU"/>
        </w:rPr>
        <w:t xml:space="preserve"> [4] </w:t>
      </w:r>
      <w:r w:rsidRPr="008671B7">
        <w:rPr>
          <w:rFonts w:eastAsia="Times New Roman" w:cs="Arial"/>
          <w:color w:val="22789A"/>
          <w:sz w:val="16"/>
          <w:szCs w:val="16"/>
          <w:lang w:eastAsia="en-AU"/>
        </w:rPr>
        <w:t>OECD (2016) Education at a Glance, 2016, Indicator B2. What proportion of national wealth is spent on education?, URL: http://www.oecd.org/;</w:t>
      </w:r>
      <w:r w:rsidRPr="008671B7">
        <w:rPr>
          <w:rFonts w:eastAsia="Times New Roman" w:cs="Arial"/>
          <w:b/>
          <w:bCs/>
          <w:color w:val="22789A"/>
          <w:sz w:val="16"/>
          <w:szCs w:val="16"/>
          <w:lang w:eastAsia="en-AU"/>
        </w:rPr>
        <w:t xml:space="preserve"> [5]</w:t>
      </w:r>
      <w:r w:rsidRPr="008671B7">
        <w:rPr>
          <w:rFonts w:eastAsia="Times New Roman" w:cs="Arial"/>
          <w:color w:val="22789A"/>
          <w:sz w:val="16"/>
          <w:szCs w:val="16"/>
          <w:lang w:eastAsia="en-AU"/>
        </w:rPr>
        <w:t xml:space="preserve"> OECD (2014) Education at a Glance, 2014, Indicator B4: What is the total public spending on education?, URL: http://www.oecd.org/;</w:t>
      </w:r>
      <w:r w:rsidRPr="008671B7">
        <w:rPr>
          <w:rFonts w:eastAsia="Times New Roman" w:cs="Arial"/>
          <w:b/>
          <w:bCs/>
          <w:color w:val="22789A"/>
          <w:sz w:val="16"/>
          <w:szCs w:val="16"/>
          <w:lang w:eastAsia="en-AU"/>
        </w:rPr>
        <w:t xml:space="preserve"> [6]</w:t>
      </w:r>
      <w:r w:rsidRPr="008671B7">
        <w:rPr>
          <w:rFonts w:eastAsia="Times New Roman" w:cs="Arial"/>
          <w:color w:val="22789A"/>
          <w:sz w:val="16"/>
          <w:szCs w:val="16"/>
          <w:lang w:eastAsia="en-AU"/>
        </w:rPr>
        <w:t xml:space="preserve"> OECD (2015) Education at a Glance, 2015, Indicator B4: What is the total public spending on education?, DOI: 10.1787/19991487;</w:t>
      </w:r>
      <w:r w:rsidRPr="008671B7">
        <w:rPr>
          <w:rFonts w:eastAsia="Times New Roman" w:cs="Arial"/>
          <w:b/>
          <w:bCs/>
          <w:color w:val="22789A"/>
          <w:sz w:val="16"/>
          <w:szCs w:val="16"/>
          <w:lang w:eastAsia="en-AU"/>
        </w:rPr>
        <w:t xml:space="preserve"> [7] O</w:t>
      </w:r>
      <w:r w:rsidRPr="008671B7">
        <w:rPr>
          <w:rFonts w:eastAsia="Times New Roman" w:cs="Arial"/>
          <w:color w:val="22789A"/>
          <w:sz w:val="16"/>
          <w:szCs w:val="16"/>
          <w:lang w:eastAsia="en-AU"/>
        </w:rPr>
        <w:t xml:space="preserve">ECD (2016) Education at a Glance, 2016, Indicator B4. What is the total public spending on education?, URL: http://www.oecd.org/; </w:t>
      </w:r>
      <w:r w:rsidRPr="008671B7">
        <w:rPr>
          <w:rFonts w:eastAsia="Times New Roman" w:cs="Arial"/>
          <w:b/>
          <w:bCs/>
          <w:color w:val="22789A"/>
          <w:sz w:val="16"/>
          <w:szCs w:val="16"/>
          <w:lang w:eastAsia="en-AU"/>
        </w:rPr>
        <w:t xml:space="preserve">[8] </w:t>
      </w:r>
      <w:r w:rsidRPr="008671B7">
        <w:rPr>
          <w:rFonts w:eastAsia="Times New Roman" w:cs="Arial"/>
          <w:color w:val="22789A"/>
          <w:sz w:val="16"/>
          <w:szCs w:val="16"/>
          <w:lang w:eastAsia="en-AU"/>
        </w:rPr>
        <w:t xml:space="preserve">ABS (2005–2008) Education and Work, Australia, cat. no. 6227.0, 2005–2008, Persons aged 15–64 years, Level of highest non-school qualification and age, URL: http://www.abs.gov.au/; </w:t>
      </w:r>
      <w:r w:rsidRPr="008671B7">
        <w:rPr>
          <w:rFonts w:eastAsia="Times New Roman" w:cs="Arial"/>
          <w:b/>
          <w:bCs/>
          <w:color w:val="22789A"/>
          <w:sz w:val="16"/>
          <w:szCs w:val="16"/>
          <w:lang w:eastAsia="en-AU"/>
        </w:rPr>
        <w:t xml:space="preserve">[9] </w:t>
      </w:r>
      <w:r w:rsidRPr="008671B7">
        <w:rPr>
          <w:rFonts w:eastAsia="Times New Roman" w:cs="Arial"/>
          <w:color w:val="22789A"/>
          <w:sz w:val="16"/>
          <w:szCs w:val="16"/>
          <w:lang w:eastAsia="en-AU"/>
        </w:rPr>
        <w:t xml:space="preserve">ABS (2015) Education and Work, Australia, cat. no. 6227.0, 2015, Non-school qualification at Bachelor Degree level or above, persons aged 20–64 years , URL: http://www.abs.gov.au/; </w:t>
      </w:r>
      <w:r w:rsidRPr="008671B7">
        <w:rPr>
          <w:rFonts w:eastAsia="Times New Roman" w:cs="Arial"/>
          <w:b/>
          <w:bCs/>
          <w:color w:val="22789A"/>
          <w:sz w:val="16"/>
          <w:szCs w:val="16"/>
          <w:lang w:eastAsia="en-AU"/>
        </w:rPr>
        <w:t>[10]</w:t>
      </w:r>
      <w:r w:rsidRPr="008671B7">
        <w:rPr>
          <w:rFonts w:eastAsia="Times New Roman" w:cs="Arial"/>
          <w:color w:val="22789A"/>
          <w:sz w:val="16"/>
          <w:szCs w:val="16"/>
          <w:lang w:eastAsia="en-AU"/>
        </w:rPr>
        <w:t xml:space="preserve"> OECD (2015) Education at a Glance, 2015 Interim report, Indicator A1: To what level have adults studied?, URL: http://www.oecd.org/; </w:t>
      </w:r>
      <w:r w:rsidRPr="008671B7">
        <w:rPr>
          <w:rFonts w:eastAsia="Times New Roman" w:cs="Arial"/>
          <w:b/>
          <w:bCs/>
          <w:color w:val="22789A"/>
          <w:sz w:val="16"/>
          <w:szCs w:val="16"/>
          <w:lang w:eastAsia="en-AU"/>
        </w:rPr>
        <w:t>[11]</w:t>
      </w:r>
      <w:r w:rsidRPr="008671B7">
        <w:rPr>
          <w:rFonts w:eastAsia="Times New Roman" w:cs="Arial"/>
          <w:color w:val="22789A"/>
          <w:sz w:val="16"/>
          <w:szCs w:val="16"/>
          <w:lang w:eastAsia="en-AU"/>
        </w:rPr>
        <w:t xml:space="preserve"> OECD (2015) Education at a Glance, 2015, Indicator A1: To what level have adults studied?, DOI: 10.1787/19991487;</w:t>
      </w:r>
      <w:r w:rsidRPr="008671B7">
        <w:rPr>
          <w:rFonts w:eastAsia="Times New Roman" w:cs="Arial"/>
          <w:b/>
          <w:bCs/>
          <w:color w:val="22789A"/>
          <w:sz w:val="16"/>
          <w:szCs w:val="16"/>
          <w:lang w:eastAsia="en-AU"/>
        </w:rPr>
        <w:t xml:space="preserve"> [12]</w:t>
      </w:r>
      <w:r w:rsidRPr="008671B7">
        <w:rPr>
          <w:rFonts w:eastAsia="Times New Roman" w:cs="Arial"/>
          <w:color w:val="22789A"/>
          <w:sz w:val="16"/>
          <w:szCs w:val="16"/>
          <w:lang w:eastAsia="en-AU"/>
        </w:rPr>
        <w:t xml:space="preserve"> OECD (2016) Education at a Glance, 2016, Indicator A1. To what level have adults studied?, URL: http://www.oecd.org/;</w:t>
      </w:r>
      <w:r w:rsidRPr="008671B7">
        <w:rPr>
          <w:rFonts w:eastAsia="Times New Roman" w:cs="Arial"/>
          <w:b/>
          <w:bCs/>
          <w:color w:val="22789A"/>
          <w:sz w:val="16"/>
          <w:szCs w:val="16"/>
          <w:lang w:eastAsia="en-AU"/>
        </w:rPr>
        <w:t xml:space="preserve"> [13]</w:t>
      </w:r>
      <w:r w:rsidRPr="008671B7">
        <w:rPr>
          <w:rFonts w:eastAsia="Times New Roman" w:cs="Arial"/>
          <w:color w:val="22789A"/>
          <w:sz w:val="16"/>
          <w:szCs w:val="16"/>
          <w:lang w:eastAsia="en-AU"/>
        </w:rPr>
        <w:t xml:space="preserve"> OECD (2014) Education at a Glance, 2014, Indicator C4: Who studies abroad and where?, URL: http://www.oecd.org/; </w:t>
      </w:r>
      <w:r w:rsidRPr="008671B7">
        <w:rPr>
          <w:rFonts w:eastAsia="Times New Roman" w:cs="Arial"/>
          <w:b/>
          <w:bCs/>
          <w:color w:val="22789A"/>
          <w:sz w:val="16"/>
          <w:szCs w:val="16"/>
          <w:lang w:eastAsia="en-AU"/>
        </w:rPr>
        <w:t xml:space="preserve">[14] </w:t>
      </w:r>
      <w:r w:rsidRPr="008671B7">
        <w:rPr>
          <w:rFonts w:eastAsia="Times New Roman" w:cs="Arial"/>
          <w:color w:val="22789A"/>
          <w:sz w:val="16"/>
          <w:szCs w:val="16"/>
          <w:lang w:eastAsia="en-AU"/>
        </w:rPr>
        <w:t xml:space="preserve">OECD (2015) Education at a Glance, 2015, Indicator C4: Who studies abroad and where?, DOI: 10.1787/19991487; </w:t>
      </w:r>
      <w:r w:rsidRPr="008671B7">
        <w:rPr>
          <w:rFonts w:eastAsia="Times New Roman" w:cs="Arial"/>
          <w:b/>
          <w:bCs/>
          <w:color w:val="22789A"/>
          <w:sz w:val="16"/>
          <w:szCs w:val="16"/>
          <w:lang w:eastAsia="en-AU"/>
        </w:rPr>
        <w:t xml:space="preserve">[15] </w:t>
      </w:r>
      <w:r w:rsidRPr="008671B7">
        <w:rPr>
          <w:rFonts w:eastAsia="Times New Roman" w:cs="Arial"/>
          <w:color w:val="22789A"/>
          <w:sz w:val="16"/>
          <w:szCs w:val="16"/>
          <w:lang w:eastAsia="en-AU"/>
        </w:rPr>
        <w:t xml:space="preserve">OECD (2013) Skills Outlook (PIAAC), 2013, URL: http://skills.oecd.org/; </w:t>
      </w:r>
      <w:r w:rsidRPr="008671B7">
        <w:rPr>
          <w:rFonts w:eastAsia="Times New Roman" w:cs="Arial"/>
          <w:b/>
          <w:bCs/>
          <w:color w:val="22789A"/>
          <w:sz w:val="16"/>
          <w:szCs w:val="16"/>
          <w:lang w:eastAsia="en-AU"/>
        </w:rPr>
        <w:t xml:space="preserve">[16] </w:t>
      </w:r>
      <w:r w:rsidRPr="008671B7">
        <w:rPr>
          <w:rFonts w:eastAsia="Times New Roman" w:cs="Arial"/>
          <w:color w:val="22789A"/>
          <w:sz w:val="16"/>
          <w:szCs w:val="16"/>
          <w:lang w:eastAsia="en-AU"/>
        </w:rPr>
        <w:t>NCVER (2015–2016) Special data request from NCVER, 2015–2016;</w:t>
      </w:r>
      <w:r w:rsidRPr="008671B7">
        <w:rPr>
          <w:rFonts w:eastAsia="Times New Roman" w:cs="Arial"/>
          <w:b/>
          <w:bCs/>
          <w:color w:val="22789A"/>
          <w:sz w:val="16"/>
          <w:szCs w:val="16"/>
          <w:lang w:eastAsia="en-AU"/>
        </w:rPr>
        <w:t xml:space="preserve"> [17] </w:t>
      </w:r>
      <w:r w:rsidRPr="008671B7">
        <w:rPr>
          <w:rFonts w:eastAsia="Times New Roman" w:cs="Arial"/>
          <w:color w:val="22789A"/>
          <w:sz w:val="16"/>
          <w:szCs w:val="16"/>
          <w:lang w:eastAsia="en-AU"/>
        </w:rPr>
        <w:t xml:space="preserve">NCVER (2009–2014) Students and Courses, 2009– 2013, URL: http://www.ncver.edu.au/; </w:t>
      </w:r>
      <w:r w:rsidRPr="008671B7">
        <w:rPr>
          <w:rFonts w:eastAsia="Times New Roman" w:cs="Arial"/>
          <w:b/>
          <w:bCs/>
          <w:color w:val="22789A"/>
          <w:sz w:val="16"/>
          <w:szCs w:val="16"/>
          <w:lang w:eastAsia="en-AU"/>
        </w:rPr>
        <w:t xml:space="preserve">[18] </w:t>
      </w:r>
      <w:r w:rsidRPr="008671B7">
        <w:rPr>
          <w:rFonts w:eastAsia="Times New Roman" w:cs="Arial"/>
          <w:color w:val="22789A"/>
          <w:sz w:val="16"/>
          <w:szCs w:val="16"/>
          <w:lang w:eastAsia="en-AU"/>
        </w:rPr>
        <w:t>NCVER (2015) Students and Courses, 2014, Government-funded students and courses, URL: http://www.ncver.edu.au/;</w:t>
      </w:r>
      <w:r w:rsidRPr="008671B7">
        <w:rPr>
          <w:rFonts w:eastAsia="Times New Roman" w:cs="Arial"/>
          <w:b/>
          <w:bCs/>
          <w:color w:val="22789A"/>
          <w:sz w:val="16"/>
          <w:szCs w:val="16"/>
          <w:lang w:eastAsia="en-AU"/>
        </w:rPr>
        <w:t xml:space="preserve"> [19]</w:t>
      </w:r>
      <w:r w:rsidRPr="008671B7">
        <w:rPr>
          <w:rFonts w:eastAsia="Times New Roman" w:cs="Arial"/>
          <w:color w:val="22789A"/>
          <w:sz w:val="16"/>
          <w:szCs w:val="16"/>
          <w:lang w:eastAsia="en-AU"/>
        </w:rPr>
        <w:t xml:space="preserve"> NCVER (2016) Students and Courses, 2015, Government-funded students and courses: Australia, URL: http://www.ncver.edu.au/; </w:t>
      </w:r>
      <w:r w:rsidRPr="008671B7">
        <w:rPr>
          <w:rFonts w:eastAsia="Times New Roman" w:cs="Arial"/>
          <w:b/>
          <w:bCs/>
          <w:color w:val="22789A"/>
          <w:sz w:val="16"/>
          <w:szCs w:val="16"/>
          <w:lang w:eastAsia="en-AU"/>
        </w:rPr>
        <w:t xml:space="preserve">[20] </w:t>
      </w:r>
      <w:r w:rsidRPr="008671B7">
        <w:rPr>
          <w:rFonts w:eastAsia="Times New Roman" w:cs="Arial"/>
          <w:color w:val="22789A"/>
          <w:sz w:val="16"/>
          <w:szCs w:val="16"/>
          <w:lang w:eastAsia="en-AU"/>
        </w:rPr>
        <w:t>NCVER (2015–2016) Students and Courses, 2014–2015, Australian vocational education and training statistics: Government-funded students and courses, URL: http://www.ncver.edu.au/;</w:t>
      </w:r>
      <w:r w:rsidRPr="008671B7">
        <w:rPr>
          <w:rFonts w:eastAsia="Times New Roman" w:cs="Arial"/>
          <w:b/>
          <w:bCs/>
          <w:color w:val="22789A"/>
          <w:sz w:val="16"/>
          <w:szCs w:val="16"/>
          <w:lang w:eastAsia="en-AU"/>
        </w:rPr>
        <w:t xml:space="preserve"> [21]</w:t>
      </w:r>
      <w:r w:rsidRPr="008671B7">
        <w:rPr>
          <w:rFonts w:eastAsia="Times New Roman" w:cs="Arial"/>
          <w:color w:val="22789A"/>
          <w:sz w:val="16"/>
          <w:szCs w:val="16"/>
          <w:lang w:eastAsia="en-AU"/>
        </w:rPr>
        <w:t xml:space="preserve"> NCVER (2014) Special data request from NCVER, 9-Sep-14, Table 1;</w:t>
      </w:r>
      <w:r w:rsidRPr="008671B7">
        <w:rPr>
          <w:rFonts w:eastAsia="Times New Roman" w:cs="Arial"/>
          <w:b/>
          <w:bCs/>
          <w:color w:val="22789A"/>
          <w:sz w:val="16"/>
          <w:szCs w:val="16"/>
          <w:lang w:eastAsia="en-AU"/>
        </w:rPr>
        <w:t xml:space="preserve"> [22] </w:t>
      </w:r>
      <w:r w:rsidRPr="008671B7">
        <w:rPr>
          <w:rFonts w:eastAsia="Times New Roman" w:cs="Arial"/>
          <w:color w:val="22789A"/>
          <w:sz w:val="16"/>
          <w:szCs w:val="16"/>
          <w:lang w:eastAsia="en-AU"/>
        </w:rPr>
        <w:t>NCVER (2011-2013) Employer's Use and Views of the VET System, 2011–2013, URL: http://www.ncver.edu.au/;</w:t>
      </w:r>
      <w:r w:rsidRPr="008671B7">
        <w:rPr>
          <w:rFonts w:eastAsia="Times New Roman" w:cs="Arial"/>
          <w:b/>
          <w:bCs/>
          <w:color w:val="22789A"/>
          <w:sz w:val="16"/>
          <w:szCs w:val="16"/>
          <w:lang w:eastAsia="en-AU"/>
        </w:rPr>
        <w:t xml:space="preserve"> [23]</w:t>
      </w:r>
      <w:r w:rsidRPr="008671B7">
        <w:rPr>
          <w:rFonts w:eastAsia="Times New Roman" w:cs="Arial"/>
          <w:color w:val="22789A"/>
          <w:sz w:val="16"/>
          <w:szCs w:val="16"/>
          <w:lang w:eastAsia="en-AU"/>
        </w:rPr>
        <w:t xml:space="preserve"> NCVER (2015) Employer's Use and Views of the VET System, 2015, Index 1: Publication tables, URL: http://www.ncver.edu.au/; </w:t>
      </w:r>
      <w:r w:rsidRPr="008671B7">
        <w:rPr>
          <w:rFonts w:eastAsia="Times New Roman" w:cs="Arial"/>
          <w:b/>
          <w:bCs/>
          <w:color w:val="22789A"/>
          <w:sz w:val="16"/>
          <w:szCs w:val="16"/>
          <w:lang w:eastAsia="en-AU"/>
        </w:rPr>
        <w:t xml:space="preserve">[24] </w:t>
      </w:r>
      <w:r w:rsidRPr="008671B7">
        <w:rPr>
          <w:rFonts w:eastAsia="Times New Roman" w:cs="Arial"/>
          <w:color w:val="22789A"/>
          <w:sz w:val="16"/>
          <w:szCs w:val="16"/>
          <w:lang w:eastAsia="en-AU"/>
        </w:rPr>
        <w:t xml:space="preserve">ABS (2008-2013) Selected Characteristics of Australian Business, cat. no. 8167.0, 2005–06 - 2011–12, Barriers to innovation - by innovation status, employment size, and industry, URL: http://www.abs.gov.au/; </w:t>
      </w:r>
      <w:r w:rsidRPr="008671B7">
        <w:rPr>
          <w:rFonts w:eastAsia="Times New Roman" w:cs="Arial"/>
          <w:b/>
          <w:bCs/>
          <w:color w:val="22789A"/>
          <w:sz w:val="16"/>
          <w:szCs w:val="16"/>
          <w:lang w:eastAsia="en-AU"/>
        </w:rPr>
        <w:t>[25]</w:t>
      </w:r>
      <w:r w:rsidRPr="008671B7">
        <w:rPr>
          <w:rFonts w:eastAsia="Times New Roman" w:cs="Arial"/>
          <w:color w:val="22789A"/>
          <w:sz w:val="16"/>
          <w:szCs w:val="16"/>
          <w:lang w:eastAsia="en-AU"/>
        </w:rPr>
        <w:t xml:space="preserve"> ABS (2014–2015) Selected Characteristics of Australian Business, cat. no. 8167.0, 2012–13 - 2013–14, Barriers, URL: http://www.abs.gov.au/; </w:t>
      </w:r>
      <w:r w:rsidRPr="008671B7">
        <w:rPr>
          <w:rFonts w:eastAsia="Times New Roman" w:cs="Arial"/>
          <w:b/>
          <w:bCs/>
          <w:color w:val="22789A"/>
          <w:sz w:val="16"/>
          <w:szCs w:val="16"/>
          <w:lang w:eastAsia="en-AU"/>
        </w:rPr>
        <w:t>[26]</w:t>
      </w:r>
      <w:r w:rsidRPr="008671B7">
        <w:rPr>
          <w:rFonts w:eastAsia="Times New Roman" w:cs="Arial"/>
          <w:color w:val="22789A"/>
          <w:sz w:val="16"/>
          <w:szCs w:val="16"/>
          <w:lang w:eastAsia="en-AU"/>
        </w:rPr>
        <w:t xml:space="preserve"> ABS (2016) Innovation in Australian Business, cat. no. 8158.0, 2014–15, Barriers to innovation, URL: http://www.abs.gov.au/; </w:t>
      </w:r>
      <w:r w:rsidRPr="008671B7">
        <w:rPr>
          <w:rFonts w:eastAsia="Times New Roman" w:cs="Arial"/>
          <w:b/>
          <w:bCs/>
          <w:color w:val="22789A"/>
          <w:sz w:val="16"/>
          <w:szCs w:val="16"/>
          <w:lang w:eastAsia="en-AU"/>
        </w:rPr>
        <w:t xml:space="preserve">[27] </w:t>
      </w:r>
      <w:r w:rsidRPr="008671B7">
        <w:rPr>
          <w:rFonts w:eastAsia="Times New Roman" w:cs="Arial"/>
          <w:color w:val="22789A"/>
          <w:sz w:val="16"/>
          <w:szCs w:val="16"/>
          <w:lang w:eastAsia="en-AU"/>
        </w:rPr>
        <w:t xml:space="preserve">NCVER (2014) Student Outcomes, 2014, Table 1, URL: http://www.ncver.edu.au/; </w:t>
      </w:r>
      <w:r w:rsidRPr="008671B7">
        <w:rPr>
          <w:rFonts w:eastAsia="Times New Roman" w:cs="Arial"/>
          <w:b/>
          <w:bCs/>
          <w:color w:val="22789A"/>
          <w:sz w:val="16"/>
          <w:szCs w:val="16"/>
          <w:lang w:eastAsia="en-AU"/>
        </w:rPr>
        <w:t>[28]</w:t>
      </w:r>
      <w:r w:rsidRPr="008671B7">
        <w:rPr>
          <w:rFonts w:eastAsia="Times New Roman" w:cs="Arial"/>
          <w:color w:val="22789A"/>
          <w:sz w:val="16"/>
          <w:szCs w:val="16"/>
          <w:lang w:eastAsia="en-AU"/>
        </w:rPr>
        <w:t xml:space="preserve"> NCVER (2015) Student Outcomes, 2015, Times series of key findings, URL: http://www.ncver.edu.au/;</w:t>
      </w:r>
      <w:r w:rsidRPr="008671B7">
        <w:rPr>
          <w:rFonts w:eastAsia="Times New Roman" w:cs="Arial"/>
          <w:b/>
          <w:bCs/>
          <w:color w:val="22789A"/>
          <w:sz w:val="16"/>
          <w:szCs w:val="16"/>
          <w:lang w:eastAsia="en-AU"/>
        </w:rPr>
        <w:t xml:space="preserve"> [29] </w:t>
      </w:r>
      <w:r w:rsidRPr="008671B7">
        <w:rPr>
          <w:rFonts w:eastAsia="Times New Roman" w:cs="Arial"/>
          <w:color w:val="22789A"/>
          <w:sz w:val="16"/>
          <w:szCs w:val="16"/>
          <w:lang w:eastAsia="en-AU"/>
        </w:rPr>
        <w:t xml:space="preserve">ABS (2016) Labour Force, Australia, cat. no. 6202.0, June 2016, URL: http://www.abs.gov.au/; </w:t>
      </w:r>
      <w:r w:rsidRPr="008671B7">
        <w:rPr>
          <w:rFonts w:eastAsia="Times New Roman" w:cs="Arial"/>
          <w:b/>
          <w:bCs/>
          <w:color w:val="22789A"/>
          <w:sz w:val="16"/>
          <w:szCs w:val="16"/>
          <w:lang w:eastAsia="en-AU"/>
        </w:rPr>
        <w:t>[30]</w:t>
      </w:r>
      <w:r w:rsidRPr="008671B7">
        <w:rPr>
          <w:rFonts w:eastAsia="Times New Roman" w:cs="Arial"/>
          <w:color w:val="22789A"/>
          <w:sz w:val="16"/>
          <w:szCs w:val="16"/>
          <w:lang w:eastAsia="en-AU"/>
        </w:rPr>
        <w:t xml:space="preserve"> Graduate Careers Australia (2014) Graduate Outlook Survey, 2013, URL: http://www.graduatecareers.com.au/; </w:t>
      </w:r>
      <w:r w:rsidRPr="008671B7">
        <w:rPr>
          <w:rFonts w:eastAsia="Times New Roman" w:cs="Arial"/>
          <w:b/>
          <w:bCs/>
          <w:color w:val="22789A"/>
          <w:sz w:val="16"/>
          <w:szCs w:val="16"/>
          <w:lang w:eastAsia="en-AU"/>
        </w:rPr>
        <w:t xml:space="preserve">[31] </w:t>
      </w:r>
      <w:r w:rsidRPr="008671B7">
        <w:rPr>
          <w:rFonts w:eastAsia="Times New Roman" w:cs="Arial"/>
          <w:color w:val="22789A"/>
          <w:sz w:val="16"/>
          <w:szCs w:val="16"/>
          <w:lang w:eastAsia="en-AU"/>
        </w:rPr>
        <w:t>Graduate Careers Australia (2015) Graduate Outlook Survey, 2014, Figure 6: Proportion of employers who recruited international graduates, URL: http://www.graduatecareers.com.au/;</w:t>
      </w:r>
      <w:r w:rsidRPr="008671B7">
        <w:rPr>
          <w:rFonts w:eastAsia="Times New Roman" w:cs="Arial"/>
          <w:b/>
          <w:bCs/>
          <w:color w:val="22789A"/>
          <w:sz w:val="16"/>
          <w:szCs w:val="16"/>
          <w:lang w:eastAsia="en-AU"/>
        </w:rPr>
        <w:t xml:space="preserve"> [32] </w:t>
      </w:r>
      <w:r w:rsidRPr="008671B7">
        <w:rPr>
          <w:rFonts w:eastAsia="Times New Roman" w:cs="Arial"/>
          <w:color w:val="22789A"/>
          <w:sz w:val="16"/>
          <w:szCs w:val="16"/>
          <w:lang w:eastAsia="en-AU"/>
        </w:rPr>
        <w:t>Graduate Careers Australia (2015) Graduate Outlook Survey, 2014, Figure 4: Proportion of employers who had difficulty sourcing graduate, URL: http://www.graduatecareers.com.au/</w:t>
      </w:r>
    </w:p>
    <w:p w14:paraId="7418C131" w14:textId="77777777" w:rsidR="00D471AD" w:rsidRPr="001D0FEB" w:rsidRDefault="00D471AD" w:rsidP="00D471AD">
      <w:pPr>
        <w:spacing w:before="120" w:after="120"/>
        <w:rPr>
          <w:rFonts w:eastAsia="Times New Roman" w:cs="Arial"/>
          <w:i/>
          <w:iCs/>
          <w:color w:val="22789A"/>
          <w:sz w:val="16"/>
          <w:szCs w:val="16"/>
          <w:lang w:eastAsia="en-AU"/>
        </w:rPr>
      </w:pPr>
      <w:r w:rsidRPr="008671B7">
        <w:rPr>
          <w:rFonts w:eastAsia="Times New Roman" w:cs="Arial"/>
          <w:b/>
          <w:i/>
          <w:iCs/>
          <w:color w:val="22789A"/>
          <w:sz w:val="16"/>
          <w:szCs w:val="16"/>
          <w:lang w:eastAsia="en-AU"/>
        </w:rPr>
        <w:t>Indicator notes</w:t>
      </w:r>
      <w:r w:rsidRPr="008671B7">
        <w:rPr>
          <w:rFonts w:eastAsia="Times New Roman" w:cs="Arial"/>
          <w:b/>
          <w:color w:val="22789A"/>
          <w:sz w:val="16"/>
          <w:szCs w:val="16"/>
          <w:lang w:eastAsia="en-AU"/>
        </w:rPr>
        <w:t xml:space="preserve"> (33 - 34):</w:t>
      </w:r>
      <w:r w:rsidRPr="008671B7">
        <w:rPr>
          <w:rFonts w:eastAsia="Times New Roman" w:cs="Arial"/>
          <w:b/>
          <w:bCs/>
          <w:color w:val="22789A"/>
          <w:sz w:val="16"/>
          <w:szCs w:val="16"/>
          <w:lang w:eastAsia="en-AU"/>
        </w:rPr>
        <w:t xml:space="preserve"> [33] </w:t>
      </w:r>
      <w:r w:rsidRPr="008671B7">
        <w:rPr>
          <w:rFonts w:eastAsia="Times New Roman" w:cs="Arial"/>
          <w:color w:val="22789A"/>
          <w:sz w:val="16"/>
          <w:szCs w:val="16"/>
          <w:lang w:eastAsia="en-AU"/>
        </w:rPr>
        <w:t>A lower score is better, gap from the top 5 performers represents absolute gap;</w:t>
      </w:r>
      <w:r w:rsidRPr="008671B7">
        <w:rPr>
          <w:rFonts w:eastAsia="Times New Roman" w:cs="Arial"/>
          <w:b/>
          <w:bCs/>
          <w:color w:val="22789A"/>
          <w:sz w:val="16"/>
          <w:szCs w:val="16"/>
          <w:lang w:eastAsia="en-AU"/>
        </w:rPr>
        <w:t xml:space="preserve"> [34] </w:t>
      </w:r>
      <w:r w:rsidRPr="008671B7">
        <w:rPr>
          <w:rFonts w:eastAsia="Times New Roman" w:cs="Arial"/>
          <w:color w:val="22789A"/>
          <w:sz w:val="16"/>
          <w:szCs w:val="16"/>
          <w:lang w:eastAsia="en-AU"/>
        </w:rPr>
        <w:t>2015 prices</w:t>
      </w:r>
      <w:r>
        <w:br w:type="page"/>
      </w:r>
    </w:p>
    <w:tbl>
      <w:tblPr>
        <w:tblW w:w="5025" w:type="pct"/>
        <w:tblBorders>
          <w:bottom w:val="single" w:sz="4" w:space="0" w:color="auto"/>
        </w:tblBorders>
        <w:tblLook w:val="04A0" w:firstRow="1" w:lastRow="0" w:firstColumn="1" w:lastColumn="0" w:noHBand="0" w:noVBand="1"/>
      </w:tblPr>
      <w:tblGrid>
        <w:gridCol w:w="5004"/>
        <w:gridCol w:w="698"/>
        <w:gridCol w:w="698"/>
        <w:gridCol w:w="698"/>
        <w:gridCol w:w="698"/>
        <w:gridCol w:w="699"/>
        <w:gridCol w:w="699"/>
        <w:gridCol w:w="699"/>
        <w:gridCol w:w="699"/>
        <w:gridCol w:w="699"/>
        <w:gridCol w:w="699"/>
        <w:gridCol w:w="699"/>
        <w:gridCol w:w="699"/>
        <w:gridCol w:w="640"/>
      </w:tblGrid>
      <w:tr w:rsidR="00D471AD" w:rsidRPr="002642C9" w14:paraId="7418C133" w14:textId="77777777" w:rsidTr="004A31A9">
        <w:trPr>
          <w:trHeight w:val="300"/>
        </w:trPr>
        <w:tc>
          <w:tcPr>
            <w:tcW w:w="5000" w:type="pct"/>
            <w:gridSpan w:val="14"/>
            <w:tcBorders>
              <w:top w:val="single" w:sz="8" w:space="0" w:color="22789A"/>
              <w:bottom w:val="nil"/>
            </w:tcBorders>
            <w:shd w:val="clear" w:color="auto" w:fill="auto"/>
            <w:vAlign w:val="center"/>
          </w:tcPr>
          <w:p w14:paraId="7418C132" w14:textId="77777777" w:rsidR="00D471AD" w:rsidRPr="002642C9" w:rsidRDefault="00D471AD" w:rsidP="004A31A9">
            <w:pPr>
              <w:widowControl w:val="0"/>
              <w:spacing w:before="42" w:after="0" w:line="240" w:lineRule="auto"/>
              <w:ind w:left="-108"/>
              <w:rPr>
                <w:rFonts w:eastAsia="Calibri" w:hAnsi="Calibri" w:cs="Times New Roman"/>
                <w:i/>
                <w:color w:val="22789A"/>
                <w:spacing w:val="3"/>
                <w:sz w:val="18"/>
                <w:lang w:val="en-US"/>
              </w:rPr>
            </w:pPr>
            <w:r w:rsidRPr="002642C9">
              <w:rPr>
                <w:rFonts w:eastAsia="Calibri" w:hAnsi="Calibri" w:cs="Times New Roman"/>
                <w:i/>
                <w:color w:val="22789A"/>
                <w:spacing w:val="3"/>
                <w:sz w:val="18"/>
                <w:lang w:val="en-US"/>
              </w:rPr>
              <w:t>Table A7(a): Australia</w:t>
            </w:r>
            <w:r w:rsidRPr="002642C9">
              <w:rPr>
                <w:rFonts w:eastAsia="Calibri" w:hAnsi="Calibri" w:cs="Times New Roman"/>
                <w:i/>
                <w:color w:val="22789A"/>
                <w:spacing w:val="3"/>
                <w:sz w:val="18"/>
                <w:lang w:val="en-US"/>
              </w:rPr>
              <w:t>’</w:t>
            </w:r>
            <w:r w:rsidRPr="002642C9">
              <w:rPr>
                <w:rFonts w:eastAsia="Calibri" w:hAnsi="Calibri" w:cs="Times New Roman"/>
                <w:i/>
                <w:color w:val="22789A"/>
                <w:spacing w:val="3"/>
                <w:sz w:val="18"/>
                <w:lang w:val="en-US"/>
              </w:rPr>
              <w:t>s investment in research</w:t>
            </w:r>
          </w:p>
        </w:tc>
      </w:tr>
      <w:tr w:rsidR="00D471AD" w:rsidRPr="002642C9" w14:paraId="7418C135" w14:textId="77777777" w:rsidTr="004A31A9">
        <w:trPr>
          <w:trHeight w:val="300"/>
        </w:trPr>
        <w:tc>
          <w:tcPr>
            <w:tcW w:w="5000" w:type="pct"/>
            <w:gridSpan w:val="14"/>
            <w:tcBorders>
              <w:top w:val="nil"/>
            </w:tcBorders>
            <w:shd w:val="clear" w:color="292B67" w:fill="22789A"/>
            <w:vAlign w:val="center"/>
            <w:hideMark/>
          </w:tcPr>
          <w:p w14:paraId="7418C134" w14:textId="77777777" w:rsidR="00D471AD" w:rsidRPr="002642C9" w:rsidRDefault="00D471AD" w:rsidP="004A31A9">
            <w:pPr>
              <w:widowControl w:val="0"/>
              <w:spacing w:before="42" w:after="0" w:line="240" w:lineRule="auto"/>
              <w:ind w:left="79"/>
              <w:rPr>
                <w:rFonts w:eastAsia="Calibri" w:hAnsi="Calibri" w:cs="Times New Roman"/>
                <w:i/>
                <w:color w:val="FFFFFF"/>
                <w:spacing w:val="3"/>
                <w:sz w:val="18"/>
                <w:lang w:val="en-US"/>
              </w:rPr>
            </w:pPr>
            <w:r w:rsidRPr="002642C9">
              <w:rPr>
                <w:rFonts w:eastAsia="Calibri" w:hAnsi="Calibri" w:cs="Times New Roman"/>
                <w:i/>
                <w:color w:val="FFFFFF"/>
                <w:spacing w:val="3"/>
                <w:sz w:val="18"/>
                <w:lang w:val="en-US"/>
              </w:rPr>
              <w:t>Australian Trend Data (i)</w:t>
            </w:r>
          </w:p>
        </w:tc>
      </w:tr>
      <w:tr w:rsidR="00D471AD" w:rsidRPr="002642C9" w14:paraId="7418C144" w14:textId="77777777" w:rsidTr="004A31A9">
        <w:trPr>
          <w:trHeight w:val="300"/>
        </w:trPr>
        <w:tc>
          <w:tcPr>
            <w:tcW w:w="1784" w:type="pct"/>
            <w:shd w:val="clear" w:color="auto" w:fill="E4F3F9"/>
            <w:vAlign w:val="center"/>
            <w:hideMark/>
          </w:tcPr>
          <w:p w14:paraId="7418C136" w14:textId="77777777" w:rsidR="00D471AD" w:rsidRPr="002642C9" w:rsidRDefault="00D471AD" w:rsidP="004A31A9">
            <w:pPr>
              <w:spacing w:after="0" w:line="240" w:lineRule="auto"/>
              <w:rPr>
                <w:rFonts w:eastAsia="Times New Roman" w:cs="Arial"/>
                <w:b/>
                <w:bCs/>
                <w:i/>
                <w:color w:val="7A7B7C"/>
                <w:sz w:val="14"/>
                <w:szCs w:val="14"/>
                <w:lang w:eastAsia="en-AU"/>
              </w:rPr>
            </w:pPr>
            <w:r w:rsidRPr="002642C9">
              <w:rPr>
                <w:rFonts w:eastAsia="Times New Roman" w:cs="Arial"/>
                <w:b/>
                <w:bCs/>
                <w:i/>
                <w:color w:val="7A7B7C"/>
                <w:sz w:val="14"/>
                <w:szCs w:val="14"/>
                <w:lang w:eastAsia="en-AU"/>
              </w:rPr>
              <w:t>Indicators</w:t>
            </w:r>
          </w:p>
        </w:tc>
        <w:tc>
          <w:tcPr>
            <w:tcW w:w="249" w:type="pct"/>
            <w:shd w:val="clear" w:color="auto" w:fill="E4F3F9"/>
            <w:vAlign w:val="center"/>
            <w:hideMark/>
          </w:tcPr>
          <w:p w14:paraId="7418C137" w14:textId="77777777" w:rsidR="00D471AD" w:rsidRPr="002642C9" w:rsidRDefault="00D471AD" w:rsidP="004A31A9">
            <w:pPr>
              <w:spacing w:after="0" w:line="240" w:lineRule="auto"/>
              <w:jc w:val="right"/>
              <w:rPr>
                <w:rFonts w:eastAsia="Times New Roman" w:cs="Arial"/>
                <w:b/>
                <w:bCs/>
                <w:i/>
                <w:color w:val="7A7B7C"/>
                <w:sz w:val="14"/>
                <w:szCs w:val="14"/>
                <w:lang w:eastAsia="en-AU"/>
              </w:rPr>
            </w:pPr>
            <w:r w:rsidRPr="002642C9">
              <w:rPr>
                <w:rFonts w:eastAsia="Times New Roman" w:cs="Arial"/>
                <w:b/>
                <w:bCs/>
                <w:i/>
                <w:color w:val="7A7B7C"/>
                <w:sz w:val="14"/>
                <w:szCs w:val="14"/>
                <w:lang w:eastAsia="en-AU"/>
              </w:rPr>
              <w:t>1995</w:t>
            </w:r>
          </w:p>
        </w:tc>
        <w:tc>
          <w:tcPr>
            <w:tcW w:w="249" w:type="pct"/>
            <w:shd w:val="clear" w:color="auto" w:fill="E4F3F9"/>
            <w:vAlign w:val="center"/>
            <w:hideMark/>
          </w:tcPr>
          <w:p w14:paraId="7418C138" w14:textId="77777777" w:rsidR="00D471AD" w:rsidRPr="002642C9" w:rsidRDefault="00D471AD" w:rsidP="004A31A9">
            <w:pPr>
              <w:spacing w:after="0" w:line="240" w:lineRule="auto"/>
              <w:jc w:val="right"/>
              <w:rPr>
                <w:rFonts w:eastAsia="Times New Roman" w:cs="Arial"/>
                <w:b/>
                <w:bCs/>
                <w:i/>
                <w:color w:val="7A7B7C"/>
                <w:sz w:val="14"/>
                <w:szCs w:val="14"/>
                <w:lang w:eastAsia="en-AU"/>
              </w:rPr>
            </w:pPr>
            <w:r w:rsidRPr="002642C9">
              <w:rPr>
                <w:rFonts w:eastAsia="Times New Roman" w:cs="Arial"/>
                <w:b/>
                <w:bCs/>
                <w:i/>
                <w:color w:val="7A7B7C"/>
                <w:sz w:val="14"/>
                <w:szCs w:val="14"/>
                <w:lang w:eastAsia="en-AU"/>
              </w:rPr>
              <w:t>2000</w:t>
            </w:r>
          </w:p>
        </w:tc>
        <w:tc>
          <w:tcPr>
            <w:tcW w:w="249" w:type="pct"/>
            <w:shd w:val="clear" w:color="auto" w:fill="E4F3F9"/>
            <w:vAlign w:val="center"/>
            <w:hideMark/>
          </w:tcPr>
          <w:p w14:paraId="7418C139" w14:textId="77777777" w:rsidR="00D471AD" w:rsidRPr="002642C9" w:rsidRDefault="00D471AD" w:rsidP="004A31A9">
            <w:pPr>
              <w:spacing w:after="0" w:line="240" w:lineRule="auto"/>
              <w:jc w:val="right"/>
              <w:rPr>
                <w:rFonts w:eastAsia="Times New Roman" w:cs="Arial"/>
                <w:b/>
                <w:bCs/>
                <w:i/>
                <w:color w:val="7A7B7C"/>
                <w:sz w:val="14"/>
                <w:szCs w:val="14"/>
                <w:lang w:eastAsia="en-AU"/>
              </w:rPr>
            </w:pPr>
            <w:r w:rsidRPr="002642C9">
              <w:rPr>
                <w:rFonts w:eastAsia="Times New Roman" w:cs="Arial"/>
                <w:b/>
                <w:bCs/>
                <w:i/>
                <w:color w:val="7A7B7C"/>
                <w:sz w:val="14"/>
                <w:szCs w:val="14"/>
                <w:lang w:eastAsia="en-AU"/>
              </w:rPr>
              <w:t>2005</w:t>
            </w:r>
          </w:p>
        </w:tc>
        <w:tc>
          <w:tcPr>
            <w:tcW w:w="249" w:type="pct"/>
            <w:shd w:val="clear" w:color="auto" w:fill="E4F3F9"/>
            <w:vAlign w:val="center"/>
            <w:hideMark/>
          </w:tcPr>
          <w:p w14:paraId="7418C13A" w14:textId="77777777" w:rsidR="00D471AD" w:rsidRPr="002642C9" w:rsidRDefault="00D471AD" w:rsidP="004A31A9">
            <w:pPr>
              <w:spacing w:after="0" w:line="240" w:lineRule="auto"/>
              <w:jc w:val="right"/>
              <w:rPr>
                <w:rFonts w:eastAsia="Times New Roman" w:cs="Arial"/>
                <w:b/>
                <w:bCs/>
                <w:i/>
                <w:color w:val="7A7B7C"/>
                <w:sz w:val="14"/>
                <w:szCs w:val="14"/>
                <w:lang w:eastAsia="en-AU"/>
              </w:rPr>
            </w:pPr>
            <w:r w:rsidRPr="002642C9">
              <w:rPr>
                <w:rFonts w:eastAsia="Times New Roman" w:cs="Arial"/>
                <w:b/>
                <w:bCs/>
                <w:i/>
                <w:color w:val="7A7B7C"/>
                <w:sz w:val="14"/>
                <w:szCs w:val="14"/>
                <w:lang w:eastAsia="en-AU"/>
              </w:rPr>
              <w:t>2006</w:t>
            </w:r>
          </w:p>
        </w:tc>
        <w:tc>
          <w:tcPr>
            <w:tcW w:w="249" w:type="pct"/>
            <w:shd w:val="clear" w:color="auto" w:fill="E4F3F9"/>
            <w:vAlign w:val="center"/>
            <w:hideMark/>
          </w:tcPr>
          <w:p w14:paraId="7418C13B" w14:textId="77777777" w:rsidR="00D471AD" w:rsidRPr="002642C9" w:rsidRDefault="00D471AD" w:rsidP="004A31A9">
            <w:pPr>
              <w:spacing w:after="0" w:line="240" w:lineRule="auto"/>
              <w:jc w:val="right"/>
              <w:rPr>
                <w:rFonts w:eastAsia="Times New Roman" w:cs="Arial"/>
                <w:b/>
                <w:bCs/>
                <w:i/>
                <w:color w:val="7A7B7C"/>
                <w:sz w:val="14"/>
                <w:szCs w:val="14"/>
                <w:lang w:eastAsia="en-AU"/>
              </w:rPr>
            </w:pPr>
            <w:r w:rsidRPr="002642C9">
              <w:rPr>
                <w:rFonts w:eastAsia="Times New Roman" w:cs="Arial"/>
                <w:b/>
                <w:bCs/>
                <w:i/>
                <w:color w:val="7A7B7C"/>
                <w:sz w:val="14"/>
                <w:szCs w:val="14"/>
                <w:lang w:eastAsia="en-AU"/>
              </w:rPr>
              <w:t>2007</w:t>
            </w:r>
          </w:p>
        </w:tc>
        <w:tc>
          <w:tcPr>
            <w:tcW w:w="249" w:type="pct"/>
            <w:shd w:val="clear" w:color="auto" w:fill="E4F3F9"/>
            <w:vAlign w:val="center"/>
            <w:hideMark/>
          </w:tcPr>
          <w:p w14:paraId="7418C13C" w14:textId="77777777" w:rsidR="00D471AD" w:rsidRPr="002642C9" w:rsidRDefault="00D471AD" w:rsidP="004A31A9">
            <w:pPr>
              <w:spacing w:after="0" w:line="240" w:lineRule="auto"/>
              <w:jc w:val="right"/>
              <w:rPr>
                <w:rFonts w:eastAsia="Times New Roman" w:cs="Arial"/>
                <w:b/>
                <w:bCs/>
                <w:i/>
                <w:color w:val="7A7B7C"/>
                <w:sz w:val="14"/>
                <w:szCs w:val="14"/>
                <w:lang w:eastAsia="en-AU"/>
              </w:rPr>
            </w:pPr>
            <w:r w:rsidRPr="002642C9">
              <w:rPr>
                <w:rFonts w:eastAsia="Times New Roman" w:cs="Arial"/>
                <w:b/>
                <w:bCs/>
                <w:i/>
                <w:color w:val="7A7B7C"/>
                <w:sz w:val="14"/>
                <w:szCs w:val="14"/>
                <w:lang w:eastAsia="en-AU"/>
              </w:rPr>
              <w:t>2008</w:t>
            </w:r>
          </w:p>
        </w:tc>
        <w:tc>
          <w:tcPr>
            <w:tcW w:w="249" w:type="pct"/>
            <w:shd w:val="clear" w:color="auto" w:fill="E4F3F9"/>
            <w:vAlign w:val="center"/>
            <w:hideMark/>
          </w:tcPr>
          <w:p w14:paraId="7418C13D" w14:textId="77777777" w:rsidR="00D471AD" w:rsidRPr="002642C9" w:rsidRDefault="00D471AD" w:rsidP="004A31A9">
            <w:pPr>
              <w:spacing w:after="0" w:line="240" w:lineRule="auto"/>
              <w:jc w:val="right"/>
              <w:rPr>
                <w:rFonts w:eastAsia="Times New Roman" w:cs="Arial"/>
                <w:b/>
                <w:bCs/>
                <w:i/>
                <w:color w:val="7A7B7C"/>
                <w:sz w:val="14"/>
                <w:szCs w:val="14"/>
                <w:lang w:eastAsia="en-AU"/>
              </w:rPr>
            </w:pPr>
            <w:r w:rsidRPr="002642C9">
              <w:rPr>
                <w:rFonts w:eastAsia="Times New Roman" w:cs="Arial"/>
                <w:b/>
                <w:bCs/>
                <w:i/>
                <w:color w:val="7A7B7C"/>
                <w:sz w:val="14"/>
                <w:szCs w:val="14"/>
                <w:lang w:eastAsia="en-AU"/>
              </w:rPr>
              <w:t>2009</w:t>
            </w:r>
          </w:p>
        </w:tc>
        <w:tc>
          <w:tcPr>
            <w:tcW w:w="249" w:type="pct"/>
            <w:shd w:val="clear" w:color="auto" w:fill="E4F3F9"/>
            <w:vAlign w:val="center"/>
            <w:hideMark/>
          </w:tcPr>
          <w:p w14:paraId="7418C13E" w14:textId="77777777" w:rsidR="00D471AD" w:rsidRPr="002642C9" w:rsidRDefault="00D471AD" w:rsidP="004A31A9">
            <w:pPr>
              <w:spacing w:after="0" w:line="240" w:lineRule="auto"/>
              <w:jc w:val="right"/>
              <w:rPr>
                <w:rFonts w:eastAsia="Times New Roman" w:cs="Arial"/>
                <w:b/>
                <w:bCs/>
                <w:i/>
                <w:color w:val="7A7B7C"/>
                <w:sz w:val="14"/>
                <w:szCs w:val="14"/>
                <w:lang w:eastAsia="en-AU"/>
              </w:rPr>
            </w:pPr>
            <w:r w:rsidRPr="002642C9">
              <w:rPr>
                <w:rFonts w:eastAsia="Times New Roman" w:cs="Arial"/>
                <w:b/>
                <w:bCs/>
                <w:i/>
                <w:color w:val="7A7B7C"/>
                <w:sz w:val="14"/>
                <w:szCs w:val="14"/>
                <w:lang w:eastAsia="en-AU"/>
              </w:rPr>
              <w:t>2010</w:t>
            </w:r>
          </w:p>
        </w:tc>
        <w:tc>
          <w:tcPr>
            <w:tcW w:w="249" w:type="pct"/>
            <w:shd w:val="clear" w:color="auto" w:fill="E4F3F9"/>
            <w:vAlign w:val="center"/>
            <w:hideMark/>
          </w:tcPr>
          <w:p w14:paraId="7418C13F" w14:textId="77777777" w:rsidR="00D471AD" w:rsidRPr="002642C9" w:rsidRDefault="00D471AD" w:rsidP="004A31A9">
            <w:pPr>
              <w:spacing w:after="0" w:line="240" w:lineRule="auto"/>
              <w:jc w:val="right"/>
              <w:rPr>
                <w:rFonts w:eastAsia="Times New Roman" w:cs="Arial"/>
                <w:b/>
                <w:bCs/>
                <w:i/>
                <w:color w:val="7A7B7C"/>
                <w:sz w:val="14"/>
                <w:szCs w:val="14"/>
                <w:lang w:eastAsia="en-AU"/>
              </w:rPr>
            </w:pPr>
            <w:r w:rsidRPr="002642C9">
              <w:rPr>
                <w:rFonts w:eastAsia="Times New Roman" w:cs="Arial"/>
                <w:b/>
                <w:bCs/>
                <w:i/>
                <w:color w:val="7A7B7C"/>
                <w:sz w:val="14"/>
                <w:szCs w:val="14"/>
                <w:lang w:eastAsia="en-AU"/>
              </w:rPr>
              <w:t>2011</w:t>
            </w:r>
          </w:p>
        </w:tc>
        <w:tc>
          <w:tcPr>
            <w:tcW w:w="249" w:type="pct"/>
            <w:shd w:val="clear" w:color="auto" w:fill="E4F3F9"/>
            <w:vAlign w:val="center"/>
            <w:hideMark/>
          </w:tcPr>
          <w:p w14:paraId="7418C140" w14:textId="77777777" w:rsidR="00D471AD" w:rsidRPr="002642C9" w:rsidRDefault="00D471AD" w:rsidP="004A31A9">
            <w:pPr>
              <w:spacing w:after="0" w:line="240" w:lineRule="auto"/>
              <w:jc w:val="right"/>
              <w:rPr>
                <w:rFonts w:eastAsia="Times New Roman" w:cs="Arial"/>
                <w:b/>
                <w:bCs/>
                <w:i/>
                <w:color w:val="7A7B7C"/>
                <w:sz w:val="14"/>
                <w:szCs w:val="14"/>
                <w:lang w:eastAsia="en-AU"/>
              </w:rPr>
            </w:pPr>
            <w:r w:rsidRPr="002642C9">
              <w:rPr>
                <w:rFonts w:eastAsia="Times New Roman" w:cs="Arial"/>
                <w:b/>
                <w:bCs/>
                <w:i/>
                <w:color w:val="7A7B7C"/>
                <w:sz w:val="14"/>
                <w:szCs w:val="14"/>
                <w:lang w:eastAsia="en-AU"/>
              </w:rPr>
              <w:t>2012</w:t>
            </w:r>
          </w:p>
        </w:tc>
        <w:tc>
          <w:tcPr>
            <w:tcW w:w="249" w:type="pct"/>
            <w:shd w:val="clear" w:color="auto" w:fill="E4F3F9"/>
            <w:vAlign w:val="center"/>
            <w:hideMark/>
          </w:tcPr>
          <w:p w14:paraId="7418C141" w14:textId="77777777" w:rsidR="00D471AD" w:rsidRPr="002642C9" w:rsidRDefault="00D471AD" w:rsidP="004A31A9">
            <w:pPr>
              <w:spacing w:after="0" w:line="240" w:lineRule="auto"/>
              <w:jc w:val="right"/>
              <w:rPr>
                <w:rFonts w:eastAsia="Times New Roman" w:cs="Arial"/>
                <w:b/>
                <w:bCs/>
                <w:i/>
                <w:color w:val="7A7B7C"/>
                <w:sz w:val="14"/>
                <w:szCs w:val="14"/>
                <w:lang w:eastAsia="en-AU"/>
              </w:rPr>
            </w:pPr>
            <w:r w:rsidRPr="002642C9">
              <w:rPr>
                <w:rFonts w:eastAsia="Times New Roman" w:cs="Arial"/>
                <w:b/>
                <w:bCs/>
                <w:i/>
                <w:color w:val="7A7B7C"/>
                <w:sz w:val="14"/>
                <w:szCs w:val="14"/>
                <w:lang w:eastAsia="en-AU"/>
              </w:rPr>
              <w:t>2013</w:t>
            </w:r>
          </w:p>
        </w:tc>
        <w:tc>
          <w:tcPr>
            <w:tcW w:w="249" w:type="pct"/>
            <w:shd w:val="clear" w:color="auto" w:fill="E4F3F9"/>
            <w:vAlign w:val="center"/>
            <w:hideMark/>
          </w:tcPr>
          <w:p w14:paraId="7418C142" w14:textId="77777777" w:rsidR="00D471AD" w:rsidRPr="002642C9" w:rsidRDefault="00D471AD" w:rsidP="004A31A9">
            <w:pPr>
              <w:spacing w:after="0" w:line="240" w:lineRule="auto"/>
              <w:jc w:val="right"/>
              <w:rPr>
                <w:rFonts w:eastAsia="Times New Roman" w:cs="Arial"/>
                <w:b/>
                <w:bCs/>
                <w:i/>
                <w:color w:val="7A7B7C"/>
                <w:sz w:val="14"/>
                <w:szCs w:val="14"/>
                <w:lang w:eastAsia="en-AU"/>
              </w:rPr>
            </w:pPr>
            <w:r w:rsidRPr="002642C9">
              <w:rPr>
                <w:rFonts w:eastAsia="Times New Roman" w:cs="Arial"/>
                <w:b/>
                <w:bCs/>
                <w:i/>
                <w:color w:val="7A7B7C"/>
                <w:sz w:val="14"/>
                <w:szCs w:val="14"/>
                <w:lang w:eastAsia="en-AU"/>
              </w:rPr>
              <w:t>2014</w:t>
            </w:r>
          </w:p>
        </w:tc>
        <w:tc>
          <w:tcPr>
            <w:tcW w:w="227" w:type="pct"/>
            <w:shd w:val="clear" w:color="auto" w:fill="E4F3F9"/>
            <w:vAlign w:val="center"/>
            <w:hideMark/>
          </w:tcPr>
          <w:p w14:paraId="7418C143" w14:textId="77777777" w:rsidR="00D471AD" w:rsidRPr="002642C9" w:rsidRDefault="00D471AD" w:rsidP="004A31A9">
            <w:pPr>
              <w:spacing w:after="0" w:line="240" w:lineRule="auto"/>
              <w:jc w:val="right"/>
              <w:rPr>
                <w:rFonts w:eastAsia="Times New Roman" w:cs="Arial"/>
                <w:b/>
                <w:bCs/>
                <w:i/>
                <w:color w:val="7A7B7C"/>
                <w:sz w:val="14"/>
                <w:szCs w:val="14"/>
                <w:lang w:eastAsia="en-AU"/>
              </w:rPr>
            </w:pPr>
            <w:r w:rsidRPr="002642C9">
              <w:rPr>
                <w:rFonts w:eastAsia="Times New Roman" w:cs="Arial"/>
                <w:b/>
                <w:bCs/>
                <w:i/>
                <w:color w:val="7A7B7C"/>
                <w:sz w:val="14"/>
                <w:szCs w:val="14"/>
                <w:lang w:eastAsia="en-AU"/>
              </w:rPr>
              <w:t>2015</w:t>
            </w:r>
          </w:p>
        </w:tc>
      </w:tr>
      <w:tr w:rsidR="00D471AD" w:rsidRPr="002642C9" w14:paraId="7418C153" w14:textId="77777777" w:rsidTr="004A31A9">
        <w:trPr>
          <w:trHeight w:val="300"/>
        </w:trPr>
        <w:tc>
          <w:tcPr>
            <w:tcW w:w="1784" w:type="pct"/>
            <w:shd w:val="clear" w:color="auto" w:fill="D5ECF5"/>
            <w:vAlign w:val="center"/>
            <w:hideMark/>
          </w:tcPr>
          <w:p w14:paraId="7418C145" w14:textId="77777777" w:rsidR="00D471AD" w:rsidRPr="002642C9" w:rsidRDefault="00D471AD" w:rsidP="004A31A9">
            <w:pPr>
              <w:spacing w:after="0" w:line="240" w:lineRule="auto"/>
              <w:rPr>
                <w:rFonts w:eastAsia="Times New Roman" w:cs="Arial"/>
                <w:bCs/>
                <w:color w:val="7A7B7C"/>
                <w:sz w:val="14"/>
                <w:szCs w:val="14"/>
                <w:lang w:eastAsia="en-AU"/>
              </w:rPr>
            </w:pPr>
            <w:r w:rsidRPr="002642C9">
              <w:rPr>
                <w:rFonts w:eastAsia="Times New Roman" w:cs="Arial" w:hint="eastAsia"/>
                <w:bCs/>
                <w:color w:val="7A7B7C"/>
                <w:sz w:val="14"/>
                <w:szCs w:val="14"/>
                <w:lang w:eastAsia="en-AU"/>
              </w:rPr>
              <w:t>Gross Expenditure on R&amp;D (GERD), % of GDP</w:t>
            </w:r>
            <w:r w:rsidRPr="002642C9">
              <w:rPr>
                <w:rFonts w:ascii="Arial Unicode MS" w:eastAsia="Arial Unicode MS" w:hAnsi="Arial Unicode MS" w:cs="Arial Unicode MS" w:hint="eastAsia"/>
                <w:bCs/>
                <w:color w:val="7A7B7C"/>
                <w:sz w:val="14"/>
                <w:szCs w:val="14"/>
                <w:lang w:eastAsia="en-AU"/>
              </w:rPr>
              <w:t>¹ ¹</w:t>
            </w:r>
            <w:r w:rsidRPr="002642C9">
              <w:rPr>
                <w:rFonts w:ascii="Arial Unicode MS" w:eastAsia="Arial Unicode MS" w:hAnsi="Arial Unicode MS" w:cs="Arial Unicode MS"/>
                <w:bCs/>
                <w:color w:val="7A7B7C"/>
                <w:sz w:val="14"/>
                <w:szCs w:val="14"/>
                <w:lang w:eastAsia="en-AU"/>
              </w:rPr>
              <w:t>⁰</w:t>
            </w:r>
            <w:r w:rsidRPr="002642C9">
              <w:rPr>
                <w:rFonts w:ascii="Arial Unicode MS" w:eastAsia="Arial Unicode MS" w:hAnsi="Arial Unicode MS" w:cs="Arial Unicode MS" w:hint="eastAsia"/>
                <w:bCs/>
                <w:color w:val="7A7B7C"/>
                <w:sz w:val="14"/>
                <w:szCs w:val="14"/>
                <w:lang w:eastAsia="en-AU"/>
              </w:rPr>
              <w:t xml:space="preserve"> </w:t>
            </w:r>
            <w:r w:rsidRPr="002642C9">
              <w:rPr>
                <w:rFonts w:ascii="Arial Unicode MS" w:eastAsia="Arial Unicode MS" w:hAnsi="Arial Unicode MS" w:cs="Arial Unicode MS"/>
                <w:bCs/>
                <w:color w:val="7A7B7C"/>
                <w:sz w:val="14"/>
                <w:szCs w:val="14"/>
                <w:lang w:eastAsia="en-AU"/>
              </w:rPr>
              <w:t>¹¹</w:t>
            </w:r>
          </w:p>
        </w:tc>
        <w:tc>
          <w:tcPr>
            <w:tcW w:w="249" w:type="pct"/>
            <w:shd w:val="clear" w:color="auto" w:fill="D5ECF5"/>
            <w:vAlign w:val="center"/>
            <w:hideMark/>
          </w:tcPr>
          <w:p w14:paraId="7418C146"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1.58</w:t>
            </w:r>
          </w:p>
        </w:tc>
        <w:tc>
          <w:tcPr>
            <w:tcW w:w="249" w:type="pct"/>
            <w:shd w:val="clear" w:color="auto" w:fill="D5ECF5"/>
            <w:vAlign w:val="center"/>
            <w:hideMark/>
          </w:tcPr>
          <w:p w14:paraId="7418C147"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1.48</w:t>
            </w:r>
          </w:p>
        </w:tc>
        <w:tc>
          <w:tcPr>
            <w:tcW w:w="249" w:type="pct"/>
            <w:shd w:val="clear" w:color="auto" w:fill="D5ECF5"/>
            <w:vAlign w:val="center"/>
            <w:hideMark/>
          </w:tcPr>
          <w:p w14:paraId="7418C148"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1.73</w:t>
            </w:r>
          </w:p>
        </w:tc>
        <w:tc>
          <w:tcPr>
            <w:tcW w:w="249" w:type="pct"/>
            <w:shd w:val="clear" w:color="auto" w:fill="D5ECF5"/>
            <w:vAlign w:val="center"/>
            <w:hideMark/>
          </w:tcPr>
          <w:p w14:paraId="7418C149"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2.00</w:t>
            </w:r>
          </w:p>
        </w:tc>
        <w:tc>
          <w:tcPr>
            <w:tcW w:w="249" w:type="pct"/>
            <w:shd w:val="clear" w:color="auto" w:fill="D5ECF5"/>
            <w:vAlign w:val="center"/>
            <w:hideMark/>
          </w:tcPr>
          <w:p w14:paraId="7418C14A"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4B"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2.25</w:t>
            </w:r>
          </w:p>
        </w:tc>
        <w:tc>
          <w:tcPr>
            <w:tcW w:w="249" w:type="pct"/>
            <w:shd w:val="clear" w:color="auto" w:fill="D5ECF5"/>
            <w:vAlign w:val="center"/>
            <w:hideMark/>
          </w:tcPr>
          <w:p w14:paraId="7418C14C"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4D"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2.19</w:t>
            </w:r>
          </w:p>
        </w:tc>
        <w:tc>
          <w:tcPr>
            <w:tcW w:w="249" w:type="pct"/>
            <w:shd w:val="clear" w:color="auto" w:fill="D5ECF5"/>
            <w:vAlign w:val="center"/>
            <w:hideMark/>
          </w:tcPr>
          <w:p w14:paraId="7418C14E"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2.12</w:t>
            </w:r>
          </w:p>
        </w:tc>
        <w:tc>
          <w:tcPr>
            <w:tcW w:w="249" w:type="pct"/>
            <w:shd w:val="clear" w:color="auto" w:fill="D5ECF5"/>
            <w:vAlign w:val="center"/>
            <w:hideMark/>
          </w:tcPr>
          <w:p w14:paraId="7418C14F"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50"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2.11</w:t>
            </w:r>
          </w:p>
        </w:tc>
        <w:tc>
          <w:tcPr>
            <w:tcW w:w="249" w:type="pct"/>
            <w:shd w:val="clear" w:color="auto" w:fill="D5ECF5"/>
            <w:vAlign w:val="center"/>
            <w:hideMark/>
          </w:tcPr>
          <w:p w14:paraId="7418C151"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27" w:type="pct"/>
            <w:shd w:val="clear" w:color="auto" w:fill="D5ECF5"/>
            <w:vAlign w:val="center"/>
            <w:hideMark/>
          </w:tcPr>
          <w:p w14:paraId="7418C152"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r>
      <w:tr w:rsidR="00D471AD" w:rsidRPr="002642C9" w14:paraId="7418C162" w14:textId="77777777" w:rsidTr="004A31A9">
        <w:trPr>
          <w:trHeight w:val="300"/>
        </w:trPr>
        <w:tc>
          <w:tcPr>
            <w:tcW w:w="1784" w:type="pct"/>
            <w:shd w:val="clear" w:color="auto" w:fill="E4F3F9"/>
            <w:vAlign w:val="center"/>
            <w:hideMark/>
          </w:tcPr>
          <w:p w14:paraId="7418C154" w14:textId="77777777" w:rsidR="00D471AD" w:rsidRPr="002642C9" w:rsidRDefault="00D471AD" w:rsidP="004A31A9">
            <w:pPr>
              <w:spacing w:after="0" w:line="240" w:lineRule="auto"/>
              <w:rPr>
                <w:rFonts w:eastAsia="Times New Roman" w:cs="Arial"/>
                <w:bCs/>
                <w:color w:val="7A7B7C"/>
                <w:sz w:val="14"/>
                <w:szCs w:val="14"/>
                <w:lang w:eastAsia="en-AU"/>
              </w:rPr>
            </w:pPr>
            <w:r w:rsidRPr="002642C9">
              <w:rPr>
                <w:rFonts w:eastAsia="Times New Roman" w:cs="Arial" w:hint="eastAsia"/>
                <w:bCs/>
                <w:color w:val="7A7B7C"/>
                <w:sz w:val="14"/>
                <w:szCs w:val="14"/>
                <w:lang w:eastAsia="en-AU"/>
              </w:rPr>
              <w:t>Gross Expenditure on R&amp;D (GERD), billion A$</w:t>
            </w:r>
            <w:r w:rsidRPr="002642C9">
              <w:rPr>
                <w:rFonts w:ascii="Arial Unicode MS" w:eastAsia="Arial Unicode MS" w:hAnsi="Arial Unicode MS" w:cs="Arial Unicode MS" w:hint="eastAsia"/>
                <w:bCs/>
                <w:color w:val="7A7B7C"/>
                <w:sz w:val="14"/>
                <w:szCs w:val="14"/>
                <w:lang w:eastAsia="en-AU"/>
              </w:rPr>
              <w:t xml:space="preserve">² ³ </w:t>
            </w:r>
            <w:r w:rsidRPr="002642C9">
              <w:rPr>
                <w:rFonts w:ascii="Arial Unicode MS" w:eastAsia="Arial Unicode MS" w:hAnsi="Arial Unicode MS" w:cs="Arial Unicode MS"/>
                <w:bCs/>
                <w:color w:val="7A7B7C"/>
                <w:sz w:val="14"/>
                <w:szCs w:val="14"/>
                <w:lang w:eastAsia="en-AU"/>
              </w:rPr>
              <w:t>⁴</w:t>
            </w:r>
            <w:r w:rsidRPr="002642C9">
              <w:rPr>
                <w:rFonts w:ascii="Arial Unicode MS" w:eastAsia="Arial Unicode MS" w:hAnsi="Arial Unicode MS" w:cs="Arial Unicode MS" w:hint="eastAsia"/>
                <w:bCs/>
                <w:color w:val="7A7B7C"/>
                <w:sz w:val="14"/>
                <w:szCs w:val="14"/>
                <w:lang w:eastAsia="en-AU"/>
              </w:rPr>
              <w:t xml:space="preserve"> </w:t>
            </w:r>
            <w:r w:rsidRPr="002642C9">
              <w:rPr>
                <w:rFonts w:ascii="Arial Unicode MS" w:eastAsia="Arial Unicode MS" w:hAnsi="Arial Unicode MS" w:cs="Arial Unicode MS"/>
                <w:bCs/>
                <w:color w:val="7A7B7C"/>
                <w:sz w:val="14"/>
                <w:szCs w:val="14"/>
                <w:lang w:eastAsia="en-AU"/>
              </w:rPr>
              <w:t>¹⁰</w:t>
            </w:r>
            <w:r w:rsidRPr="002642C9">
              <w:rPr>
                <w:rFonts w:ascii="Arial Unicode MS" w:eastAsia="Arial Unicode MS" w:hAnsi="Arial Unicode MS" w:cs="Arial Unicode MS" w:hint="eastAsia"/>
                <w:bCs/>
                <w:color w:val="7A7B7C"/>
                <w:sz w:val="14"/>
                <w:szCs w:val="14"/>
                <w:lang w:eastAsia="en-AU"/>
              </w:rPr>
              <w:t xml:space="preserve"> </w:t>
            </w:r>
            <w:r w:rsidRPr="002642C9">
              <w:rPr>
                <w:rFonts w:ascii="Arial Unicode MS" w:eastAsia="Arial Unicode MS" w:hAnsi="Arial Unicode MS" w:cs="Arial Unicode MS"/>
                <w:bCs/>
                <w:color w:val="7A7B7C"/>
                <w:sz w:val="14"/>
                <w:szCs w:val="14"/>
                <w:lang w:eastAsia="en-AU"/>
              </w:rPr>
              <w:t>¹¹</w:t>
            </w:r>
          </w:p>
        </w:tc>
        <w:tc>
          <w:tcPr>
            <w:tcW w:w="249" w:type="pct"/>
            <w:shd w:val="clear" w:color="auto" w:fill="E4F3F9"/>
            <w:vAlign w:val="center"/>
            <w:hideMark/>
          </w:tcPr>
          <w:p w14:paraId="7418C155"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8.8</w:t>
            </w:r>
          </w:p>
        </w:tc>
        <w:tc>
          <w:tcPr>
            <w:tcW w:w="249" w:type="pct"/>
            <w:shd w:val="clear" w:color="auto" w:fill="E4F3F9"/>
            <w:vAlign w:val="center"/>
            <w:hideMark/>
          </w:tcPr>
          <w:p w14:paraId="7418C156"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10.4</w:t>
            </w:r>
          </w:p>
        </w:tc>
        <w:tc>
          <w:tcPr>
            <w:tcW w:w="249" w:type="pct"/>
            <w:shd w:val="clear" w:color="auto" w:fill="E4F3F9"/>
            <w:vAlign w:val="center"/>
            <w:hideMark/>
          </w:tcPr>
          <w:p w14:paraId="7418C157"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16.0</w:t>
            </w:r>
          </w:p>
        </w:tc>
        <w:tc>
          <w:tcPr>
            <w:tcW w:w="249" w:type="pct"/>
            <w:shd w:val="clear" w:color="auto" w:fill="E4F3F9"/>
            <w:vAlign w:val="center"/>
            <w:hideMark/>
          </w:tcPr>
          <w:p w14:paraId="7418C158"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21.8</w:t>
            </w:r>
          </w:p>
        </w:tc>
        <w:tc>
          <w:tcPr>
            <w:tcW w:w="249" w:type="pct"/>
            <w:shd w:val="clear" w:color="auto" w:fill="E4F3F9"/>
            <w:vAlign w:val="center"/>
            <w:hideMark/>
          </w:tcPr>
          <w:p w14:paraId="7418C159"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5A"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28.3</w:t>
            </w:r>
          </w:p>
        </w:tc>
        <w:tc>
          <w:tcPr>
            <w:tcW w:w="249" w:type="pct"/>
            <w:shd w:val="clear" w:color="auto" w:fill="E4F3F9"/>
            <w:vAlign w:val="center"/>
            <w:hideMark/>
          </w:tcPr>
          <w:p w14:paraId="7418C15B"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5C"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30.9</w:t>
            </w:r>
          </w:p>
        </w:tc>
        <w:tc>
          <w:tcPr>
            <w:tcW w:w="249" w:type="pct"/>
            <w:shd w:val="clear" w:color="auto" w:fill="E4F3F9"/>
            <w:vAlign w:val="center"/>
            <w:hideMark/>
          </w:tcPr>
          <w:p w14:paraId="7418C15D"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31.7</w:t>
            </w:r>
          </w:p>
        </w:tc>
        <w:tc>
          <w:tcPr>
            <w:tcW w:w="249" w:type="pct"/>
            <w:shd w:val="clear" w:color="auto" w:fill="E4F3F9"/>
            <w:vAlign w:val="center"/>
            <w:hideMark/>
          </w:tcPr>
          <w:p w14:paraId="7418C15E"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5F"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33.5</w:t>
            </w:r>
          </w:p>
        </w:tc>
        <w:tc>
          <w:tcPr>
            <w:tcW w:w="249" w:type="pct"/>
            <w:shd w:val="clear" w:color="auto" w:fill="E4F3F9"/>
            <w:vAlign w:val="center"/>
            <w:hideMark/>
          </w:tcPr>
          <w:p w14:paraId="7418C160"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27" w:type="pct"/>
            <w:shd w:val="clear" w:color="auto" w:fill="E4F3F9"/>
            <w:vAlign w:val="center"/>
            <w:hideMark/>
          </w:tcPr>
          <w:p w14:paraId="7418C161"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r>
      <w:tr w:rsidR="00D471AD" w:rsidRPr="002642C9" w14:paraId="7418C171" w14:textId="77777777" w:rsidTr="004A31A9">
        <w:trPr>
          <w:trHeight w:val="300"/>
        </w:trPr>
        <w:tc>
          <w:tcPr>
            <w:tcW w:w="1784" w:type="pct"/>
            <w:shd w:val="clear" w:color="auto" w:fill="D5ECF5"/>
            <w:vAlign w:val="center"/>
            <w:hideMark/>
          </w:tcPr>
          <w:p w14:paraId="7418C163" w14:textId="77777777" w:rsidR="00D471AD" w:rsidRPr="002642C9" w:rsidRDefault="00D471AD" w:rsidP="004A31A9">
            <w:pPr>
              <w:spacing w:after="0" w:line="240" w:lineRule="auto"/>
              <w:rPr>
                <w:rFonts w:eastAsia="Times New Roman" w:cs="Arial"/>
                <w:bCs/>
                <w:color w:val="7A7B7C"/>
                <w:sz w:val="14"/>
                <w:szCs w:val="14"/>
                <w:lang w:eastAsia="en-AU"/>
              </w:rPr>
            </w:pPr>
            <w:r w:rsidRPr="002642C9">
              <w:rPr>
                <w:rFonts w:eastAsia="Times New Roman" w:cs="Arial" w:hint="eastAsia"/>
                <w:bCs/>
                <w:color w:val="7A7B7C"/>
                <w:sz w:val="14"/>
                <w:szCs w:val="14"/>
                <w:lang w:eastAsia="en-AU"/>
              </w:rPr>
              <w:t xml:space="preserve">Gross Expenditure on R&amp;D (GERD) per capita population, </w:t>
            </w:r>
            <w:r w:rsidRPr="002642C9">
              <w:rPr>
                <w:rFonts w:eastAsia="Times New Roman" w:cs="Arial"/>
                <w:bCs/>
                <w:color w:val="7A7B7C"/>
                <w:sz w:val="14"/>
                <w:szCs w:val="14"/>
                <w:lang w:eastAsia="en-AU"/>
              </w:rPr>
              <w:br/>
            </w:r>
            <w:r w:rsidRPr="002642C9">
              <w:rPr>
                <w:rFonts w:eastAsia="Times New Roman" w:cs="Arial" w:hint="eastAsia"/>
                <w:bCs/>
                <w:color w:val="7A7B7C"/>
                <w:sz w:val="14"/>
                <w:szCs w:val="14"/>
                <w:lang w:eastAsia="en-AU"/>
              </w:rPr>
              <w:t>current PPP $</w:t>
            </w:r>
            <w:r w:rsidRPr="002642C9">
              <w:rPr>
                <w:rFonts w:ascii="Arial Unicode MS" w:eastAsia="Arial Unicode MS" w:hAnsi="Arial Unicode MS" w:cs="Arial Unicode MS" w:hint="eastAsia"/>
                <w:bCs/>
                <w:color w:val="7A7B7C"/>
                <w:sz w:val="14"/>
                <w:szCs w:val="14"/>
                <w:lang w:eastAsia="en-AU"/>
              </w:rPr>
              <w:t>¹ ¹</w:t>
            </w:r>
            <w:r w:rsidRPr="002642C9">
              <w:rPr>
                <w:rFonts w:ascii="Arial Unicode MS" w:eastAsia="Arial Unicode MS" w:hAnsi="Arial Unicode MS" w:cs="Arial Unicode MS"/>
                <w:bCs/>
                <w:color w:val="7A7B7C"/>
                <w:sz w:val="14"/>
                <w:szCs w:val="14"/>
                <w:lang w:eastAsia="en-AU"/>
              </w:rPr>
              <w:t>⁰</w:t>
            </w:r>
            <w:r w:rsidRPr="002642C9">
              <w:rPr>
                <w:rFonts w:ascii="Arial Unicode MS" w:eastAsia="Arial Unicode MS" w:hAnsi="Arial Unicode MS" w:cs="Arial Unicode MS" w:hint="eastAsia"/>
                <w:bCs/>
                <w:color w:val="7A7B7C"/>
                <w:sz w:val="14"/>
                <w:szCs w:val="14"/>
                <w:lang w:eastAsia="en-AU"/>
              </w:rPr>
              <w:t xml:space="preserve"> </w:t>
            </w:r>
            <w:r w:rsidRPr="002642C9">
              <w:rPr>
                <w:rFonts w:ascii="Arial Unicode MS" w:eastAsia="Arial Unicode MS" w:hAnsi="Arial Unicode MS" w:cs="Arial Unicode MS"/>
                <w:bCs/>
                <w:color w:val="7A7B7C"/>
                <w:sz w:val="14"/>
                <w:szCs w:val="14"/>
                <w:lang w:eastAsia="en-AU"/>
              </w:rPr>
              <w:t>¹¹</w:t>
            </w:r>
          </w:p>
        </w:tc>
        <w:tc>
          <w:tcPr>
            <w:tcW w:w="249" w:type="pct"/>
            <w:shd w:val="clear" w:color="auto" w:fill="D5ECF5"/>
            <w:vAlign w:val="center"/>
            <w:hideMark/>
          </w:tcPr>
          <w:p w14:paraId="7418C164"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366</w:t>
            </w:r>
          </w:p>
        </w:tc>
        <w:tc>
          <w:tcPr>
            <w:tcW w:w="249" w:type="pct"/>
            <w:shd w:val="clear" w:color="auto" w:fill="D5ECF5"/>
            <w:vAlign w:val="center"/>
            <w:hideMark/>
          </w:tcPr>
          <w:p w14:paraId="7418C165"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415</w:t>
            </w:r>
          </w:p>
        </w:tc>
        <w:tc>
          <w:tcPr>
            <w:tcW w:w="249" w:type="pct"/>
            <w:shd w:val="clear" w:color="auto" w:fill="D5ECF5"/>
            <w:vAlign w:val="center"/>
            <w:hideMark/>
          </w:tcPr>
          <w:p w14:paraId="7418C166"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582</w:t>
            </w:r>
          </w:p>
        </w:tc>
        <w:tc>
          <w:tcPr>
            <w:tcW w:w="249" w:type="pct"/>
            <w:shd w:val="clear" w:color="auto" w:fill="D5ECF5"/>
            <w:vAlign w:val="center"/>
            <w:hideMark/>
          </w:tcPr>
          <w:p w14:paraId="7418C167"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750</w:t>
            </w:r>
          </w:p>
        </w:tc>
        <w:tc>
          <w:tcPr>
            <w:tcW w:w="249" w:type="pct"/>
            <w:shd w:val="clear" w:color="auto" w:fill="D5ECF5"/>
            <w:vAlign w:val="center"/>
            <w:hideMark/>
          </w:tcPr>
          <w:p w14:paraId="7418C168"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69"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889</w:t>
            </w:r>
          </w:p>
        </w:tc>
        <w:tc>
          <w:tcPr>
            <w:tcW w:w="249" w:type="pct"/>
            <w:shd w:val="clear" w:color="auto" w:fill="D5ECF5"/>
            <w:vAlign w:val="center"/>
            <w:hideMark/>
          </w:tcPr>
          <w:p w14:paraId="7418C16A"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6B"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926</w:t>
            </w:r>
          </w:p>
        </w:tc>
        <w:tc>
          <w:tcPr>
            <w:tcW w:w="249" w:type="pct"/>
            <w:shd w:val="clear" w:color="auto" w:fill="D5ECF5"/>
            <w:vAlign w:val="center"/>
            <w:hideMark/>
          </w:tcPr>
          <w:p w14:paraId="7418C16C"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928</w:t>
            </w:r>
          </w:p>
        </w:tc>
        <w:tc>
          <w:tcPr>
            <w:tcW w:w="249" w:type="pct"/>
            <w:shd w:val="clear" w:color="auto" w:fill="D5ECF5"/>
            <w:vAlign w:val="center"/>
            <w:hideMark/>
          </w:tcPr>
          <w:p w14:paraId="7418C16D"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6E"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989</w:t>
            </w:r>
          </w:p>
        </w:tc>
        <w:tc>
          <w:tcPr>
            <w:tcW w:w="249" w:type="pct"/>
            <w:shd w:val="clear" w:color="auto" w:fill="D5ECF5"/>
            <w:vAlign w:val="center"/>
            <w:hideMark/>
          </w:tcPr>
          <w:p w14:paraId="7418C16F"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27" w:type="pct"/>
            <w:shd w:val="clear" w:color="auto" w:fill="D5ECF5"/>
            <w:vAlign w:val="center"/>
            <w:hideMark/>
          </w:tcPr>
          <w:p w14:paraId="7418C170"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r>
      <w:tr w:rsidR="00D471AD" w:rsidRPr="002642C9" w14:paraId="7418C180" w14:textId="77777777" w:rsidTr="004A31A9">
        <w:trPr>
          <w:trHeight w:val="300"/>
        </w:trPr>
        <w:tc>
          <w:tcPr>
            <w:tcW w:w="1784" w:type="pct"/>
            <w:shd w:val="clear" w:color="auto" w:fill="E4F3F9"/>
            <w:vAlign w:val="center"/>
            <w:hideMark/>
          </w:tcPr>
          <w:p w14:paraId="7418C172" w14:textId="77777777" w:rsidR="00D471AD" w:rsidRPr="002642C9" w:rsidRDefault="00D471AD" w:rsidP="004A31A9">
            <w:pPr>
              <w:spacing w:after="0" w:line="240" w:lineRule="auto"/>
              <w:rPr>
                <w:rFonts w:eastAsia="Times New Roman" w:cs="Arial"/>
                <w:bCs/>
                <w:color w:val="7A7B7C"/>
                <w:sz w:val="14"/>
                <w:szCs w:val="14"/>
                <w:lang w:eastAsia="en-AU"/>
              </w:rPr>
            </w:pPr>
            <w:r w:rsidRPr="002642C9">
              <w:rPr>
                <w:rFonts w:eastAsia="Times New Roman" w:cs="Arial" w:hint="eastAsia"/>
                <w:bCs/>
                <w:color w:val="7A7B7C"/>
                <w:sz w:val="14"/>
                <w:szCs w:val="14"/>
                <w:lang w:eastAsia="en-AU"/>
              </w:rPr>
              <w:t>Business expenditure on R&amp;D (BERD), billion A$</w:t>
            </w:r>
            <w:r w:rsidRPr="002642C9">
              <w:rPr>
                <w:rFonts w:ascii="Arial Unicode MS" w:eastAsia="Arial Unicode MS" w:hAnsi="Arial Unicode MS" w:cs="Arial Unicode MS"/>
                <w:bCs/>
                <w:color w:val="7A7B7C"/>
                <w:sz w:val="14"/>
                <w:szCs w:val="14"/>
                <w:lang w:eastAsia="en-AU"/>
              </w:rPr>
              <w:t>⁵</w:t>
            </w:r>
            <w:r w:rsidRPr="002642C9">
              <w:rPr>
                <w:rFonts w:ascii="Arial Unicode MS" w:eastAsia="Arial Unicode MS" w:hAnsi="Arial Unicode MS" w:cs="Arial Unicode MS" w:hint="eastAsia"/>
                <w:bCs/>
                <w:color w:val="7A7B7C"/>
                <w:sz w:val="14"/>
                <w:szCs w:val="14"/>
                <w:lang w:eastAsia="en-AU"/>
              </w:rPr>
              <w:t xml:space="preserve"> </w:t>
            </w:r>
            <w:r w:rsidRPr="002642C9">
              <w:rPr>
                <w:rFonts w:ascii="Arial Unicode MS" w:eastAsia="Arial Unicode MS" w:hAnsi="Arial Unicode MS" w:cs="Arial Unicode MS"/>
                <w:bCs/>
                <w:color w:val="7A7B7C"/>
                <w:sz w:val="14"/>
                <w:szCs w:val="14"/>
                <w:lang w:eastAsia="en-AU"/>
              </w:rPr>
              <w:t>⁶</w:t>
            </w:r>
          </w:p>
        </w:tc>
        <w:tc>
          <w:tcPr>
            <w:tcW w:w="249" w:type="pct"/>
            <w:shd w:val="clear" w:color="auto" w:fill="E4F3F9"/>
            <w:vAlign w:val="center"/>
            <w:hideMark/>
          </w:tcPr>
          <w:p w14:paraId="7418C173"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4.4</w:t>
            </w:r>
          </w:p>
        </w:tc>
        <w:tc>
          <w:tcPr>
            <w:tcW w:w="249" w:type="pct"/>
            <w:shd w:val="clear" w:color="auto" w:fill="E4F3F9"/>
            <w:vAlign w:val="center"/>
            <w:hideMark/>
          </w:tcPr>
          <w:p w14:paraId="7418C174"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5.0</w:t>
            </w:r>
          </w:p>
        </w:tc>
        <w:tc>
          <w:tcPr>
            <w:tcW w:w="249" w:type="pct"/>
            <w:shd w:val="clear" w:color="auto" w:fill="E4F3F9"/>
            <w:vAlign w:val="center"/>
            <w:hideMark/>
          </w:tcPr>
          <w:p w14:paraId="7418C175"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10.4</w:t>
            </w:r>
          </w:p>
        </w:tc>
        <w:tc>
          <w:tcPr>
            <w:tcW w:w="249" w:type="pct"/>
            <w:shd w:val="clear" w:color="auto" w:fill="E4F3F9"/>
            <w:vAlign w:val="center"/>
            <w:hideMark/>
          </w:tcPr>
          <w:p w14:paraId="7418C176"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12.6</w:t>
            </w:r>
          </w:p>
        </w:tc>
        <w:tc>
          <w:tcPr>
            <w:tcW w:w="249" w:type="pct"/>
            <w:shd w:val="clear" w:color="auto" w:fill="E4F3F9"/>
            <w:vAlign w:val="center"/>
            <w:hideMark/>
          </w:tcPr>
          <w:p w14:paraId="7418C177"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15.0</w:t>
            </w:r>
          </w:p>
        </w:tc>
        <w:tc>
          <w:tcPr>
            <w:tcW w:w="249" w:type="pct"/>
            <w:shd w:val="clear" w:color="auto" w:fill="E4F3F9"/>
            <w:vAlign w:val="center"/>
            <w:hideMark/>
          </w:tcPr>
          <w:p w14:paraId="7418C178"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17.3</w:t>
            </w:r>
          </w:p>
        </w:tc>
        <w:tc>
          <w:tcPr>
            <w:tcW w:w="249" w:type="pct"/>
            <w:shd w:val="clear" w:color="auto" w:fill="E4F3F9"/>
            <w:vAlign w:val="center"/>
            <w:hideMark/>
          </w:tcPr>
          <w:p w14:paraId="7418C179"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16.8</w:t>
            </w:r>
          </w:p>
        </w:tc>
        <w:tc>
          <w:tcPr>
            <w:tcW w:w="249" w:type="pct"/>
            <w:shd w:val="clear" w:color="auto" w:fill="E4F3F9"/>
            <w:vAlign w:val="center"/>
            <w:hideMark/>
          </w:tcPr>
          <w:p w14:paraId="7418C17A"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18.0</w:t>
            </w:r>
          </w:p>
        </w:tc>
        <w:tc>
          <w:tcPr>
            <w:tcW w:w="249" w:type="pct"/>
            <w:shd w:val="clear" w:color="auto" w:fill="E4F3F9"/>
            <w:vAlign w:val="center"/>
            <w:hideMark/>
          </w:tcPr>
          <w:p w14:paraId="7418C17B"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18.3</w:t>
            </w:r>
          </w:p>
        </w:tc>
        <w:tc>
          <w:tcPr>
            <w:tcW w:w="249" w:type="pct"/>
            <w:shd w:val="clear" w:color="auto" w:fill="E4F3F9"/>
            <w:vAlign w:val="center"/>
            <w:hideMark/>
          </w:tcPr>
          <w:p w14:paraId="7418C17C"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7D"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18.8</w:t>
            </w:r>
          </w:p>
        </w:tc>
        <w:tc>
          <w:tcPr>
            <w:tcW w:w="249" w:type="pct"/>
            <w:shd w:val="clear" w:color="auto" w:fill="E4F3F9"/>
            <w:vAlign w:val="center"/>
            <w:hideMark/>
          </w:tcPr>
          <w:p w14:paraId="7418C17E"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27" w:type="pct"/>
            <w:shd w:val="clear" w:color="auto" w:fill="E4F3F9"/>
            <w:vAlign w:val="center"/>
            <w:hideMark/>
          </w:tcPr>
          <w:p w14:paraId="7418C17F"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r>
      <w:tr w:rsidR="00D471AD" w:rsidRPr="002642C9" w14:paraId="7418C18F" w14:textId="77777777" w:rsidTr="004A31A9">
        <w:trPr>
          <w:trHeight w:val="300"/>
        </w:trPr>
        <w:tc>
          <w:tcPr>
            <w:tcW w:w="1784" w:type="pct"/>
            <w:shd w:val="clear" w:color="auto" w:fill="D5ECF5"/>
            <w:vAlign w:val="center"/>
            <w:hideMark/>
          </w:tcPr>
          <w:p w14:paraId="7418C181" w14:textId="77777777" w:rsidR="00D471AD" w:rsidRPr="002642C9" w:rsidRDefault="00D471AD" w:rsidP="004A31A9">
            <w:pPr>
              <w:spacing w:after="0" w:line="240" w:lineRule="auto"/>
              <w:rPr>
                <w:rFonts w:eastAsia="Times New Roman" w:cs="Arial"/>
                <w:bCs/>
                <w:color w:val="7A7B7C"/>
                <w:sz w:val="14"/>
                <w:szCs w:val="14"/>
                <w:lang w:eastAsia="en-AU"/>
              </w:rPr>
            </w:pPr>
            <w:r w:rsidRPr="002642C9">
              <w:rPr>
                <w:rFonts w:eastAsia="Times New Roman" w:cs="Arial" w:hint="eastAsia"/>
                <w:bCs/>
                <w:color w:val="7A7B7C"/>
                <w:sz w:val="14"/>
                <w:szCs w:val="14"/>
                <w:lang w:eastAsia="en-AU"/>
              </w:rPr>
              <w:t>Higher education expenditure on R&amp;D (HERD), % of GDP</w:t>
            </w:r>
            <w:r w:rsidRPr="002642C9">
              <w:rPr>
                <w:rFonts w:ascii="Arial Unicode MS" w:eastAsia="Arial Unicode MS" w:hAnsi="Arial Unicode MS" w:cs="Arial Unicode MS" w:hint="eastAsia"/>
                <w:bCs/>
                <w:color w:val="7A7B7C"/>
                <w:sz w:val="14"/>
                <w:szCs w:val="14"/>
                <w:lang w:eastAsia="en-AU"/>
              </w:rPr>
              <w:t>¹ ¹¹</w:t>
            </w:r>
          </w:p>
        </w:tc>
        <w:tc>
          <w:tcPr>
            <w:tcW w:w="249" w:type="pct"/>
            <w:shd w:val="clear" w:color="auto" w:fill="D5ECF5"/>
            <w:vAlign w:val="center"/>
            <w:hideMark/>
          </w:tcPr>
          <w:p w14:paraId="7418C182"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0.39</w:t>
            </w:r>
          </w:p>
        </w:tc>
        <w:tc>
          <w:tcPr>
            <w:tcW w:w="249" w:type="pct"/>
            <w:shd w:val="clear" w:color="auto" w:fill="D5ECF5"/>
            <w:vAlign w:val="center"/>
            <w:hideMark/>
          </w:tcPr>
          <w:p w14:paraId="7418C183"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0.40</w:t>
            </w:r>
          </w:p>
        </w:tc>
        <w:tc>
          <w:tcPr>
            <w:tcW w:w="249" w:type="pct"/>
            <w:shd w:val="clear" w:color="auto" w:fill="D5ECF5"/>
            <w:vAlign w:val="center"/>
            <w:hideMark/>
          </w:tcPr>
          <w:p w14:paraId="7418C184"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0.47</w:t>
            </w:r>
          </w:p>
        </w:tc>
        <w:tc>
          <w:tcPr>
            <w:tcW w:w="249" w:type="pct"/>
            <w:shd w:val="clear" w:color="auto" w:fill="D5ECF5"/>
            <w:vAlign w:val="center"/>
            <w:hideMark/>
          </w:tcPr>
          <w:p w14:paraId="7418C185"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0.50</w:t>
            </w:r>
          </w:p>
        </w:tc>
        <w:tc>
          <w:tcPr>
            <w:tcW w:w="249" w:type="pct"/>
            <w:shd w:val="clear" w:color="auto" w:fill="D5ECF5"/>
            <w:vAlign w:val="center"/>
            <w:hideMark/>
          </w:tcPr>
          <w:p w14:paraId="7418C186"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87"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0.54</w:t>
            </w:r>
          </w:p>
        </w:tc>
        <w:tc>
          <w:tcPr>
            <w:tcW w:w="249" w:type="pct"/>
            <w:shd w:val="clear" w:color="auto" w:fill="D5ECF5"/>
            <w:vAlign w:val="center"/>
            <w:hideMark/>
          </w:tcPr>
          <w:p w14:paraId="7418C188"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89"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0.58</w:t>
            </w:r>
          </w:p>
        </w:tc>
        <w:tc>
          <w:tcPr>
            <w:tcW w:w="249" w:type="pct"/>
            <w:shd w:val="clear" w:color="auto" w:fill="D5ECF5"/>
            <w:vAlign w:val="center"/>
            <w:hideMark/>
          </w:tcPr>
          <w:p w14:paraId="7418C18A"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0.60</w:t>
            </w:r>
          </w:p>
        </w:tc>
        <w:tc>
          <w:tcPr>
            <w:tcW w:w="249" w:type="pct"/>
            <w:shd w:val="clear" w:color="auto" w:fill="D5ECF5"/>
            <w:vAlign w:val="center"/>
            <w:hideMark/>
          </w:tcPr>
          <w:p w14:paraId="7418C18B"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0.63</w:t>
            </w:r>
          </w:p>
        </w:tc>
        <w:tc>
          <w:tcPr>
            <w:tcW w:w="249" w:type="pct"/>
            <w:shd w:val="clear" w:color="auto" w:fill="D5ECF5"/>
            <w:vAlign w:val="center"/>
            <w:hideMark/>
          </w:tcPr>
          <w:p w14:paraId="7418C18C"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0.63</w:t>
            </w:r>
          </w:p>
        </w:tc>
        <w:tc>
          <w:tcPr>
            <w:tcW w:w="249" w:type="pct"/>
            <w:shd w:val="clear" w:color="auto" w:fill="D5ECF5"/>
            <w:vAlign w:val="center"/>
            <w:hideMark/>
          </w:tcPr>
          <w:p w14:paraId="7418C18D"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27" w:type="pct"/>
            <w:shd w:val="clear" w:color="auto" w:fill="D5ECF5"/>
            <w:vAlign w:val="center"/>
            <w:hideMark/>
          </w:tcPr>
          <w:p w14:paraId="7418C18E"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r>
      <w:tr w:rsidR="00D471AD" w:rsidRPr="002642C9" w14:paraId="7418C19E" w14:textId="77777777" w:rsidTr="004A31A9">
        <w:trPr>
          <w:trHeight w:val="300"/>
        </w:trPr>
        <w:tc>
          <w:tcPr>
            <w:tcW w:w="1784" w:type="pct"/>
            <w:shd w:val="clear" w:color="auto" w:fill="E4F3F9"/>
            <w:vAlign w:val="center"/>
            <w:hideMark/>
          </w:tcPr>
          <w:p w14:paraId="7418C190" w14:textId="77777777" w:rsidR="00D471AD" w:rsidRPr="002642C9" w:rsidRDefault="00D471AD" w:rsidP="004A31A9">
            <w:pPr>
              <w:spacing w:after="0" w:line="240" w:lineRule="auto"/>
              <w:rPr>
                <w:rFonts w:eastAsia="Times New Roman" w:cs="Arial"/>
                <w:bCs/>
                <w:color w:val="7A7B7C"/>
                <w:sz w:val="14"/>
                <w:szCs w:val="14"/>
                <w:lang w:eastAsia="en-AU"/>
              </w:rPr>
            </w:pPr>
            <w:r w:rsidRPr="002642C9">
              <w:rPr>
                <w:rFonts w:eastAsia="Times New Roman" w:cs="Arial" w:hint="eastAsia"/>
                <w:bCs/>
                <w:color w:val="7A7B7C"/>
                <w:sz w:val="14"/>
                <w:szCs w:val="14"/>
                <w:lang w:eastAsia="en-AU"/>
              </w:rPr>
              <w:t>Higher education expenditure on R&amp;D (HERD), billion A$</w:t>
            </w:r>
            <w:r w:rsidRPr="002642C9">
              <w:rPr>
                <w:rFonts w:ascii="Arial Unicode MS" w:eastAsia="Arial Unicode MS" w:hAnsi="Arial Unicode MS" w:cs="Arial Unicode MS" w:hint="eastAsia"/>
                <w:bCs/>
                <w:color w:val="7A7B7C"/>
                <w:sz w:val="14"/>
                <w:szCs w:val="14"/>
                <w:lang w:eastAsia="en-AU"/>
              </w:rPr>
              <w:t>³ ¹</w:t>
            </w:r>
            <w:r w:rsidRPr="002642C9">
              <w:rPr>
                <w:rFonts w:ascii="Arial Unicode MS" w:eastAsia="Arial Unicode MS" w:hAnsi="Arial Unicode MS" w:cs="Arial Unicode MS"/>
                <w:bCs/>
                <w:color w:val="7A7B7C"/>
                <w:sz w:val="14"/>
                <w:szCs w:val="14"/>
                <w:lang w:eastAsia="en-AU"/>
              </w:rPr>
              <w:t>⁰</w:t>
            </w:r>
            <w:r w:rsidRPr="002642C9">
              <w:rPr>
                <w:rFonts w:ascii="Arial Unicode MS" w:eastAsia="Arial Unicode MS" w:hAnsi="Arial Unicode MS" w:cs="Arial Unicode MS" w:hint="eastAsia"/>
                <w:bCs/>
                <w:color w:val="7A7B7C"/>
                <w:sz w:val="14"/>
                <w:szCs w:val="14"/>
                <w:lang w:eastAsia="en-AU"/>
              </w:rPr>
              <w:t xml:space="preserve"> </w:t>
            </w:r>
            <w:r w:rsidRPr="002642C9">
              <w:rPr>
                <w:rFonts w:ascii="Arial Unicode MS" w:eastAsia="Arial Unicode MS" w:hAnsi="Arial Unicode MS" w:cs="Arial Unicode MS"/>
                <w:bCs/>
                <w:color w:val="7A7B7C"/>
                <w:sz w:val="14"/>
                <w:szCs w:val="14"/>
                <w:lang w:eastAsia="en-AU"/>
              </w:rPr>
              <w:t>¹¹</w:t>
            </w:r>
          </w:p>
        </w:tc>
        <w:tc>
          <w:tcPr>
            <w:tcW w:w="249" w:type="pct"/>
            <w:shd w:val="clear" w:color="auto" w:fill="E4F3F9"/>
            <w:vAlign w:val="center"/>
            <w:hideMark/>
          </w:tcPr>
          <w:p w14:paraId="7418C191"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2.3</w:t>
            </w:r>
          </w:p>
        </w:tc>
        <w:tc>
          <w:tcPr>
            <w:tcW w:w="249" w:type="pct"/>
            <w:shd w:val="clear" w:color="auto" w:fill="E4F3F9"/>
            <w:vAlign w:val="center"/>
            <w:hideMark/>
          </w:tcPr>
          <w:p w14:paraId="7418C192"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2.8</w:t>
            </w:r>
          </w:p>
        </w:tc>
        <w:tc>
          <w:tcPr>
            <w:tcW w:w="249" w:type="pct"/>
            <w:shd w:val="clear" w:color="auto" w:fill="E4F3F9"/>
            <w:vAlign w:val="center"/>
            <w:hideMark/>
          </w:tcPr>
          <w:p w14:paraId="7418C193"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4.3</w:t>
            </w:r>
          </w:p>
        </w:tc>
        <w:tc>
          <w:tcPr>
            <w:tcW w:w="249" w:type="pct"/>
            <w:shd w:val="clear" w:color="auto" w:fill="E4F3F9"/>
            <w:vAlign w:val="center"/>
            <w:hideMark/>
          </w:tcPr>
          <w:p w14:paraId="7418C194"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5.4</w:t>
            </w:r>
          </w:p>
        </w:tc>
        <w:tc>
          <w:tcPr>
            <w:tcW w:w="249" w:type="pct"/>
            <w:shd w:val="clear" w:color="auto" w:fill="E4F3F9"/>
            <w:vAlign w:val="center"/>
            <w:hideMark/>
          </w:tcPr>
          <w:p w14:paraId="7418C195"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96"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6.8</w:t>
            </w:r>
          </w:p>
        </w:tc>
        <w:tc>
          <w:tcPr>
            <w:tcW w:w="249" w:type="pct"/>
            <w:shd w:val="clear" w:color="auto" w:fill="E4F3F9"/>
            <w:vAlign w:val="center"/>
            <w:hideMark/>
          </w:tcPr>
          <w:p w14:paraId="7418C197"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98"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8.2</w:t>
            </w:r>
          </w:p>
        </w:tc>
        <w:tc>
          <w:tcPr>
            <w:tcW w:w="249" w:type="pct"/>
            <w:shd w:val="clear" w:color="auto" w:fill="E4F3F9"/>
            <w:vAlign w:val="center"/>
            <w:hideMark/>
          </w:tcPr>
          <w:p w14:paraId="7418C199"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9A"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9.6</w:t>
            </w:r>
          </w:p>
        </w:tc>
        <w:tc>
          <w:tcPr>
            <w:tcW w:w="249" w:type="pct"/>
            <w:shd w:val="clear" w:color="auto" w:fill="E4F3F9"/>
            <w:vAlign w:val="center"/>
            <w:hideMark/>
          </w:tcPr>
          <w:p w14:paraId="7418C19B"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9C"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10.1</w:t>
            </w:r>
          </w:p>
        </w:tc>
        <w:tc>
          <w:tcPr>
            <w:tcW w:w="227" w:type="pct"/>
            <w:shd w:val="clear" w:color="auto" w:fill="E4F3F9"/>
            <w:vAlign w:val="center"/>
            <w:hideMark/>
          </w:tcPr>
          <w:p w14:paraId="7418C19D"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r>
      <w:tr w:rsidR="00D471AD" w:rsidRPr="002642C9" w14:paraId="7418C1AD" w14:textId="77777777" w:rsidTr="004A31A9">
        <w:trPr>
          <w:trHeight w:val="300"/>
        </w:trPr>
        <w:tc>
          <w:tcPr>
            <w:tcW w:w="1784" w:type="pct"/>
            <w:shd w:val="clear" w:color="auto" w:fill="D5ECF5"/>
            <w:vAlign w:val="center"/>
            <w:hideMark/>
          </w:tcPr>
          <w:p w14:paraId="7418C19F" w14:textId="77777777" w:rsidR="00D471AD" w:rsidRPr="002642C9" w:rsidRDefault="00D471AD" w:rsidP="004A31A9">
            <w:pPr>
              <w:spacing w:after="0" w:line="240" w:lineRule="auto"/>
              <w:rPr>
                <w:rFonts w:eastAsia="Times New Roman" w:cs="Arial"/>
                <w:bCs/>
                <w:color w:val="7A7B7C"/>
                <w:sz w:val="14"/>
                <w:szCs w:val="14"/>
                <w:lang w:eastAsia="en-AU"/>
              </w:rPr>
            </w:pPr>
            <w:r w:rsidRPr="002642C9">
              <w:rPr>
                <w:rFonts w:eastAsia="Times New Roman" w:cs="Arial" w:hint="eastAsia"/>
                <w:bCs/>
                <w:color w:val="7A7B7C"/>
                <w:sz w:val="14"/>
                <w:szCs w:val="14"/>
                <w:lang w:eastAsia="en-AU"/>
              </w:rPr>
              <w:t>Higher education expenditure on R&amp;D (HERD) financed abroad, %</w:t>
            </w:r>
            <w:r w:rsidRPr="002642C9">
              <w:rPr>
                <w:rFonts w:ascii="Arial Unicode MS" w:eastAsia="Arial Unicode MS" w:hAnsi="Arial Unicode MS" w:cs="Arial Unicode MS" w:hint="eastAsia"/>
                <w:bCs/>
                <w:color w:val="7A7B7C"/>
                <w:sz w:val="14"/>
                <w:szCs w:val="14"/>
                <w:lang w:eastAsia="en-AU"/>
              </w:rPr>
              <w:t>³ ¹</w:t>
            </w:r>
            <w:r w:rsidRPr="002642C9">
              <w:rPr>
                <w:rFonts w:ascii="Arial Unicode MS" w:eastAsia="Arial Unicode MS" w:hAnsi="Arial Unicode MS" w:cs="Arial Unicode MS"/>
                <w:bCs/>
                <w:color w:val="7A7B7C"/>
                <w:sz w:val="14"/>
                <w:szCs w:val="14"/>
                <w:lang w:eastAsia="en-AU"/>
              </w:rPr>
              <w:t>⁰</w:t>
            </w:r>
            <w:r w:rsidRPr="002642C9">
              <w:rPr>
                <w:rFonts w:ascii="Arial Unicode MS" w:eastAsia="Arial Unicode MS" w:hAnsi="Arial Unicode MS" w:cs="Arial Unicode MS" w:hint="eastAsia"/>
                <w:bCs/>
                <w:color w:val="7A7B7C"/>
                <w:sz w:val="14"/>
                <w:szCs w:val="14"/>
                <w:lang w:eastAsia="en-AU"/>
              </w:rPr>
              <w:t xml:space="preserve"> </w:t>
            </w:r>
            <w:r w:rsidRPr="002642C9">
              <w:rPr>
                <w:rFonts w:ascii="Arial Unicode MS" w:eastAsia="Arial Unicode MS" w:hAnsi="Arial Unicode MS" w:cs="Arial Unicode MS"/>
                <w:bCs/>
                <w:color w:val="7A7B7C"/>
                <w:sz w:val="14"/>
                <w:szCs w:val="14"/>
                <w:lang w:eastAsia="en-AU"/>
              </w:rPr>
              <w:t>¹¹</w:t>
            </w:r>
          </w:p>
        </w:tc>
        <w:tc>
          <w:tcPr>
            <w:tcW w:w="249" w:type="pct"/>
            <w:shd w:val="clear" w:color="auto" w:fill="D5ECF5"/>
            <w:vAlign w:val="center"/>
            <w:hideMark/>
          </w:tcPr>
          <w:p w14:paraId="7418C1A0"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1.07</w:t>
            </w:r>
          </w:p>
        </w:tc>
        <w:tc>
          <w:tcPr>
            <w:tcW w:w="249" w:type="pct"/>
            <w:shd w:val="clear" w:color="auto" w:fill="D5ECF5"/>
            <w:vAlign w:val="center"/>
            <w:hideMark/>
          </w:tcPr>
          <w:p w14:paraId="7418C1A1"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2.17</w:t>
            </w:r>
          </w:p>
        </w:tc>
        <w:tc>
          <w:tcPr>
            <w:tcW w:w="249" w:type="pct"/>
            <w:shd w:val="clear" w:color="auto" w:fill="D5ECF5"/>
            <w:vAlign w:val="center"/>
            <w:hideMark/>
          </w:tcPr>
          <w:p w14:paraId="7418C1A2"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2.96</w:t>
            </w:r>
          </w:p>
        </w:tc>
        <w:tc>
          <w:tcPr>
            <w:tcW w:w="249" w:type="pct"/>
            <w:shd w:val="clear" w:color="auto" w:fill="D5ECF5"/>
            <w:vAlign w:val="center"/>
            <w:hideMark/>
          </w:tcPr>
          <w:p w14:paraId="7418C1A3"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2.89</w:t>
            </w:r>
          </w:p>
        </w:tc>
        <w:tc>
          <w:tcPr>
            <w:tcW w:w="249" w:type="pct"/>
            <w:shd w:val="clear" w:color="auto" w:fill="D5ECF5"/>
            <w:vAlign w:val="center"/>
            <w:hideMark/>
          </w:tcPr>
          <w:p w14:paraId="7418C1A4"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A5"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2.03</w:t>
            </w:r>
          </w:p>
        </w:tc>
        <w:tc>
          <w:tcPr>
            <w:tcW w:w="249" w:type="pct"/>
            <w:shd w:val="clear" w:color="auto" w:fill="D5ECF5"/>
            <w:vAlign w:val="center"/>
            <w:hideMark/>
          </w:tcPr>
          <w:p w14:paraId="7418C1A6"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A7"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2.20</w:t>
            </w:r>
          </w:p>
        </w:tc>
        <w:tc>
          <w:tcPr>
            <w:tcW w:w="249" w:type="pct"/>
            <w:shd w:val="clear" w:color="auto" w:fill="D5ECF5"/>
            <w:vAlign w:val="center"/>
            <w:hideMark/>
          </w:tcPr>
          <w:p w14:paraId="7418C1A8"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A9"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2.40</w:t>
            </w:r>
          </w:p>
        </w:tc>
        <w:tc>
          <w:tcPr>
            <w:tcW w:w="249" w:type="pct"/>
            <w:shd w:val="clear" w:color="auto" w:fill="D5ECF5"/>
            <w:vAlign w:val="center"/>
            <w:hideMark/>
          </w:tcPr>
          <w:p w14:paraId="7418C1AA"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AB"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2.37</w:t>
            </w:r>
          </w:p>
        </w:tc>
        <w:tc>
          <w:tcPr>
            <w:tcW w:w="227" w:type="pct"/>
            <w:shd w:val="clear" w:color="auto" w:fill="D5ECF5"/>
            <w:vAlign w:val="center"/>
            <w:hideMark/>
          </w:tcPr>
          <w:p w14:paraId="7418C1AC"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r>
      <w:tr w:rsidR="00D471AD" w:rsidRPr="002642C9" w14:paraId="7418C1BC" w14:textId="77777777" w:rsidTr="004A31A9">
        <w:trPr>
          <w:trHeight w:val="300"/>
        </w:trPr>
        <w:tc>
          <w:tcPr>
            <w:tcW w:w="1784" w:type="pct"/>
            <w:shd w:val="clear" w:color="auto" w:fill="E4F3F9"/>
            <w:vAlign w:val="center"/>
            <w:hideMark/>
          </w:tcPr>
          <w:p w14:paraId="7418C1AE" w14:textId="77777777" w:rsidR="00D471AD" w:rsidRPr="002642C9" w:rsidRDefault="00D471AD" w:rsidP="004A31A9">
            <w:pPr>
              <w:spacing w:after="0" w:line="240" w:lineRule="auto"/>
              <w:rPr>
                <w:rFonts w:eastAsia="Times New Roman" w:cs="Arial"/>
                <w:bCs/>
                <w:color w:val="7A7B7C"/>
                <w:sz w:val="14"/>
                <w:szCs w:val="14"/>
                <w:lang w:eastAsia="en-AU"/>
              </w:rPr>
            </w:pPr>
            <w:r w:rsidRPr="002642C9">
              <w:rPr>
                <w:rFonts w:eastAsia="Times New Roman" w:cs="Arial" w:hint="eastAsia"/>
                <w:bCs/>
                <w:color w:val="7A7B7C"/>
                <w:sz w:val="14"/>
                <w:szCs w:val="14"/>
                <w:lang w:eastAsia="en-AU"/>
              </w:rPr>
              <w:t>Percentage of Higher education expenditure on R&amp;D (HERD) financed by industry, %</w:t>
            </w:r>
            <w:r w:rsidRPr="002642C9">
              <w:rPr>
                <w:rFonts w:ascii="Arial Unicode MS" w:eastAsia="Arial Unicode MS" w:hAnsi="Arial Unicode MS" w:cs="Arial Unicode MS" w:hint="eastAsia"/>
                <w:bCs/>
                <w:color w:val="7A7B7C"/>
                <w:sz w:val="14"/>
                <w:szCs w:val="14"/>
                <w:lang w:eastAsia="en-AU"/>
              </w:rPr>
              <w:t>¹ ¹¹</w:t>
            </w:r>
          </w:p>
        </w:tc>
        <w:tc>
          <w:tcPr>
            <w:tcW w:w="249" w:type="pct"/>
            <w:shd w:val="clear" w:color="auto" w:fill="E4F3F9"/>
            <w:vAlign w:val="center"/>
            <w:hideMark/>
          </w:tcPr>
          <w:p w14:paraId="7418C1AF"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4.66</w:t>
            </w:r>
          </w:p>
        </w:tc>
        <w:tc>
          <w:tcPr>
            <w:tcW w:w="249" w:type="pct"/>
            <w:shd w:val="clear" w:color="auto" w:fill="E4F3F9"/>
            <w:vAlign w:val="center"/>
            <w:hideMark/>
          </w:tcPr>
          <w:p w14:paraId="7418C1B0"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5.32</w:t>
            </w:r>
          </w:p>
        </w:tc>
        <w:tc>
          <w:tcPr>
            <w:tcW w:w="249" w:type="pct"/>
            <w:shd w:val="clear" w:color="auto" w:fill="E4F3F9"/>
            <w:vAlign w:val="center"/>
            <w:hideMark/>
          </w:tcPr>
          <w:p w14:paraId="7418C1B1"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6.20</w:t>
            </w:r>
          </w:p>
        </w:tc>
        <w:tc>
          <w:tcPr>
            <w:tcW w:w="249" w:type="pct"/>
            <w:shd w:val="clear" w:color="auto" w:fill="E4F3F9"/>
            <w:vAlign w:val="center"/>
            <w:hideMark/>
          </w:tcPr>
          <w:p w14:paraId="7418C1B2"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6.76</w:t>
            </w:r>
          </w:p>
        </w:tc>
        <w:tc>
          <w:tcPr>
            <w:tcW w:w="249" w:type="pct"/>
            <w:shd w:val="clear" w:color="auto" w:fill="E4F3F9"/>
            <w:vAlign w:val="center"/>
            <w:hideMark/>
          </w:tcPr>
          <w:p w14:paraId="7418C1B3"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B4"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5.85</w:t>
            </w:r>
          </w:p>
        </w:tc>
        <w:tc>
          <w:tcPr>
            <w:tcW w:w="249" w:type="pct"/>
            <w:shd w:val="clear" w:color="auto" w:fill="E4F3F9"/>
            <w:vAlign w:val="center"/>
            <w:hideMark/>
          </w:tcPr>
          <w:p w14:paraId="7418C1B5"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B6"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4.91</w:t>
            </w:r>
          </w:p>
        </w:tc>
        <w:tc>
          <w:tcPr>
            <w:tcW w:w="249" w:type="pct"/>
            <w:shd w:val="clear" w:color="auto" w:fill="E4F3F9"/>
            <w:vAlign w:val="center"/>
            <w:hideMark/>
          </w:tcPr>
          <w:p w14:paraId="7418C1B7"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B8"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4.73</w:t>
            </w:r>
          </w:p>
        </w:tc>
        <w:tc>
          <w:tcPr>
            <w:tcW w:w="249" w:type="pct"/>
            <w:shd w:val="clear" w:color="auto" w:fill="E4F3F9"/>
            <w:vAlign w:val="center"/>
            <w:hideMark/>
          </w:tcPr>
          <w:p w14:paraId="7418C1B9"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BA"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27" w:type="pct"/>
            <w:shd w:val="clear" w:color="auto" w:fill="E4F3F9"/>
            <w:vAlign w:val="center"/>
            <w:hideMark/>
          </w:tcPr>
          <w:p w14:paraId="7418C1BB"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r>
      <w:tr w:rsidR="00D471AD" w:rsidRPr="002642C9" w14:paraId="7418C1CB" w14:textId="77777777" w:rsidTr="004A31A9">
        <w:trPr>
          <w:trHeight w:val="300"/>
        </w:trPr>
        <w:tc>
          <w:tcPr>
            <w:tcW w:w="1784" w:type="pct"/>
            <w:shd w:val="clear" w:color="auto" w:fill="D5ECF5"/>
            <w:vAlign w:val="center"/>
            <w:hideMark/>
          </w:tcPr>
          <w:p w14:paraId="7418C1BD" w14:textId="77777777" w:rsidR="00D471AD" w:rsidRPr="002642C9" w:rsidRDefault="00D471AD" w:rsidP="004A31A9">
            <w:pPr>
              <w:spacing w:after="0" w:line="240" w:lineRule="auto"/>
              <w:rPr>
                <w:rFonts w:eastAsia="Times New Roman" w:cs="Arial"/>
                <w:bCs/>
                <w:color w:val="7A7B7C"/>
                <w:sz w:val="14"/>
                <w:szCs w:val="14"/>
                <w:lang w:eastAsia="en-AU"/>
              </w:rPr>
            </w:pPr>
            <w:r w:rsidRPr="002642C9">
              <w:rPr>
                <w:rFonts w:eastAsia="Times New Roman" w:cs="Arial" w:hint="eastAsia"/>
                <w:bCs/>
                <w:color w:val="7A7B7C"/>
                <w:sz w:val="14"/>
                <w:szCs w:val="14"/>
                <w:lang w:eastAsia="en-AU"/>
              </w:rPr>
              <w:t>Government expenditure on R&amp;D (GOVERD), % of GDP</w:t>
            </w:r>
            <w:r w:rsidRPr="002642C9">
              <w:rPr>
                <w:rFonts w:ascii="Arial Unicode MS" w:eastAsia="Arial Unicode MS" w:hAnsi="Arial Unicode MS" w:cs="Arial Unicode MS" w:hint="eastAsia"/>
                <w:bCs/>
                <w:color w:val="7A7B7C"/>
                <w:sz w:val="14"/>
                <w:szCs w:val="14"/>
                <w:lang w:eastAsia="en-AU"/>
              </w:rPr>
              <w:t>¹ ¹</w:t>
            </w:r>
            <w:r w:rsidRPr="002642C9">
              <w:rPr>
                <w:rFonts w:ascii="Arial Unicode MS" w:eastAsia="Arial Unicode MS" w:hAnsi="Arial Unicode MS" w:cs="Arial Unicode MS"/>
                <w:bCs/>
                <w:color w:val="7A7B7C"/>
                <w:sz w:val="14"/>
                <w:szCs w:val="14"/>
                <w:lang w:eastAsia="en-AU"/>
              </w:rPr>
              <w:t>⁰</w:t>
            </w:r>
            <w:r w:rsidRPr="002642C9">
              <w:rPr>
                <w:rFonts w:ascii="Arial Unicode MS" w:eastAsia="Arial Unicode MS" w:hAnsi="Arial Unicode MS" w:cs="Arial Unicode MS" w:hint="eastAsia"/>
                <w:bCs/>
                <w:color w:val="7A7B7C"/>
                <w:sz w:val="14"/>
                <w:szCs w:val="14"/>
                <w:lang w:eastAsia="en-AU"/>
              </w:rPr>
              <w:t xml:space="preserve"> </w:t>
            </w:r>
            <w:r w:rsidRPr="002642C9">
              <w:rPr>
                <w:rFonts w:ascii="Arial Unicode MS" w:eastAsia="Arial Unicode MS" w:hAnsi="Arial Unicode MS" w:cs="Arial Unicode MS"/>
                <w:bCs/>
                <w:color w:val="7A7B7C"/>
                <w:sz w:val="14"/>
                <w:szCs w:val="14"/>
                <w:lang w:eastAsia="en-AU"/>
              </w:rPr>
              <w:t>¹¹</w:t>
            </w:r>
          </w:p>
        </w:tc>
        <w:tc>
          <w:tcPr>
            <w:tcW w:w="249" w:type="pct"/>
            <w:shd w:val="clear" w:color="auto" w:fill="D5ECF5"/>
            <w:vAlign w:val="center"/>
            <w:hideMark/>
          </w:tcPr>
          <w:p w14:paraId="7418C1BE"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0.37</w:t>
            </w:r>
          </w:p>
        </w:tc>
        <w:tc>
          <w:tcPr>
            <w:tcW w:w="249" w:type="pct"/>
            <w:shd w:val="clear" w:color="auto" w:fill="D5ECF5"/>
            <w:vAlign w:val="center"/>
            <w:hideMark/>
          </w:tcPr>
          <w:p w14:paraId="7418C1BF"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0.33</w:t>
            </w:r>
          </w:p>
        </w:tc>
        <w:tc>
          <w:tcPr>
            <w:tcW w:w="249" w:type="pct"/>
            <w:shd w:val="clear" w:color="auto" w:fill="D5ECF5"/>
            <w:vAlign w:val="center"/>
            <w:hideMark/>
          </w:tcPr>
          <w:p w14:paraId="7418C1C0"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0.27</w:t>
            </w:r>
          </w:p>
        </w:tc>
        <w:tc>
          <w:tcPr>
            <w:tcW w:w="249" w:type="pct"/>
            <w:shd w:val="clear" w:color="auto" w:fill="D5ECF5"/>
            <w:vAlign w:val="center"/>
            <w:hideMark/>
          </w:tcPr>
          <w:p w14:paraId="7418C1C1"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0.29</w:t>
            </w:r>
          </w:p>
        </w:tc>
        <w:tc>
          <w:tcPr>
            <w:tcW w:w="249" w:type="pct"/>
            <w:shd w:val="clear" w:color="auto" w:fill="D5ECF5"/>
            <w:vAlign w:val="center"/>
            <w:hideMark/>
          </w:tcPr>
          <w:p w14:paraId="7418C1C2"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C3"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0.27</w:t>
            </w:r>
          </w:p>
        </w:tc>
        <w:tc>
          <w:tcPr>
            <w:tcW w:w="249" w:type="pct"/>
            <w:shd w:val="clear" w:color="auto" w:fill="D5ECF5"/>
            <w:vAlign w:val="center"/>
            <w:hideMark/>
          </w:tcPr>
          <w:p w14:paraId="7418C1C4"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C5"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0.27</w:t>
            </w:r>
          </w:p>
        </w:tc>
        <w:tc>
          <w:tcPr>
            <w:tcW w:w="249" w:type="pct"/>
            <w:shd w:val="clear" w:color="auto" w:fill="D5ECF5"/>
            <w:vAlign w:val="center"/>
            <w:hideMark/>
          </w:tcPr>
          <w:p w14:paraId="7418C1C6"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0.24</w:t>
            </w:r>
          </w:p>
        </w:tc>
        <w:tc>
          <w:tcPr>
            <w:tcW w:w="249" w:type="pct"/>
            <w:shd w:val="clear" w:color="auto" w:fill="D5ECF5"/>
            <w:vAlign w:val="center"/>
            <w:hideMark/>
          </w:tcPr>
          <w:p w14:paraId="7418C1C7"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0.24</w:t>
            </w:r>
          </w:p>
        </w:tc>
        <w:tc>
          <w:tcPr>
            <w:tcW w:w="249" w:type="pct"/>
            <w:shd w:val="clear" w:color="auto" w:fill="D5ECF5"/>
            <w:vAlign w:val="center"/>
            <w:hideMark/>
          </w:tcPr>
          <w:p w14:paraId="7418C1C8"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0.24</w:t>
            </w:r>
          </w:p>
        </w:tc>
        <w:tc>
          <w:tcPr>
            <w:tcW w:w="249" w:type="pct"/>
            <w:shd w:val="clear" w:color="auto" w:fill="D5ECF5"/>
            <w:vAlign w:val="center"/>
            <w:hideMark/>
          </w:tcPr>
          <w:p w14:paraId="7418C1C9"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27" w:type="pct"/>
            <w:shd w:val="clear" w:color="auto" w:fill="D5ECF5"/>
            <w:vAlign w:val="center"/>
            <w:hideMark/>
          </w:tcPr>
          <w:p w14:paraId="7418C1CA"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r>
      <w:tr w:rsidR="00D471AD" w:rsidRPr="002642C9" w14:paraId="7418C1DA" w14:textId="77777777" w:rsidTr="004A31A9">
        <w:trPr>
          <w:trHeight w:val="300"/>
        </w:trPr>
        <w:tc>
          <w:tcPr>
            <w:tcW w:w="1784" w:type="pct"/>
            <w:shd w:val="clear" w:color="auto" w:fill="E4F3F9"/>
            <w:vAlign w:val="center"/>
            <w:hideMark/>
          </w:tcPr>
          <w:p w14:paraId="7418C1CC" w14:textId="77777777" w:rsidR="00D471AD" w:rsidRPr="002642C9" w:rsidRDefault="00D471AD" w:rsidP="004A31A9">
            <w:pPr>
              <w:spacing w:after="0" w:line="240" w:lineRule="auto"/>
              <w:rPr>
                <w:rFonts w:eastAsia="Times New Roman" w:cs="Arial"/>
                <w:bCs/>
                <w:color w:val="7A7B7C"/>
                <w:sz w:val="14"/>
                <w:szCs w:val="14"/>
                <w:lang w:eastAsia="en-AU"/>
              </w:rPr>
            </w:pPr>
            <w:r w:rsidRPr="002642C9">
              <w:rPr>
                <w:rFonts w:eastAsia="Times New Roman" w:cs="Arial" w:hint="eastAsia"/>
                <w:bCs/>
                <w:color w:val="7A7B7C"/>
                <w:sz w:val="14"/>
                <w:szCs w:val="14"/>
                <w:lang w:eastAsia="en-AU"/>
              </w:rPr>
              <w:t>Government expenditure on R&amp;D (GOVERD), billion A$</w:t>
            </w:r>
            <w:r w:rsidRPr="002642C9">
              <w:rPr>
                <w:rFonts w:ascii="Arial Unicode MS" w:eastAsia="Arial Unicode MS" w:hAnsi="Arial Unicode MS" w:cs="Arial Unicode MS"/>
                <w:bCs/>
                <w:color w:val="7A7B7C"/>
                <w:sz w:val="14"/>
                <w:szCs w:val="14"/>
                <w:lang w:eastAsia="en-AU"/>
              </w:rPr>
              <w:t>⁷</w:t>
            </w:r>
            <w:r w:rsidRPr="002642C9">
              <w:rPr>
                <w:rFonts w:ascii="Arial Unicode MS" w:eastAsia="Arial Unicode MS" w:hAnsi="Arial Unicode MS" w:cs="Arial Unicode MS" w:hint="eastAsia"/>
                <w:bCs/>
                <w:color w:val="7A7B7C"/>
                <w:sz w:val="14"/>
                <w:szCs w:val="14"/>
                <w:lang w:eastAsia="en-AU"/>
              </w:rPr>
              <w:t xml:space="preserve"> </w:t>
            </w:r>
            <w:r w:rsidRPr="002642C9">
              <w:rPr>
                <w:rFonts w:ascii="Arial Unicode MS" w:eastAsia="Arial Unicode MS" w:hAnsi="Arial Unicode MS" w:cs="Arial Unicode MS"/>
                <w:bCs/>
                <w:color w:val="7A7B7C"/>
                <w:sz w:val="14"/>
                <w:szCs w:val="14"/>
                <w:lang w:eastAsia="en-AU"/>
              </w:rPr>
              <w:t>¹⁰</w:t>
            </w:r>
            <w:r w:rsidRPr="002642C9">
              <w:rPr>
                <w:rFonts w:ascii="Arial Unicode MS" w:eastAsia="Arial Unicode MS" w:hAnsi="Arial Unicode MS" w:cs="Arial Unicode MS" w:hint="eastAsia"/>
                <w:bCs/>
                <w:color w:val="7A7B7C"/>
                <w:sz w:val="14"/>
                <w:szCs w:val="14"/>
                <w:lang w:eastAsia="en-AU"/>
              </w:rPr>
              <w:t xml:space="preserve"> </w:t>
            </w:r>
            <w:r w:rsidRPr="002642C9">
              <w:rPr>
                <w:rFonts w:ascii="Arial Unicode MS" w:eastAsia="Arial Unicode MS" w:hAnsi="Arial Unicode MS" w:cs="Arial Unicode MS"/>
                <w:bCs/>
                <w:color w:val="7A7B7C"/>
                <w:sz w:val="14"/>
                <w:szCs w:val="14"/>
                <w:lang w:eastAsia="en-AU"/>
              </w:rPr>
              <w:t>¹¹</w:t>
            </w:r>
          </w:p>
        </w:tc>
        <w:tc>
          <w:tcPr>
            <w:tcW w:w="249" w:type="pct"/>
            <w:shd w:val="clear" w:color="auto" w:fill="E4F3F9"/>
            <w:vAlign w:val="center"/>
            <w:hideMark/>
          </w:tcPr>
          <w:p w14:paraId="7418C1CD"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2.06</w:t>
            </w:r>
          </w:p>
        </w:tc>
        <w:tc>
          <w:tcPr>
            <w:tcW w:w="249" w:type="pct"/>
            <w:shd w:val="clear" w:color="auto" w:fill="E4F3F9"/>
            <w:vAlign w:val="center"/>
            <w:hideMark/>
          </w:tcPr>
          <w:p w14:paraId="7418C1CE"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2.36</w:t>
            </w:r>
          </w:p>
        </w:tc>
        <w:tc>
          <w:tcPr>
            <w:tcW w:w="249" w:type="pct"/>
            <w:shd w:val="clear" w:color="auto" w:fill="E4F3F9"/>
            <w:vAlign w:val="center"/>
            <w:hideMark/>
          </w:tcPr>
          <w:p w14:paraId="7418C1CF"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2.49</w:t>
            </w:r>
          </w:p>
        </w:tc>
        <w:tc>
          <w:tcPr>
            <w:tcW w:w="249" w:type="pct"/>
            <w:shd w:val="clear" w:color="auto" w:fill="E4F3F9"/>
            <w:vAlign w:val="center"/>
            <w:hideMark/>
          </w:tcPr>
          <w:p w14:paraId="7418C1D0"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3.10</w:t>
            </w:r>
          </w:p>
        </w:tc>
        <w:tc>
          <w:tcPr>
            <w:tcW w:w="249" w:type="pct"/>
            <w:shd w:val="clear" w:color="auto" w:fill="E4F3F9"/>
            <w:vAlign w:val="center"/>
            <w:hideMark/>
          </w:tcPr>
          <w:p w14:paraId="7418C1D1"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D2"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3.42</w:t>
            </w:r>
          </w:p>
        </w:tc>
        <w:tc>
          <w:tcPr>
            <w:tcW w:w="249" w:type="pct"/>
            <w:shd w:val="clear" w:color="auto" w:fill="E4F3F9"/>
            <w:vAlign w:val="center"/>
            <w:hideMark/>
          </w:tcPr>
          <w:p w14:paraId="7418C1D3"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D4"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D5"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3.55</w:t>
            </w:r>
          </w:p>
        </w:tc>
        <w:tc>
          <w:tcPr>
            <w:tcW w:w="249" w:type="pct"/>
            <w:shd w:val="clear" w:color="auto" w:fill="E4F3F9"/>
            <w:vAlign w:val="center"/>
            <w:hideMark/>
          </w:tcPr>
          <w:p w14:paraId="7418C1D6"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3.73</w:t>
            </w:r>
          </w:p>
        </w:tc>
        <w:tc>
          <w:tcPr>
            <w:tcW w:w="249" w:type="pct"/>
            <w:shd w:val="clear" w:color="auto" w:fill="E4F3F9"/>
            <w:vAlign w:val="center"/>
            <w:hideMark/>
          </w:tcPr>
          <w:p w14:paraId="7418C1D7"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D8"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3.33</w:t>
            </w:r>
          </w:p>
        </w:tc>
        <w:tc>
          <w:tcPr>
            <w:tcW w:w="227" w:type="pct"/>
            <w:shd w:val="clear" w:color="auto" w:fill="E4F3F9"/>
            <w:vAlign w:val="center"/>
            <w:hideMark/>
          </w:tcPr>
          <w:p w14:paraId="7418C1D9"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r>
      <w:tr w:rsidR="00D471AD" w:rsidRPr="002642C9" w14:paraId="7418C1E9" w14:textId="77777777" w:rsidTr="004A31A9">
        <w:trPr>
          <w:trHeight w:val="300"/>
        </w:trPr>
        <w:tc>
          <w:tcPr>
            <w:tcW w:w="1784" w:type="pct"/>
            <w:shd w:val="clear" w:color="auto" w:fill="D5ECF5"/>
            <w:vAlign w:val="center"/>
            <w:hideMark/>
          </w:tcPr>
          <w:p w14:paraId="7418C1DB" w14:textId="77777777" w:rsidR="00D471AD" w:rsidRPr="002642C9" w:rsidRDefault="00D471AD" w:rsidP="004A31A9">
            <w:pPr>
              <w:spacing w:after="0" w:line="240" w:lineRule="auto"/>
              <w:rPr>
                <w:rFonts w:eastAsia="Times New Roman" w:cs="Arial"/>
                <w:bCs/>
                <w:color w:val="7A7B7C"/>
                <w:sz w:val="14"/>
                <w:szCs w:val="14"/>
                <w:lang w:eastAsia="en-AU"/>
              </w:rPr>
            </w:pPr>
            <w:r w:rsidRPr="002642C9">
              <w:rPr>
                <w:rFonts w:eastAsia="Times New Roman" w:cs="Arial" w:hint="eastAsia"/>
                <w:bCs/>
                <w:color w:val="7A7B7C"/>
                <w:sz w:val="14"/>
                <w:szCs w:val="14"/>
                <w:lang w:eastAsia="en-AU"/>
              </w:rPr>
              <w:t>Percentage of Government expenditure on R&amp;D (GOVERD) financed by industry, %</w:t>
            </w:r>
            <w:r w:rsidRPr="002642C9">
              <w:rPr>
                <w:rFonts w:ascii="Arial Unicode MS" w:eastAsia="Arial Unicode MS" w:hAnsi="Arial Unicode MS" w:cs="Arial Unicode MS" w:hint="eastAsia"/>
                <w:bCs/>
                <w:color w:val="7A7B7C"/>
                <w:sz w:val="14"/>
                <w:szCs w:val="14"/>
                <w:lang w:eastAsia="en-AU"/>
              </w:rPr>
              <w:t>¹ ¹</w:t>
            </w:r>
            <w:r w:rsidRPr="002642C9">
              <w:rPr>
                <w:rFonts w:ascii="Arial Unicode MS" w:eastAsia="Arial Unicode MS" w:hAnsi="Arial Unicode MS" w:cs="Arial Unicode MS"/>
                <w:bCs/>
                <w:color w:val="7A7B7C"/>
                <w:sz w:val="14"/>
                <w:szCs w:val="14"/>
                <w:lang w:eastAsia="en-AU"/>
              </w:rPr>
              <w:t>⁰</w:t>
            </w:r>
            <w:r w:rsidRPr="002642C9">
              <w:rPr>
                <w:rFonts w:ascii="Arial Unicode MS" w:eastAsia="Arial Unicode MS" w:hAnsi="Arial Unicode MS" w:cs="Arial Unicode MS" w:hint="eastAsia"/>
                <w:bCs/>
                <w:color w:val="7A7B7C"/>
                <w:sz w:val="14"/>
                <w:szCs w:val="14"/>
                <w:lang w:eastAsia="en-AU"/>
              </w:rPr>
              <w:t xml:space="preserve"> </w:t>
            </w:r>
            <w:r w:rsidRPr="002642C9">
              <w:rPr>
                <w:rFonts w:ascii="Arial Unicode MS" w:eastAsia="Arial Unicode MS" w:hAnsi="Arial Unicode MS" w:cs="Arial Unicode MS"/>
                <w:bCs/>
                <w:color w:val="7A7B7C"/>
                <w:sz w:val="14"/>
                <w:szCs w:val="14"/>
                <w:lang w:eastAsia="en-AU"/>
              </w:rPr>
              <w:t>¹¹</w:t>
            </w:r>
          </w:p>
        </w:tc>
        <w:tc>
          <w:tcPr>
            <w:tcW w:w="249" w:type="pct"/>
            <w:shd w:val="clear" w:color="auto" w:fill="D5ECF5"/>
            <w:vAlign w:val="center"/>
            <w:hideMark/>
          </w:tcPr>
          <w:p w14:paraId="7418C1DC"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12.0</w:t>
            </w:r>
          </w:p>
        </w:tc>
        <w:tc>
          <w:tcPr>
            <w:tcW w:w="249" w:type="pct"/>
            <w:shd w:val="clear" w:color="auto" w:fill="D5ECF5"/>
            <w:vAlign w:val="center"/>
            <w:hideMark/>
          </w:tcPr>
          <w:p w14:paraId="7418C1DD"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12.3</w:t>
            </w:r>
          </w:p>
        </w:tc>
        <w:tc>
          <w:tcPr>
            <w:tcW w:w="249" w:type="pct"/>
            <w:shd w:val="clear" w:color="auto" w:fill="D5ECF5"/>
            <w:vAlign w:val="center"/>
            <w:hideMark/>
          </w:tcPr>
          <w:p w14:paraId="7418C1DE"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13.6</w:t>
            </w:r>
          </w:p>
        </w:tc>
        <w:tc>
          <w:tcPr>
            <w:tcW w:w="249" w:type="pct"/>
            <w:shd w:val="clear" w:color="auto" w:fill="D5ECF5"/>
            <w:vAlign w:val="center"/>
            <w:hideMark/>
          </w:tcPr>
          <w:p w14:paraId="7418C1DF"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11.5</w:t>
            </w:r>
          </w:p>
        </w:tc>
        <w:tc>
          <w:tcPr>
            <w:tcW w:w="249" w:type="pct"/>
            <w:shd w:val="clear" w:color="auto" w:fill="D5ECF5"/>
            <w:vAlign w:val="center"/>
            <w:hideMark/>
          </w:tcPr>
          <w:p w14:paraId="7418C1E0"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E1"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9.9</w:t>
            </w:r>
          </w:p>
        </w:tc>
        <w:tc>
          <w:tcPr>
            <w:tcW w:w="249" w:type="pct"/>
            <w:shd w:val="clear" w:color="auto" w:fill="D5ECF5"/>
            <w:vAlign w:val="center"/>
            <w:hideMark/>
          </w:tcPr>
          <w:p w14:paraId="7418C1E2"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E3"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E4"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7.1</w:t>
            </w:r>
          </w:p>
        </w:tc>
        <w:tc>
          <w:tcPr>
            <w:tcW w:w="249" w:type="pct"/>
            <w:shd w:val="clear" w:color="auto" w:fill="D5ECF5"/>
            <w:vAlign w:val="center"/>
            <w:hideMark/>
          </w:tcPr>
          <w:p w14:paraId="7418C1E5"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7.7</w:t>
            </w:r>
          </w:p>
        </w:tc>
        <w:tc>
          <w:tcPr>
            <w:tcW w:w="249" w:type="pct"/>
            <w:shd w:val="clear" w:color="auto" w:fill="D5ECF5"/>
            <w:vAlign w:val="center"/>
            <w:hideMark/>
          </w:tcPr>
          <w:p w14:paraId="7418C1E6"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E7"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27" w:type="pct"/>
            <w:shd w:val="clear" w:color="auto" w:fill="D5ECF5"/>
            <w:vAlign w:val="center"/>
            <w:hideMark/>
          </w:tcPr>
          <w:p w14:paraId="7418C1E8"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r>
      <w:tr w:rsidR="00D471AD" w:rsidRPr="002642C9" w14:paraId="7418C1F8" w14:textId="77777777" w:rsidTr="004A31A9">
        <w:trPr>
          <w:trHeight w:val="300"/>
        </w:trPr>
        <w:tc>
          <w:tcPr>
            <w:tcW w:w="1784" w:type="pct"/>
            <w:shd w:val="clear" w:color="auto" w:fill="E4F3F9"/>
            <w:vAlign w:val="center"/>
            <w:hideMark/>
          </w:tcPr>
          <w:p w14:paraId="7418C1EA" w14:textId="77777777" w:rsidR="00D471AD" w:rsidRPr="002642C9" w:rsidRDefault="00D471AD" w:rsidP="004A31A9">
            <w:pPr>
              <w:spacing w:after="0" w:line="240" w:lineRule="auto"/>
              <w:rPr>
                <w:rFonts w:eastAsia="Times New Roman" w:cs="Arial"/>
                <w:bCs/>
                <w:color w:val="7A7B7C"/>
                <w:sz w:val="14"/>
                <w:szCs w:val="14"/>
                <w:lang w:eastAsia="en-AU"/>
              </w:rPr>
            </w:pPr>
            <w:r w:rsidRPr="002642C9">
              <w:rPr>
                <w:rFonts w:eastAsia="Times New Roman" w:cs="Arial" w:hint="eastAsia"/>
                <w:bCs/>
                <w:color w:val="7A7B7C"/>
                <w:sz w:val="14"/>
                <w:szCs w:val="14"/>
                <w:lang w:eastAsia="en-AU"/>
              </w:rPr>
              <w:t>Public spending in environment-related R&amp;D, % total public spending on R&amp;D</w:t>
            </w:r>
            <w:r w:rsidRPr="002642C9">
              <w:rPr>
                <w:rFonts w:ascii="Arial Unicode MS" w:eastAsia="Arial Unicode MS" w:hAnsi="Arial Unicode MS" w:cs="Arial Unicode MS"/>
                <w:bCs/>
                <w:color w:val="7A7B7C"/>
                <w:sz w:val="14"/>
                <w:szCs w:val="14"/>
                <w:lang w:eastAsia="en-AU"/>
              </w:rPr>
              <w:t>⁸</w:t>
            </w:r>
          </w:p>
        </w:tc>
        <w:tc>
          <w:tcPr>
            <w:tcW w:w="249" w:type="pct"/>
            <w:shd w:val="clear" w:color="auto" w:fill="E4F3F9"/>
            <w:vAlign w:val="center"/>
            <w:hideMark/>
          </w:tcPr>
          <w:p w14:paraId="7418C1EB"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1.19</w:t>
            </w:r>
          </w:p>
        </w:tc>
        <w:tc>
          <w:tcPr>
            <w:tcW w:w="249" w:type="pct"/>
            <w:shd w:val="clear" w:color="auto" w:fill="E4F3F9"/>
            <w:vAlign w:val="center"/>
            <w:hideMark/>
          </w:tcPr>
          <w:p w14:paraId="7418C1EC"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2.95</w:t>
            </w:r>
          </w:p>
        </w:tc>
        <w:tc>
          <w:tcPr>
            <w:tcW w:w="249" w:type="pct"/>
            <w:shd w:val="clear" w:color="auto" w:fill="E4F3F9"/>
            <w:vAlign w:val="center"/>
            <w:hideMark/>
          </w:tcPr>
          <w:p w14:paraId="7418C1ED"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3.18</w:t>
            </w:r>
          </w:p>
        </w:tc>
        <w:tc>
          <w:tcPr>
            <w:tcW w:w="249" w:type="pct"/>
            <w:shd w:val="clear" w:color="auto" w:fill="E4F3F9"/>
            <w:vAlign w:val="center"/>
            <w:hideMark/>
          </w:tcPr>
          <w:p w14:paraId="7418C1EE"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3.29</w:t>
            </w:r>
          </w:p>
        </w:tc>
        <w:tc>
          <w:tcPr>
            <w:tcW w:w="249" w:type="pct"/>
            <w:shd w:val="clear" w:color="auto" w:fill="E4F3F9"/>
            <w:vAlign w:val="center"/>
            <w:hideMark/>
          </w:tcPr>
          <w:p w14:paraId="7418C1EF"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3.81</w:t>
            </w:r>
          </w:p>
        </w:tc>
        <w:tc>
          <w:tcPr>
            <w:tcW w:w="249" w:type="pct"/>
            <w:shd w:val="clear" w:color="auto" w:fill="E4F3F9"/>
            <w:vAlign w:val="center"/>
            <w:hideMark/>
          </w:tcPr>
          <w:p w14:paraId="7418C1F0"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3.57</w:t>
            </w:r>
          </w:p>
        </w:tc>
        <w:tc>
          <w:tcPr>
            <w:tcW w:w="249" w:type="pct"/>
            <w:shd w:val="clear" w:color="auto" w:fill="E4F3F9"/>
            <w:vAlign w:val="center"/>
            <w:hideMark/>
          </w:tcPr>
          <w:p w14:paraId="7418C1F1"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5.47</w:t>
            </w:r>
          </w:p>
        </w:tc>
        <w:tc>
          <w:tcPr>
            <w:tcW w:w="249" w:type="pct"/>
            <w:shd w:val="clear" w:color="auto" w:fill="E4F3F9"/>
            <w:vAlign w:val="center"/>
            <w:hideMark/>
          </w:tcPr>
          <w:p w14:paraId="7418C1F2"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5.01</w:t>
            </w:r>
          </w:p>
        </w:tc>
        <w:tc>
          <w:tcPr>
            <w:tcW w:w="249" w:type="pct"/>
            <w:shd w:val="clear" w:color="auto" w:fill="E4F3F9"/>
            <w:vAlign w:val="center"/>
            <w:hideMark/>
          </w:tcPr>
          <w:p w14:paraId="7418C1F3"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4.86</w:t>
            </w:r>
          </w:p>
        </w:tc>
        <w:tc>
          <w:tcPr>
            <w:tcW w:w="249" w:type="pct"/>
            <w:shd w:val="clear" w:color="auto" w:fill="E4F3F9"/>
            <w:vAlign w:val="center"/>
            <w:hideMark/>
          </w:tcPr>
          <w:p w14:paraId="7418C1F4"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F5"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1F6"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27" w:type="pct"/>
            <w:shd w:val="clear" w:color="auto" w:fill="E4F3F9"/>
            <w:vAlign w:val="center"/>
            <w:hideMark/>
          </w:tcPr>
          <w:p w14:paraId="7418C1F7"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r>
      <w:tr w:rsidR="00D471AD" w:rsidRPr="002642C9" w14:paraId="7418C207" w14:textId="77777777" w:rsidTr="004A31A9">
        <w:trPr>
          <w:trHeight w:val="300"/>
        </w:trPr>
        <w:tc>
          <w:tcPr>
            <w:tcW w:w="1784" w:type="pct"/>
            <w:shd w:val="clear" w:color="auto" w:fill="D5ECF5"/>
            <w:vAlign w:val="center"/>
            <w:hideMark/>
          </w:tcPr>
          <w:p w14:paraId="7418C1F9" w14:textId="77777777" w:rsidR="00D471AD" w:rsidRPr="002642C9" w:rsidRDefault="00D471AD" w:rsidP="004A31A9">
            <w:pPr>
              <w:spacing w:after="0" w:line="240" w:lineRule="auto"/>
              <w:rPr>
                <w:rFonts w:eastAsia="Times New Roman" w:cs="Arial"/>
                <w:bCs/>
                <w:color w:val="7A7B7C"/>
                <w:sz w:val="14"/>
                <w:szCs w:val="14"/>
                <w:lang w:eastAsia="en-AU"/>
              </w:rPr>
            </w:pPr>
            <w:r w:rsidRPr="002642C9">
              <w:rPr>
                <w:rFonts w:eastAsia="Times New Roman" w:cs="Arial" w:hint="eastAsia"/>
                <w:bCs/>
                <w:color w:val="7A7B7C"/>
                <w:sz w:val="14"/>
                <w:szCs w:val="14"/>
                <w:lang w:eastAsia="en-AU"/>
              </w:rPr>
              <w:t>Percentage of Gross Expenditure on R&amp;D (GERD) performed by the Private Non-Profit sector, %</w:t>
            </w:r>
            <w:r w:rsidRPr="002642C9">
              <w:rPr>
                <w:rFonts w:ascii="Arial Unicode MS" w:eastAsia="Arial Unicode MS" w:hAnsi="Arial Unicode MS" w:cs="Arial Unicode MS" w:hint="eastAsia"/>
                <w:bCs/>
                <w:color w:val="7A7B7C"/>
                <w:sz w:val="14"/>
                <w:szCs w:val="14"/>
                <w:lang w:eastAsia="en-AU"/>
              </w:rPr>
              <w:t>¹ ¹</w:t>
            </w:r>
            <w:r w:rsidRPr="002642C9">
              <w:rPr>
                <w:rFonts w:ascii="Arial Unicode MS" w:eastAsia="Arial Unicode MS" w:hAnsi="Arial Unicode MS" w:cs="Arial Unicode MS"/>
                <w:bCs/>
                <w:color w:val="7A7B7C"/>
                <w:sz w:val="14"/>
                <w:szCs w:val="14"/>
                <w:lang w:eastAsia="en-AU"/>
              </w:rPr>
              <w:t>⁰</w:t>
            </w:r>
            <w:r w:rsidRPr="002642C9">
              <w:rPr>
                <w:rFonts w:ascii="Arial Unicode MS" w:eastAsia="Arial Unicode MS" w:hAnsi="Arial Unicode MS" w:cs="Arial Unicode MS" w:hint="eastAsia"/>
                <w:bCs/>
                <w:color w:val="7A7B7C"/>
                <w:sz w:val="14"/>
                <w:szCs w:val="14"/>
                <w:lang w:eastAsia="en-AU"/>
              </w:rPr>
              <w:t xml:space="preserve"> </w:t>
            </w:r>
            <w:r w:rsidRPr="002642C9">
              <w:rPr>
                <w:rFonts w:ascii="Arial Unicode MS" w:eastAsia="Arial Unicode MS" w:hAnsi="Arial Unicode MS" w:cs="Arial Unicode MS"/>
                <w:bCs/>
                <w:color w:val="7A7B7C"/>
                <w:sz w:val="14"/>
                <w:szCs w:val="14"/>
                <w:lang w:eastAsia="en-AU"/>
              </w:rPr>
              <w:t>¹¹</w:t>
            </w:r>
          </w:p>
        </w:tc>
        <w:tc>
          <w:tcPr>
            <w:tcW w:w="249" w:type="pct"/>
            <w:shd w:val="clear" w:color="auto" w:fill="D5ECF5"/>
            <w:vAlign w:val="center"/>
            <w:hideMark/>
          </w:tcPr>
          <w:p w14:paraId="7418C1FA"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2.11</w:t>
            </w:r>
          </w:p>
        </w:tc>
        <w:tc>
          <w:tcPr>
            <w:tcW w:w="249" w:type="pct"/>
            <w:shd w:val="clear" w:color="auto" w:fill="D5ECF5"/>
            <w:vAlign w:val="center"/>
            <w:hideMark/>
          </w:tcPr>
          <w:p w14:paraId="7418C1FB"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2.77</w:t>
            </w:r>
          </w:p>
        </w:tc>
        <w:tc>
          <w:tcPr>
            <w:tcW w:w="249" w:type="pct"/>
            <w:shd w:val="clear" w:color="auto" w:fill="D5ECF5"/>
            <w:vAlign w:val="center"/>
            <w:hideMark/>
          </w:tcPr>
          <w:p w14:paraId="7418C1FC"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3.00</w:t>
            </w:r>
          </w:p>
        </w:tc>
        <w:tc>
          <w:tcPr>
            <w:tcW w:w="249" w:type="pct"/>
            <w:shd w:val="clear" w:color="auto" w:fill="D5ECF5"/>
            <w:vAlign w:val="center"/>
            <w:hideMark/>
          </w:tcPr>
          <w:p w14:paraId="7418C1FD"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2.80</w:t>
            </w:r>
          </w:p>
        </w:tc>
        <w:tc>
          <w:tcPr>
            <w:tcW w:w="249" w:type="pct"/>
            <w:shd w:val="clear" w:color="auto" w:fill="D5ECF5"/>
            <w:vAlign w:val="center"/>
            <w:hideMark/>
          </w:tcPr>
          <w:p w14:paraId="7418C1FE"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1FF"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2.63</w:t>
            </w:r>
          </w:p>
        </w:tc>
        <w:tc>
          <w:tcPr>
            <w:tcW w:w="249" w:type="pct"/>
            <w:shd w:val="clear" w:color="auto" w:fill="D5ECF5"/>
            <w:vAlign w:val="center"/>
            <w:hideMark/>
          </w:tcPr>
          <w:p w14:paraId="7418C200"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201"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2.96</w:t>
            </w:r>
          </w:p>
        </w:tc>
        <w:tc>
          <w:tcPr>
            <w:tcW w:w="249" w:type="pct"/>
            <w:shd w:val="clear" w:color="auto" w:fill="D5ECF5"/>
            <w:vAlign w:val="center"/>
            <w:hideMark/>
          </w:tcPr>
          <w:p w14:paraId="7418C202"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2.98</w:t>
            </w:r>
          </w:p>
        </w:tc>
        <w:tc>
          <w:tcPr>
            <w:tcW w:w="249" w:type="pct"/>
            <w:shd w:val="clear" w:color="auto" w:fill="D5ECF5"/>
            <w:vAlign w:val="center"/>
            <w:hideMark/>
          </w:tcPr>
          <w:p w14:paraId="7418C203"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D5ECF5"/>
            <w:vAlign w:val="center"/>
            <w:hideMark/>
          </w:tcPr>
          <w:p w14:paraId="7418C204"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2.84</w:t>
            </w:r>
          </w:p>
        </w:tc>
        <w:tc>
          <w:tcPr>
            <w:tcW w:w="249" w:type="pct"/>
            <w:shd w:val="clear" w:color="auto" w:fill="D5ECF5"/>
            <w:vAlign w:val="center"/>
            <w:hideMark/>
          </w:tcPr>
          <w:p w14:paraId="7418C205"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27" w:type="pct"/>
            <w:shd w:val="clear" w:color="auto" w:fill="D5ECF5"/>
            <w:vAlign w:val="center"/>
            <w:hideMark/>
          </w:tcPr>
          <w:p w14:paraId="7418C206"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r>
      <w:tr w:rsidR="00D471AD" w:rsidRPr="002642C9" w14:paraId="7418C216" w14:textId="77777777" w:rsidTr="004A31A9">
        <w:trPr>
          <w:trHeight w:val="300"/>
        </w:trPr>
        <w:tc>
          <w:tcPr>
            <w:tcW w:w="1784" w:type="pct"/>
            <w:shd w:val="clear" w:color="auto" w:fill="E4F3F9"/>
            <w:vAlign w:val="center"/>
            <w:hideMark/>
          </w:tcPr>
          <w:p w14:paraId="7418C208" w14:textId="77777777" w:rsidR="00D471AD" w:rsidRPr="002642C9" w:rsidRDefault="00D471AD" w:rsidP="004A31A9">
            <w:pPr>
              <w:spacing w:after="0" w:line="240" w:lineRule="auto"/>
              <w:rPr>
                <w:rFonts w:eastAsia="Times New Roman" w:cs="Arial"/>
                <w:bCs/>
                <w:color w:val="7A7B7C"/>
                <w:sz w:val="14"/>
                <w:szCs w:val="14"/>
                <w:lang w:eastAsia="en-AU"/>
              </w:rPr>
            </w:pPr>
            <w:r w:rsidRPr="002642C9">
              <w:rPr>
                <w:rFonts w:eastAsia="Times New Roman" w:cs="Arial" w:hint="eastAsia"/>
                <w:bCs/>
                <w:color w:val="7A7B7C"/>
                <w:sz w:val="14"/>
                <w:szCs w:val="14"/>
                <w:lang w:eastAsia="en-AU"/>
              </w:rPr>
              <w:t>Private non-profit R&amp;D, million A$</w:t>
            </w:r>
            <w:r w:rsidRPr="002642C9">
              <w:rPr>
                <w:rFonts w:ascii="Arial Unicode MS" w:eastAsia="Arial Unicode MS" w:hAnsi="Arial Unicode MS" w:cs="Arial Unicode MS"/>
                <w:bCs/>
                <w:color w:val="7A7B7C"/>
                <w:sz w:val="14"/>
                <w:szCs w:val="14"/>
                <w:lang w:eastAsia="en-AU"/>
              </w:rPr>
              <w:t>⁷</w:t>
            </w:r>
            <w:r w:rsidRPr="002642C9">
              <w:rPr>
                <w:rFonts w:ascii="Arial Unicode MS" w:eastAsia="Arial Unicode MS" w:hAnsi="Arial Unicode MS" w:cs="Arial Unicode MS" w:hint="eastAsia"/>
                <w:bCs/>
                <w:color w:val="7A7B7C"/>
                <w:sz w:val="14"/>
                <w:szCs w:val="14"/>
                <w:lang w:eastAsia="en-AU"/>
              </w:rPr>
              <w:t xml:space="preserve"> </w:t>
            </w:r>
            <w:r w:rsidRPr="002642C9">
              <w:rPr>
                <w:rFonts w:ascii="Arial Unicode MS" w:eastAsia="Arial Unicode MS" w:hAnsi="Arial Unicode MS" w:cs="Arial Unicode MS"/>
                <w:bCs/>
                <w:color w:val="7A7B7C"/>
                <w:sz w:val="14"/>
                <w:szCs w:val="14"/>
                <w:lang w:eastAsia="en-AU"/>
              </w:rPr>
              <w:t>⁹</w:t>
            </w:r>
            <w:r w:rsidRPr="002642C9">
              <w:rPr>
                <w:rFonts w:ascii="Arial Unicode MS" w:eastAsia="Arial Unicode MS" w:hAnsi="Arial Unicode MS" w:cs="Arial Unicode MS" w:hint="eastAsia"/>
                <w:bCs/>
                <w:color w:val="7A7B7C"/>
                <w:sz w:val="14"/>
                <w:szCs w:val="14"/>
                <w:lang w:eastAsia="en-AU"/>
              </w:rPr>
              <w:t xml:space="preserve"> </w:t>
            </w:r>
            <w:r w:rsidRPr="002642C9">
              <w:rPr>
                <w:rFonts w:ascii="Arial Unicode MS" w:eastAsia="Arial Unicode MS" w:hAnsi="Arial Unicode MS" w:cs="Arial Unicode MS"/>
                <w:bCs/>
                <w:color w:val="7A7B7C"/>
                <w:sz w:val="14"/>
                <w:szCs w:val="14"/>
                <w:lang w:eastAsia="en-AU"/>
              </w:rPr>
              <w:t>¹⁰</w:t>
            </w:r>
            <w:r w:rsidRPr="002642C9">
              <w:rPr>
                <w:rFonts w:ascii="Arial Unicode MS" w:eastAsia="Arial Unicode MS" w:hAnsi="Arial Unicode MS" w:cs="Arial Unicode MS" w:hint="eastAsia"/>
                <w:bCs/>
                <w:color w:val="7A7B7C"/>
                <w:sz w:val="14"/>
                <w:szCs w:val="14"/>
                <w:lang w:eastAsia="en-AU"/>
              </w:rPr>
              <w:t xml:space="preserve"> </w:t>
            </w:r>
            <w:r w:rsidRPr="002642C9">
              <w:rPr>
                <w:rFonts w:ascii="Arial Unicode MS" w:eastAsia="Arial Unicode MS" w:hAnsi="Arial Unicode MS" w:cs="Arial Unicode MS"/>
                <w:bCs/>
                <w:color w:val="7A7B7C"/>
                <w:sz w:val="14"/>
                <w:szCs w:val="14"/>
                <w:lang w:eastAsia="en-AU"/>
              </w:rPr>
              <w:t>¹¹</w:t>
            </w:r>
          </w:p>
        </w:tc>
        <w:tc>
          <w:tcPr>
            <w:tcW w:w="249" w:type="pct"/>
            <w:shd w:val="clear" w:color="auto" w:fill="E4F3F9"/>
            <w:vAlign w:val="center"/>
            <w:hideMark/>
          </w:tcPr>
          <w:p w14:paraId="7418C209"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186</w:t>
            </w:r>
          </w:p>
        </w:tc>
        <w:tc>
          <w:tcPr>
            <w:tcW w:w="249" w:type="pct"/>
            <w:shd w:val="clear" w:color="auto" w:fill="E4F3F9"/>
            <w:vAlign w:val="center"/>
            <w:hideMark/>
          </w:tcPr>
          <w:p w14:paraId="7418C20A"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289</w:t>
            </w:r>
          </w:p>
        </w:tc>
        <w:tc>
          <w:tcPr>
            <w:tcW w:w="249" w:type="pct"/>
            <w:shd w:val="clear" w:color="auto" w:fill="E4F3F9"/>
            <w:vAlign w:val="center"/>
            <w:hideMark/>
          </w:tcPr>
          <w:p w14:paraId="7418C20B"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479</w:t>
            </w:r>
          </w:p>
        </w:tc>
        <w:tc>
          <w:tcPr>
            <w:tcW w:w="249" w:type="pct"/>
            <w:shd w:val="clear" w:color="auto" w:fill="E4F3F9"/>
            <w:vAlign w:val="center"/>
            <w:hideMark/>
          </w:tcPr>
          <w:p w14:paraId="7418C20C"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609</w:t>
            </w:r>
          </w:p>
        </w:tc>
        <w:tc>
          <w:tcPr>
            <w:tcW w:w="249" w:type="pct"/>
            <w:shd w:val="clear" w:color="auto" w:fill="E4F3F9"/>
            <w:vAlign w:val="center"/>
            <w:hideMark/>
          </w:tcPr>
          <w:p w14:paraId="7418C20D"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20E"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744</w:t>
            </w:r>
          </w:p>
        </w:tc>
        <w:tc>
          <w:tcPr>
            <w:tcW w:w="249" w:type="pct"/>
            <w:shd w:val="clear" w:color="auto" w:fill="E4F3F9"/>
            <w:vAlign w:val="center"/>
            <w:hideMark/>
          </w:tcPr>
          <w:p w14:paraId="7418C20F"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210"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211"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944</w:t>
            </w:r>
          </w:p>
        </w:tc>
        <w:tc>
          <w:tcPr>
            <w:tcW w:w="249" w:type="pct"/>
            <w:shd w:val="clear" w:color="auto" w:fill="E4F3F9"/>
            <w:vAlign w:val="center"/>
            <w:hideMark/>
          </w:tcPr>
          <w:p w14:paraId="7418C212"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961</w:t>
            </w:r>
          </w:p>
        </w:tc>
        <w:tc>
          <w:tcPr>
            <w:tcW w:w="249" w:type="pct"/>
            <w:shd w:val="clear" w:color="auto" w:fill="E4F3F9"/>
            <w:vAlign w:val="center"/>
            <w:hideMark/>
          </w:tcPr>
          <w:p w14:paraId="7418C213"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shd w:val="clear" w:color="auto" w:fill="E4F3F9"/>
            <w:vAlign w:val="center"/>
            <w:hideMark/>
          </w:tcPr>
          <w:p w14:paraId="7418C214"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1,007</w:t>
            </w:r>
          </w:p>
        </w:tc>
        <w:tc>
          <w:tcPr>
            <w:tcW w:w="227" w:type="pct"/>
            <w:shd w:val="clear" w:color="auto" w:fill="E4F3F9"/>
            <w:vAlign w:val="center"/>
            <w:hideMark/>
          </w:tcPr>
          <w:p w14:paraId="7418C215"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r>
      <w:tr w:rsidR="00D471AD" w:rsidRPr="002642C9" w14:paraId="7418C225" w14:textId="77777777" w:rsidTr="004A31A9">
        <w:trPr>
          <w:trHeight w:val="300"/>
        </w:trPr>
        <w:tc>
          <w:tcPr>
            <w:tcW w:w="1784" w:type="pct"/>
            <w:shd w:val="clear" w:color="auto" w:fill="D5ECF5"/>
            <w:vAlign w:val="center"/>
            <w:hideMark/>
          </w:tcPr>
          <w:p w14:paraId="7418C217" w14:textId="77777777" w:rsidR="00D471AD" w:rsidRPr="002642C9" w:rsidRDefault="00D471AD" w:rsidP="004A31A9">
            <w:pPr>
              <w:spacing w:after="0" w:line="240" w:lineRule="auto"/>
              <w:rPr>
                <w:rFonts w:eastAsia="Times New Roman" w:cs="Arial"/>
                <w:bCs/>
                <w:color w:val="7A7B7C"/>
                <w:sz w:val="14"/>
                <w:szCs w:val="14"/>
                <w:lang w:eastAsia="en-AU"/>
              </w:rPr>
            </w:pPr>
            <w:r w:rsidRPr="002642C9">
              <w:rPr>
                <w:rFonts w:eastAsia="Times New Roman" w:cs="Arial" w:hint="eastAsia"/>
                <w:bCs/>
                <w:color w:val="7A7B7C"/>
                <w:sz w:val="14"/>
                <w:szCs w:val="14"/>
                <w:lang w:eastAsia="en-AU"/>
              </w:rPr>
              <w:t>Government Budget Appropriations or Outlays for R&amp;D (GBAORD), % of GDP</w:t>
            </w:r>
            <w:r w:rsidRPr="002642C9">
              <w:rPr>
                <w:rFonts w:ascii="Arial Unicode MS" w:eastAsia="Arial Unicode MS" w:hAnsi="Arial Unicode MS" w:cs="Arial Unicode MS" w:hint="eastAsia"/>
                <w:bCs/>
                <w:color w:val="7A7B7C"/>
                <w:sz w:val="14"/>
                <w:szCs w:val="14"/>
                <w:lang w:eastAsia="en-AU"/>
              </w:rPr>
              <w:t>¹</w:t>
            </w:r>
          </w:p>
        </w:tc>
        <w:tc>
          <w:tcPr>
            <w:tcW w:w="249" w:type="pct"/>
            <w:shd w:val="clear" w:color="auto" w:fill="D5ECF5"/>
            <w:vAlign w:val="center"/>
            <w:hideMark/>
          </w:tcPr>
          <w:p w14:paraId="7418C218"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0.57</w:t>
            </w:r>
          </w:p>
        </w:tc>
        <w:tc>
          <w:tcPr>
            <w:tcW w:w="249" w:type="pct"/>
            <w:shd w:val="clear" w:color="auto" w:fill="D5ECF5"/>
            <w:vAlign w:val="center"/>
            <w:hideMark/>
          </w:tcPr>
          <w:p w14:paraId="7418C219"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0.53</w:t>
            </w:r>
          </w:p>
        </w:tc>
        <w:tc>
          <w:tcPr>
            <w:tcW w:w="249" w:type="pct"/>
            <w:shd w:val="clear" w:color="auto" w:fill="D5ECF5"/>
            <w:vAlign w:val="center"/>
            <w:hideMark/>
          </w:tcPr>
          <w:p w14:paraId="7418C21A"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0.52</w:t>
            </w:r>
          </w:p>
        </w:tc>
        <w:tc>
          <w:tcPr>
            <w:tcW w:w="249" w:type="pct"/>
            <w:shd w:val="clear" w:color="auto" w:fill="D5ECF5"/>
            <w:vAlign w:val="center"/>
            <w:hideMark/>
          </w:tcPr>
          <w:p w14:paraId="7418C21B"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0.52</w:t>
            </w:r>
          </w:p>
        </w:tc>
        <w:tc>
          <w:tcPr>
            <w:tcW w:w="249" w:type="pct"/>
            <w:shd w:val="clear" w:color="auto" w:fill="D5ECF5"/>
            <w:vAlign w:val="center"/>
            <w:hideMark/>
          </w:tcPr>
          <w:p w14:paraId="7418C21C"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0.47</w:t>
            </w:r>
          </w:p>
        </w:tc>
        <w:tc>
          <w:tcPr>
            <w:tcW w:w="249" w:type="pct"/>
            <w:shd w:val="clear" w:color="auto" w:fill="D5ECF5"/>
            <w:vAlign w:val="center"/>
            <w:hideMark/>
          </w:tcPr>
          <w:p w14:paraId="7418C21D"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0.46</w:t>
            </w:r>
          </w:p>
        </w:tc>
        <w:tc>
          <w:tcPr>
            <w:tcW w:w="249" w:type="pct"/>
            <w:shd w:val="clear" w:color="auto" w:fill="D5ECF5"/>
            <w:vAlign w:val="center"/>
            <w:hideMark/>
          </w:tcPr>
          <w:p w14:paraId="7418C21E"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0.52</w:t>
            </w:r>
          </w:p>
        </w:tc>
        <w:tc>
          <w:tcPr>
            <w:tcW w:w="249" w:type="pct"/>
            <w:shd w:val="clear" w:color="auto" w:fill="D5ECF5"/>
            <w:vAlign w:val="center"/>
            <w:hideMark/>
          </w:tcPr>
          <w:p w14:paraId="7418C21F"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0.50</w:t>
            </w:r>
          </w:p>
        </w:tc>
        <w:tc>
          <w:tcPr>
            <w:tcW w:w="249" w:type="pct"/>
            <w:shd w:val="clear" w:color="auto" w:fill="D5ECF5"/>
            <w:vAlign w:val="center"/>
            <w:hideMark/>
          </w:tcPr>
          <w:p w14:paraId="7418C220"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0.48</w:t>
            </w:r>
          </w:p>
        </w:tc>
        <w:tc>
          <w:tcPr>
            <w:tcW w:w="249" w:type="pct"/>
            <w:shd w:val="clear" w:color="auto" w:fill="D5ECF5"/>
            <w:vAlign w:val="center"/>
            <w:hideMark/>
          </w:tcPr>
          <w:p w14:paraId="7418C221"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0.45</w:t>
            </w:r>
          </w:p>
        </w:tc>
        <w:tc>
          <w:tcPr>
            <w:tcW w:w="249" w:type="pct"/>
            <w:shd w:val="clear" w:color="auto" w:fill="D5ECF5"/>
            <w:vAlign w:val="center"/>
            <w:hideMark/>
          </w:tcPr>
          <w:p w14:paraId="7418C222"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0.45</w:t>
            </w:r>
          </w:p>
        </w:tc>
        <w:tc>
          <w:tcPr>
            <w:tcW w:w="249" w:type="pct"/>
            <w:shd w:val="clear" w:color="auto" w:fill="D5ECF5"/>
            <w:vAlign w:val="center"/>
            <w:hideMark/>
          </w:tcPr>
          <w:p w14:paraId="7418C223"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0.44</w:t>
            </w:r>
          </w:p>
        </w:tc>
        <w:tc>
          <w:tcPr>
            <w:tcW w:w="227" w:type="pct"/>
            <w:shd w:val="clear" w:color="auto" w:fill="D5ECF5"/>
            <w:vAlign w:val="center"/>
            <w:hideMark/>
          </w:tcPr>
          <w:p w14:paraId="7418C224"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0.42</w:t>
            </w:r>
          </w:p>
        </w:tc>
      </w:tr>
      <w:tr w:rsidR="00D471AD" w:rsidRPr="002642C9" w14:paraId="7418C234" w14:textId="77777777" w:rsidTr="004A31A9">
        <w:trPr>
          <w:trHeight w:val="300"/>
        </w:trPr>
        <w:tc>
          <w:tcPr>
            <w:tcW w:w="1784" w:type="pct"/>
            <w:tcBorders>
              <w:bottom w:val="single" w:sz="8" w:space="0" w:color="22789A"/>
            </w:tcBorders>
            <w:shd w:val="clear" w:color="auto" w:fill="E4F3F9"/>
            <w:vAlign w:val="center"/>
            <w:hideMark/>
          </w:tcPr>
          <w:p w14:paraId="7418C226" w14:textId="77777777" w:rsidR="00D471AD" w:rsidRPr="002642C9" w:rsidRDefault="00D471AD" w:rsidP="004A31A9">
            <w:pPr>
              <w:spacing w:after="0" w:line="240" w:lineRule="auto"/>
              <w:rPr>
                <w:rFonts w:eastAsia="Times New Roman" w:cs="Arial"/>
                <w:bCs/>
                <w:color w:val="7A7B7C"/>
                <w:sz w:val="14"/>
                <w:szCs w:val="14"/>
                <w:lang w:eastAsia="en-AU"/>
              </w:rPr>
            </w:pPr>
            <w:r w:rsidRPr="002642C9">
              <w:rPr>
                <w:rFonts w:eastAsia="Times New Roman" w:cs="Arial" w:hint="eastAsia"/>
                <w:bCs/>
                <w:color w:val="7A7B7C"/>
                <w:sz w:val="14"/>
                <w:szCs w:val="14"/>
                <w:lang w:eastAsia="en-AU"/>
              </w:rPr>
              <w:t>Government-financed Gross Expenditure on R&amp;D (GERD), % of GDP</w:t>
            </w:r>
            <w:r w:rsidRPr="002642C9">
              <w:rPr>
                <w:rFonts w:ascii="Arial Unicode MS" w:eastAsia="Arial Unicode MS" w:hAnsi="Arial Unicode MS" w:cs="Arial Unicode MS" w:hint="eastAsia"/>
                <w:bCs/>
                <w:color w:val="7A7B7C"/>
                <w:sz w:val="14"/>
                <w:szCs w:val="14"/>
                <w:lang w:eastAsia="en-AU"/>
              </w:rPr>
              <w:t>¹ ¹</w:t>
            </w:r>
            <w:r w:rsidRPr="002642C9">
              <w:rPr>
                <w:rFonts w:ascii="Arial Unicode MS" w:eastAsia="Arial Unicode MS" w:hAnsi="Arial Unicode MS" w:cs="Arial Unicode MS"/>
                <w:bCs/>
                <w:color w:val="7A7B7C"/>
                <w:sz w:val="14"/>
                <w:szCs w:val="14"/>
                <w:lang w:eastAsia="en-AU"/>
              </w:rPr>
              <w:t>⁰</w:t>
            </w:r>
            <w:r w:rsidRPr="002642C9">
              <w:rPr>
                <w:rFonts w:ascii="Arial Unicode MS" w:eastAsia="Arial Unicode MS" w:hAnsi="Arial Unicode MS" w:cs="Arial Unicode MS" w:hint="eastAsia"/>
                <w:bCs/>
                <w:color w:val="7A7B7C"/>
                <w:sz w:val="14"/>
                <w:szCs w:val="14"/>
                <w:lang w:eastAsia="en-AU"/>
              </w:rPr>
              <w:t xml:space="preserve"> </w:t>
            </w:r>
            <w:r w:rsidRPr="002642C9">
              <w:rPr>
                <w:rFonts w:ascii="Arial Unicode MS" w:eastAsia="Arial Unicode MS" w:hAnsi="Arial Unicode MS" w:cs="Arial Unicode MS"/>
                <w:bCs/>
                <w:color w:val="7A7B7C"/>
                <w:sz w:val="14"/>
                <w:szCs w:val="14"/>
                <w:lang w:eastAsia="en-AU"/>
              </w:rPr>
              <w:t>¹¹</w:t>
            </w:r>
          </w:p>
        </w:tc>
        <w:tc>
          <w:tcPr>
            <w:tcW w:w="249" w:type="pct"/>
            <w:tcBorders>
              <w:bottom w:val="single" w:sz="8" w:space="0" w:color="22789A"/>
            </w:tcBorders>
            <w:shd w:val="clear" w:color="auto" w:fill="E4F3F9"/>
            <w:vAlign w:val="center"/>
            <w:hideMark/>
          </w:tcPr>
          <w:p w14:paraId="7418C227"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0.72</w:t>
            </w:r>
          </w:p>
        </w:tc>
        <w:tc>
          <w:tcPr>
            <w:tcW w:w="249" w:type="pct"/>
            <w:tcBorders>
              <w:bottom w:val="single" w:sz="8" w:space="0" w:color="22789A"/>
            </w:tcBorders>
            <w:shd w:val="clear" w:color="auto" w:fill="E4F3F9"/>
            <w:vAlign w:val="center"/>
            <w:hideMark/>
          </w:tcPr>
          <w:p w14:paraId="7418C228"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0.67</w:t>
            </w:r>
          </w:p>
        </w:tc>
        <w:tc>
          <w:tcPr>
            <w:tcW w:w="249" w:type="pct"/>
            <w:tcBorders>
              <w:bottom w:val="single" w:sz="8" w:space="0" w:color="22789A"/>
            </w:tcBorders>
            <w:shd w:val="clear" w:color="auto" w:fill="E4F3F9"/>
            <w:vAlign w:val="center"/>
            <w:hideMark/>
          </w:tcPr>
          <w:p w14:paraId="7418C229"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0.70</w:t>
            </w:r>
          </w:p>
        </w:tc>
        <w:tc>
          <w:tcPr>
            <w:tcW w:w="249" w:type="pct"/>
            <w:tcBorders>
              <w:bottom w:val="single" w:sz="8" w:space="0" w:color="22789A"/>
            </w:tcBorders>
            <w:shd w:val="clear" w:color="auto" w:fill="E4F3F9"/>
            <w:vAlign w:val="center"/>
            <w:hideMark/>
          </w:tcPr>
          <w:p w14:paraId="7418C22A"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0.75</w:t>
            </w:r>
          </w:p>
        </w:tc>
        <w:tc>
          <w:tcPr>
            <w:tcW w:w="249" w:type="pct"/>
            <w:tcBorders>
              <w:bottom w:val="single" w:sz="8" w:space="0" w:color="22789A"/>
            </w:tcBorders>
            <w:shd w:val="clear" w:color="auto" w:fill="E4F3F9"/>
            <w:vAlign w:val="center"/>
            <w:hideMark/>
          </w:tcPr>
          <w:p w14:paraId="7418C22B"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tcBorders>
              <w:bottom w:val="single" w:sz="8" w:space="0" w:color="22789A"/>
            </w:tcBorders>
            <w:shd w:val="clear" w:color="auto" w:fill="E4F3F9"/>
            <w:vAlign w:val="center"/>
            <w:hideMark/>
          </w:tcPr>
          <w:p w14:paraId="7418C22C"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0.78</w:t>
            </w:r>
          </w:p>
        </w:tc>
        <w:tc>
          <w:tcPr>
            <w:tcW w:w="249" w:type="pct"/>
            <w:tcBorders>
              <w:bottom w:val="single" w:sz="8" w:space="0" w:color="22789A"/>
            </w:tcBorders>
            <w:shd w:val="clear" w:color="auto" w:fill="E4F3F9"/>
            <w:vAlign w:val="center"/>
            <w:hideMark/>
          </w:tcPr>
          <w:p w14:paraId="7418C22D"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tcBorders>
              <w:bottom w:val="single" w:sz="8" w:space="0" w:color="22789A"/>
            </w:tcBorders>
            <w:shd w:val="clear" w:color="auto" w:fill="E4F3F9"/>
            <w:vAlign w:val="center"/>
            <w:hideMark/>
          </w:tcPr>
          <w:p w14:paraId="7418C22E"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tcBorders>
              <w:bottom w:val="single" w:sz="8" w:space="0" w:color="22789A"/>
            </w:tcBorders>
            <w:shd w:val="clear" w:color="auto" w:fill="E4F3F9"/>
            <w:vAlign w:val="center"/>
            <w:hideMark/>
          </w:tcPr>
          <w:p w14:paraId="7418C22F"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tcBorders>
              <w:bottom w:val="single" w:sz="8" w:space="0" w:color="22789A"/>
            </w:tcBorders>
            <w:shd w:val="clear" w:color="auto" w:fill="E4F3F9"/>
            <w:vAlign w:val="center"/>
            <w:hideMark/>
          </w:tcPr>
          <w:p w14:paraId="7418C230"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tcBorders>
              <w:bottom w:val="single" w:sz="8" w:space="0" w:color="22789A"/>
            </w:tcBorders>
            <w:shd w:val="clear" w:color="auto" w:fill="E4F3F9"/>
            <w:vAlign w:val="center"/>
            <w:hideMark/>
          </w:tcPr>
          <w:p w14:paraId="7418C231"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49" w:type="pct"/>
            <w:tcBorders>
              <w:bottom w:val="single" w:sz="8" w:space="0" w:color="22789A"/>
            </w:tcBorders>
            <w:shd w:val="clear" w:color="auto" w:fill="E4F3F9"/>
            <w:vAlign w:val="center"/>
            <w:hideMark/>
          </w:tcPr>
          <w:p w14:paraId="7418C232"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c>
          <w:tcPr>
            <w:tcW w:w="227" w:type="pct"/>
            <w:tcBorders>
              <w:bottom w:val="single" w:sz="8" w:space="0" w:color="22789A"/>
            </w:tcBorders>
            <w:shd w:val="clear" w:color="auto" w:fill="E4F3F9"/>
            <w:vAlign w:val="center"/>
            <w:hideMark/>
          </w:tcPr>
          <w:p w14:paraId="7418C233" w14:textId="77777777" w:rsidR="00D471AD" w:rsidRPr="002642C9" w:rsidRDefault="00D471AD" w:rsidP="004A31A9">
            <w:pPr>
              <w:spacing w:after="0" w:line="240" w:lineRule="auto"/>
              <w:jc w:val="right"/>
              <w:rPr>
                <w:rFonts w:eastAsia="Times New Roman" w:cs="Arial"/>
                <w:bCs/>
                <w:color w:val="7A7B7C"/>
                <w:sz w:val="14"/>
                <w:szCs w:val="14"/>
                <w:lang w:eastAsia="en-AU"/>
              </w:rPr>
            </w:pPr>
            <w:r w:rsidRPr="002642C9">
              <w:rPr>
                <w:rFonts w:eastAsia="Times New Roman" w:cs="Arial"/>
                <w:bCs/>
                <w:color w:val="7A7B7C"/>
                <w:sz w:val="14"/>
                <w:szCs w:val="14"/>
                <w:lang w:eastAsia="en-AU"/>
              </w:rPr>
              <w:t>–</w:t>
            </w:r>
          </w:p>
        </w:tc>
      </w:tr>
    </w:tbl>
    <w:p w14:paraId="7418C235" w14:textId="77777777" w:rsidR="00D471AD" w:rsidRDefault="00D471AD" w:rsidP="00D471AD">
      <w:pPr>
        <w:spacing w:before="120" w:after="120"/>
        <w:rPr>
          <w:rFonts w:cs="Arial"/>
          <w:color w:val="22789A"/>
          <w:sz w:val="16"/>
          <w:szCs w:val="16"/>
        </w:rPr>
      </w:pPr>
    </w:p>
    <w:tbl>
      <w:tblPr>
        <w:tblW w:w="5000" w:type="pct"/>
        <w:tblBorders>
          <w:bottom w:val="single" w:sz="4" w:space="0" w:color="auto"/>
        </w:tblBorders>
        <w:tblLook w:val="04A0" w:firstRow="1" w:lastRow="0" w:firstColumn="1" w:lastColumn="0" w:noHBand="0" w:noVBand="1"/>
      </w:tblPr>
      <w:tblGrid>
        <w:gridCol w:w="5539"/>
        <w:gridCol w:w="1312"/>
        <w:gridCol w:w="173"/>
        <w:gridCol w:w="1616"/>
        <w:gridCol w:w="1234"/>
        <w:gridCol w:w="1460"/>
        <w:gridCol w:w="1312"/>
        <w:gridCol w:w="1245"/>
        <w:gridCol w:w="67"/>
      </w:tblGrid>
      <w:tr w:rsidR="00D471AD" w:rsidRPr="002642C9" w14:paraId="7418C237" w14:textId="77777777" w:rsidTr="004A31A9">
        <w:trPr>
          <w:gridAfter w:val="1"/>
          <w:wAfter w:w="24" w:type="pct"/>
          <w:trHeight w:val="300"/>
          <w:tblHeader/>
        </w:trPr>
        <w:tc>
          <w:tcPr>
            <w:tcW w:w="4976" w:type="pct"/>
            <w:gridSpan w:val="8"/>
            <w:tcBorders>
              <w:top w:val="single" w:sz="8" w:space="0" w:color="22789A"/>
              <w:bottom w:val="nil"/>
            </w:tcBorders>
            <w:shd w:val="clear" w:color="auto" w:fill="auto"/>
            <w:vAlign w:val="center"/>
          </w:tcPr>
          <w:p w14:paraId="7418C236" w14:textId="77777777" w:rsidR="00D471AD" w:rsidRPr="002642C9" w:rsidRDefault="00D471AD" w:rsidP="004A31A9">
            <w:pPr>
              <w:widowControl w:val="0"/>
              <w:spacing w:before="42" w:after="0" w:line="240" w:lineRule="auto"/>
              <w:ind w:left="-108"/>
              <w:rPr>
                <w:rFonts w:eastAsia="Calibri" w:hAnsi="Calibri" w:cs="Times New Roman"/>
                <w:i/>
                <w:color w:val="22789A"/>
                <w:spacing w:val="3"/>
                <w:sz w:val="18"/>
                <w:lang w:val="en-US"/>
              </w:rPr>
            </w:pPr>
            <w:r w:rsidRPr="002642C9">
              <w:rPr>
                <w:rFonts w:eastAsia="Calibri" w:hAnsi="Calibri" w:cs="Times New Roman"/>
                <w:i/>
                <w:color w:val="22789A"/>
                <w:spacing w:val="3"/>
                <w:sz w:val="18"/>
                <w:lang w:val="en-US"/>
              </w:rPr>
              <w:t>Table A7(b): Australia</w:t>
            </w:r>
            <w:r w:rsidRPr="002642C9">
              <w:rPr>
                <w:rFonts w:eastAsia="Calibri" w:hAnsi="Calibri" w:cs="Times New Roman"/>
                <w:i/>
                <w:color w:val="22789A"/>
                <w:spacing w:val="3"/>
                <w:sz w:val="18"/>
                <w:lang w:val="en-US"/>
              </w:rPr>
              <w:t>’</w:t>
            </w:r>
            <w:r w:rsidRPr="002642C9">
              <w:rPr>
                <w:rFonts w:eastAsia="Calibri" w:hAnsi="Calibri" w:cs="Times New Roman"/>
                <w:i/>
                <w:color w:val="22789A"/>
                <w:spacing w:val="3"/>
                <w:sz w:val="18"/>
                <w:lang w:val="en-US"/>
              </w:rPr>
              <w:t>s investment in research</w:t>
            </w:r>
          </w:p>
        </w:tc>
      </w:tr>
      <w:tr w:rsidR="00D471AD" w:rsidRPr="002642C9" w14:paraId="7418C23B"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369"/>
          <w:tblHeader/>
        </w:trPr>
        <w:tc>
          <w:tcPr>
            <w:tcW w:w="1984" w:type="pct"/>
            <w:tcBorders>
              <w:top w:val="nil"/>
              <w:left w:val="nil"/>
              <w:bottom w:val="nil"/>
              <w:right w:val="nil"/>
            </w:tcBorders>
            <w:shd w:val="clear" w:color="auto" w:fill="22789A"/>
          </w:tcPr>
          <w:p w14:paraId="7418C238" w14:textId="77777777" w:rsidR="00D471AD" w:rsidRPr="002642C9" w:rsidRDefault="00D471AD" w:rsidP="004A31A9">
            <w:pPr>
              <w:widowControl w:val="0"/>
              <w:spacing w:before="42" w:after="0" w:line="240" w:lineRule="auto"/>
              <w:ind w:left="79"/>
              <w:rPr>
                <w:rFonts w:eastAsia="Arial" w:cs="Arial"/>
                <w:color w:val="auto"/>
                <w:sz w:val="18"/>
                <w:szCs w:val="18"/>
                <w:lang w:val="en-US"/>
              </w:rPr>
            </w:pPr>
            <w:r w:rsidRPr="002642C9">
              <w:rPr>
                <w:rFonts w:eastAsia="Calibri" w:hAnsi="Calibri" w:cs="Times New Roman"/>
                <w:i/>
                <w:color w:val="FFFFFF"/>
                <w:spacing w:val="3"/>
                <w:sz w:val="18"/>
                <w:lang w:val="en-US"/>
              </w:rPr>
              <w:t>OECD+</w:t>
            </w:r>
            <w:r w:rsidRPr="002642C9">
              <w:rPr>
                <w:rFonts w:eastAsia="Calibri" w:hAnsi="Calibri" w:cs="Times New Roman"/>
                <w:i/>
                <w:color w:val="FFFFFF"/>
                <w:spacing w:val="8"/>
                <w:sz w:val="18"/>
                <w:lang w:val="en-US"/>
              </w:rPr>
              <w:t xml:space="preserve"> </w:t>
            </w:r>
            <w:r w:rsidRPr="002642C9">
              <w:rPr>
                <w:rFonts w:eastAsia="Calibri" w:hAnsi="Calibri" w:cs="Times New Roman"/>
                <w:i/>
                <w:color w:val="FFFFFF"/>
                <w:spacing w:val="3"/>
                <w:sz w:val="18"/>
                <w:lang w:val="en-US"/>
              </w:rPr>
              <w:t>Comparisons</w:t>
            </w:r>
            <w:r w:rsidRPr="002642C9">
              <w:rPr>
                <w:rFonts w:eastAsia="Calibri" w:hAnsi="Calibri" w:cs="Times New Roman"/>
                <w:i/>
                <w:color w:val="FFFFFF"/>
                <w:spacing w:val="9"/>
                <w:sz w:val="18"/>
                <w:lang w:val="en-US"/>
              </w:rPr>
              <w:t xml:space="preserve"> </w:t>
            </w:r>
            <w:r w:rsidRPr="002642C9">
              <w:rPr>
                <w:rFonts w:eastAsia="Calibri" w:hAnsi="Calibri" w:cs="Times New Roman"/>
                <w:i/>
                <w:color w:val="FFFFFF"/>
                <w:spacing w:val="4"/>
                <w:sz w:val="18"/>
                <w:lang w:val="en-US"/>
              </w:rPr>
              <w:t>(ii)</w:t>
            </w:r>
          </w:p>
        </w:tc>
        <w:tc>
          <w:tcPr>
            <w:tcW w:w="470" w:type="pct"/>
            <w:tcBorders>
              <w:top w:val="nil"/>
              <w:left w:val="nil"/>
              <w:bottom w:val="nil"/>
              <w:right w:val="nil"/>
            </w:tcBorders>
            <w:shd w:val="clear" w:color="auto" w:fill="22789A"/>
          </w:tcPr>
          <w:p w14:paraId="7418C239" w14:textId="77777777" w:rsidR="00D471AD" w:rsidRPr="002642C9" w:rsidRDefault="00D471AD" w:rsidP="004A31A9">
            <w:pPr>
              <w:widowControl w:val="0"/>
              <w:spacing w:after="0" w:line="240" w:lineRule="auto"/>
              <w:rPr>
                <w:rFonts w:ascii="Calibri" w:eastAsia="Calibri" w:hAnsi="Calibri" w:cs="Times New Roman"/>
                <w:color w:val="auto"/>
                <w:lang w:val="en-US"/>
              </w:rPr>
            </w:pPr>
          </w:p>
        </w:tc>
        <w:tc>
          <w:tcPr>
            <w:tcW w:w="2546" w:type="pct"/>
            <w:gridSpan w:val="7"/>
            <w:tcBorders>
              <w:top w:val="nil"/>
              <w:left w:val="nil"/>
              <w:bottom w:val="nil"/>
              <w:right w:val="nil"/>
            </w:tcBorders>
            <w:shd w:val="clear" w:color="auto" w:fill="22789A"/>
          </w:tcPr>
          <w:p w14:paraId="7418C23A" w14:textId="77777777" w:rsidR="00D471AD" w:rsidRPr="002642C9" w:rsidRDefault="00D471AD" w:rsidP="004A31A9">
            <w:pPr>
              <w:widowControl w:val="0"/>
              <w:spacing w:after="0" w:line="240" w:lineRule="auto"/>
              <w:rPr>
                <w:rFonts w:ascii="Calibri" w:eastAsia="Calibri" w:hAnsi="Calibri" w:cs="Times New Roman"/>
                <w:color w:val="auto"/>
                <w:lang w:val="en-US"/>
              </w:rPr>
            </w:pPr>
          </w:p>
        </w:tc>
      </w:tr>
      <w:tr w:rsidR="00D471AD" w:rsidRPr="002642C9" w14:paraId="7418C245"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610"/>
          <w:tblHeader/>
        </w:trPr>
        <w:tc>
          <w:tcPr>
            <w:tcW w:w="1984" w:type="pct"/>
            <w:tcBorders>
              <w:top w:val="nil"/>
              <w:left w:val="nil"/>
              <w:bottom w:val="nil"/>
              <w:right w:val="nil"/>
            </w:tcBorders>
            <w:shd w:val="clear" w:color="auto" w:fill="E4F3F9"/>
          </w:tcPr>
          <w:p w14:paraId="7418C23C" w14:textId="77777777" w:rsidR="00D471AD" w:rsidRPr="002642C9" w:rsidRDefault="00D471AD" w:rsidP="004A31A9">
            <w:pPr>
              <w:widowControl w:val="0"/>
              <w:spacing w:before="50" w:after="0" w:line="240" w:lineRule="auto"/>
              <w:ind w:left="91"/>
              <w:contextualSpacing/>
              <w:rPr>
                <w:rFonts w:eastAsia="Arial" w:cs="Arial"/>
                <w:color w:val="auto"/>
                <w:sz w:val="14"/>
                <w:szCs w:val="14"/>
                <w:lang w:val="en-US"/>
              </w:rPr>
            </w:pPr>
            <w:r w:rsidRPr="002642C9">
              <w:rPr>
                <w:rFonts w:eastAsia="Calibri" w:hAnsi="Calibri" w:cs="Times New Roman"/>
                <w:i/>
                <w:color w:val="7A7B7C"/>
                <w:sz w:val="14"/>
                <w:lang w:val="en-US"/>
              </w:rPr>
              <w:t>Indicators</w:t>
            </w:r>
          </w:p>
        </w:tc>
        <w:tc>
          <w:tcPr>
            <w:tcW w:w="532" w:type="pct"/>
            <w:gridSpan w:val="2"/>
            <w:tcBorders>
              <w:top w:val="nil"/>
              <w:left w:val="nil"/>
              <w:bottom w:val="nil"/>
              <w:right w:val="nil"/>
            </w:tcBorders>
            <w:shd w:val="clear" w:color="auto" w:fill="E4F3F9"/>
          </w:tcPr>
          <w:p w14:paraId="7418C23D" w14:textId="77777777" w:rsidR="00D471AD" w:rsidRPr="002642C9" w:rsidRDefault="00D471AD" w:rsidP="004A31A9">
            <w:pPr>
              <w:widowControl w:val="0"/>
              <w:spacing w:before="100" w:beforeAutospacing="1" w:after="0" w:line="240" w:lineRule="auto"/>
              <w:ind w:left="205"/>
              <w:contextualSpacing/>
              <w:rPr>
                <w:rFonts w:eastAsia="Arial" w:cs="Arial"/>
                <w:color w:val="auto"/>
                <w:sz w:val="14"/>
                <w:szCs w:val="14"/>
                <w:lang w:val="en-US"/>
              </w:rPr>
            </w:pPr>
            <w:r w:rsidRPr="002642C9">
              <w:rPr>
                <w:rFonts w:eastAsia="Calibri" w:hAnsi="Calibri" w:cs="Times New Roman"/>
                <w:i/>
                <w:color w:val="7A7B7C"/>
                <w:sz w:val="14"/>
                <w:lang w:val="en-US"/>
              </w:rPr>
              <w:t>Australia's</w:t>
            </w:r>
            <w:r w:rsidRPr="002642C9">
              <w:rPr>
                <w:rFonts w:eastAsia="Calibri" w:hAnsi="Calibri" w:cs="Times New Roman"/>
                <w:i/>
                <w:color w:val="7A7B7C"/>
                <w:spacing w:val="-1"/>
                <w:sz w:val="14"/>
                <w:lang w:val="en-US"/>
              </w:rPr>
              <w:t xml:space="preserve"> </w:t>
            </w:r>
            <w:r w:rsidRPr="002642C9">
              <w:rPr>
                <w:rFonts w:eastAsia="Calibri" w:hAnsi="Calibri" w:cs="Times New Roman"/>
                <w:i/>
                <w:color w:val="7A7B7C"/>
                <w:sz w:val="14"/>
                <w:lang w:val="en-US"/>
              </w:rPr>
              <w:t>score</w:t>
            </w:r>
            <w:r w:rsidRPr="002642C9">
              <w:rPr>
                <w:rFonts w:eastAsia="Calibri" w:hAnsi="Calibri" w:cs="Times New Roman"/>
                <w:i/>
                <w:color w:val="7A7B7C"/>
                <w:spacing w:val="-1"/>
                <w:sz w:val="14"/>
                <w:lang w:val="en-US"/>
              </w:rPr>
              <w:t xml:space="preserve"> </w:t>
            </w:r>
            <w:r w:rsidRPr="002642C9">
              <w:rPr>
                <w:rFonts w:eastAsia="Calibri" w:hAnsi="Calibri" w:cs="Times New Roman"/>
                <w:i/>
                <w:color w:val="7A7B7C"/>
                <w:sz w:val="14"/>
                <w:lang w:val="en-US"/>
              </w:rPr>
              <w:t>(iii)</w:t>
            </w:r>
          </w:p>
        </w:tc>
        <w:tc>
          <w:tcPr>
            <w:tcW w:w="579" w:type="pct"/>
            <w:tcBorders>
              <w:top w:val="nil"/>
              <w:left w:val="nil"/>
              <w:bottom w:val="nil"/>
              <w:right w:val="nil"/>
            </w:tcBorders>
            <w:shd w:val="clear" w:color="auto" w:fill="E4F3F9"/>
          </w:tcPr>
          <w:p w14:paraId="7418C23E" w14:textId="77777777" w:rsidR="00D471AD" w:rsidRPr="002642C9" w:rsidRDefault="00D471AD" w:rsidP="004A31A9">
            <w:pPr>
              <w:widowControl w:val="0"/>
              <w:spacing w:before="100" w:beforeAutospacing="1" w:after="0" w:line="240" w:lineRule="auto"/>
              <w:ind w:left="100"/>
              <w:contextualSpacing/>
              <w:rPr>
                <w:rFonts w:eastAsia="Arial" w:cs="Arial"/>
                <w:color w:val="auto"/>
                <w:sz w:val="14"/>
                <w:szCs w:val="14"/>
                <w:lang w:val="en-US"/>
              </w:rPr>
            </w:pPr>
            <w:r w:rsidRPr="002642C9">
              <w:rPr>
                <w:rFonts w:eastAsia="Calibri" w:hAnsi="Calibri" w:cs="Times New Roman"/>
                <w:i/>
                <w:color w:val="7A7B7C"/>
                <w:sz w:val="14"/>
                <w:lang w:val="en-US"/>
              </w:rPr>
              <w:t>OECD+</w:t>
            </w:r>
            <w:r w:rsidRPr="002642C9">
              <w:rPr>
                <w:rFonts w:eastAsia="Calibri" w:hAnsi="Calibri" w:cs="Times New Roman"/>
                <w:i/>
                <w:color w:val="7A7B7C"/>
                <w:spacing w:val="-7"/>
                <w:sz w:val="14"/>
                <w:lang w:val="en-US"/>
              </w:rPr>
              <w:t xml:space="preserve"> </w:t>
            </w:r>
            <w:r w:rsidRPr="002642C9">
              <w:rPr>
                <w:rFonts w:eastAsia="Calibri" w:hAnsi="Calibri" w:cs="Times New Roman"/>
                <w:i/>
                <w:color w:val="7A7B7C"/>
                <w:spacing w:val="-1"/>
                <w:sz w:val="14"/>
                <w:lang w:val="en-US"/>
              </w:rPr>
              <w:t xml:space="preserve">Average </w:t>
            </w:r>
            <w:r w:rsidRPr="002642C9">
              <w:rPr>
                <w:rFonts w:eastAsia="Calibri" w:hAnsi="Calibri" w:cs="Times New Roman"/>
                <w:i/>
                <w:color w:val="7A7B7C"/>
                <w:sz w:val="14"/>
                <w:lang w:val="en-US"/>
              </w:rPr>
              <w:t>(iv)</w:t>
            </w:r>
          </w:p>
        </w:tc>
        <w:tc>
          <w:tcPr>
            <w:tcW w:w="442" w:type="pct"/>
            <w:tcBorders>
              <w:top w:val="nil"/>
              <w:left w:val="nil"/>
              <w:bottom w:val="nil"/>
              <w:right w:val="nil"/>
            </w:tcBorders>
            <w:shd w:val="clear" w:color="auto" w:fill="E4F3F9"/>
          </w:tcPr>
          <w:p w14:paraId="7418C23F" w14:textId="77777777" w:rsidR="00D471AD" w:rsidRPr="002642C9" w:rsidRDefault="00D471AD" w:rsidP="004A31A9">
            <w:pPr>
              <w:widowControl w:val="0"/>
              <w:spacing w:after="0" w:line="240" w:lineRule="auto"/>
              <w:jc w:val="right"/>
              <w:rPr>
                <w:rFonts w:eastAsia="Arial" w:cs="Arial"/>
                <w:i/>
                <w:color w:val="auto"/>
                <w:sz w:val="14"/>
                <w:szCs w:val="14"/>
                <w:lang w:val="en-US"/>
              </w:rPr>
            </w:pPr>
            <w:r w:rsidRPr="002642C9">
              <w:rPr>
                <w:rFonts w:eastAsia="Calibri" w:cs="Arial"/>
                <w:i/>
                <w:color w:val="7A7B7C"/>
                <w:sz w:val="14"/>
                <w:szCs w:val="14"/>
                <w:lang w:val="en-US"/>
              </w:rPr>
              <w:t>OECD+</w:t>
            </w:r>
            <w:r w:rsidRPr="002642C9">
              <w:rPr>
                <w:rFonts w:eastAsia="Calibri" w:cs="Arial"/>
                <w:i/>
                <w:color w:val="7A7B7C"/>
                <w:spacing w:val="-1"/>
                <w:sz w:val="14"/>
                <w:szCs w:val="14"/>
                <w:lang w:val="en-US"/>
              </w:rPr>
              <w:t xml:space="preserve"> </w:t>
            </w:r>
            <w:r w:rsidRPr="002642C9">
              <w:rPr>
                <w:rFonts w:eastAsia="Calibri" w:cs="Arial"/>
                <w:i/>
                <w:color w:val="7A7B7C"/>
                <w:sz w:val="14"/>
                <w:szCs w:val="14"/>
                <w:lang w:val="en-US"/>
              </w:rPr>
              <w:t>top</w:t>
            </w:r>
            <w:r w:rsidRPr="002642C9">
              <w:rPr>
                <w:rFonts w:eastAsia="Calibri" w:cs="Arial"/>
                <w:i/>
                <w:color w:val="7A7B7C"/>
                <w:spacing w:val="-1"/>
                <w:sz w:val="14"/>
                <w:szCs w:val="14"/>
                <w:lang w:val="en-US"/>
              </w:rPr>
              <w:t xml:space="preserve"> </w:t>
            </w:r>
            <w:r w:rsidRPr="002642C9">
              <w:rPr>
                <w:rFonts w:eastAsia="Calibri" w:cs="Arial"/>
                <w:i/>
                <w:color w:val="7A7B7C"/>
                <w:sz w:val="14"/>
                <w:szCs w:val="14"/>
                <w:lang w:val="en-US"/>
              </w:rPr>
              <w:t xml:space="preserve">5 </w:t>
            </w:r>
            <w:r w:rsidRPr="002642C9">
              <w:rPr>
                <w:rFonts w:eastAsia="Calibri" w:cs="Arial"/>
                <w:i/>
                <w:color w:val="7A7B7C"/>
                <w:spacing w:val="-1"/>
                <w:sz w:val="14"/>
                <w:szCs w:val="14"/>
                <w:lang w:val="en-US"/>
              </w:rPr>
              <w:t>average</w:t>
            </w:r>
            <w:r w:rsidRPr="002642C9">
              <w:rPr>
                <w:rFonts w:eastAsia="Calibri" w:cs="Arial"/>
                <w:i/>
                <w:color w:val="7A7B7C"/>
                <w:sz w:val="14"/>
                <w:szCs w:val="14"/>
                <w:lang w:val="en-US"/>
              </w:rPr>
              <w:t xml:space="preserve"> (vi)</w:t>
            </w:r>
          </w:p>
        </w:tc>
        <w:tc>
          <w:tcPr>
            <w:tcW w:w="523" w:type="pct"/>
            <w:tcBorders>
              <w:top w:val="nil"/>
              <w:left w:val="nil"/>
              <w:bottom w:val="nil"/>
              <w:right w:val="nil"/>
            </w:tcBorders>
            <w:shd w:val="clear" w:color="auto" w:fill="E4F3F9"/>
          </w:tcPr>
          <w:p w14:paraId="7418C240" w14:textId="77777777" w:rsidR="00D471AD" w:rsidRPr="002642C9" w:rsidRDefault="00D471AD" w:rsidP="004A31A9">
            <w:pPr>
              <w:widowControl w:val="0"/>
              <w:spacing w:after="0" w:line="240" w:lineRule="auto"/>
              <w:jc w:val="right"/>
              <w:rPr>
                <w:rFonts w:eastAsia="Calibri" w:cs="Arial"/>
                <w:i/>
                <w:color w:val="7A7B7C"/>
                <w:sz w:val="14"/>
                <w:szCs w:val="14"/>
                <w:lang w:val="en-US"/>
              </w:rPr>
            </w:pPr>
            <w:r w:rsidRPr="002642C9">
              <w:rPr>
                <w:rFonts w:eastAsia="Calibri" w:cs="Arial"/>
                <w:i/>
                <w:color w:val="7A7B7C"/>
                <w:sz w:val="14"/>
                <w:szCs w:val="14"/>
                <w:lang w:val="en-US"/>
              </w:rPr>
              <w:t>Gap from the top 5 OECD+ performers</w:t>
            </w:r>
          </w:p>
          <w:p w14:paraId="7418C241" w14:textId="77777777" w:rsidR="00D471AD" w:rsidRPr="002642C9" w:rsidRDefault="00D471AD" w:rsidP="004A31A9">
            <w:pPr>
              <w:widowControl w:val="0"/>
              <w:spacing w:after="0" w:line="240" w:lineRule="auto"/>
              <w:jc w:val="right"/>
              <w:rPr>
                <w:rFonts w:eastAsia="Calibri" w:cs="Arial"/>
                <w:i/>
                <w:color w:val="7A7B7C"/>
                <w:sz w:val="14"/>
                <w:szCs w:val="14"/>
                <w:lang w:val="en-US"/>
              </w:rPr>
            </w:pPr>
            <w:r w:rsidRPr="002642C9">
              <w:rPr>
                <w:rFonts w:eastAsia="Calibri" w:cs="Arial"/>
                <w:i/>
                <w:color w:val="7A7B7C"/>
                <w:sz w:val="14"/>
                <w:szCs w:val="14"/>
                <w:lang w:val="en-US"/>
              </w:rPr>
              <w:t>(per cent) (vii)</w:t>
            </w:r>
          </w:p>
        </w:tc>
        <w:tc>
          <w:tcPr>
            <w:tcW w:w="470" w:type="pct"/>
            <w:tcBorders>
              <w:top w:val="nil"/>
              <w:left w:val="nil"/>
              <w:bottom w:val="nil"/>
              <w:right w:val="nil"/>
            </w:tcBorders>
            <w:shd w:val="clear" w:color="auto" w:fill="E4F3F9"/>
          </w:tcPr>
          <w:p w14:paraId="7418C242" w14:textId="77777777" w:rsidR="00D471AD" w:rsidRPr="002642C9" w:rsidRDefault="00D471AD" w:rsidP="004A31A9">
            <w:pPr>
              <w:widowControl w:val="0"/>
              <w:spacing w:after="0" w:line="240" w:lineRule="auto"/>
              <w:jc w:val="right"/>
              <w:rPr>
                <w:rFonts w:eastAsia="Calibri" w:cs="Arial"/>
                <w:i/>
                <w:color w:val="7A7B7C"/>
                <w:sz w:val="14"/>
                <w:szCs w:val="14"/>
                <w:lang w:val="en-US"/>
              </w:rPr>
            </w:pPr>
            <w:r w:rsidRPr="002642C9">
              <w:rPr>
                <w:rFonts w:eastAsia="Calibri" w:cs="Arial"/>
                <w:i/>
                <w:color w:val="7A7B7C"/>
                <w:sz w:val="14"/>
                <w:szCs w:val="14"/>
                <w:lang w:val="en-US"/>
              </w:rPr>
              <w:t>Ranking against OECD+ countries</w:t>
            </w:r>
          </w:p>
          <w:p w14:paraId="7418C243" w14:textId="77777777" w:rsidR="00D471AD" w:rsidRPr="002642C9" w:rsidRDefault="00D471AD" w:rsidP="004A31A9">
            <w:pPr>
              <w:widowControl w:val="0"/>
              <w:spacing w:after="0" w:line="240" w:lineRule="auto"/>
              <w:jc w:val="right"/>
              <w:rPr>
                <w:rFonts w:eastAsia="Calibri" w:cs="Arial"/>
                <w:i/>
                <w:color w:val="7A7B7C"/>
                <w:sz w:val="14"/>
                <w:szCs w:val="14"/>
                <w:lang w:val="en-US"/>
              </w:rPr>
            </w:pPr>
            <w:r w:rsidRPr="002642C9">
              <w:rPr>
                <w:rFonts w:eastAsia="Calibri" w:cs="Arial"/>
                <w:i/>
                <w:color w:val="7A7B7C"/>
                <w:sz w:val="14"/>
                <w:szCs w:val="14"/>
                <w:lang w:val="en-US"/>
              </w:rPr>
              <w:t>(viii)</w:t>
            </w:r>
          </w:p>
        </w:tc>
        <w:tc>
          <w:tcPr>
            <w:tcW w:w="470" w:type="pct"/>
            <w:gridSpan w:val="2"/>
            <w:tcBorders>
              <w:top w:val="nil"/>
              <w:left w:val="nil"/>
              <w:bottom w:val="nil"/>
              <w:right w:val="nil"/>
            </w:tcBorders>
            <w:shd w:val="clear" w:color="auto" w:fill="E4F3F9"/>
          </w:tcPr>
          <w:p w14:paraId="7418C244" w14:textId="77777777" w:rsidR="00D471AD" w:rsidRPr="002642C9" w:rsidRDefault="00D471AD" w:rsidP="004A31A9">
            <w:pPr>
              <w:widowControl w:val="0"/>
              <w:spacing w:after="0" w:line="240" w:lineRule="auto"/>
              <w:jc w:val="right"/>
              <w:rPr>
                <w:rFonts w:eastAsia="Calibri" w:cs="Arial"/>
                <w:i/>
                <w:color w:val="7A7B7C"/>
                <w:sz w:val="14"/>
                <w:szCs w:val="14"/>
                <w:lang w:val="en-US"/>
              </w:rPr>
            </w:pPr>
            <w:r w:rsidRPr="002642C9">
              <w:rPr>
                <w:rFonts w:eastAsia="Calibri" w:cs="Arial"/>
                <w:i/>
                <w:color w:val="7A7B7C"/>
                <w:sz w:val="14"/>
                <w:szCs w:val="14"/>
                <w:lang w:val="en-US"/>
              </w:rPr>
              <w:t>Year of OECD+ comparison</w:t>
            </w:r>
          </w:p>
        </w:tc>
      </w:tr>
      <w:tr w:rsidR="00D471AD" w:rsidRPr="002642C9" w14:paraId="7418C24D"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C246" w14:textId="77777777" w:rsidR="00D471AD" w:rsidRPr="002642C9" w:rsidRDefault="00D471AD" w:rsidP="004A31A9">
            <w:pPr>
              <w:widowControl w:val="0"/>
              <w:spacing w:before="50" w:after="0" w:line="240" w:lineRule="auto"/>
              <w:ind w:left="91"/>
              <w:rPr>
                <w:rFonts w:eastAsia="Arial" w:cs="Arial"/>
                <w:color w:val="7A7B7C"/>
                <w:sz w:val="14"/>
                <w:szCs w:val="14"/>
                <w:lang w:val="en-US"/>
              </w:rPr>
            </w:pPr>
            <w:r w:rsidRPr="002642C9">
              <w:rPr>
                <w:rFonts w:eastAsia="Arial" w:cs="Arial"/>
                <w:color w:val="7A7B7C"/>
                <w:sz w:val="14"/>
                <w:szCs w:val="14"/>
                <w:lang w:val="en-US"/>
              </w:rPr>
              <w:t>Gross Expenditure on R&amp;D (GERD), % of GDP</w:t>
            </w:r>
            <w:r w:rsidRPr="002642C9">
              <w:rPr>
                <w:rFonts w:ascii="Arial Unicode MS" w:eastAsia="Arial Unicode MS" w:hAnsi="Arial Unicode MS" w:cs="Arial Unicode MS"/>
                <w:color w:val="7A7B7C"/>
                <w:sz w:val="14"/>
                <w:szCs w:val="14"/>
                <w:lang w:val="en-US"/>
              </w:rPr>
              <w:t>¹ ¹⁰ ¹¹</w:t>
            </w:r>
          </w:p>
        </w:tc>
        <w:tc>
          <w:tcPr>
            <w:tcW w:w="532" w:type="pct"/>
            <w:gridSpan w:val="2"/>
            <w:tcBorders>
              <w:top w:val="nil"/>
              <w:left w:val="nil"/>
              <w:bottom w:val="nil"/>
              <w:right w:val="nil"/>
            </w:tcBorders>
            <w:shd w:val="clear" w:color="auto" w:fill="D5ECF5"/>
          </w:tcPr>
          <w:p w14:paraId="7418C247"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2.11</w:t>
            </w:r>
          </w:p>
        </w:tc>
        <w:tc>
          <w:tcPr>
            <w:tcW w:w="579" w:type="pct"/>
            <w:tcBorders>
              <w:top w:val="nil"/>
              <w:left w:val="nil"/>
              <w:bottom w:val="nil"/>
              <w:right w:val="nil"/>
            </w:tcBorders>
            <w:shd w:val="clear" w:color="auto" w:fill="D5ECF5"/>
          </w:tcPr>
          <w:p w14:paraId="7418C248"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2.01</w:t>
            </w:r>
          </w:p>
        </w:tc>
        <w:tc>
          <w:tcPr>
            <w:tcW w:w="442" w:type="pct"/>
            <w:tcBorders>
              <w:top w:val="nil"/>
              <w:left w:val="nil"/>
              <w:bottom w:val="nil"/>
              <w:right w:val="nil"/>
            </w:tcBorders>
            <w:shd w:val="clear" w:color="auto" w:fill="D5ECF5"/>
          </w:tcPr>
          <w:p w14:paraId="7418C249"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3.66</w:t>
            </w:r>
          </w:p>
        </w:tc>
        <w:tc>
          <w:tcPr>
            <w:tcW w:w="523" w:type="pct"/>
            <w:tcBorders>
              <w:top w:val="nil"/>
              <w:left w:val="nil"/>
              <w:bottom w:val="nil"/>
              <w:right w:val="nil"/>
            </w:tcBorders>
            <w:shd w:val="clear" w:color="auto" w:fill="D5ECF5"/>
          </w:tcPr>
          <w:p w14:paraId="7418C24A"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42</w:t>
            </w:r>
          </w:p>
        </w:tc>
        <w:tc>
          <w:tcPr>
            <w:tcW w:w="470" w:type="pct"/>
            <w:tcBorders>
              <w:top w:val="nil"/>
              <w:left w:val="nil"/>
              <w:bottom w:val="nil"/>
              <w:right w:val="nil"/>
            </w:tcBorders>
            <w:shd w:val="clear" w:color="auto" w:fill="D5ECF5"/>
          </w:tcPr>
          <w:p w14:paraId="7418C24B"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14th of 36</w:t>
            </w:r>
          </w:p>
        </w:tc>
        <w:tc>
          <w:tcPr>
            <w:tcW w:w="470" w:type="pct"/>
            <w:gridSpan w:val="2"/>
            <w:tcBorders>
              <w:top w:val="nil"/>
              <w:left w:val="nil"/>
              <w:bottom w:val="nil"/>
              <w:right w:val="nil"/>
            </w:tcBorders>
            <w:shd w:val="clear" w:color="auto" w:fill="D5ECF5"/>
          </w:tcPr>
          <w:p w14:paraId="7418C24C"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2013</w:t>
            </w:r>
          </w:p>
        </w:tc>
      </w:tr>
      <w:tr w:rsidR="00D471AD" w:rsidRPr="002642C9" w14:paraId="7418C255"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C24E" w14:textId="77777777" w:rsidR="00D471AD" w:rsidRPr="002642C9" w:rsidRDefault="00D471AD" w:rsidP="004A31A9">
            <w:pPr>
              <w:widowControl w:val="0"/>
              <w:spacing w:before="50" w:after="0" w:line="240" w:lineRule="auto"/>
              <w:ind w:left="91"/>
              <w:rPr>
                <w:rFonts w:eastAsia="Arial" w:cs="Arial"/>
                <w:color w:val="7A7B7C"/>
                <w:sz w:val="14"/>
                <w:szCs w:val="14"/>
                <w:lang w:val="en-US"/>
              </w:rPr>
            </w:pPr>
            <w:r w:rsidRPr="002642C9">
              <w:rPr>
                <w:rFonts w:eastAsia="Arial" w:cs="Arial"/>
                <w:color w:val="7A7B7C"/>
                <w:sz w:val="14"/>
                <w:szCs w:val="14"/>
                <w:lang w:val="en-US"/>
              </w:rPr>
              <w:t>Gross Expenditure on R&amp;D (GERD) per capita population, current PPP $</w:t>
            </w:r>
            <w:r w:rsidRPr="002642C9">
              <w:rPr>
                <w:rFonts w:ascii="Arial Unicode MS" w:eastAsia="Arial Unicode MS" w:hAnsi="Arial Unicode MS" w:cs="Arial Unicode MS"/>
                <w:color w:val="7A7B7C"/>
                <w:sz w:val="14"/>
                <w:szCs w:val="14"/>
                <w:lang w:val="en-US"/>
              </w:rPr>
              <w:t>¹ ¹⁰ ¹¹</w:t>
            </w:r>
          </w:p>
        </w:tc>
        <w:tc>
          <w:tcPr>
            <w:tcW w:w="532" w:type="pct"/>
            <w:gridSpan w:val="2"/>
            <w:tcBorders>
              <w:top w:val="nil"/>
              <w:left w:val="nil"/>
              <w:bottom w:val="nil"/>
              <w:right w:val="nil"/>
            </w:tcBorders>
            <w:shd w:val="clear" w:color="auto" w:fill="E4F3F9"/>
          </w:tcPr>
          <w:p w14:paraId="7418C24F"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989</w:t>
            </w:r>
          </w:p>
        </w:tc>
        <w:tc>
          <w:tcPr>
            <w:tcW w:w="579" w:type="pct"/>
            <w:tcBorders>
              <w:top w:val="nil"/>
              <w:left w:val="nil"/>
              <w:bottom w:val="nil"/>
              <w:right w:val="nil"/>
            </w:tcBorders>
            <w:shd w:val="clear" w:color="auto" w:fill="E4F3F9"/>
          </w:tcPr>
          <w:p w14:paraId="7418C250"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819</w:t>
            </w:r>
          </w:p>
        </w:tc>
        <w:tc>
          <w:tcPr>
            <w:tcW w:w="442" w:type="pct"/>
            <w:tcBorders>
              <w:top w:val="nil"/>
              <w:left w:val="nil"/>
              <w:bottom w:val="nil"/>
              <w:right w:val="nil"/>
            </w:tcBorders>
            <w:shd w:val="clear" w:color="auto" w:fill="E4F3F9"/>
          </w:tcPr>
          <w:p w14:paraId="7418C251"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1,470</w:t>
            </w:r>
          </w:p>
        </w:tc>
        <w:tc>
          <w:tcPr>
            <w:tcW w:w="523" w:type="pct"/>
            <w:tcBorders>
              <w:top w:val="nil"/>
              <w:left w:val="nil"/>
              <w:bottom w:val="nil"/>
              <w:right w:val="nil"/>
            </w:tcBorders>
            <w:shd w:val="clear" w:color="auto" w:fill="E4F3F9"/>
          </w:tcPr>
          <w:p w14:paraId="7418C252"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33</w:t>
            </w:r>
          </w:p>
        </w:tc>
        <w:tc>
          <w:tcPr>
            <w:tcW w:w="470" w:type="pct"/>
            <w:tcBorders>
              <w:top w:val="nil"/>
              <w:left w:val="nil"/>
              <w:bottom w:val="nil"/>
              <w:right w:val="nil"/>
            </w:tcBorders>
            <w:shd w:val="clear" w:color="auto" w:fill="E4F3F9"/>
          </w:tcPr>
          <w:p w14:paraId="7418C253"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15th of 36</w:t>
            </w:r>
          </w:p>
        </w:tc>
        <w:tc>
          <w:tcPr>
            <w:tcW w:w="470" w:type="pct"/>
            <w:gridSpan w:val="2"/>
            <w:tcBorders>
              <w:top w:val="nil"/>
              <w:left w:val="nil"/>
              <w:bottom w:val="nil"/>
              <w:right w:val="nil"/>
            </w:tcBorders>
            <w:shd w:val="clear" w:color="auto" w:fill="E4F3F9"/>
          </w:tcPr>
          <w:p w14:paraId="7418C254"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2013</w:t>
            </w:r>
          </w:p>
        </w:tc>
      </w:tr>
      <w:tr w:rsidR="00D471AD" w:rsidRPr="002642C9" w14:paraId="7418C25D"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C256" w14:textId="77777777" w:rsidR="00D471AD" w:rsidRPr="002642C9" w:rsidRDefault="00D471AD" w:rsidP="004A31A9">
            <w:pPr>
              <w:widowControl w:val="0"/>
              <w:spacing w:before="50" w:after="0" w:line="240" w:lineRule="auto"/>
              <w:ind w:left="91"/>
              <w:rPr>
                <w:rFonts w:eastAsia="Arial" w:cs="Arial"/>
                <w:color w:val="7A7B7C"/>
                <w:sz w:val="14"/>
                <w:szCs w:val="14"/>
                <w:lang w:val="en-US"/>
              </w:rPr>
            </w:pPr>
            <w:r w:rsidRPr="002642C9">
              <w:rPr>
                <w:rFonts w:eastAsia="Arial" w:cs="Arial"/>
                <w:color w:val="7A7B7C"/>
                <w:sz w:val="14"/>
                <w:szCs w:val="14"/>
                <w:lang w:val="en-US"/>
              </w:rPr>
              <w:t>Higher education expenditure on R&amp;D (HERD), % of GDP</w:t>
            </w:r>
            <w:r w:rsidRPr="002642C9">
              <w:rPr>
                <w:rFonts w:ascii="Arial Unicode MS" w:eastAsia="Arial Unicode MS" w:hAnsi="Arial Unicode MS" w:cs="Arial Unicode MS"/>
                <w:color w:val="7A7B7C"/>
                <w:sz w:val="14"/>
                <w:szCs w:val="14"/>
                <w:lang w:val="en-US"/>
              </w:rPr>
              <w:t>¹ ¹¹</w:t>
            </w:r>
          </w:p>
        </w:tc>
        <w:tc>
          <w:tcPr>
            <w:tcW w:w="532" w:type="pct"/>
            <w:gridSpan w:val="2"/>
            <w:tcBorders>
              <w:top w:val="nil"/>
              <w:left w:val="nil"/>
              <w:bottom w:val="nil"/>
              <w:right w:val="nil"/>
            </w:tcBorders>
            <w:shd w:val="clear" w:color="auto" w:fill="D5ECF5"/>
          </w:tcPr>
          <w:p w14:paraId="7418C257"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0.63</w:t>
            </w:r>
          </w:p>
        </w:tc>
        <w:tc>
          <w:tcPr>
            <w:tcW w:w="579" w:type="pct"/>
            <w:tcBorders>
              <w:top w:val="nil"/>
              <w:left w:val="nil"/>
              <w:bottom w:val="nil"/>
              <w:right w:val="nil"/>
            </w:tcBorders>
            <w:shd w:val="clear" w:color="auto" w:fill="D5ECF5"/>
          </w:tcPr>
          <w:p w14:paraId="7418C258"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0.47</w:t>
            </w:r>
          </w:p>
        </w:tc>
        <w:tc>
          <w:tcPr>
            <w:tcW w:w="442" w:type="pct"/>
            <w:tcBorders>
              <w:top w:val="nil"/>
              <w:left w:val="nil"/>
              <w:bottom w:val="nil"/>
              <w:right w:val="nil"/>
            </w:tcBorders>
            <w:shd w:val="clear" w:color="auto" w:fill="D5ECF5"/>
          </w:tcPr>
          <w:p w14:paraId="7418C259"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0.81</w:t>
            </w:r>
          </w:p>
        </w:tc>
        <w:tc>
          <w:tcPr>
            <w:tcW w:w="523" w:type="pct"/>
            <w:tcBorders>
              <w:top w:val="nil"/>
              <w:left w:val="nil"/>
              <w:bottom w:val="nil"/>
              <w:right w:val="nil"/>
            </w:tcBorders>
            <w:shd w:val="clear" w:color="auto" w:fill="D5ECF5"/>
          </w:tcPr>
          <w:p w14:paraId="7418C25A"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23</w:t>
            </w:r>
          </w:p>
        </w:tc>
        <w:tc>
          <w:tcPr>
            <w:tcW w:w="470" w:type="pct"/>
            <w:tcBorders>
              <w:top w:val="nil"/>
              <w:left w:val="nil"/>
              <w:bottom w:val="nil"/>
              <w:right w:val="nil"/>
            </w:tcBorders>
            <w:shd w:val="clear" w:color="auto" w:fill="D5ECF5"/>
          </w:tcPr>
          <w:p w14:paraId="7418C25B"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9th of 35</w:t>
            </w:r>
          </w:p>
        </w:tc>
        <w:tc>
          <w:tcPr>
            <w:tcW w:w="470" w:type="pct"/>
            <w:gridSpan w:val="2"/>
            <w:tcBorders>
              <w:top w:val="nil"/>
              <w:left w:val="nil"/>
              <w:bottom w:val="nil"/>
              <w:right w:val="nil"/>
            </w:tcBorders>
            <w:shd w:val="clear" w:color="auto" w:fill="D5ECF5"/>
          </w:tcPr>
          <w:p w14:paraId="7418C25C"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2013</w:t>
            </w:r>
          </w:p>
        </w:tc>
      </w:tr>
      <w:tr w:rsidR="00D471AD" w:rsidRPr="002642C9" w14:paraId="7418C265"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C25E" w14:textId="77777777" w:rsidR="00D471AD" w:rsidRPr="002642C9" w:rsidRDefault="00D471AD" w:rsidP="004A31A9">
            <w:pPr>
              <w:widowControl w:val="0"/>
              <w:spacing w:before="50" w:after="0" w:line="240" w:lineRule="auto"/>
              <w:ind w:left="91"/>
              <w:rPr>
                <w:rFonts w:eastAsia="Arial" w:cs="Arial"/>
                <w:color w:val="7A7B7C"/>
                <w:sz w:val="14"/>
                <w:szCs w:val="14"/>
                <w:lang w:val="en-US"/>
              </w:rPr>
            </w:pPr>
            <w:r w:rsidRPr="002642C9">
              <w:rPr>
                <w:rFonts w:eastAsia="Arial" w:cs="Arial"/>
                <w:color w:val="7A7B7C"/>
                <w:sz w:val="14"/>
                <w:szCs w:val="14"/>
                <w:lang w:val="en-US"/>
              </w:rPr>
              <w:t xml:space="preserve">Percentage of Higher education expenditure on R&amp;D (HERD) financed by </w:t>
            </w:r>
            <w:r w:rsidRPr="002642C9">
              <w:rPr>
                <w:rFonts w:eastAsia="Arial" w:cs="Arial"/>
                <w:color w:val="7A7B7C"/>
                <w:sz w:val="14"/>
                <w:szCs w:val="14"/>
                <w:lang w:val="en-US"/>
              </w:rPr>
              <w:br/>
              <w:t>industry, %</w:t>
            </w:r>
            <w:r w:rsidRPr="002642C9">
              <w:rPr>
                <w:rFonts w:ascii="Arial Unicode MS" w:eastAsia="Arial Unicode MS" w:hAnsi="Arial Unicode MS" w:cs="Arial Unicode MS"/>
                <w:color w:val="7A7B7C"/>
                <w:sz w:val="14"/>
                <w:szCs w:val="14"/>
                <w:lang w:val="en-US"/>
              </w:rPr>
              <w:t>¹ ¹¹</w:t>
            </w:r>
          </w:p>
        </w:tc>
        <w:tc>
          <w:tcPr>
            <w:tcW w:w="532" w:type="pct"/>
            <w:gridSpan w:val="2"/>
            <w:tcBorders>
              <w:top w:val="nil"/>
              <w:left w:val="nil"/>
              <w:bottom w:val="nil"/>
              <w:right w:val="nil"/>
            </w:tcBorders>
            <w:shd w:val="clear" w:color="auto" w:fill="D5ECF5"/>
          </w:tcPr>
          <w:p w14:paraId="7418C25F"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4.73</w:t>
            </w:r>
          </w:p>
        </w:tc>
        <w:tc>
          <w:tcPr>
            <w:tcW w:w="579" w:type="pct"/>
            <w:tcBorders>
              <w:top w:val="nil"/>
              <w:left w:val="nil"/>
              <w:bottom w:val="nil"/>
              <w:right w:val="nil"/>
            </w:tcBorders>
            <w:shd w:val="clear" w:color="auto" w:fill="D5ECF5"/>
          </w:tcPr>
          <w:p w14:paraId="7418C260"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6.85</w:t>
            </w:r>
          </w:p>
        </w:tc>
        <w:tc>
          <w:tcPr>
            <w:tcW w:w="442" w:type="pct"/>
            <w:tcBorders>
              <w:top w:val="nil"/>
              <w:left w:val="nil"/>
              <w:bottom w:val="nil"/>
              <w:right w:val="nil"/>
            </w:tcBorders>
            <w:shd w:val="clear" w:color="auto" w:fill="D5ECF5"/>
          </w:tcPr>
          <w:p w14:paraId="7418C261"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16.77</w:t>
            </w:r>
          </w:p>
        </w:tc>
        <w:tc>
          <w:tcPr>
            <w:tcW w:w="523" w:type="pct"/>
            <w:tcBorders>
              <w:top w:val="nil"/>
              <w:left w:val="nil"/>
              <w:bottom w:val="nil"/>
              <w:right w:val="nil"/>
            </w:tcBorders>
            <w:shd w:val="clear" w:color="auto" w:fill="D5ECF5"/>
          </w:tcPr>
          <w:p w14:paraId="7418C262"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72</w:t>
            </w:r>
          </w:p>
        </w:tc>
        <w:tc>
          <w:tcPr>
            <w:tcW w:w="470" w:type="pct"/>
            <w:tcBorders>
              <w:top w:val="nil"/>
              <w:left w:val="nil"/>
              <w:bottom w:val="nil"/>
              <w:right w:val="nil"/>
            </w:tcBorders>
            <w:shd w:val="clear" w:color="auto" w:fill="D5ECF5"/>
          </w:tcPr>
          <w:p w14:paraId="7418C263"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17th of 31</w:t>
            </w:r>
          </w:p>
        </w:tc>
        <w:tc>
          <w:tcPr>
            <w:tcW w:w="470" w:type="pct"/>
            <w:gridSpan w:val="2"/>
            <w:tcBorders>
              <w:top w:val="nil"/>
              <w:left w:val="nil"/>
              <w:bottom w:val="nil"/>
              <w:right w:val="nil"/>
            </w:tcBorders>
            <w:shd w:val="clear" w:color="auto" w:fill="D5ECF5"/>
          </w:tcPr>
          <w:p w14:paraId="7418C264"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2012</w:t>
            </w:r>
          </w:p>
        </w:tc>
      </w:tr>
      <w:tr w:rsidR="00D471AD" w:rsidRPr="002642C9" w14:paraId="7418C26D"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C266" w14:textId="77777777" w:rsidR="00D471AD" w:rsidRPr="002642C9" w:rsidRDefault="00D471AD" w:rsidP="004A31A9">
            <w:pPr>
              <w:widowControl w:val="0"/>
              <w:spacing w:before="50" w:after="0" w:line="240" w:lineRule="auto"/>
              <w:ind w:left="91"/>
              <w:rPr>
                <w:rFonts w:eastAsia="Arial" w:cs="Arial"/>
                <w:color w:val="7A7B7C"/>
                <w:sz w:val="14"/>
                <w:szCs w:val="14"/>
                <w:lang w:val="en-US"/>
              </w:rPr>
            </w:pPr>
            <w:r w:rsidRPr="002642C9">
              <w:rPr>
                <w:rFonts w:eastAsia="Arial" w:cs="Arial"/>
                <w:color w:val="7A7B7C"/>
                <w:sz w:val="14"/>
                <w:szCs w:val="14"/>
                <w:lang w:val="en-US"/>
              </w:rPr>
              <w:t>Government expenditure on R&amp;D (GOVERD), % of GDP</w:t>
            </w:r>
            <w:r w:rsidRPr="002642C9">
              <w:rPr>
                <w:rFonts w:ascii="Arial Unicode MS" w:eastAsia="Arial Unicode MS" w:hAnsi="Arial Unicode MS" w:cs="Arial Unicode MS"/>
                <w:color w:val="7A7B7C"/>
                <w:sz w:val="14"/>
                <w:szCs w:val="14"/>
                <w:lang w:val="en-US"/>
              </w:rPr>
              <w:t>¹ ¹⁰ ¹¹</w:t>
            </w:r>
          </w:p>
        </w:tc>
        <w:tc>
          <w:tcPr>
            <w:tcW w:w="532" w:type="pct"/>
            <w:gridSpan w:val="2"/>
            <w:tcBorders>
              <w:top w:val="nil"/>
              <w:left w:val="nil"/>
              <w:bottom w:val="nil"/>
              <w:right w:val="nil"/>
            </w:tcBorders>
            <w:shd w:val="clear" w:color="auto" w:fill="E4F3F9"/>
          </w:tcPr>
          <w:p w14:paraId="7418C267"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0.24</w:t>
            </w:r>
          </w:p>
        </w:tc>
        <w:tc>
          <w:tcPr>
            <w:tcW w:w="579" w:type="pct"/>
            <w:tcBorders>
              <w:top w:val="nil"/>
              <w:left w:val="nil"/>
              <w:bottom w:val="nil"/>
              <w:right w:val="nil"/>
            </w:tcBorders>
            <w:shd w:val="clear" w:color="auto" w:fill="E4F3F9"/>
          </w:tcPr>
          <w:p w14:paraId="7418C268"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0.22</w:t>
            </w:r>
          </w:p>
        </w:tc>
        <w:tc>
          <w:tcPr>
            <w:tcW w:w="442" w:type="pct"/>
            <w:tcBorders>
              <w:top w:val="nil"/>
              <w:left w:val="nil"/>
              <w:bottom w:val="nil"/>
              <w:right w:val="nil"/>
            </w:tcBorders>
            <w:shd w:val="clear" w:color="auto" w:fill="E4F3F9"/>
          </w:tcPr>
          <w:p w14:paraId="7418C269"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0.40</w:t>
            </w:r>
          </w:p>
        </w:tc>
        <w:tc>
          <w:tcPr>
            <w:tcW w:w="523" w:type="pct"/>
            <w:tcBorders>
              <w:top w:val="nil"/>
              <w:left w:val="nil"/>
              <w:bottom w:val="nil"/>
              <w:right w:val="nil"/>
            </w:tcBorders>
            <w:shd w:val="clear" w:color="auto" w:fill="E4F3F9"/>
          </w:tcPr>
          <w:p w14:paraId="7418C26A"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41</w:t>
            </w:r>
          </w:p>
        </w:tc>
        <w:tc>
          <w:tcPr>
            <w:tcW w:w="470" w:type="pct"/>
            <w:tcBorders>
              <w:top w:val="nil"/>
              <w:left w:val="nil"/>
              <w:bottom w:val="nil"/>
              <w:right w:val="nil"/>
            </w:tcBorders>
            <w:shd w:val="clear" w:color="auto" w:fill="E4F3F9"/>
          </w:tcPr>
          <w:p w14:paraId="7418C26B"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15th of 35</w:t>
            </w:r>
          </w:p>
        </w:tc>
        <w:tc>
          <w:tcPr>
            <w:tcW w:w="470" w:type="pct"/>
            <w:gridSpan w:val="2"/>
            <w:tcBorders>
              <w:top w:val="nil"/>
              <w:left w:val="nil"/>
              <w:bottom w:val="nil"/>
              <w:right w:val="nil"/>
            </w:tcBorders>
            <w:shd w:val="clear" w:color="auto" w:fill="E4F3F9"/>
          </w:tcPr>
          <w:p w14:paraId="7418C26C"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2013</w:t>
            </w:r>
          </w:p>
        </w:tc>
      </w:tr>
      <w:tr w:rsidR="00D471AD" w:rsidRPr="002642C9" w14:paraId="7418C275"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C26E" w14:textId="77777777" w:rsidR="00D471AD" w:rsidRPr="002642C9" w:rsidRDefault="00D471AD" w:rsidP="004A31A9">
            <w:pPr>
              <w:widowControl w:val="0"/>
              <w:spacing w:before="50" w:after="0" w:line="240" w:lineRule="auto"/>
              <w:ind w:left="91"/>
              <w:rPr>
                <w:rFonts w:eastAsia="Arial" w:cs="Arial"/>
                <w:color w:val="7A7B7C"/>
                <w:sz w:val="14"/>
                <w:szCs w:val="14"/>
                <w:lang w:val="en-US"/>
              </w:rPr>
            </w:pPr>
            <w:r w:rsidRPr="002642C9">
              <w:rPr>
                <w:rFonts w:eastAsia="Arial" w:cs="Arial"/>
                <w:color w:val="7A7B7C"/>
                <w:sz w:val="14"/>
                <w:szCs w:val="14"/>
                <w:lang w:val="en-US"/>
              </w:rPr>
              <w:t xml:space="preserve">Percentage of Government expenditure on R&amp;D (GOVERD) financed by </w:t>
            </w:r>
            <w:r w:rsidRPr="002642C9">
              <w:rPr>
                <w:rFonts w:eastAsia="Arial" w:cs="Arial"/>
                <w:color w:val="7A7B7C"/>
                <w:sz w:val="14"/>
                <w:szCs w:val="14"/>
                <w:lang w:val="en-US"/>
              </w:rPr>
              <w:br/>
              <w:t>industry, %</w:t>
            </w:r>
            <w:r w:rsidRPr="002642C9">
              <w:rPr>
                <w:rFonts w:ascii="Arial Unicode MS" w:eastAsia="Arial Unicode MS" w:hAnsi="Arial Unicode MS" w:cs="Arial Unicode MS"/>
                <w:color w:val="7A7B7C"/>
                <w:sz w:val="14"/>
                <w:szCs w:val="14"/>
                <w:lang w:val="en-US"/>
              </w:rPr>
              <w:t>¹ ¹⁰ ¹¹</w:t>
            </w:r>
          </w:p>
        </w:tc>
        <w:tc>
          <w:tcPr>
            <w:tcW w:w="532" w:type="pct"/>
            <w:gridSpan w:val="2"/>
            <w:tcBorders>
              <w:top w:val="nil"/>
              <w:left w:val="nil"/>
              <w:bottom w:val="nil"/>
              <w:right w:val="nil"/>
            </w:tcBorders>
            <w:shd w:val="clear" w:color="auto" w:fill="D5ECF5"/>
          </w:tcPr>
          <w:p w14:paraId="7418C26F"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7.7</w:t>
            </w:r>
          </w:p>
        </w:tc>
        <w:tc>
          <w:tcPr>
            <w:tcW w:w="579" w:type="pct"/>
            <w:tcBorders>
              <w:top w:val="nil"/>
              <w:left w:val="nil"/>
              <w:bottom w:val="nil"/>
              <w:right w:val="nil"/>
            </w:tcBorders>
            <w:shd w:val="clear" w:color="auto" w:fill="D5ECF5"/>
          </w:tcPr>
          <w:p w14:paraId="7418C270"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5.4</w:t>
            </w:r>
          </w:p>
        </w:tc>
        <w:tc>
          <w:tcPr>
            <w:tcW w:w="442" w:type="pct"/>
            <w:tcBorders>
              <w:top w:val="nil"/>
              <w:left w:val="nil"/>
              <w:bottom w:val="nil"/>
              <w:right w:val="nil"/>
            </w:tcBorders>
            <w:shd w:val="clear" w:color="auto" w:fill="D5ECF5"/>
          </w:tcPr>
          <w:p w14:paraId="7418C271"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12.8</w:t>
            </w:r>
          </w:p>
        </w:tc>
        <w:tc>
          <w:tcPr>
            <w:tcW w:w="523" w:type="pct"/>
            <w:tcBorders>
              <w:top w:val="nil"/>
              <w:left w:val="nil"/>
              <w:bottom w:val="nil"/>
              <w:right w:val="nil"/>
            </w:tcBorders>
            <w:shd w:val="clear" w:color="auto" w:fill="D5ECF5"/>
          </w:tcPr>
          <w:p w14:paraId="7418C272"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40</w:t>
            </w:r>
          </w:p>
        </w:tc>
        <w:tc>
          <w:tcPr>
            <w:tcW w:w="470" w:type="pct"/>
            <w:tcBorders>
              <w:top w:val="nil"/>
              <w:left w:val="nil"/>
              <w:bottom w:val="nil"/>
              <w:right w:val="nil"/>
            </w:tcBorders>
            <w:shd w:val="clear" w:color="auto" w:fill="D5ECF5"/>
          </w:tcPr>
          <w:p w14:paraId="7418C273"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10th of 32</w:t>
            </w:r>
          </w:p>
        </w:tc>
        <w:tc>
          <w:tcPr>
            <w:tcW w:w="470" w:type="pct"/>
            <w:gridSpan w:val="2"/>
            <w:tcBorders>
              <w:top w:val="nil"/>
              <w:left w:val="nil"/>
              <w:bottom w:val="nil"/>
              <w:right w:val="nil"/>
            </w:tcBorders>
            <w:shd w:val="clear" w:color="auto" w:fill="D5ECF5"/>
          </w:tcPr>
          <w:p w14:paraId="7418C274"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2012</w:t>
            </w:r>
          </w:p>
        </w:tc>
      </w:tr>
      <w:tr w:rsidR="00D471AD" w:rsidRPr="002642C9" w14:paraId="7418C27D"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C276" w14:textId="77777777" w:rsidR="00D471AD" w:rsidRPr="002642C9" w:rsidRDefault="00D471AD" w:rsidP="004A31A9">
            <w:pPr>
              <w:widowControl w:val="0"/>
              <w:spacing w:before="50" w:after="0" w:line="240" w:lineRule="auto"/>
              <w:ind w:left="91"/>
              <w:rPr>
                <w:rFonts w:eastAsia="Arial" w:cs="Arial"/>
                <w:color w:val="7A7B7C"/>
                <w:sz w:val="14"/>
                <w:szCs w:val="14"/>
                <w:lang w:val="en-US"/>
              </w:rPr>
            </w:pPr>
            <w:r w:rsidRPr="002642C9">
              <w:rPr>
                <w:rFonts w:eastAsia="Arial" w:cs="Arial"/>
                <w:color w:val="7A7B7C"/>
                <w:sz w:val="14"/>
                <w:szCs w:val="14"/>
                <w:lang w:val="en-US"/>
              </w:rPr>
              <w:t>Public spending in environment-related R&amp;D, % total public spending on R&amp;D</w:t>
            </w:r>
            <w:r w:rsidRPr="002642C9">
              <w:rPr>
                <w:rFonts w:ascii="Arial Unicode MS" w:eastAsia="Arial Unicode MS" w:hAnsi="Arial Unicode MS" w:cs="Arial Unicode MS"/>
                <w:color w:val="7A7B7C"/>
                <w:sz w:val="14"/>
                <w:szCs w:val="14"/>
                <w:lang w:val="en-US"/>
              </w:rPr>
              <w:t>⁸</w:t>
            </w:r>
          </w:p>
        </w:tc>
        <w:tc>
          <w:tcPr>
            <w:tcW w:w="532" w:type="pct"/>
            <w:gridSpan w:val="2"/>
            <w:tcBorders>
              <w:top w:val="nil"/>
              <w:left w:val="nil"/>
              <w:bottom w:val="nil"/>
              <w:right w:val="nil"/>
            </w:tcBorders>
            <w:shd w:val="clear" w:color="auto" w:fill="E4F3F9"/>
          </w:tcPr>
          <w:p w14:paraId="7418C277"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4.86</w:t>
            </w:r>
          </w:p>
        </w:tc>
        <w:tc>
          <w:tcPr>
            <w:tcW w:w="579" w:type="pct"/>
            <w:tcBorders>
              <w:top w:val="nil"/>
              <w:left w:val="nil"/>
              <w:bottom w:val="nil"/>
              <w:right w:val="nil"/>
            </w:tcBorders>
            <w:shd w:val="clear" w:color="auto" w:fill="E4F3F9"/>
          </w:tcPr>
          <w:p w14:paraId="7418C278"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2.41</w:t>
            </w:r>
          </w:p>
        </w:tc>
        <w:tc>
          <w:tcPr>
            <w:tcW w:w="442" w:type="pct"/>
            <w:tcBorders>
              <w:top w:val="nil"/>
              <w:left w:val="nil"/>
              <w:bottom w:val="nil"/>
              <w:right w:val="nil"/>
            </w:tcBorders>
            <w:shd w:val="clear" w:color="auto" w:fill="E4F3F9"/>
          </w:tcPr>
          <w:p w14:paraId="7418C279"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4.50</w:t>
            </w:r>
          </w:p>
        </w:tc>
        <w:tc>
          <w:tcPr>
            <w:tcW w:w="523" w:type="pct"/>
            <w:tcBorders>
              <w:top w:val="nil"/>
              <w:left w:val="nil"/>
              <w:bottom w:val="nil"/>
              <w:right w:val="nil"/>
            </w:tcBorders>
            <w:shd w:val="clear" w:color="auto" w:fill="E4F3F9"/>
          </w:tcPr>
          <w:p w14:paraId="7418C27A"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no gap</w:t>
            </w:r>
          </w:p>
        </w:tc>
        <w:tc>
          <w:tcPr>
            <w:tcW w:w="470" w:type="pct"/>
            <w:tcBorders>
              <w:top w:val="nil"/>
              <w:left w:val="nil"/>
              <w:bottom w:val="nil"/>
              <w:right w:val="nil"/>
            </w:tcBorders>
            <w:shd w:val="clear" w:color="auto" w:fill="E4F3F9"/>
          </w:tcPr>
          <w:p w14:paraId="7418C27B"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2nd of 28</w:t>
            </w:r>
          </w:p>
        </w:tc>
        <w:tc>
          <w:tcPr>
            <w:tcW w:w="470" w:type="pct"/>
            <w:gridSpan w:val="2"/>
            <w:tcBorders>
              <w:top w:val="nil"/>
              <w:left w:val="nil"/>
              <w:bottom w:val="nil"/>
              <w:right w:val="nil"/>
            </w:tcBorders>
            <w:shd w:val="clear" w:color="auto" w:fill="E4F3F9"/>
          </w:tcPr>
          <w:p w14:paraId="7418C27C"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2011</w:t>
            </w:r>
          </w:p>
        </w:tc>
      </w:tr>
      <w:tr w:rsidR="00D471AD" w:rsidRPr="002642C9" w14:paraId="7418C285"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C27E" w14:textId="77777777" w:rsidR="00D471AD" w:rsidRPr="002642C9" w:rsidRDefault="00D471AD" w:rsidP="004A31A9">
            <w:pPr>
              <w:widowControl w:val="0"/>
              <w:spacing w:before="50" w:after="0" w:line="240" w:lineRule="auto"/>
              <w:ind w:left="91"/>
              <w:rPr>
                <w:rFonts w:eastAsia="Arial" w:cs="Arial"/>
                <w:color w:val="7A7B7C"/>
                <w:sz w:val="14"/>
                <w:szCs w:val="14"/>
                <w:lang w:val="en-US"/>
              </w:rPr>
            </w:pPr>
            <w:r w:rsidRPr="002642C9">
              <w:rPr>
                <w:rFonts w:eastAsia="Arial" w:cs="Arial"/>
                <w:color w:val="7A7B7C"/>
                <w:sz w:val="14"/>
                <w:szCs w:val="14"/>
                <w:lang w:val="en-US"/>
              </w:rPr>
              <w:t>Percentage of Gross Expenditure on R&amp;D (GERD) performed by the Private Non-Profit sector, %</w:t>
            </w:r>
            <w:r w:rsidRPr="002642C9">
              <w:rPr>
                <w:rFonts w:ascii="Arial Unicode MS" w:eastAsia="Arial Unicode MS" w:hAnsi="Arial Unicode MS" w:cs="Arial Unicode MS"/>
                <w:color w:val="7A7B7C"/>
                <w:sz w:val="14"/>
                <w:szCs w:val="14"/>
                <w:lang w:val="en-US"/>
              </w:rPr>
              <w:t>¹ ¹⁰ ¹¹</w:t>
            </w:r>
          </w:p>
        </w:tc>
        <w:tc>
          <w:tcPr>
            <w:tcW w:w="532" w:type="pct"/>
            <w:gridSpan w:val="2"/>
            <w:tcBorders>
              <w:top w:val="nil"/>
              <w:left w:val="nil"/>
              <w:bottom w:val="nil"/>
              <w:right w:val="nil"/>
            </w:tcBorders>
            <w:shd w:val="clear" w:color="auto" w:fill="D5ECF5"/>
          </w:tcPr>
          <w:p w14:paraId="7418C27F"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2.84</w:t>
            </w:r>
          </w:p>
        </w:tc>
        <w:tc>
          <w:tcPr>
            <w:tcW w:w="579" w:type="pct"/>
            <w:tcBorders>
              <w:top w:val="nil"/>
              <w:left w:val="nil"/>
              <w:bottom w:val="nil"/>
              <w:right w:val="nil"/>
            </w:tcBorders>
            <w:shd w:val="clear" w:color="auto" w:fill="D5ECF5"/>
          </w:tcPr>
          <w:p w14:paraId="7418C280"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1.73</w:t>
            </w:r>
          </w:p>
        </w:tc>
        <w:tc>
          <w:tcPr>
            <w:tcW w:w="442" w:type="pct"/>
            <w:tcBorders>
              <w:top w:val="nil"/>
              <w:left w:val="nil"/>
              <w:bottom w:val="nil"/>
              <w:right w:val="nil"/>
            </w:tcBorders>
            <w:shd w:val="clear" w:color="auto" w:fill="D5ECF5"/>
          </w:tcPr>
          <w:p w14:paraId="7418C281"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5.80</w:t>
            </w:r>
          </w:p>
        </w:tc>
        <w:tc>
          <w:tcPr>
            <w:tcW w:w="523" w:type="pct"/>
            <w:tcBorders>
              <w:top w:val="nil"/>
              <w:left w:val="nil"/>
              <w:bottom w:val="nil"/>
              <w:right w:val="nil"/>
            </w:tcBorders>
            <w:shd w:val="clear" w:color="auto" w:fill="D5ECF5"/>
          </w:tcPr>
          <w:p w14:paraId="7418C282"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51</w:t>
            </w:r>
          </w:p>
        </w:tc>
        <w:tc>
          <w:tcPr>
            <w:tcW w:w="470" w:type="pct"/>
            <w:tcBorders>
              <w:top w:val="nil"/>
              <w:left w:val="nil"/>
              <w:bottom w:val="nil"/>
              <w:right w:val="nil"/>
            </w:tcBorders>
            <w:shd w:val="clear" w:color="auto" w:fill="D5ECF5"/>
          </w:tcPr>
          <w:p w14:paraId="7418C283"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4th of 25</w:t>
            </w:r>
          </w:p>
        </w:tc>
        <w:tc>
          <w:tcPr>
            <w:tcW w:w="470" w:type="pct"/>
            <w:gridSpan w:val="2"/>
            <w:tcBorders>
              <w:top w:val="nil"/>
              <w:left w:val="nil"/>
              <w:bottom w:val="nil"/>
              <w:right w:val="nil"/>
            </w:tcBorders>
            <w:shd w:val="clear" w:color="auto" w:fill="D5ECF5"/>
          </w:tcPr>
          <w:p w14:paraId="7418C284"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2013</w:t>
            </w:r>
          </w:p>
        </w:tc>
      </w:tr>
      <w:tr w:rsidR="00D471AD" w:rsidRPr="002642C9" w14:paraId="7418C28D"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C286" w14:textId="77777777" w:rsidR="00D471AD" w:rsidRPr="002642C9" w:rsidRDefault="00D471AD" w:rsidP="004A31A9">
            <w:pPr>
              <w:widowControl w:val="0"/>
              <w:spacing w:before="50" w:after="0" w:line="240" w:lineRule="auto"/>
              <w:ind w:left="91"/>
              <w:rPr>
                <w:rFonts w:eastAsia="Arial" w:cs="Arial"/>
                <w:color w:val="7A7B7C"/>
                <w:sz w:val="14"/>
                <w:szCs w:val="14"/>
                <w:lang w:val="en-US"/>
              </w:rPr>
            </w:pPr>
            <w:r w:rsidRPr="002642C9">
              <w:rPr>
                <w:rFonts w:eastAsia="Arial" w:cs="Arial"/>
                <w:color w:val="7A7B7C"/>
                <w:sz w:val="14"/>
                <w:szCs w:val="14"/>
                <w:lang w:val="en-US"/>
              </w:rPr>
              <w:t>Government Budget Appropriations or Outlays for R&amp;D (GBAORD), % of GDP</w:t>
            </w:r>
            <w:r w:rsidRPr="002642C9">
              <w:rPr>
                <w:rFonts w:ascii="Arial Unicode MS" w:eastAsia="Arial Unicode MS" w:hAnsi="Arial Unicode MS" w:cs="Arial Unicode MS"/>
                <w:color w:val="7A7B7C"/>
                <w:sz w:val="14"/>
                <w:szCs w:val="14"/>
                <w:lang w:val="en-US"/>
              </w:rPr>
              <w:t>¹</w:t>
            </w:r>
          </w:p>
        </w:tc>
        <w:tc>
          <w:tcPr>
            <w:tcW w:w="532" w:type="pct"/>
            <w:gridSpan w:val="2"/>
            <w:tcBorders>
              <w:top w:val="nil"/>
              <w:left w:val="nil"/>
              <w:bottom w:val="nil"/>
              <w:right w:val="nil"/>
            </w:tcBorders>
            <w:shd w:val="clear" w:color="auto" w:fill="E4F3F9"/>
          </w:tcPr>
          <w:p w14:paraId="7418C287"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0.42</w:t>
            </w:r>
          </w:p>
        </w:tc>
        <w:tc>
          <w:tcPr>
            <w:tcW w:w="579" w:type="pct"/>
            <w:tcBorders>
              <w:top w:val="nil"/>
              <w:left w:val="nil"/>
              <w:bottom w:val="nil"/>
              <w:right w:val="nil"/>
            </w:tcBorders>
            <w:shd w:val="clear" w:color="auto" w:fill="E4F3F9"/>
          </w:tcPr>
          <w:p w14:paraId="7418C288"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0.63</w:t>
            </w:r>
          </w:p>
        </w:tc>
        <w:tc>
          <w:tcPr>
            <w:tcW w:w="442" w:type="pct"/>
            <w:tcBorders>
              <w:top w:val="nil"/>
              <w:left w:val="nil"/>
              <w:bottom w:val="nil"/>
              <w:right w:val="nil"/>
            </w:tcBorders>
            <w:shd w:val="clear" w:color="auto" w:fill="E4F3F9"/>
          </w:tcPr>
          <w:p w14:paraId="7418C289"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0.95</w:t>
            </w:r>
          </w:p>
        </w:tc>
        <w:tc>
          <w:tcPr>
            <w:tcW w:w="523" w:type="pct"/>
            <w:tcBorders>
              <w:top w:val="nil"/>
              <w:left w:val="nil"/>
              <w:bottom w:val="nil"/>
              <w:right w:val="nil"/>
            </w:tcBorders>
            <w:shd w:val="clear" w:color="auto" w:fill="E4F3F9"/>
          </w:tcPr>
          <w:p w14:paraId="7418C28A"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56</w:t>
            </w:r>
          </w:p>
        </w:tc>
        <w:tc>
          <w:tcPr>
            <w:tcW w:w="470" w:type="pct"/>
            <w:tcBorders>
              <w:top w:val="nil"/>
              <w:left w:val="nil"/>
              <w:bottom w:val="nil"/>
              <w:right w:val="nil"/>
            </w:tcBorders>
            <w:shd w:val="clear" w:color="auto" w:fill="E4F3F9"/>
          </w:tcPr>
          <w:p w14:paraId="7418C28B"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16th of 22</w:t>
            </w:r>
          </w:p>
        </w:tc>
        <w:tc>
          <w:tcPr>
            <w:tcW w:w="470" w:type="pct"/>
            <w:gridSpan w:val="2"/>
            <w:tcBorders>
              <w:top w:val="nil"/>
              <w:left w:val="nil"/>
              <w:bottom w:val="nil"/>
              <w:right w:val="nil"/>
            </w:tcBorders>
            <w:shd w:val="clear" w:color="auto" w:fill="E4F3F9"/>
          </w:tcPr>
          <w:p w14:paraId="7418C28C"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2015</w:t>
            </w:r>
          </w:p>
        </w:tc>
      </w:tr>
      <w:tr w:rsidR="00D471AD" w:rsidRPr="002642C9" w14:paraId="7418C295"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single" w:sz="8" w:space="0" w:color="22789A"/>
              <w:right w:val="nil"/>
            </w:tcBorders>
            <w:shd w:val="clear" w:color="auto" w:fill="D5ECF5"/>
          </w:tcPr>
          <w:p w14:paraId="7418C28E" w14:textId="77777777" w:rsidR="00D471AD" w:rsidRPr="002642C9" w:rsidRDefault="00D471AD" w:rsidP="004A31A9">
            <w:pPr>
              <w:widowControl w:val="0"/>
              <w:spacing w:before="50" w:after="0" w:line="240" w:lineRule="auto"/>
              <w:ind w:left="91"/>
              <w:rPr>
                <w:rFonts w:eastAsia="Arial" w:cs="Arial"/>
                <w:color w:val="7A7B7C"/>
                <w:sz w:val="14"/>
                <w:szCs w:val="14"/>
                <w:lang w:val="en-US"/>
              </w:rPr>
            </w:pPr>
            <w:r w:rsidRPr="002642C9">
              <w:rPr>
                <w:rFonts w:eastAsia="Arial" w:cs="Arial"/>
                <w:color w:val="7A7B7C"/>
                <w:sz w:val="14"/>
                <w:szCs w:val="14"/>
                <w:lang w:val="en-US"/>
              </w:rPr>
              <w:t>Government-financed Gross Expenditure on R&amp;D (GERD), % of GDP</w:t>
            </w:r>
            <w:r w:rsidRPr="002642C9">
              <w:rPr>
                <w:rFonts w:ascii="Arial Unicode MS" w:eastAsia="Arial Unicode MS" w:hAnsi="Arial Unicode MS" w:cs="Arial Unicode MS"/>
                <w:color w:val="7A7B7C"/>
                <w:sz w:val="14"/>
                <w:szCs w:val="14"/>
                <w:lang w:val="en-US"/>
              </w:rPr>
              <w:t>¹ ¹⁰ ¹¹</w:t>
            </w:r>
          </w:p>
        </w:tc>
        <w:tc>
          <w:tcPr>
            <w:tcW w:w="532" w:type="pct"/>
            <w:gridSpan w:val="2"/>
            <w:tcBorders>
              <w:top w:val="nil"/>
              <w:left w:val="nil"/>
              <w:bottom w:val="single" w:sz="8" w:space="0" w:color="22789A"/>
              <w:right w:val="nil"/>
            </w:tcBorders>
            <w:shd w:val="clear" w:color="auto" w:fill="D5ECF5"/>
          </w:tcPr>
          <w:p w14:paraId="7418C28F"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0.78</w:t>
            </w:r>
          </w:p>
        </w:tc>
        <w:tc>
          <w:tcPr>
            <w:tcW w:w="579" w:type="pct"/>
            <w:tcBorders>
              <w:top w:val="nil"/>
              <w:left w:val="nil"/>
              <w:bottom w:val="single" w:sz="8" w:space="0" w:color="22789A"/>
              <w:right w:val="nil"/>
            </w:tcBorders>
            <w:shd w:val="clear" w:color="auto" w:fill="D5ECF5"/>
          </w:tcPr>
          <w:p w14:paraId="7418C290"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0.57</w:t>
            </w:r>
          </w:p>
        </w:tc>
        <w:tc>
          <w:tcPr>
            <w:tcW w:w="442" w:type="pct"/>
            <w:tcBorders>
              <w:top w:val="nil"/>
              <w:left w:val="nil"/>
              <w:bottom w:val="single" w:sz="8" w:space="0" w:color="22789A"/>
              <w:right w:val="nil"/>
            </w:tcBorders>
            <w:shd w:val="clear" w:color="auto" w:fill="D5ECF5"/>
          </w:tcPr>
          <w:p w14:paraId="7418C291"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0.88</w:t>
            </w:r>
          </w:p>
        </w:tc>
        <w:tc>
          <w:tcPr>
            <w:tcW w:w="523" w:type="pct"/>
            <w:tcBorders>
              <w:top w:val="nil"/>
              <w:left w:val="nil"/>
              <w:bottom w:val="single" w:sz="8" w:space="0" w:color="22789A"/>
              <w:right w:val="nil"/>
            </w:tcBorders>
            <w:shd w:val="clear" w:color="auto" w:fill="D5ECF5"/>
          </w:tcPr>
          <w:p w14:paraId="7418C292"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11</w:t>
            </w:r>
          </w:p>
        </w:tc>
        <w:tc>
          <w:tcPr>
            <w:tcW w:w="470" w:type="pct"/>
            <w:tcBorders>
              <w:top w:val="nil"/>
              <w:left w:val="nil"/>
              <w:bottom w:val="single" w:sz="8" w:space="0" w:color="22789A"/>
              <w:right w:val="nil"/>
            </w:tcBorders>
            <w:shd w:val="clear" w:color="auto" w:fill="D5ECF5"/>
          </w:tcPr>
          <w:p w14:paraId="7418C293"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7th of 31</w:t>
            </w:r>
          </w:p>
        </w:tc>
        <w:tc>
          <w:tcPr>
            <w:tcW w:w="470" w:type="pct"/>
            <w:gridSpan w:val="2"/>
            <w:tcBorders>
              <w:top w:val="nil"/>
              <w:left w:val="nil"/>
              <w:bottom w:val="single" w:sz="8" w:space="0" w:color="22789A"/>
              <w:right w:val="nil"/>
            </w:tcBorders>
            <w:shd w:val="clear" w:color="auto" w:fill="D5ECF5"/>
          </w:tcPr>
          <w:p w14:paraId="7418C294" w14:textId="77777777" w:rsidR="00D471AD" w:rsidRPr="002642C9" w:rsidRDefault="00D471AD" w:rsidP="004A31A9">
            <w:pPr>
              <w:widowControl w:val="0"/>
              <w:spacing w:before="50" w:after="0" w:line="240" w:lineRule="auto"/>
              <w:ind w:right="99"/>
              <w:jc w:val="right"/>
              <w:rPr>
                <w:rFonts w:eastAsia="Arial" w:cs="Arial"/>
                <w:color w:val="7A7B7C"/>
                <w:sz w:val="14"/>
                <w:szCs w:val="14"/>
                <w:lang w:val="en-US"/>
              </w:rPr>
            </w:pPr>
            <w:r w:rsidRPr="002642C9">
              <w:rPr>
                <w:rFonts w:eastAsia="Arial" w:cs="Arial"/>
                <w:color w:val="7A7B7C"/>
                <w:sz w:val="14"/>
                <w:szCs w:val="14"/>
                <w:lang w:val="en-US"/>
              </w:rPr>
              <w:t>2008</w:t>
            </w:r>
          </w:p>
        </w:tc>
      </w:tr>
    </w:tbl>
    <w:p w14:paraId="7418C296" w14:textId="77777777" w:rsidR="00D471AD" w:rsidRPr="008B33FB" w:rsidRDefault="00D471AD" w:rsidP="00D471AD">
      <w:pPr>
        <w:spacing w:before="120" w:after="120"/>
        <w:rPr>
          <w:rFonts w:cs="Arial"/>
          <w:color w:val="22789A"/>
          <w:sz w:val="16"/>
          <w:szCs w:val="16"/>
        </w:rPr>
      </w:pPr>
      <w:r w:rsidRPr="008B33FB">
        <w:rPr>
          <w:rFonts w:cs="Arial"/>
          <w:color w:val="22789A"/>
          <w:sz w:val="16"/>
          <w:szCs w:val="16"/>
        </w:rPr>
        <w:t>– = data not available</w:t>
      </w:r>
    </w:p>
    <w:p w14:paraId="7418C297" w14:textId="77777777" w:rsidR="00D471AD" w:rsidRPr="008B33FB" w:rsidRDefault="00D471AD" w:rsidP="00D471AD">
      <w:pPr>
        <w:spacing w:before="120" w:after="120"/>
        <w:rPr>
          <w:rFonts w:eastAsia="Times New Roman" w:cs="Arial"/>
          <w:color w:val="22789A"/>
          <w:sz w:val="16"/>
          <w:szCs w:val="16"/>
          <w:lang w:eastAsia="en-AU"/>
        </w:rPr>
      </w:pPr>
      <w:r w:rsidRPr="008671B7">
        <w:rPr>
          <w:rFonts w:eastAsia="Times New Roman" w:cs="Arial"/>
          <w:b/>
          <w:i/>
          <w:iCs/>
          <w:color w:val="22789A"/>
          <w:sz w:val="16"/>
          <w:szCs w:val="16"/>
          <w:lang w:eastAsia="en-AU"/>
        </w:rPr>
        <w:t>Table notes:</w:t>
      </w:r>
      <w:r w:rsidRPr="008671B7">
        <w:rPr>
          <w:rFonts w:eastAsia="Times New Roman" w:cs="Arial"/>
          <w:b/>
          <w:bCs/>
          <w:i/>
          <w:iCs/>
          <w:color w:val="22789A"/>
          <w:sz w:val="16"/>
          <w:szCs w:val="16"/>
          <w:lang w:eastAsia="en-AU"/>
        </w:rPr>
        <w:t xml:space="preserve"> </w:t>
      </w:r>
      <w:r w:rsidRPr="008671B7">
        <w:rPr>
          <w:rFonts w:eastAsia="Times New Roman" w:cs="Arial"/>
          <w:b/>
          <w:bCs/>
          <w:color w:val="22789A"/>
          <w:sz w:val="16"/>
          <w:szCs w:val="16"/>
          <w:lang w:eastAsia="en-AU"/>
        </w:rPr>
        <w:t xml:space="preserve">(i) </w:t>
      </w:r>
      <w:r w:rsidRPr="008671B7">
        <w:rPr>
          <w:rFonts w:eastAsia="Times New Roman" w:cs="Arial"/>
          <w:color w:val="22789A"/>
          <w:sz w:val="16"/>
          <w:szCs w:val="16"/>
          <w:lang w:eastAsia="en-AU"/>
        </w:rPr>
        <w:t xml:space="preserve">Data are presented in calendar year format. Where the data are in financial years, it is expressed in terms of the year where the financial year begins e.g. 2010–11 is shown as 2010. </w:t>
      </w:r>
      <w:r w:rsidRPr="008671B7">
        <w:rPr>
          <w:rFonts w:eastAsia="Times New Roman" w:cs="Arial"/>
          <w:b/>
          <w:bCs/>
          <w:color w:val="22789A"/>
          <w:sz w:val="16"/>
          <w:szCs w:val="16"/>
          <w:lang w:eastAsia="en-AU"/>
        </w:rPr>
        <w:t xml:space="preserve">(ii) </w:t>
      </w:r>
      <w:r w:rsidRPr="008671B7">
        <w:rPr>
          <w:rFonts w:eastAsia="Times New Roman" w:cs="Arial"/>
          <w:color w:val="22789A"/>
          <w:sz w:val="16"/>
          <w:szCs w:val="16"/>
          <w:lang w:eastAsia="en-AU"/>
        </w:rPr>
        <w:t>OECD+ includes all countries in the OECD, as well as China, Taiwan and Singapore (where data is available). (iii)</w:t>
      </w:r>
      <w:r w:rsidRPr="008671B7">
        <w:rPr>
          <w:rFonts w:eastAsia="Times New Roman" w:cs="Arial"/>
          <w:b/>
          <w:bCs/>
          <w:color w:val="22789A"/>
          <w:sz w:val="16"/>
          <w:szCs w:val="16"/>
          <w:lang w:eastAsia="en-AU"/>
        </w:rPr>
        <w:t xml:space="preserve"> </w:t>
      </w:r>
      <w:r w:rsidRPr="008671B7">
        <w:rPr>
          <w:rFonts w:eastAsia="Times New Roman" w:cs="Arial"/>
          <w:color w:val="22789A"/>
          <w:sz w:val="16"/>
          <w:szCs w:val="16"/>
          <w:lang w:eastAsia="en-AU"/>
        </w:rPr>
        <w:t>The ‘Australia’s score’ field presents the Australian values used in the OECD+ comparisons.</w:t>
      </w:r>
      <w:r w:rsidRPr="008671B7">
        <w:rPr>
          <w:rFonts w:eastAsia="Times New Roman" w:cs="Arial"/>
          <w:b/>
          <w:bCs/>
          <w:color w:val="22789A"/>
          <w:sz w:val="16"/>
          <w:szCs w:val="16"/>
          <w:lang w:eastAsia="en-AU"/>
        </w:rPr>
        <w:t xml:space="preserve"> (iv)</w:t>
      </w:r>
      <w:r w:rsidRPr="008671B7">
        <w:rPr>
          <w:rFonts w:eastAsia="Times New Roman" w:cs="Arial"/>
          <w:color w:val="22789A"/>
          <w:sz w:val="16"/>
          <w:szCs w:val="16"/>
          <w:lang w:eastAsia="en-AU"/>
        </w:rPr>
        <w:t xml:space="preserve"> This is the arithmetic (simple) average of the OECD+ country scores.</w:t>
      </w:r>
      <w:r w:rsidRPr="008671B7">
        <w:rPr>
          <w:rFonts w:eastAsia="Times New Roman" w:cs="Arial"/>
          <w:b/>
          <w:bCs/>
          <w:color w:val="22789A"/>
          <w:sz w:val="16"/>
          <w:szCs w:val="16"/>
          <w:lang w:eastAsia="en-AU"/>
        </w:rPr>
        <w:t xml:space="preserve"> (v) </w:t>
      </w:r>
      <w:r w:rsidRPr="008671B7">
        <w:rPr>
          <w:rFonts w:eastAsia="Times New Roman" w:cs="Arial"/>
          <w:color w:val="22789A"/>
          <w:sz w:val="16"/>
          <w:szCs w:val="16"/>
          <w:lang w:eastAsia="en-AU"/>
        </w:rPr>
        <w:t xml:space="preserve">This is the median of the OECD+ country scores </w:t>
      </w:r>
      <w:r w:rsidRPr="008671B7">
        <w:rPr>
          <w:rFonts w:eastAsia="Times New Roman" w:cs="Arial"/>
          <w:b/>
          <w:bCs/>
          <w:color w:val="22789A"/>
          <w:sz w:val="16"/>
          <w:szCs w:val="16"/>
          <w:lang w:eastAsia="en-AU"/>
        </w:rPr>
        <w:t xml:space="preserve">(vi) </w:t>
      </w:r>
      <w:r w:rsidRPr="008671B7">
        <w:rPr>
          <w:rFonts w:eastAsia="Times New Roman" w:cs="Arial"/>
          <w:color w:val="22789A"/>
          <w:sz w:val="16"/>
          <w:szCs w:val="16"/>
          <w:lang w:eastAsia="en-AU"/>
        </w:rPr>
        <w:t xml:space="preserve">This is the arithmetic (simple) average of the top five OECD+ countries in a ranked list. </w:t>
      </w:r>
      <w:r w:rsidRPr="008671B7">
        <w:rPr>
          <w:rFonts w:eastAsia="Times New Roman" w:cs="Arial"/>
          <w:b/>
          <w:bCs/>
          <w:color w:val="22789A"/>
          <w:sz w:val="16"/>
          <w:szCs w:val="16"/>
          <w:lang w:eastAsia="en-AU"/>
        </w:rPr>
        <w:t xml:space="preserve">(vii) </w:t>
      </w:r>
      <w:r w:rsidRPr="008671B7">
        <w:rPr>
          <w:rFonts w:eastAsia="Times New Roman" w:cs="Arial"/>
          <w:color w:val="22789A"/>
          <w:sz w:val="16"/>
          <w:szCs w:val="16"/>
          <w:lang w:eastAsia="en-AU"/>
        </w:rPr>
        <w:t xml:space="preserve">This represents Australia’s distance from the frontier as defined by the average of the top five ranked OECD+ countries. It is calculated as 100*(Top five average - Australia’s score)/ Top 5 average. Where the solution is a negative value or zero, ‘no gap’ is shown in the cell. </w:t>
      </w:r>
      <w:r w:rsidRPr="008671B7">
        <w:rPr>
          <w:rFonts w:eastAsia="Times New Roman" w:cs="Arial"/>
          <w:b/>
          <w:bCs/>
          <w:color w:val="22789A"/>
          <w:sz w:val="16"/>
          <w:szCs w:val="16"/>
          <w:lang w:eastAsia="en-AU"/>
        </w:rPr>
        <w:t xml:space="preserve">(viii) </w:t>
      </w:r>
      <w:r w:rsidRPr="008671B7">
        <w:rPr>
          <w:rFonts w:eastAsia="Times New Roman" w:cs="Arial"/>
          <w:color w:val="22789A"/>
          <w:sz w:val="16"/>
          <w:szCs w:val="16"/>
          <w:lang w:eastAsia="en-AU"/>
        </w:rPr>
        <w:t>OECD+ rankings are performed on those OECD+ countries for which data are available. Individual data availability may vary between indicators.</w:t>
      </w:r>
    </w:p>
    <w:p w14:paraId="7418C298" w14:textId="77777777" w:rsidR="00D471AD" w:rsidRPr="008B33FB" w:rsidRDefault="00D471AD" w:rsidP="00D471AD">
      <w:pPr>
        <w:spacing w:before="120" w:after="120"/>
        <w:rPr>
          <w:rFonts w:eastAsia="Times New Roman" w:cs="Arial"/>
          <w:i/>
          <w:iCs/>
          <w:color w:val="22789A"/>
          <w:sz w:val="16"/>
          <w:szCs w:val="16"/>
          <w:lang w:eastAsia="en-AU"/>
        </w:rPr>
      </w:pPr>
      <w:r w:rsidRPr="008671B7">
        <w:rPr>
          <w:rFonts w:eastAsia="Times New Roman" w:cs="Arial"/>
          <w:b/>
          <w:i/>
          <w:iCs/>
          <w:color w:val="22789A"/>
          <w:sz w:val="16"/>
          <w:szCs w:val="16"/>
          <w:lang w:eastAsia="en-AU"/>
        </w:rPr>
        <w:t>Sources</w:t>
      </w:r>
      <w:r w:rsidRPr="008671B7">
        <w:rPr>
          <w:rFonts w:eastAsia="Times New Roman" w:cs="Arial"/>
          <w:b/>
          <w:color w:val="22789A"/>
          <w:sz w:val="16"/>
          <w:szCs w:val="16"/>
          <w:lang w:eastAsia="en-AU"/>
        </w:rPr>
        <w:t xml:space="preserve"> (1 - 9):</w:t>
      </w:r>
      <w:r w:rsidRPr="008671B7">
        <w:rPr>
          <w:rFonts w:eastAsia="Times New Roman" w:cs="Arial"/>
          <w:color w:val="22789A"/>
          <w:sz w:val="16"/>
          <w:szCs w:val="16"/>
          <w:lang w:eastAsia="en-AU"/>
        </w:rPr>
        <w:t xml:space="preserve"> </w:t>
      </w:r>
      <w:r w:rsidRPr="008671B7">
        <w:rPr>
          <w:rFonts w:eastAsia="Times New Roman" w:cs="Arial"/>
          <w:b/>
          <w:bCs/>
          <w:color w:val="22789A"/>
          <w:sz w:val="16"/>
          <w:szCs w:val="16"/>
          <w:lang w:eastAsia="en-AU"/>
        </w:rPr>
        <w:t xml:space="preserve">[1] </w:t>
      </w:r>
      <w:r w:rsidRPr="008671B7">
        <w:rPr>
          <w:rFonts w:eastAsia="Times New Roman" w:cs="Arial"/>
          <w:color w:val="22789A"/>
          <w:sz w:val="16"/>
          <w:szCs w:val="16"/>
          <w:lang w:eastAsia="en-AU"/>
        </w:rPr>
        <w:t xml:space="preserve">OECD (2016) Main Science and Technology Indicators, 2016-1, URL: http://stats.oecd.org/; </w:t>
      </w:r>
      <w:r w:rsidRPr="008671B7">
        <w:rPr>
          <w:rFonts w:eastAsia="Times New Roman" w:cs="Arial"/>
          <w:b/>
          <w:bCs/>
          <w:color w:val="22789A"/>
          <w:sz w:val="16"/>
          <w:szCs w:val="16"/>
          <w:lang w:eastAsia="en-AU"/>
        </w:rPr>
        <w:t>[2]</w:t>
      </w:r>
      <w:r w:rsidRPr="008671B7">
        <w:rPr>
          <w:rFonts w:eastAsia="Times New Roman" w:cs="Arial"/>
          <w:color w:val="22789A"/>
          <w:sz w:val="16"/>
          <w:szCs w:val="16"/>
          <w:lang w:eastAsia="en-AU"/>
        </w:rPr>
        <w:t xml:space="preserve"> ABS (2010) Research and Experimental Development, All Sector Summary, Australia, cat. no. 8112.0, 2010, Gross resources devoted to R&amp;D, summary statistics, URL: http://www.abs.gov.au/; </w:t>
      </w:r>
      <w:r w:rsidRPr="008671B7">
        <w:rPr>
          <w:rFonts w:eastAsia="Times New Roman" w:cs="Arial"/>
          <w:b/>
          <w:bCs/>
          <w:color w:val="22789A"/>
          <w:sz w:val="16"/>
          <w:szCs w:val="16"/>
          <w:lang w:eastAsia="en-AU"/>
        </w:rPr>
        <w:t xml:space="preserve">[3] </w:t>
      </w:r>
      <w:r w:rsidRPr="008671B7">
        <w:rPr>
          <w:rFonts w:eastAsia="Times New Roman" w:cs="Arial"/>
          <w:color w:val="22789A"/>
          <w:sz w:val="16"/>
          <w:szCs w:val="16"/>
          <w:lang w:eastAsia="en-AU"/>
        </w:rPr>
        <w:t xml:space="preserve">ABS (2014–2016) Research and Experimental Development, Higher Education Organisations, Australia, cat. no. 8111.0, 2012–2014, Higher education resources devoted to R&amp;D, summary statistics, URL: http://www.abs.gov.au/; </w:t>
      </w:r>
      <w:r w:rsidRPr="008671B7">
        <w:rPr>
          <w:rFonts w:eastAsia="Times New Roman" w:cs="Arial"/>
          <w:b/>
          <w:bCs/>
          <w:color w:val="22789A"/>
          <w:sz w:val="16"/>
          <w:szCs w:val="16"/>
          <w:lang w:eastAsia="en-AU"/>
        </w:rPr>
        <w:t xml:space="preserve">[4] </w:t>
      </w:r>
      <w:r w:rsidRPr="008671B7">
        <w:rPr>
          <w:rFonts w:eastAsia="Times New Roman" w:cs="Arial"/>
          <w:color w:val="22789A"/>
          <w:sz w:val="16"/>
          <w:szCs w:val="16"/>
          <w:lang w:eastAsia="en-AU"/>
        </w:rPr>
        <w:t xml:space="preserve">ABS (2015) Research and Experimental Development, Businesses, Australia, cat. no. 8104.0, 2013–14, Summary, URL: http://www.abs.gov.au/; </w:t>
      </w:r>
      <w:r w:rsidRPr="008671B7">
        <w:rPr>
          <w:rFonts w:eastAsia="Times New Roman" w:cs="Arial"/>
          <w:b/>
          <w:bCs/>
          <w:color w:val="22789A"/>
          <w:sz w:val="16"/>
          <w:szCs w:val="16"/>
          <w:lang w:eastAsia="en-AU"/>
        </w:rPr>
        <w:t>[5]</w:t>
      </w:r>
      <w:r w:rsidRPr="008671B7">
        <w:rPr>
          <w:rFonts w:eastAsia="Times New Roman" w:cs="Arial"/>
          <w:color w:val="22789A"/>
          <w:sz w:val="16"/>
          <w:szCs w:val="16"/>
          <w:lang w:eastAsia="en-AU"/>
        </w:rPr>
        <w:t xml:space="preserve"> ABS (2013) Research and Experimental Development, Businesses, Australia, cat. no. 8104.0, 2013, Business expenditure of R&amp;D, summary statistics, URL: http://www.abs.gov.au/; </w:t>
      </w:r>
      <w:r w:rsidRPr="008671B7">
        <w:rPr>
          <w:rFonts w:eastAsia="Times New Roman" w:cs="Arial"/>
          <w:b/>
          <w:bCs/>
          <w:color w:val="22789A"/>
          <w:sz w:val="16"/>
          <w:szCs w:val="16"/>
          <w:lang w:eastAsia="en-AU"/>
        </w:rPr>
        <w:t>[6]</w:t>
      </w:r>
      <w:r w:rsidRPr="008671B7">
        <w:rPr>
          <w:rFonts w:eastAsia="Times New Roman" w:cs="Arial"/>
          <w:color w:val="22789A"/>
          <w:sz w:val="16"/>
          <w:szCs w:val="16"/>
          <w:lang w:eastAsia="en-AU"/>
        </w:rPr>
        <w:t xml:space="preserve"> ABS (2015) Research and Experimental Development, Businesses, Australia, cat. no. 8104.0, 2013–14, Business expenditure on R&amp;D, summary statistics, URL: http://www.abs.gov.au/;</w:t>
      </w:r>
      <w:r w:rsidRPr="008671B7">
        <w:rPr>
          <w:rFonts w:eastAsia="Times New Roman" w:cs="Arial"/>
          <w:b/>
          <w:bCs/>
          <w:color w:val="22789A"/>
          <w:sz w:val="16"/>
          <w:szCs w:val="16"/>
          <w:lang w:eastAsia="en-AU"/>
        </w:rPr>
        <w:t xml:space="preserve"> [7]</w:t>
      </w:r>
      <w:r w:rsidRPr="008671B7">
        <w:rPr>
          <w:rFonts w:eastAsia="Times New Roman" w:cs="Arial"/>
          <w:color w:val="22789A"/>
          <w:sz w:val="16"/>
          <w:szCs w:val="16"/>
          <w:lang w:eastAsia="en-AU"/>
        </w:rPr>
        <w:t xml:space="preserve"> ABS (2014–2016) Research and Experimental Development, Government and Private Non-Profit Organisations, Australia, cat. no. 8109.0, 2012–13 - 2014–15, Government expenditure on R&amp;D, summary statistics, URL: http://www.abs.gov.au/; </w:t>
      </w:r>
      <w:r w:rsidRPr="008671B7">
        <w:rPr>
          <w:rFonts w:eastAsia="Times New Roman" w:cs="Arial"/>
          <w:b/>
          <w:bCs/>
          <w:color w:val="22789A"/>
          <w:sz w:val="16"/>
          <w:szCs w:val="16"/>
          <w:lang w:eastAsia="en-AU"/>
        </w:rPr>
        <w:t xml:space="preserve">[8] </w:t>
      </w:r>
      <w:r w:rsidRPr="008671B7">
        <w:rPr>
          <w:rFonts w:eastAsia="Times New Roman" w:cs="Arial"/>
          <w:color w:val="22789A"/>
          <w:sz w:val="16"/>
          <w:szCs w:val="16"/>
          <w:lang w:eastAsia="en-AU"/>
        </w:rPr>
        <w:t xml:space="preserve">OECD (2014) Green growth indicators, 2014, DOI: 10.1787/data-00686-en; </w:t>
      </w:r>
      <w:r w:rsidRPr="008671B7">
        <w:rPr>
          <w:rFonts w:eastAsia="Times New Roman" w:cs="Arial"/>
          <w:b/>
          <w:bCs/>
          <w:color w:val="22789A"/>
          <w:sz w:val="16"/>
          <w:szCs w:val="16"/>
          <w:lang w:eastAsia="en-AU"/>
        </w:rPr>
        <w:t xml:space="preserve">[9] </w:t>
      </w:r>
      <w:r w:rsidRPr="008671B7">
        <w:rPr>
          <w:rFonts w:eastAsia="Times New Roman" w:cs="Arial"/>
          <w:color w:val="22789A"/>
          <w:sz w:val="16"/>
          <w:szCs w:val="16"/>
          <w:lang w:eastAsia="en-AU"/>
        </w:rPr>
        <w:t>ABS (2014) Research and Experimental Development, Government and Private Non-Profit Organisations, Australia, cat. no. 8109.0, 2012–13, Private non-profit expenditure on R&amp;D, summary statistics, URL: http://www.abs.gov.au/</w:t>
      </w:r>
    </w:p>
    <w:p w14:paraId="7418C299" w14:textId="77777777" w:rsidR="00D471AD" w:rsidRPr="008B33FB" w:rsidRDefault="00D471AD" w:rsidP="00D471AD">
      <w:pPr>
        <w:spacing w:before="120" w:after="120"/>
        <w:rPr>
          <w:rFonts w:eastAsia="Times New Roman" w:cs="Arial"/>
          <w:i/>
          <w:iCs/>
          <w:color w:val="22789A"/>
          <w:sz w:val="16"/>
          <w:szCs w:val="16"/>
          <w:lang w:eastAsia="en-AU"/>
        </w:rPr>
      </w:pPr>
      <w:r w:rsidRPr="008671B7">
        <w:rPr>
          <w:rFonts w:eastAsia="Times New Roman" w:cs="Arial"/>
          <w:b/>
          <w:i/>
          <w:iCs/>
          <w:color w:val="22789A"/>
          <w:sz w:val="16"/>
          <w:szCs w:val="16"/>
          <w:lang w:eastAsia="en-AU"/>
        </w:rPr>
        <w:t>Indicator notes</w:t>
      </w:r>
      <w:r w:rsidRPr="008671B7">
        <w:rPr>
          <w:rFonts w:eastAsia="Times New Roman" w:cs="Arial"/>
          <w:b/>
          <w:color w:val="22789A"/>
          <w:sz w:val="16"/>
          <w:szCs w:val="16"/>
          <w:lang w:eastAsia="en-AU"/>
        </w:rPr>
        <w:t xml:space="preserve"> (10 - 11):</w:t>
      </w:r>
      <w:r w:rsidRPr="008671B7">
        <w:rPr>
          <w:rFonts w:eastAsia="Times New Roman" w:cs="Arial"/>
          <w:color w:val="22789A"/>
          <w:sz w:val="16"/>
          <w:szCs w:val="16"/>
          <w:lang w:eastAsia="en-AU"/>
        </w:rPr>
        <w:t xml:space="preserve"> </w:t>
      </w:r>
      <w:r w:rsidRPr="008671B7">
        <w:rPr>
          <w:rFonts w:eastAsia="Times New Roman" w:cs="Arial"/>
          <w:b/>
          <w:bCs/>
          <w:color w:val="22789A"/>
          <w:sz w:val="16"/>
          <w:szCs w:val="16"/>
          <w:lang w:eastAsia="en-AU"/>
        </w:rPr>
        <w:t xml:space="preserve">[10] </w:t>
      </w:r>
      <w:r w:rsidRPr="008671B7">
        <w:rPr>
          <w:rFonts w:eastAsia="Times New Roman" w:cs="Arial"/>
          <w:color w:val="22789A"/>
          <w:sz w:val="16"/>
          <w:szCs w:val="16"/>
          <w:lang w:eastAsia="en-AU"/>
        </w:rPr>
        <w:t xml:space="preserve">1996 data used in place of 1995 data.; </w:t>
      </w:r>
      <w:r w:rsidRPr="008671B7">
        <w:rPr>
          <w:rFonts w:eastAsia="Times New Roman" w:cs="Arial"/>
          <w:b/>
          <w:bCs/>
          <w:color w:val="22789A"/>
          <w:sz w:val="16"/>
          <w:szCs w:val="16"/>
          <w:lang w:eastAsia="en-AU"/>
        </w:rPr>
        <w:t xml:space="preserve">[11] </w:t>
      </w:r>
      <w:r w:rsidRPr="008671B7">
        <w:rPr>
          <w:rFonts w:eastAsia="Times New Roman" w:cs="Arial"/>
          <w:color w:val="22789A"/>
          <w:sz w:val="16"/>
          <w:szCs w:val="16"/>
          <w:lang w:eastAsia="en-AU"/>
        </w:rPr>
        <w:t>2004 data used in place of 2005 data.</w:t>
      </w:r>
    </w:p>
    <w:p w14:paraId="7418C29A" w14:textId="77777777" w:rsidR="00D471AD" w:rsidRDefault="00D471AD" w:rsidP="00D471AD"/>
    <w:p w14:paraId="7418C29B" w14:textId="77777777" w:rsidR="00D471AD" w:rsidRDefault="00D471AD" w:rsidP="00D471AD">
      <w:r>
        <w:br w:type="page"/>
      </w:r>
    </w:p>
    <w:tbl>
      <w:tblPr>
        <w:tblW w:w="5000" w:type="pct"/>
        <w:tblBorders>
          <w:bottom w:val="single" w:sz="4" w:space="0" w:color="auto"/>
        </w:tblBorders>
        <w:tblLook w:val="04A0" w:firstRow="1" w:lastRow="0" w:firstColumn="1" w:lastColumn="0" w:noHBand="0" w:noVBand="1"/>
      </w:tblPr>
      <w:tblGrid>
        <w:gridCol w:w="4309"/>
        <w:gridCol w:w="698"/>
        <w:gridCol w:w="698"/>
        <w:gridCol w:w="698"/>
        <w:gridCol w:w="698"/>
        <w:gridCol w:w="698"/>
        <w:gridCol w:w="698"/>
        <w:gridCol w:w="698"/>
        <w:gridCol w:w="698"/>
        <w:gridCol w:w="698"/>
        <w:gridCol w:w="698"/>
        <w:gridCol w:w="698"/>
        <w:gridCol w:w="698"/>
        <w:gridCol w:w="645"/>
        <w:gridCol w:w="628"/>
      </w:tblGrid>
      <w:tr w:rsidR="00D471AD" w:rsidRPr="00922CDF" w14:paraId="7418C29D" w14:textId="77777777" w:rsidTr="004A31A9">
        <w:trPr>
          <w:trHeight w:val="300"/>
          <w:tblHeader/>
        </w:trPr>
        <w:tc>
          <w:tcPr>
            <w:tcW w:w="5000" w:type="pct"/>
            <w:gridSpan w:val="15"/>
            <w:tcBorders>
              <w:top w:val="single" w:sz="8" w:space="0" w:color="22789A"/>
              <w:bottom w:val="nil"/>
            </w:tcBorders>
            <w:shd w:val="clear" w:color="auto" w:fill="auto"/>
            <w:vAlign w:val="center"/>
          </w:tcPr>
          <w:p w14:paraId="7418C29C" w14:textId="77777777" w:rsidR="00D471AD" w:rsidRPr="00922CDF" w:rsidRDefault="00D471AD" w:rsidP="004A31A9">
            <w:pPr>
              <w:widowControl w:val="0"/>
              <w:spacing w:before="42" w:after="0" w:line="240" w:lineRule="auto"/>
              <w:ind w:left="-108"/>
              <w:rPr>
                <w:rFonts w:eastAsia="Calibri" w:hAnsi="Calibri" w:cs="Times New Roman"/>
                <w:i/>
                <w:color w:val="22789A"/>
                <w:spacing w:val="3"/>
                <w:sz w:val="18"/>
                <w:lang w:val="en-US"/>
              </w:rPr>
            </w:pPr>
            <w:r w:rsidRPr="00922CDF">
              <w:rPr>
                <w:rFonts w:eastAsia="Calibri" w:hAnsi="Calibri" w:cs="Times New Roman"/>
                <w:i/>
                <w:color w:val="22789A"/>
                <w:spacing w:val="3"/>
                <w:sz w:val="18"/>
                <w:lang w:val="en-US"/>
              </w:rPr>
              <w:t>Table A8(a): Indicators of Australia</w:t>
            </w:r>
            <w:r w:rsidRPr="00922CDF">
              <w:rPr>
                <w:rFonts w:eastAsia="Calibri" w:hAnsi="Calibri" w:cs="Times New Roman"/>
                <w:i/>
                <w:color w:val="22789A"/>
                <w:spacing w:val="3"/>
                <w:sz w:val="18"/>
                <w:lang w:val="en-US"/>
              </w:rPr>
              <w:t>’</w:t>
            </w:r>
            <w:r w:rsidRPr="00922CDF">
              <w:rPr>
                <w:rFonts w:eastAsia="Calibri" w:hAnsi="Calibri" w:cs="Times New Roman"/>
                <w:i/>
                <w:color w:val="22789A"/>
                <w:spacing w:val="3"/>
                <w:sz w:val="18"/>
                <w:lang w:val="en-US"/>
              </w:rPr>
              <w:t>s research workforce</w:t>
            </w:r>
          </w:p>
        </w:tc>
      </w:tr>
      <w:tr w:rsidR="00D471AD" w:rsidRPr="00922CDF" w14:paraId="7418C29F" w14:textId="77777777" w:rsidTr="004A31A9">
        <w:trPr>
          <w:trHeight w:val="300"/>
          <w:tblHeader/>
        </w:trPr>
        <w:tc>
          <w:tcPr>
            <w:tcW w:w="5000" w:type="pct"/>
            <w:gridSpan w:val="15"/>
            <w:tcBorders>
              <w:top w:val="nil"/>
            </w:tcBorders>
            <w:shd w:val="clear" w:color="292B67" w:fill="22789A"/>
            <w:vAlign w:val="center"/>
            <w:hideMark/>
          </w:tcPr>
          <w:p w14:paraId="7418C29E" w14:textId="77777777" w:rsidR="00D471AD" w:rsidRPr="00922CDF" w:rsidRDefault="00D471AD" w:rsidP="004A31A9">
            <w:pPr>
              <w:widowControl w:val="0"/>
              <w:spacing w:before="42" w:after="0" w:line="240" w:lineRule="auto"/>
              <w:ind w:left="79"/>
              <w:rPr>
                <w:rFonts w:eastAsia="Calibri" w:hAnsi="Calibri" w:cs="Times New Roman"/>
                <w:i/>
                <w:color w:val="FFFFFF"/>
                <w:spacing w:val="3"/>
                <w:sz w:val="18"/>
                <w:lang w:val="en-US"/>
              </w:rPr>
            </w:pPr>
            <w:r w:rsidRPr="00922CDF">
              <w:rPr>
                <w:rFonts w:eastAsia="Calibri" w:hAnsi="Calibri" w:cs="Times New Roman"/>
                <w:i/>
                <w:color w:val="FFFFFF"/>
                <w:spacing w:val="3"/>
                <w:sz w:val="18"/>
                <w:lang w:val="en-US"/>
              </w:rPr>
              <w:t>Australian Trend Data (i)</w:t>
            </w:r>
          </w:p>
        </w:tc>
      </w:tr>
      <w:tr w:rsidR="00D471AD" w:rsidRPr="00922CDF" w14:paraId="7418C2AF" w14:textId="77777777" w:rsidTr="004A31A9">
        <w:trPr>
          <w:trHeight w:val="300"/>
          <w:tblHeader/>
        </w:trPr>
        <w:tc>
          <w:tcPr>
            <w:tcW w:w="1544" w:type="pct"/>
            <w:shd w:val="clear" w:color="auto" w:fill="E4F3F9"/>
            <w:vAlign w:val="center"/>
            <w:hideMark/>
          </w:tcPr>
          <w:p w14:paraId="7418C2A0" w14:textId="77777777" w:rsidR="00D471AD" w:rsidRPr="00922CDF" w:rsidRDefault="00D471AD" w:rsidP="004A31A9">
            <w:pPr>
              <w:spacing w:after="0" w:line="240" w:lineRule="auto"/>
              <w:rPr>
                <w:rFonts w:eastAsia="Times New Roman" w:cs="Arial"/>
                <w:b/>
                <w:bCs/>
                <w:i/>
                <w:color w:val="7A7B7C"/>
                <w:sz w:val="14"/>
                <w:szCs w:val="14"/>
                <w:lang w:eastAsia="en-AU"/>
              </w:rPr>
            </w:pPr>
            <w:r w:rsidRPr="00922CDF">
              <w:rPr>
                <w:rFonts w:eastAsia="Times New Roman" w:cs="Arial"/>
                <w:b/>
                <w:bCs/>
                <w:i/>
                <w:color w:val="7A7B7C"/>
                <w:sz w:val="14"/>
                <w:szCs w:val="14"/>
                <w:lang w:eastAsia="en-AU"/>
              </w:rPr>
              <w:t>Indicators</w:t>
            </w:r>
          </w:p>
        </w:tc>
        <w:tc>
          <w:tcPr>
            <w:tcW w:w="250" w:type="pct"/>
            <w:shd w:val="clear" w:color="auto" w:fill="E4F3F9"/>
            <w:vAlign w:val="center"/>
            <w:hideMark/>
          </w:tcPr>
          <w:p w14:paraId="7418C2A1"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1995</w:t>
            </w:r>
          </w:p>
        </w:tc>
        <w:tc>
          <w:tcPr>
            <w:tcW w:w="250" w:type="pct"/>
            <w:shd w:val="clear" w:color="auto" w:fill="E4F3F9"/>
            <w:vAlign w:val="center"/>
            <w:hideMark/>
          </w:tcPr>
          <w:p w14:paraId="7418C2A2"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2000</w:t>
            </w:r>
          </w:p>
        </w:tc>
        <w:tc>
          <w:tcPr>
            <w:tcW w:w="250" w:type="pct"/>
            <w:shd w:val="clear" w:color="auto" w:fill="E4F3F9"/>
            <w:vAlign w:val="center"/>
            <w:hideMark/>
          </w:tcPr>
          <w:p w14:paraId="7418C2A3"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2005</w:t>
            </w:r>
          </w:p>
        </w:tc>
        <w:tc>
          <w:tcPr>
            <w:tcW w:w="250" w:type="pct"/>
            <w:shd w:val="clear" w:color="auto" w:fill="E4F3F9"/>
            <w:vAlign w:val="center"/>
            <w:hideMark/>
          </w:tcPr>
          <w:p w14:paraId="7418C2A4"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2006</w:t>
            </w:r>
          </w:p>
        </w:tc>
        <w:tc>
          <w:tcPr>
            <w:tcW w:w="250" w:type="pct"/>
            <w:shd w:val="clear" w:color="auto" w:fill="E4F3F9"/>
            <w:vAlign w:val="center"/>
            <w:hideMark/>
          </w:tcPr>
          <w:p w14:paraId="7418C2A5"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2007</w:t>
            </w:r>
          </w:p>
        </w:tc>
        <w:tc>
          <w:tcPr>
            <w:tcW w:w="250" w:type="pct"/>
            <w:shd w:val="clear" w:color="auto" w:fill="E4F3F9"/>
            <w:vAlign w:val="center"/>
            <w:hideMark/>
          </w:tcPr>
          <w:p w14:paraId="7418C2A6"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2008</w:t>
            </w:r>
          </w:p>
        </w:tc>
        <w:tc>
          <w:tcPr>
            <w:tcW w:w="250" w:type="pct"/>
            <w:shd w:val="clear" w:color="auto" w:fill="E4F3F9"/>
            <w:vAlign w:val="center"/>
            <w:hideMark/>
          </w:tcPr>
          <w:p w14:paraId="7418C2A7"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2009</w:t>
            </w:r>
          </w:p>
        </w:tc>
        <w:tc>
          <w:tcPr>
            <w:tcW w:w="250" w:type="pct"/>
            <w:shd w:val="clear" w:color="auto" w:fill="E4F3F9"/>
            <w:vAlign w:val="center"/>
            <w:hideMark/>
          </w:tcPr>
          <w:p w14:paraId="7418C2A8"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2010</w:t>
            </w:r>
          </w:p>
        </w:tc>
        <w:tc>
          <w:tcPr>
            <w:tcW w:w="250" w:type="pct"/>
            <w:shd w:val="clear" w:color="auto" w:fill="E4F3F9"/>
            <w:vAlign w:val="center"/>
            <w:hideMark/>
          </w:tcPr>
          <w:p w14:paraId="7418C2A9"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2011</w:t>
            </w:r>
          </w:p>
        </w:tc>
        <w:tc>
          <w:tcPr>
            <w:tcW w:w="250" w:type="pct"/>
            <w:shd w:val="clear" w:color="auto" w:fill="E4F3F9"/>
            <w:vAlign w:val="center"/>
            <w:hideMark/>
          </w:tcPr>
          <w:p w14:paraId="7418C2AA"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2012</w:t>
            </w:r>
          </w:p>
        </w:tc>
        <w:tc>
          <w:tcPr>
            <w:tcW w:w="250" w:type="pct"/>
            <w:shd w:val="clear" w:color="auto" w:fill="E4F3F9"/>
            <w:vAlign w:val="center"/>
            <w:hideMark/>
          </w:tcPr>
          <w:p w14:paraId="7418C2AB"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2013</w:t>
            </w:r>
          </w:p>
        </w:tc>
        <w:tc>
          <w:tcPr>
            <w:tcW w:w="250" w:type="pct"/>
            <w:shd w:val="clear" w:color="auto" w:fill="E4F3F9"/>
            <w:vAlign w:val="center"/>
            <w:hideMark/>
          </w:tcPr>
          <w:p w14:paraId="7418C2AC"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2014</w:t>
            </w:r>
          </w:p>
        </w:tc>
        <w:tc>
          <w:tcPr>
            <w:tcW w:w="231" w:type="pct"/>
            <w:shd w:val="clear" w:color="auto" w:fill="E4F3F9"/>
            <w:vAlign w:val="center"/>
            <w:hideMark/>
          </w:tcPr>
          <w:p w14:paraId="7418C2AD"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2015</w:t>
            </w:r>
          </w:p>
        </w:tc>
        <w:tc>
          <w:tcPr>
            <w:tcW w:w="225" w:type="pct"/>
            <w:shd w:val="clear" w:color="auto" w:fill="E4F3F9"/>
            <w:vAlign w:val="center"/>
            <w:hideMark/>
          </w:tcPr>
          <w:p w14:paraId="7418C2AE"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2016</w:t>
            </w:r>
          </w:p>
        </w:tc>
      </w:tr>
      <w:tr w:rsidR="00D471AD" w:rsidRPr="00922CDF" w14:paraId="7418C2BF" w14:textId="77777777" w:rsidTr="004A31A9">
        <w:trPr>
          <w:trHeight w:val="454"/>
        </w:trPr>
        <w:tc>
          <w:tcPr>
            <w:tcW w:w="1544" w:type="pct"/>
            <w:shd w:val="clear" w:color="auto" w:fill="D5ECF5"/>
            <w:vAlign w:val="center"/>
          </w:tcPr>
          <w:p w14:paraId="7418C2B0" w14:textId="77777777" w:rsidR="00D471AD" w:rsidRPr="00922CDF" w:rsidRDefault="00D471AD" w:rsidP="004A31A9">
            <w:pPr>
              <w:spacing w:after="0" w:line="240" w:lineRule="auto"/>
              <w:rPr>
                <w:rFonts w:eastAsia="Arial Unicode MS" w:cs="Arial"/>
                <w:color w:val="7A7B7C"/>
                <w:sz w:val="14"/>
                <w:szCs w:val="14"/>
                <w:lang w:eastAsia="en-AU"/>
              </w:rPr>
            </w:pPr>
            <w:r w:rsidRPr="00922CDF">
              <w:rPr>
                <w:rFonts w:eastAsia="Arial Unicode MS" w:cs="Arial" w:hint="eastAsia"/>
                <w:color w:val="7A7B7C"/>
                <w:sz w:val="14"/>
                <w:szCs w:val="14"/>
                <w:lang w:eastAsia="en-AU"/>
              </w:rPr>
              <w:t xml:space="preserve">Share of professionals and technicians in total </w:t>
            </w:r>
            <w:r w:rsidRPr="00922CDF">
              <w:rPr>
                <w:rFonts w:eastAsia="Arial Unicode MS" w:cs="Arial"/>
                <w:color w:val="7A7B7C"/>
                <w:sz w:val="14"/>
                <w:szCs w:val="14"/>
                <w:lang w:eastAsia="en-AU"/>
              </w:rPr>
              <w:br/>
            </w:r>
            <w:r w:rsidRPr="00922CDF">
              <w:rPr>
                <w:rFonts w:eastAsia="Arial Unicode MS" w:cs="Arial" w:hint="eastAsia"/>
                <w:color w:val="7A7B7C"/>
                <w:sz w:val="14"/>
                <w:szCs w:val="14"/>
                <w:lang w:eastAsia="en-AU"/>
              </w:rPr>
              <w:t>employment, %</w:t>
            </w:r>
            <w:r w:rsidRPr="00922CDF">
              <w:rPr>
                <w:rFonts w:eastAsia="Arial Unicode MS" w:cs="Arial" w:hint="eastAsia"/>
                <w:color w:val="7A7B7C"/>
                <w:sz w:val="14"/>
                <w:szCs w:val="14"/>
                <w:lang w:eastAsia="en-AU"/>
              </w:rPr>
              <w:t>¹</w:t>
            </w:r>
            <w:r w:rsidRPr="00922CDF">
              <w:rPr>
                <w:rFonts w:eastAsia="Arial Unicode MS" w:cs="Arial" w:hint="eastAsia"/>
                <w:color w:val="7A7B7C"/>
                <w:sz w:val="14"/>
                <w:szCs w:val="14"/>
                <w:lang w:eastAsia="en-AU"/>
              </w:rPr>
              <w:t xml:space="preserve"> </w:t>
            </w:r>
            <w:r w:rsidRPr="00922CDF">
              <w:rPr>
                <w:rFonts w:eastAsia="Arial Unicode MS" w:cs="Arial" w:hint="eastAsia"/>
                <w:color w:val="7A7B7C"/>
                <w:sz w:val="14"/>
                <w:szCs w:val="14"/>
                <w:lang w:eastAsia="en-AU"/>
              </w:rPr>
              <w:t>²</w:t>
            </w:r>
            <w:r w:rsidRPr="00922CDF">
              <w:rPr>
                <w:rFonts w:eastAsia="Arial Unicode MS" w:cs="Arial" w:hint="eastAsia"/>
                <w:color w:val="7A7B7C"/>
                <w:sz w:val="14"/>
                <w:szCs w:val="14"/>
                <w:lang w:eastAsia="en-AU"/>
              </w:rPr>
              <w:t xml:space="preserve"> </w:t>
            </w:r>
            <w:r w:rsidRPr="00922CDF">
              <w:rPr>
                <w:rFonts w:eastAsia="Arial Unicode MS" w:cs="Arial" w:hint="eastAsia"/>
                <w:color w:val="7A7B7C"/>
                <w:sz w:val="14"/>
                <w:szCs w:val="14"/>
                <w:lang w:eastAsia="en-AU"/>
              </w:rPr>
              <w:t>³</w:t>
            </w:r>
            <w:r w:rsidRPr="00922CDF">
              <w:rPr>
                <w:rFonts w:eastAsia="Arial Unicode MS" w:cs="Arial" w:hint="eastAsia"/>
                <w:color w:val="7A7B7C"/>
                <w:sz w:val="14"/>
                <w:szCs w:val="14"/>
                <w:lang w:eastAsia="en-AU"/>
              </w:rPr>
              <w:t xml:space="preserve"> </w:t>
            </w:r>
            <w:r w:rsidRPr="00922CDF">
              <w:rPr>
                <w:rFonts w:eastAsia="Arial Unicode MS" w:cs="Arial" w:hint="eastAsia"/>
                <w:color w:val="7A7B7C"/>
                <w:sz w:val="14"/>
                <w:szCs w:val="14"/>
                <w:lang w:eastAsia="en-AU"/>
              </w:rPr>
              <w:t>⁴</w:t>
            </w:r>
          </w:p>
        </w:tc>
        <w:tc>
          <w:tcPr>
            <w:tcW w:w="250" w:type="pct"/>
            <w:shd w:val="clear" w:color="auto" w:fill="D5ECF5"/>
            <w:vAlign w:val="center"/>
          </w:tcPr>
          <w:p w14:paraId="7418C2B1"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D5ECF5"/>
            <w:vAlign w:val="center"/>
          </w:tcPr>
          <w:p w14:paraId="7418C2B2"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D5ECF5"/>
            <w:vAlign w:val="center"/>
          </w:tcPr>
          <w:p w14:paraId="7418C2B3"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D5ECF5"/>
            <w:vAlign w:val="center"/>
          </w:tcPr>
          <w:p w14:paraId="7418C2B4"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37.6</w:t>
            </w:r>
          </w:p>
        </w:tc>
        <w:tc>
          <w:tcPr>
            <w:tcW w:w="250" w:type="pct"/>
            <w:shd w:val="clear" w:color="auto" w:fill="D5ECF5"/>
            <w:vAlign w:val="center"/>
          </w:tcPr>
          <w:p w14:paraId="7418C2B5"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D5ECF5"/>
            <w:vAlign w:val="center"/>
          </w:tcPr>
          <w:p w14:paraId="7418C2B6"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35.8</w:t>
            </w:r>
          </w:p>
        </w:tc>
        <w:tc>
          <w:tcPr>
            <w:tcW w:w="250" w:type="pct"/>
            <w:shd w:val="clear" w:color="auto" w:fill="D5ECF5"/>
            <w:vAlign w:val="center"/>
          </w:tcPr>
          <w:p w14:paraId="7418C2B7"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D5ECF5"/>
            <w:vAlign w:val="center"/>
          </w:tcPr>
          <w:p w14:paraId="7418C2B8"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36.1</w:t>
            </w:r>
          </w:p>
        </w:tc>
        <w:tc>
          <w:tcPr>
            <w:tcW w:w="250" w:type="pct"/>
            <w:shd w:val="clear" w:color="auto" w:fill="D5ECF5"/>
            <w:vAlign w:val="center"/>
          </w:tcPr>
          <w:p w14:paraId="7418C2B9"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D5ECF5"/>
            <w:vAlign w:val="center"/>
          </w:tcPr>
          <w:p w14:paraId="7418C2BA"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31.8</w:t>
            </w:r>
          </w:p>
        </w:tc>
        <w:tc>
          <w:tcPr>
            <w:tcW w:w="250" w:type="pct"/>
            <w:shd w:val="clear" w:color="auto" w:fill="D5ECF5"/>
            <w:vAlign w:val="center"/>
          </w:tcPr>
          <w:p w14:paraId="7418C2BB"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D5ECF5"/>
            <w:vAlign w:val="center"/>
          </w:tcPr>
          <w:p w14:paraId="7418C2BC"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31" w:type="pct"/>
            <w:shd w:val="clear" w:color="auto" w:fill="D5ECF5"/>
            <w:vAlign w:val="center"/>
          </w:tcPr>
          <w:p w14:paraId="7418C2BD"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25" w:type="pct"/>
            <w:shd w:val="clear" w:color="auto" w:fill="D5ECF5"/>
            <w:vAlign w:val="center"/>
          </w:tcPr>
          <w:p w14:paraId="7418C2BE"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r>
      <w:tr w:rsidR="00D471AD" w:rsidRPr="00922CDF" w14:paraId="7418C2CF" w14:textId="77777777" w:rsidTr="004A31A9">
        <w:trPr>
          <w:trHeight w:val="454"/>
        </w:trPr>
        <w:tc>
          <w:tcPr>
            <w:tcW w:w="1544" w:type="pct"/>
            <w:shd w:val="clear" w:color="auto" w:fill="E4F3F9"/>
            <w:vAlign w:val="center"/>
          </w:tcPr>
          <w:p w14:paraId="7418C2C0" w14:textId="77777777" w:rsidR="00D471AD" w:rsidRPr="00922CDF" w:rsidRDefault="00D471AD" w:rsidP="004A31A9">
            <w:pPr>
              <w:spacing w:after="0" w:line="240" w:lineRule="auto"/>
              <w:rPr>
                <w:rFonts w:eastAsia="Arial Unicode MS" w:cs="Arial"/>
                <w:color w:val="7A7B7C"/>
                <w:sz w:val="14"/>
                <w:szCs w:val="14"/>
                <w:lang w:eastAsia="en-AU"/>
              </w:rPr>
            </w:pPr>
            <w:r w:rsidRPr="00922CDF">
              <w:rPr>
                <w:rFonts w:eastAsia="Arial Unicode MS" w:cs="Arial" w:hint="eastAsia"/>
                <w:color w:val="7A7B7C"/>
                <w:sz w:val="14"/>
                <w:szCs w:val="14"/>
                <w:lang w:eastAsia="en-AU"/>
              </w:rPr>
              <w:t>Number of students completing higher degree by research in Australia</w:t>
            </w:r>
            <w:r w:rsidRPr="00922CDF">
              <w:rPr>
                <w:rFonts w:eastAsia="Arial Unicode MS" w:cs="Arial" w:hint="eastAsia"/>
                <w:color w:val="7A7B7C"/>
                <w:sz w:val="14"/>
                <w:szCs w:val="14"/>
                <w:lang w:eastAsia="en-AU"/>
              </w:rPr>
              <w:t>⁵</w:t>
            </w:r>
            <w:r w:rsidRPr="00922CDF">
              <w:rPr>
                <w:rFonts w:eastAsia="Arial Unicode MS" w:cs="Arial" w:hint="eastAsia"/>
                <w:color w:val="7A7B7C"/>
                <w:sz w:val="14"/>
                <w:szCs w:val="14"/>
                <w:lang w:eastAsia="en-AU"/>
              </w:rPr>
              <w:t xml:space="preserve"> </w:t>
            </w:r>
            <w:r w:rsidRPr="00922CDF">
              <w:rPr>
                <w:rFonts w:eastAsia="Arial Unicode MS" w:cs="Arial" w:hint="eastAsia"/>
                <w:color w:val="7A7B7C"/>
                <w:sz w:val="14"/>
                <w:szCs w:val="14"/>
                <w:lang w:eastAsia="en-AU"/>
              </w:rPr>
              <w:t>⁶</w:t>
            </w:r>
          </w:p>
        </w:tc>
        <w:tc>
          <w:tcPr>
            <w:tcW w:w="250" w:type="pct"/>
            <w:shd w:val="clear" w:color="auto" w:fill="E4F3F9"/>
            <w:vAlign w:val="center"/>
          </w:tcPr>
          <w:p w14:paraId="7418C2C1"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E4F3F9"/>
            <w:vAlign w:val="center"/>
          </w:tcPr>
          <w:p w14:paraId="7418C2C2"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5,434</w:t>
            </w:r>
          </w:p>
        </w:tc>
        <w:tc>
          <w:tcPr>
            <w:tcW w:w="250" w:type="pct"/>
            <w:shd w:val="clear" w:color="auto" w:fill="E4F3F9"/>
            <w:vAlign w:val="center"/>
          </w:tcPr>
          <w:p w14:paraId="7418C2C3"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6,820</w:t>
            </w:r>
          </w:p>
        </w:tc>
        <w:tc>
          <w:tcPr>
            <w:tcW w:w="250" w:type="pct"/>
            <w:shd w:val="clear" w:color="auto" w:fill="E4F3F9"/>
            <w:vAlign w:val="center"/>
          </w:tcPr>
          <w:p w14:paraId="7418C2C4"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7,103</w:t>
            </w:r>
          </w:p>
        </w:tc>
        <w:tc>
          <w:tcPr>
            <w:tcW w:w="250" w:type="pct"/>
            <w:shd w:val="clear" w:color="auto" w:fill="E4F3F9"/>
            <w:vAlign w:val="center"/>
          </w:tcPr>
          <w:p w14:paraId="7418C2C5"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7,141</w:t>
            </w:r>
          </w:p>
        </w:tc>
        <w:tc>
          <w:tcPr>
            <w:tcW w:w="250" w:type="pct"/>
            <w:shd w:val="clear" w:color="auto" w:fill="E4F3F9"/>
            <w:vAlign w:val="center"/>
          </w:tcPr>
          <w:p w14:paraId="7418C2C6"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7,178</w:t>
            </w:r>
          </w:p>
        </w:tc>
        <w:tc>
          <w:tcPr>
            <w:tcW w:w="250" w:type="pct"/>
            <w:shd w:val="clear" w:color="auto" w:fill="E4F3F9"/>
            <w:vAlign w:val="center"/>
          </w:tcPr>
          <w:p w14:paraId="7418C2C7"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7,092</w:t>
            </w:r>
          </w:p>
        </w:tc>
        <w:tc>
          <w:tcPr>
            <w:tcW w:w="250" w:type="pct"/>
            <w:shd w:val="clear" w:color="auto" w:fill="E4F3F9"/>
            <w:vAlign w:val="center"/>
          </w:tcPr>
          <w:p w14:paraId="7418C2C8"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7,403</w:t>
            </w:r>
          </w:p>
        </w:tc>
        <w:tc>
          <w:tcPr>
            <w:tcW w:w="250" w:type="pct"/>
            <w:shd w:val="clear" w:color="auto" w:fill="E4F3F9"/>
            <w:vAlign w:val="center"/>
          </w:tcPr>
          <w:p w14:paraId="7418C2C9"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7,961</w:t>
            </w:r>
          </w:p>
        </w:tc>
        <w:tc>
          <w:tcPr>
            <w:tcW w:w="250" w:type="pct"/>
            <w:shd w:val="clear" w:color="auto" w:fill="E4F3F9"/>
            <w:vAlign w:val="center"/>
          </w:tcPr>
          <w:p w14:paraId="7418C2CA"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8,230</w:t>
            </w:r>
          </w:p>
        </w:tc>
        <w:tc>
          <w:tcPr>
            <w:tcW w:w="250" w:type="pct"/>
            <w:shd w:val="clear" w:color="auto" w:fill="E4F3F9"/>
            <w:vAlign w:val="center"/>
          </w:tcPr>
          <w:p w14:paraId="7418C2CB"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9,209</w:t>
            </w:r>
          </w:p>
        </w:tc>
        <w:tc>
          <w:tcPr>
            <w:tcW w:w="250" w:type="pct"/>
            <w:shd w:val="clear" w:color="auto" w:fill="E4F3F9"/>
            <w:vAlign w:val="center"/>
          </w:tcPr>
          <w:p w14:paraId="7418C2CC"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9,579</w:t>
            </w:r>
          </w:p>
        </w:tc>
        <w:tc>
          <w:tcPr>
            <w:tcW w:w="231" w:type="pct"/>
            <w:shd w:val="clear" w:color="auto" w:fill="E4F3F9"/>
            <w:vAlign w:val="center"/>
          </w:tcPr>
          <w:p w14:paraId="7418C2CD"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25" w:type="pct"/>
            <w:shd w:val="clear" w:color="auto" w:fill="E4F3F9"/>
            <w:vAlign w:val="center"/>
          </w:tcPr>
          <w:p w14:paraId="7418C2CE"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r>
      <w:tr w:rsidR="00D471AD" w:rsidRPr="00922CDF" w14:paraId="7418C2DF" w14:textId="77777777" w:rsidTr="004A31A9">
        <w:trPr>
          <w:trHeight w:val="454"/>
        </w:trPr>
        <w:tc>
          <w:tcPr>
            <w:tcW w:w="1544" w:type="pct"/>
            <w:shd w:val="clear" w:color="auto" w:fill="D5ECF5"/>
            <w:vAlign w:val="center"/>
          </w:tcPr>
          <w:p w14:paraId="7418C2D0" w14:textId="77777777" w:rsidR="00D471AD" w:rsidRPr="00922CDF" w:rsidRDefault="00D471AD" w:rsidP="004A31A9">
            <w:pPr>
              <w:spacing w:after="0" w:line="240" w:lineRule="auto"/>
              <w:rPr>
                <w:rFonts w:eastAsia="Arial Unicode MS" w:cs="Arial"/>
                <w:color w:val="7A7B7C"/>
                <w:sz w:val="14"/>
                <w:szCs w:val="14"/>
                <w:lang w:eastAsia="en-AU"/>
              </w:rPr>
            </w:pPr>
            <w:r w:rsidRPr="00922CDF">
              <w:rPr>
                <w:rFonts w:eastAsia="Arial Unicode MS" w:cs="Arial" w:hint="eastAsia"/>
                <w:color w:val="7A7B7C"/>
                <w:sz w:val="14"/>
                <w:szCs w:val="14"/>
                <w:lang w:eastAsia="en-AU"/>
              </w:rPr>
              <w:t>Number of domestic students completing higher degree by research in Australia</w:t>
            </w:r>
            <w:r w:rsidRPr="00922CDF">
              <w:rPr>
                <w:rFonts w:eastAsia="Arial Unicode MS" w:cs="Arial" w:hint="eastAsia"/>
                <w:color w:val="7A7B7C"/>
                <w:sz w:val="14"/>
                <w:szCs w:val="14"/>
                <w:lang w:eastAsia="en-AU"/>
              </w:rPr>
              <w:t>⁵</w:t>
            </w:r>
            <w:r w:rsidRPr="00922CDF">
              <w:rPr>
                <w:rFonts w:eastAsia="Arial Unicode MS" w:cs="Arial" w:hint="eastAsia"/>
                <w:color w:val="7A7B7C"/>
                <w:sz w:val="14"/>
                <w:szCs w:val="14"/>
                <w:lang w:eastAsia="en-AU"/>
              </w:rPr>
              <w:t xml:space="preserve"> </w:t>
            </w:r>
            <w:r w:rsidRPr="00922CDF">
              <w:rPr>
                <w:rFonts w:eastAsia="Arial Unicode MS" w:cs="Arial" w:hint="eastAsia"/>
                <w:color w:val="7A7B7C"/>
                <w:sz w:val="14"/>
                <w:szCs w:val="14"/>
                <w:lang w:eastAsia="en-AU"/>
              </w:rPr>
              <w:t>⁶</w:t>
            </w:r>
          </w:p>
        </w:tc>
        <w:tc>
          <w:tcPr>
            <w:tcW w:w="250" w:type="pct"/>
            <w:shd w:val="clear" w:color="auto" w:fill="D5ECF5"/>
            <w:vAlign w:val="center"/>
          </w:tcPr>
          <w:p w14:paraId="7418C2D1"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D5ECF5"/>
            <w:vAlign w:val="center"/>
          </w:tcPr>
          <w:p w14:paraId="7418C2D2"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4,557</w:t>
            </w:r>
          </w:p>
        </w:tc>
        <w:tc>
          <w:tcPr>
            <w:tcW w:w="250" w:type="pct"/>
            <w:shd w:val="clear" w:color="auto" w:fill="D5ECF5"/>
            <w:vAlign w:val="center"/>
          </w:tcPr>
          <w:p w14:paraId="7418C2D3"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5,510</w:t>
            </w:r>
          </w:p>
        </w:tc>
        <w:tc>
          <w:tcPr>
            <w:tcW w:w="250" w:type="pct"/>
            <w:shd w:val="clear" w:color="auto" w:fill="D5ECF5"/>
            <w:vAlign w:val="center"/>
          </w:tcPr>
          <w:p w14:paraId="7418C2D4"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5,566</w:t>
            </w:r>
          </w:p>
        </w:tc>
        <w:tc>
          <w:tcPr>
            <w:tcW w:w="250" w:type="pct"/>
            <w:shd w:val="clear" w:color="auto" w:fill="D5ECF5"/>
            <w:vAlign w:val="center"/>
          </w:tcPr>
          <w:p w14:paraId="7418C2D5"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5,506</w:t>
            </w:r>
          </w:p>
        </w:tc>
        <w:tc>
          <w:tcPr>
            <w:tcW w:w="250" w:type="pct"/>
            <w:shd w:val="clear" w:color="auto" w:fill="D5ECF5"/>
            <w:vAlign w:val="center"/>
          </w:tcPr>
          <w:p w14:paraId="7418C2D6"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5,556</w:t>
            </w:r>
          </w:p>
        </w:tc>
        <w:tc>
          <w:tcPr>
            <w:tcW w:w="250" w:type="pct"/>
            <w:shd w:val="clear" w:color="auto" w:fill="D5ECF5"/>
            <w:vAlign w:val="center"/>
          </w:tcPr>
          <w:p w14:paraId="7418C2D7"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5,382</w:t>
            </w:r>
          </w:p>
        </w:tc>
        <w:tc>
          <w:tcPr>
            <w:tcW w:w="250" w:type="pct"/>
            <w:shd w:val="clear" w:color="auto" w:fill="D5ECF5"/>
            <w:vAlign w:val="center"/>
          </w:tcPr>
          <w:p w14:paraId="7418C2D8"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5,460</w:t>
            </w:r>
          </w:p>
        </w:tc>
        <w:tc>
          <w:tcPr>
            <w:tcW w:w="250" w:type="pct"/>
            <w:shd w:val="clear" w:color="auto" w:fill="D5ECF5"/>
            <w:vAlign w:val="center"/>
          </w:tcPr>
          <w:p w14:paraId="7418C2D9"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5,647</w:t>
            </w:r>
          </w:p>
        </w:tc>
        <w:tc>
          <w:tcPr>
            <w:tcW w:w="250" w:type="pct"/>
            <w:shd w:val="clear" w:color="auto" w:fill="D5ECF5"/>
            <w:vAlign w:val="center"/>
          </w:tcPr>
          <w:p w14:paraId="7418C2DA"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5,601</w:t>
            </w:r>
          </w:p>
        </w:tc>
        <w:tc>
          <w:tcPr>
            <w:tcW w:w="250" w:type="pct"/>
            <w:shd w:val="clear" w:color="auto" w:fill="D5ECF5"/>
            <w:vAlign w:val="center"/>
          </w:tcPr>
          <w:p w14:paraId="7418C2DB"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6,165</w:t>
            </w:r>
          </w:p>
        </w:tc>
        <w:tc>
          <w:tcPr>
            <w:tcW w:w="250" w:type="pct"/>
            <w:shd w:val="clear" w:color="auto" w:fill="D5ECF5"/>
            <w:vAlign w:val="center"/>
          </w:tcPr>
          <w:p w14:paraId="7418C2DC"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6,238</w:t>
            </w:r>
          </w:p>
        </w:tc>
        <w:tc>
          <w:tcPr>
            <w:tcW w:w="231" w:type="pct"/>
            <w:shd w:val="clear" w:color="auto" w:fill="D5ECF5"/>
            <w:vAlign w:val="center"/>
          </w:tcPr>
          <w:p w14:paraId="7418C2DD"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25" w:type="pct"/>
            <w:shd w:val="clear" w:color="auto" w:fill="D5ECF5"/>
            <w:vAlign w:val="center"/>
          </w:tcPr>
          <w:p w14:paraId="7418C2DE"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r>
      <w:tr w:rsidR="00D471AD" w:rsidRPr="00922CDF" w14:paraId="7418C2EF" w14:textId="77777777" w:rsidTr="004A31A9">
        <w:trPr>
          <w:trHeight w:val="454"/>
        </w:trPr>
        <w:tc>
          <w:tcPr>
            <w:tcW w:w="1544" w:type="pct"/>
            <w:shd w:val="clear" w:color="auto" w:fill="E4F3F9"/>
            <w:vAlign w:val="center"/>
          </w:tcPr>
          <w:p w14:paraId="7418C2E0" w14:textId="77777777" w:rsidR="00D471AD" w:rsidRPr="00922CDF" w:rsidRDefault="00D471AD" w:rsidP="004A31A9">
            <w:pPr>
              <w:spacing w:after="0" w:line="240" w:lineRule="auto"/>
              <w:rPr>
                <w:rFonts w:eastAsia="Arial Unicode MS" w:cs="Arial"/>
                <w:color w:val="7A7B7C"/>
                <w:sz w:val="14"/>
                <w:szCs w:val="14"/>
                <w:lang w:eastAsia="en-AU"/>
              </w:rPr>
            </w:pPr>
            <w:r w:rsidRPr="00922CDF">
              <w:rPr>
                <w:rFonts w:eastAsia="Arial Unicode MS" w:cs="Arial" w:hint="eastAsia"/>
                <w:color w:val="7A7B7C"/>
                <w:sz w:val="14"/>
                <w:szCs w:val="14"/>
                <w:lang w:eastAsia="en-AU"/>
              </w:rPr>
              <w:t>Number of international students completing higher degree by research in Australia</w:t>
            </w:r>
            <w:r w:rsidRPr="00922CDF">
              <w:rPr>
                <w:rFonts w:eastAsia="Arial Unicode MS" w:cs="Arial" w:hint="eastAsia"/>
                <w:color w:val="7A7B7C"/>
                <w:sz w:val="14"/>
                <w:szCs w:val="14"/>
                <w:lang w:eastAsia="en-AU"/>
              </w:rPr>
              <w:t>⁵</w:t>
            </w:r>
            <w:r w:rsidRPr="00922CDF">
              <w:rPr>
                <w:rFonts w:eastAsia="Arial Unicode MS" w:cs="Arial" w:hint="eastAsia"/>
                <w:color w:val="7A7B7C"/>
                <w:sz w:val="14"/>
                <w:szCs w:val="14"/>
                <w:lang w:eastAsia="en-AU"/>
              </w:rPr>
              <w:t xml:space="preserve"> </w:t>
            </w:r>
            <w:r w:rsidRPr="00922CDF">
              <w:rPr>
                <w:rFonts w:eastAsia="Arial Unicode MS" w:cs="Arial" w:hint="eastAsia"/>
                <w:color w:val="7A7B7C"/>
                <w:sz w:val="14"/>
                <w:szCs w:val="14"/>
                <w:lang w:eastAsia="en-AU"/>
              </w:rPr>
              <w:t>⁶</w:t>
            </w:r>
          </w:p>
        </w:tc>
        <w:tc>
          <w:tcPr>
            <w:tcW w:w="250" w:type="pct"/>
            <w:shd w:val="clear" w:color="auto" w:fill="E4F3F9"/>
            <w:vAlign w:val="center"/>
          </w:tcPr>
          <w:p w14:paraId="7418C2E1"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E4F3F9"/>
            <w:vAlign w:val="center"/>
          </w:tcPr>
          <w:p w14:paraId="7418C2E2"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877</w:t>
            </w:r>
          </w:p>
        </w:tc>
        <w:tc>
          <w:tcPr>
            <w:tcW w:w="250" w:type="pct"/>
            <w:shd w:val="clear" w:color="auto" w:fill="E4F3F9"/>
            <w:vAlign w:val="center"/>
          </w:tcPr>
          <w:p w14:paraId="7418C2E3"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1,310</w:t>
            </w:r>
          </w:p>
        </w:tc>
        <w:tc>
          <w:tcPr>
            <w:tcW w:w="250" w:type="pct"/>
            <w:shd w:val="clear" w:color="auto" w:fill="E4F3F9"/>
            <w:vAlign w:val="center"/>
          </w:tcPr>
          <w:p w14:paraId="7418C2E4"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1,537</w:t>
            </w:r>
          </w:p>
        </w:tc>
        <w:tc>
          <w:tcPr>
            <w:tcW w:w="250" w:type="pct"/>
            <w:shd w:val="clear" w:color="auto" w:fill="E4F3F9"/>
            <w:vAlign w:val="center"/>
          </w:tcPr>
          <w:p w14:paraId="7418C2E5"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1,635</w:t>
            </w:r>
          </w:p>
        </w:tc>
        <w:tc>
          <w:tcPr>
            <w:tcW w:w="250" w:type="pct"/>
            <w:shd w:val="clear" w:color="auto" w:fill="E4F3F9"/>
            <w:vAlign w:val="center"/>
          </w:tcPr>
          <w:p w14:paraId="7418C2E6"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1,622</w:t>
            </w:r>
          </w:p>
        </w:tc>
        <w:tc>
          <w:tcPr>
            <w:tcW w:w="250" w:type="pct"/>
            <w:shd w:val="clear" w:color="auto" w:fill="E4F3F9"/>
            <w:vAlign w:val="center"/>
          </w:tcPr>
          <w:p w14:paraId="7418C2E7"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1,710</w:t>
            </w:r>
          </w:p>
        </w:tc>
        <w:tc>
          <w:tcPr>
            <w:tcW w:w="250" w:type="pct"/>
            <w:shd w:val="clear" w:color="auto" w:fill="E4F3F9"/>
            <w:vAlign w:val="center"/>
          </w:tcPr>
          <w:p w14:paraId="7418C2E8"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1,943</w:t>
            </w:r>
          </w:p>
        </w:tc>
        <w:tc>
          <w:tcPr>
            <w:tcW w:w="250" w:type="pct"/>
            <w:shd w:val="clear" w:color="auto" w:fill="E4F3F9"/>
            <w:vAlign w:val="center"/>
          </w:tcPr>
          <w:p w14:paraId="7418C2E9"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2,314</w:t>
            </w:r>
          </w:p>
        </w:tc>
        <w:tc>
          <w:tcPr>
            <w:tcW w:w="250" w:type="pct"/>
            <w:shd w:val="clear" w:color="auto" w:fill="E4F3F9"/>
            <w:vAlign w:val="center"/>
          </w:tcPr>
          <w:p w14:paraId="7418C2EA"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2,629</w:t>
            </w:r>
          </w:p>
        </w:tc>
        <w:tc>
          <w:tcPr>
            <w:tcW w:w="250" w:type="pct"/>
            <w:shd w:val="clear" w:color="auto" w:fill="E4F3F9"/>
            <w:vAlign w:val="center"/>
          </w:tcPr>
          <w:p w14:paraId="7418C2EB"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3,044</w:t>
            </w:r>
          </w:p>
        </w:tc>
        <w:tc>
          <w:tcPr>
            <w:tcW w:w="250" w:type="pct"/>
            <w:shd w:val="clear" w:color="auto" w:fill="E4F3F9"/>
            <w:vAlign w:val="center"/>
          </w:tcPr>
          <w:p w14:paraId="7418C2EC"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3,341</w:t>
            </w:r>
          </w:p>
        </w:tc>
        <w:tc>
          <w:tcPr>
            <w:tcW w:w="231" w:type="pct"/>
            <w:shd w:val="clear" w:color="auto" w:fill="E4F3F9"/>
            <w:vAlign w:val="center"/>
          </w:tcPr>
          <w:p w14:paraId="7418C2ED"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25" w:type="pct"/>
            <w:shd w:val="clear" w:color="auto" w:fill="E4F3F9"/>
            <w:vAlign w:val="center"/>
          </w:tcPr>
          <w:p w14:paraId="7418C2EE"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r>
      <w:tr w:rsidR="00D471AD" w:rsidRPr="00922CDF" w14:paraId="7418C2FF" w14:textId="77777777" w:rsidTr="004A31A9">
        <w:trPr>
          <w:trHeight w:val="283"/>
        </w:trPr>
        <w:tc>
          <w:tcPr>
            <w:tcW w:w="1544" w:type="pct"/>
            <w:shd w:val="clear" w:color="auto" w:fill="D5ECF5"/>
            <w:vAlign w:val="center"/>
          </w:tcPr>
          <w:p w14:paraId="7418C2F0" w14:textId="77777777" w:rsidR="00D471AD" w:rsidRPr="00922CDF" w:rsidRDefault="00D471AD" w:rsidP="004A31A9">
            <w:pPr>
              <w:spacing w:after="0" w:line="240" w:lineRule="auto"/>
              <w:rPr>
                <w:rFonts w:eastAsia="Arial Unicode MS" w:cs="Arial"/>
                <w:color w:val="7A7B7C"/>
                <w:sz w:val="14"/>
                <w:szCs w:val="14"/>
                <w:lang w:eastAsia="en-AU"/>
              </w:rPr>
            </w:pPr>
            <w:r w:rsidRPr="00922CDF">
              <w:rPr>
                <w:rFonts w:eastAsia="Arial Unicode MS" w:cs="Arial" w:hint="eastAsia"/>
                <w:color w:val="7A7B7C"/>
                <w:sz w:val="14"/>
                <w:szCs w:val="14"/>
                <w:lang w:eastAsia="en-AU"/>
              </w:rPr>
              <w:t>PhD graduation rate, %</w:t>
            </w:r>
            <w:r w:rsidRPr="00922CDF">
              <w:rPr>
                <w:rFonts w:eastAsia="Arial Unicode MS" w:cs="Arial" w:hint="eastAsia"/>
                <w:color w:val="7A7B7C"/>
                <w:sz w:val="14"/>
                <w:szCs w:val="14"/>
                <w:lang w:eastAsia="en-AU"/>
              </w:rPr>
              <w:t>⁷</w:t>
            </w:r>
            <w:r w:rsidRPr="00922CDF">
              <w:rPr>
                <w:rFonts w:eastAsia="Arial Unicode MS" w:cs="Arial" w:hint="eastAsia"/>
                <w:color w:val="7A7B7C"/>
                <w:sz w:val="14"/>
                <w:szCs w:val="14"/>
                <w:lang w:eastAsia="en-AU"/>
              </w:rPr>
              <w:t xml:space="preserve"> </w:t>
            </w:r>
            <w:r w:rsidRPr="00922CDF">
              <w:rPr>
                <w:rFonts w:eastAsia="Arial Unicode MS" w:cs="Arial" w:hint="eastAsia"/>
                <w:color w:val="7A7B7C"/>
                <w:sz w:val="14"/>
                <w:szCs w:val="14"/>
                <w:lang w:eastAsia="en-AU"/>
              </w:rPr>
              <w:t>⁸</w:t>
            </w:r>
          </w:p>
        </w:tc>
        <w:tc>
          <w:tcPr>
            <w:tcW w:w="250" w:type="pct"/>
            <w:shd w:val="clear" w:color="auto" w:fill="D5ECF5"/>
            <w:vAlign w:val="center"/>
          </w:tcPr>
          <w:p w14:paraId="7418C2F1"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D5ECF5"/>
            <w:vAlign w:val="center"/>
          </w:tcPr>
          <w:p w14:paraId="7418C2F2"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1.29</w:t>
            </w:r>
          </w:p>
        </w:tc>
        <w:tc>
          <w:tcPr>
            <w:tcW w:w="250" w:type="pct"/>
            <w:shd w:val="clear" w:color="auto" w:fill="D5ECF5"/>
            <w:vAlign w:val="center"/>
          </w:tcPr>
          <w:p w14:paraId="7418C2F3"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1.71</w:t>
            </w:r>
          </w:p>
        </w:tc>
        <w:tc>
          <w:tcPr>
            <w:tcW w:w="250" w:type="pct"/>
            <w:shd w:val="clear" w:color="auto" w:fill="D5ECF5"/>
            <w:vAlign w:val="center"/>
          </w:tcPr>
          <w:p w14:paraId="7418C2F4"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1.89</w:t>
            </w:r>
          </w:p>
        </w:tc>
        <w:tc>
          <w:tcPr>
            <w:tcW w:w="250" w:type="pct"/>
            <w:shd w:val="clear" w:color="auto" w:fill="D5ECF5"/>
            <w:vAlign w:val="center"/>
          </w:tcPr>
          <w:p w14:paraId="7418C2F5"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1.91</w:t>
            </w:r>
          </w:p>
        </w:tc>
        <w:tc>
          <w:tcPr>
            <w:tcW w:w="250" w:type="pct"/>
            <w:shd w:val="clear" w:color="auto" w:fill="D5ECF5"/>
            <w:vAlign w:val="center"/>
          </w:tcPr>
          <w:p w14:paraId="7418C2F6"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1.89</w:t>
            </w:r>
          </w:p>
        </w:tc>
        <w:tc>
          <w:tcPr>
            <w:tcW w:w="250" w:type="pct"/>
            <w:shd w:val="clear" w:color="auto" w:fill="D5ECF5"/>
            <w:vAlign w:val="center"/>
          </w:tcPr>
          <w:p w14:paraId="7418C2F7"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1.85</w:t>
            </w:r>
          </w:p>
        </w:tc>
        <w:tc>
          <w:tcPr>
            <w:tcW w:w="250" w:type="pct"/>
            <w:shd w:val="clear" w:color="auto" w:fill="D5ECF5"/>
            <w:vAlign w:val="center"/>
          </w:tcPr>
          <w:p w14:paraId="7418C2F8"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2.05</w:t>
            </w:r>
          </w:p>
        </w:tc>
        <w:tc>
          <w:tcPr>
            <w:tcW w:w="250" w:type="pct"/>
            <w:shd w:val="clear" w:color="auto" w:fill="D5ECF5"/>
            <w:vAlign w:val="center"/>
          </w:tcPr>
          <w:p w14:paraId="7418C2F9"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2.16</w:t>
            </w:r>
          </w:p>
        </w:tc>
        <w:tc>
          <w:tcPr>
            <w:tcW w:w="250" w:type="pct"/>
            <w:shd w:val="clear" w:color="auto" w:fill="D5ECF5"/>
            <w:vAlign w:val="center"/>
          </w:tcPr>
          <w:p w14:paraId="7418C2FA"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2.21</w:t>
            </w:r>
          </w:p>
        </w:tc>
        <w:tc>
          <w:tcPr>
            <w:tcW w:w="250" w:type="pct"/>
            <w:shd w:val="clear" w:color="auto" w:fill="D5ECF5"/>
            <w:vAlign w:val="center"/>
          </w:tcPr>
          <w:p w14:paraId="7418C2FB"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2.46</w:t>
            </w:r>
          </w:p>
        </w:tc>
        <w:tc>
          <w:tcPr>
            <w:tcW w:w="250" w:type="pct"/>
            <w:shd w:val="clear" w:color="auto" w:fill="D5ECF5"/>
            <w:vAlign w:val="center"/>
          </w:tcPr>
          <w:p w14:paraId="7418C2FC"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2.50</w:t>
            </w:r>
          </w:p>
        </w:tc>
        <w:tc>
          <w:tcPr>
            <w:tcW w:w="231" w:type="pct"/>
            <w:shd w:val="clear" w:color="auto" w:fill="D5ECF5"/>
            <w:vAlign w:val="center"/>
          </w:tcPr>
          <w:p w14:paraId="7418C2FD"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25" w:type="pct"/>
            <w:shd w:val="clear" w:color="auto" w:fill="D5ECF5"/>
            <w:vAlign w:val="center"/>
          </w:tcPr>
          <w:p w14:paraId="7418C2FE"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r>
      <w:tr w:rsidR="00D471AD" w:rsidRPr="00922CDF" w14:paraId="7418C30F" w14:textId="77777777" w:rsidTr="004A31A9">
        <w:trPr>
          <w:trHeight w:val="283"/>
        </w:trPr>
        <w:tc>
          <w:tcPr>
            <w:tcW w:w="1544" w:type="pct"/>
            <w:shd w:val="clear" w:color="auto" w:fill="E4F3F9"/>
            <w:vAlign w:val="center"/>
          </w:tcPr>
          <w:p w14:paraId="7418C300" w14:textId="77777777" w:rsidR="00D471AD" w:rsidRPr="00922CDF" w:rsidRDefault="00D471AD" w:rsidP="004A31A9">
            <w:pPr>
              <w:spacing w:after="0" w:line="240" w:lineRule="auto"/>
              <w:rPr>
                <w:rFonts w:eastAsia="Arial Unicode MS" w:cs="Arial"/>
                <w:color w:val="7A7B7C"/>
                <w:sz w:val="14"/>
                <w:szCs w:val="14"/>
                <w:lang w:eastAsia="en-AU"/>
              </w:rPr>
            </w:pPr>
            <w:r w:rsidRPr="00922CDF">
              <w:rPr>
                <w:rFonts w:eastAsia="Arial Unicode MS" w:cs="Arial" w:hint="eastAsia"/>
                <w:color w:val="7A7B7C"/>
                <w:sz w:val="14"/>
                <w:szCs w:val="14"/>
                <w:lang w:eastAsia="en-AU"/>
              </w:rPr>
              <w:t>Proportion of international students enrolled in advanced research programs, %</w:t>
            </w:r>
            <w:r w:rsidRPr="00922CDF">
              <w:rPr>
                <w:rFonts w:eastAsia="Arial Unicode MS" w:cs="Arial" w:hint="eastAsia"/>
                <w:color w:val="7A7B7C"/>
                <w:sz w:val="14"/>
                <w:szCs w:val="14"/>
                <w:lang w:eastAsia="en-AU"/>
              </w:rPr>
              <w:t>⁹</w:t>
            </w:r>
            <w:r w:rsidRPr="00922CDF">
              <w:rPr>
                <w:rFonts w:eastAsia="Arial Unicode MS" w:cs="Arial" w:hint="eastAsia"/>
                <w:color w:val="7A7B7C"/>
                <w:sz w:val="14"/>
                <w:szCs w:val="14"/>
                <w:lang w:eastAsia="en-AU"/>
              </w:rPr>
              <w:t xml:space="preserve"> </w:t>
            </w:r>
            <w:r w:rsidRPr="00922CDF">
              <w:rPr>
                <w:rFonts w:eastAsia="Arial Unicode MS" w:cs="Arial" w:hint="eastAsia"/>
                <w:color w:val="7A7B7C"/>
                <w:sz w:val="14"/>
                <w:szCs w:val="14"/>
                <w:lang w:eastAsia="en-AU"/>
              </w:rPr>
              <w:t>¹⁰</w:t>
            </w:r>
          </w:p>
        </w:tc>
        <w:tc>
          <w:tcPr>
            <w:tcW w:w="250" w:type="pct"/>
            <w:shd w:val="clear" w:color="auto" w:fill="E4F3F9"/>
            <w:vAlign w:val="center"/>
          </w:tcPr>
          <w:p w14:paraId="7418C301"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E4F3F9"/>
            <w:vAlign w:val="center"/>
          </w:tcPr>
          <w:p w14:paraId="7418C302"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E4F3F9"/>
            <w:vAlign w:val="center"/>
          </w:tcPr>
          <w:p w14:paraId="7418C303"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17.8</w:t>
            </w:r>
          </w:p>
        </w:tc>
        <w:tc>
          <w:tcPr>
            <w:tcW w:w="250" w:type="pct"/>
            <w:shd w:val="clear" w:color="auto" w:fill="E4F3F9"/>
            <w:vAlign w:val="center"/>
          </w:tcPr>
          <w:p w14:paraId="7418C304"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19.1</w:t>
            </w:r>
          </w:p>
        </w:tc>
        <w:tc>
          <w:tcPr>
            <w:tcW w:w="250" w:type="pct"/>
            <w:shd w:val="clear" w:color="auto" w:fill="E4F3F9"/>
            <w:vAlign w:val="center"/>
          </w:tcPr>
          <w:p w14:paraId="7418C305"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20.8</w:t>
            </w:r>
          </w:p>
        </w:tc>
        <w:tc>
          <w:tcPr>
            <w:tcW w:w="250" w:type="pct"/>
            <w:shd w:val="clear" w:color="auto" w:fill="E4F3F9"/>
            <w:vAlign w:val="center"/>
          </w:tcPr>
          <w:p w14:paraId="7418C306"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23.3</w:t>
            </w:r>
          </w:p>
        </w:tc>
        <w:tc>
          <w:tcPr>
            <w:tcW w:w="250" w:type="pct"/>
            <w:shd w:val="clear" w:color="auto" w:fill="E4F3F9"/>
            <w:vAlign w:val="center"/>
          </w:tcPr>
          <w:p w14:paraId="7418C307"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26.3</w:t>
            </w:r>
          </w:p>
        </w:tc>
        <w:tc>
          <w:tcPr>
            <w:tcW w:w="250" w:type="pct"/>
            <w:shd w:val="clear" w:color="auto" w:fill="E4F3F9"/>
            <w:vAlign w:val="center"/>
          </w:tcPr>
          <w:p w14:paraId="7418C308"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28.7</w:t>
            </w:r>
          </w:p>
        </w:tc>
        <w:tc>
          <w:tcPr>
            <w:tcW w:w="250" w:type="pct"/>
            <w:shd w:val="clear" w:color="auto" w:fill="E4F3F9"/>
            <w:vAlign w:val="center"/>
          </w:tcPr>
          <w:p w14:paraId="7418C309"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30.7</w:t>
            </w:r>
          </w:p>
        </w:tc>
        <w:tc>
          <w:tcPr>
            <w:tcW w:w="250" w:type="pct"/>
            <w:shd w:val="clear" w:color="auto" w:fill="E4F3F9"/>
            <w:vAlign w:val="center"/>
          </w:tcPr>
          <w:p w14:paraId="7418C30A"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32.5</w:t>
            </w:r>
          </w:p>
        </w:tc>
        <w:tc>
          <w:tcPr>
            <w:tcW w:w="250" w:type="pct"/>
            <w:shd w:val="clear" w:color="auto" w:fill="E4F3F9"/>
            <w:vAlign w:val="center"/>
          </w:tcPr>
          <w:p w14:paraId="7418C30B"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E4F3F9"/>
            <w:vAlign w:val="center"/>
          </w:tcPr>
          <w:p w14:paraId="7418C30C"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31" w:type="pct"/>
            <w:shd w:val="clear" w:color="auto" w:fill="E4F3F9"/>
            <w:vAlign w:val="center"/>
          </w:tcPr>
          <w:p w14:paraId="7418C30D"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25" w:type="pct"/>
            <w:shd w:val="clear" w:color="auto" w:fill="E4F3F9"/>
            <w:vAlign w:val="center"/>
          </w:tcPr>
          <w:p w14:paraId="7418C30E"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r>
      <w:tr w:rsidR="00D471AD" w:rsidRPr="00922CDF" w14:paraId="7418C31F" w14:textId="77777777" w:rsidTr="004A31A9">
        <w:trPr>
          <w:trHeight w:val="283"/>
        </w:trPr>
        <w:tc>
          <w:tcPr>
            <w:tcW w:w="1544" w:type="pct"/>
            <w:shd w:val="clear" w:color="auto" w:fill="D5ECF5"/>
            <w:vAlign w:val="center"/>
          </w:tcPr>
          <w:p w14:paraId="7418C310" w14:textId="77777777" w:rsidR="00D471AD" w:rsidRPr="00922CDF" w:rsidRDefault="00D471AD" w:rsidP="004A31A9">
            <w:pPr>
              <w:spacing w:after="0" w:line="240" w:lineRule="auto"/>
              <w:rPr>
                <w:rFonts w:eastAsia="Arial Unicode MS" w:cs="Arial"/>
                <w:color w:val="7A7B7C"/>
                <w:sz w:val="14"/>
                <w:szCs w:val="14"/>
                <w:lang w:eastAsia="en-AU"/>
              </w:rPr>
            </w:pPr>
            <w:r w:rsidRPr="00922CDF">
              <w:rPr>
                <w:rFonts w:eastAsia="Arial Unicode MS" w:cs="Arial" w:hint="eastAsia"/>
                <w:color w:val="7A7B7C"/>
                <w:sz w:val="14"/>
                <w:szCs w:val="14"/>
                <w:lang w:eastAsia="en-AU"/>
              </w:rPr>
              <w:t>Researchers, % of total labour force</w:t>
            </w:r>
            <w:r w:rsidRPr="00922CDF">
              <w:rPr>
                <w:rFonts w:eastAsia="Arial Unicode MS" w:cs="Arial" w:hint="eastAsia"/>
                <w:color w:val="7A7B7C"/>
                <w:sz w:val="14"/>
                <w:szCs w:val="14"/>
                <w:lang w:eastAsia="en-AU"/>
              </w:rPr>
              <w:t>¹¹</w:t>
            </w:r>
            <w:r w:rsidRPr="00922CDF">
              <w:rPr>
                <w:rFonts w:eastAsia="Arial Unicode MS" w:cs="Arial" w:hint="eastAsia"/>
                <w:color w:val="7A7B7C"/>
                <w:sz w:val="14"/>
                <w:szCs w:val="14"/>
                <w:lang w:eastAsia="en-AU"/>
              </w:rPr>
              <w:t xml:space="preserve"> </w:t>
            </w:r>
            <w:r w:rsidRPr="00922CDF">
              <w:rPr>
                <w:rFonts w:eastAsia="Arial Unicode MS" w:cs="Arial" w:hint="eastAsia"/>
                <w:color w:val="7A7B7C"/>
                <w:sz w:val="14"/>
                <w:szCs w:val="14"/>
                <w:lang w:eastAsia="en-AU"/>
              </w:rPr>
              <w:t>¹³</w:t>
            </w:r>
            <w:r w:rsidRPr="00922CDF">
              <w:rPr>
                <w:rFonts w:eastAsia="Arial Unicode MS" w:cs="Arial" w:hint="eastAsia"/>
                <w:color w:val="7A7B7C"/>
                <w:sz w:val="14"/>
                <w:szCs w:val="14"/>
                <w:lang w:eastAsia="en-AU"/>
              </w:rPr>
              <w:t xml:space="preserve"> </w:t>
            </w:r>
            <w:r w:rsidRPr="00922CDF">
              <w:rPr>
                <w:rFonts w:eastAsia="Arial Unicode MS" w:cs="Arial" w:hint="eastAsia"/>
                <w:color w:val="7A7B7C"/>
                <w:sz w:val="14"/>
                <w:szCs w:val="14"/>
                <w:lang w:eastAsia="en-AU"/>
              </w:rPr>
              <w:t>¹⁴</w:t>
            </w:r>
          </w:p>
        </w:tc>
        <w:tc>
          <w:tcPr>
            <w:tcW w:w="250" w:type="pct"/>
            <w:shd w:val="clear" w:color="auto" w:fill="D5ECF5"/>
            <w:vAlign w:val="center"/>
          </w:tcPr>
          <w:p w14:paraId="7418C311"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0.67</w:t>
            </w:r>
          </w:p>
        </w:tc>
        <w:tc>
          <w:tcPr>
            <w:tcW w:w="250" w:type="pct"/>
            <w:shd w:val="clear" w:color="auto" w:fill="D5ECF5"/>
            <w:vAlign w:val="center"/>
          </w:tcPr>
          <w:p w14:paraId="7418C312"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0.69</w:t>
            </w:r>
          </w:p>
        </w:tc>
        <w:tc>
          <w:tcPr>
            <w:tcW w:w="250" w:type="pct"/>
            <w:shd w:val="clear" w:color="auto" w:fill="D5ECF5"/>
            <w:vAlign w:val="center"/>
          </w:tcPr>
          <w:p w14:paraId="7418C313"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0.80</w:t>
            </w:r>
          </w:p>
        </w:tc>
        <w:tc>
          <w:tcPr>
            <w:tcW w:w="250" w:type="pct"/>
            <w:shd w:val="clear" w:color="auto" w:fill="D5ECF5"/>
            <w:vAlign w:val="center"/>
          </w:tcPr>
          <w:p w14:paraId="7418C314"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0.82</w:t>
            </w:r>
          </w:p>
        </w:tc>
        <w:tc>
          <w:tcPr>
            <w:tcW w:w="250" w:type="pct"/>
            <w:shd w:val="clear" w:color="auto" w:fill="D5ECF5"/>
            <w:vAlign w:val="center"/>
          </w:tcPr>
          <w:p w14:paraId="7418C315"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D5ECF5"/>
            <w:vAlign w:val="center"/>
          </w:tcPr>
          <w:p w14:paraId="7418C316"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0.82</w:t>
            </w:r>
          </w:p>
        </w:tc>
        <w:tc>
          <w:tcPr>
            <w:tcW w:w="250" w:type="pct"/>
            <w:shd w:val="clear" w:color="auto" w:fill="D5ECF5"/>
            <w:vAlign w:val="center"/>
          </w:tcPr>
          <w:p w14:paraId="7418C317"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D5ECF5"/>
            <w:vAlign w:val="center"/>
          </w:tcPr>
          <w:p w14:paraId="7418C318"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0.86</w:t>
            </w:r>
          </w:p>
        </w:tc>
        <w:tc>
          <w:tcPr>
            <w:tcW w:w="250" w:type="pct"/>
            <w:shd w:val="clear" w:color="auto" w:fill="D5ECF5"/>
            <w:vAlign w:val="center"/>
          </w:tcPr>
          <w:p w14:paraId="7418C319"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D5ECF5"/>
            <w:vAlign w:val="center"/>
          </w:tcPr>
          <w:p w14:paraId="7418C31A"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D5ECF5"/>
            <w:vAlign w:val="center"/>
          </w:tcPr>
          <w:p w14:paraId="7418C31B"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D5ECF5"/>
            <w:vAlign w:val="center"/>
          </w:tcPr>
          <w:p w14:paraId="7418C31C"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31" w:type="pct"/>
            <w:shd w:val="clear" w:color="auto" w:fill="D5ECF5"/>
            <w:vAlign w:val="center"/>
          </w:tcPr>
          <w:p w14:paraId="7418C31D"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25" w:type="pct"/>
            <w:shd w:val="clear" w:color="auto" w:fill="D5ECF5"/>
            <w:vAlign w:val="center"/>
          </w:tcPr>
          <w:p w14:paraId="7418C31E"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r>
      <w:tr w:rsidR="00D471AD" w:rsidRPr="00922CDF" w14:paraId="7418C32F" w14:textId="77777777" w:rsidTr="004A31A9">
        <w:trPr>
          <w:trHeight w:val="283"/>
        </w:trPr>
        <w:tc>
          <w:tcPr>
            <w:tcW w:w="1544" w:type="pct"/>
            <w:shd w:val="clear" w:color="auto" w:fill="E4F3F9"/>
            <w:vAlign w:val="center"/>
          </w:tcPr>
          <w:p w14:paraId="7418C320" w14:textId="77777777" w:rsidR="00D471AD" w:rsidRPr="00922CDF" w:rsidRDefault="00D471AD" w:rsidP="004A31A9">
            <w:pPr>
              <w:spacing w:after="0" w:line="240" w:lineRule="auto"/>
              <w:rPr>
                <w:rFonts w:eastAsia="Arial Unicode MS" w:cs="Arial"/>
                <w:color w:val="7A7B7C"/>
                <w:sz w:val="14"/>
                <w:szCs w:val="14"/>
                <w:lang w:eastAsia="en-AU"/>
              </w:rPr>
            </w:pPr>
            <w:r w:rsidRPr="00922CDF">
              <w:rPr>
                <w:rFonts w:eastAsia="Arial Unicode MS" w:cs="Arial" w:hint="eastAsia"/>
                <w:color w:val="7A7B7C"/>
                <w:sz w:val="14"/>
                <w:szCs w:val="14"/>
                <w:lang w:eastAsia="en-AU"/>
              </w:rPr>
              <w:t>R&amp;D personnel, % of total employment</w:t>
            </w:r>
            <w:r w:rsidRPr="00922CDF">
              <w:rPr>
                <w:rFonts w:eastAsia="Arial Unicode MS" w:cs="Arial" w:hint="eastAsia"/>
                <w:color w:val="7A7B7C"/>
                <w:sz w:val="14"/>
                <w:szCs w:val="14"/>
                <w:lang w:eastAsia="en-AU"/>
              </w:rPr>
              <w:t>¹¹</w:t>
            </w:r>
            <w:r w:rsidRPr="00922CDF">
              <w:rPr>
                <w:rFonts w:eastAsia="Arial Unicode MS" w:cs="Arial" w:hint="eastAsia"/>
                <w:color w:val="7A7B7C"/>
                <w:sz w:val="14"/>
                <w:szCs w:val="14"/>
                <w:lang w:eastAsia="en-AU"/>
              </w:rPr>
              <w:t xml:space="preserve"> </w:t>
            </w:r>
            <w:r w:rsidRPr="00922CDF">
              <w:rPr>
                <w:rFonts w:eastAsia="Arial Unicode MS" w:cs="Arial" w:hint="eastAsia"/>
                <w:color w:val="7A7B7C"/>
                <w:sz w:val="14"/>
                <w:szCs w:val="14"/>
                <w:lang w:eastAsia="en-AU"/>
              </w:rPr>
              <w:t>¹³</w:t>
            </w:r>
            <w:r w:rsidRPr="00922CDF">
              <w:rPr>
                <w:rFonts w:eastAsia="Arial Unicode MS" w:cs="Arial" w:hint="eastAsia"/>
                <w:color w:val="7A7B7C"/>
                <w:sz w:val="14"/>
                <w:szCs w:val="14"/>
                <w:lang w:eastAsia="en-AU"/>
              </w:rPr>
              <w:t xml:space="preserve"> </w:t>
            </w:r>
            <w:r w:rsidRPr="00922CDF">
              <w:rPr>
                <w:rFonts w:eastAsia="Arial Unicode MS" w:cs="Arial" w:hint="eastAsia"/>
                <w:color w:val="7A7B7C"/>
                <w:sz w:val="14"/>
                <w:szCs w:val="14"/>
                <w:lang w:eastAsia="en-AU"/>
              </w:rPr>
              <w:t>¹⁴</w:t>
            </w:r>
          </w:p>
        </w:tc>
        <w:tc>
          <w:tcPr>
            <w:tcW w:w="250" w:type="pct"/>
            <w:shd w:val="clear" w:color="auto" w:fill="E4F3F9"/>
            <w:vAlign w:val="center"/>
          </w:tcPr>
          <w:p w14:paraId="7418C321"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1.09</w:t>
            </w:r>
          </w:p>
        </w:tc>
        <w:tc>
          <w:tcPr>
            <w:tcW w:w="250" w:type="pct"/>
            <w:shd w:val="clear" w:color="auto" w:fill="E4F3F9"/>
            <w:vAlign w:val="center"/>
          </w:tcPr>
          <w:p w14:paraId="7418C322"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1.06</w:t>
            </w:r>
          </w:p>
        </w:tc>
        <w:tc>
          <w:tcPr>
            <w:tcW w:w="250" w:type="pct"/>
            <w:shd w:val="clear" w:color="auto" w:fill="E4F3F9"/>
            <w:vAlign w:val="center"/>
          </w:tcPr>
          <w:p w14:paraId="7418C323"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1.19</w:t>
            </w:r>
          </w:p>
        </w:tc>
        <w:tc>
          <w:tcPr>
            <w:tcW w:w="250" w:type="pct"/>
            <w:shd w:val="clear" w:color="auto" w:fill="E4F3F9"/>
            <w:vAlign w:val="center"/>
          </w:tcPr>
          <w:p w14:paraId="7418C324"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1.23</w:t>
            </w:r>
          </w:p>
        </w:tc>
        <w:tc>
          <w:tcPr>
            <w:tcW w:w="250" w:type="pct"/>
            <w:shd w:val="clear" w:color="auto" w:fill="E4F3F9"/>
            <w:vAlign w:val="center"/>
          </w:tcPr>
          <w:p w14:paraId="7418C325"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E4F3F9"/>
            <w:vAlign w:val="center"/>
          </w:tcPr>
          <w:p w14:paraId="7418C326"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1.27</w:t>
            </w:r>
          </w:p>
        </w:tc>
        <w:tc>
          <w:tcPr>
            <w:tcW w:w="250" w:type="pct"/>
            <w:shd w:val="clear" w:color="auto" w:fill="E4F3F9"/>
            <w:vAlign w:val="center"/>
          </w:tcPr>
          <w:p w14:paraId="7418C327"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E4F3F9"/>
            <w:vAlign w:val="center"/>
          </w:tcPr>
          <w:p w14:paraId="7418C328"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1.32</w:t>
            </w:r>
          </w:p>
        </w:tc>
        <w:tc>
          <w:tcPr>
            <w:tcW w:w="250" w:type="pct"/>
            <w:shd w:val="clear" w:color="auto" w:fill="E4F3F9"/>
            <w:vAlign w:val="center"/>
          </w:tcPr>
          <w:p w14:paraId="7418C329"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E4F3F9"/>
            <w:vAlign w:val="center"/>
          </w:tcPr>
          <w:p w14:paraId="7418C32A"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E4F3F9"/>
            <w:vAlign w:val="center"/>
          </w:tcPr>
          <w:p w14:paraId="7418C32B"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shd w:val="clear" w:color="auto" w:fill="E4F3F9"/>
            <w:vAlign w:val="center"/>
          </w:tcPr>
          <w:p w14:paraId="7418C32C"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31" w:type="pct"/>
            <w:shd w:val="clear" w:color="auto" w:fill="E4F3F9"/>
            <w:vAlign w:val="center"/>
          </w:tcPr>
          <w:p w14:paraId="7418C32D"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25" w:type="pct"/>
            <w:shd w:val="clear" w:color="auto" w:fill="E4F3F9"/>
            <w:vAlign w:val="center"/>
          </w:tcPr>
          <w:p w14:paraId="7418C32E"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r>
      <w:tr w:rsidR="00D471AD" w:rsidRPr="00922CDF" w14:paraId="7418C33F" w14:textId="77777777" w:rsidTr="004A31A9">
        <w:trPr>
          <w:trHeight w:val="283"/>
        </w:trPr>
        <w:tc>
          <w:tcPr>
            <w:tcW w:w="1544" w:type="pct"/>
            <w:tcBorders>
              <w:bottom w:val="single" w:sz="8" w:space="0" w:color="22789A"/>
            </w:tcBorders>
            <w:shd w:val="clear" w:color="auto" w:fill="D5ECF5"/>
            <w:vAlign w:val="center"/>
          </w:tcPr>
          <w:p w14:paraId="7418C330" w14:textId="77777777" w:rsidR="00D471AD" w:rsidRPr="00922CDF" w:rsidRDefault="00D471AD" w:rsidP="004A31A9">
            <w:pPr>
              <w:spacing w:after="0" w:line="240" w:lineRule="auto"/>
              <w:rPr>
                <w:rFonts w:eastAsia="Arial Unicode MS" w:cs="Arial"/>
                <w:color w:val="7A7B7C"/>
                <w:sz w:val="14"/>
                <w:szCs w:val="14"/>
                <w:lang w:eastAsia="en-AU"/>
              </w:rPr>
            </w:pPr>
            <w:r w:rsidRPr="00922CDF">
              <w:rPr>
                <w:rFonts w:eastAsia="Arial Unicode MS" w:cs="Arial" w:hint="eastAsia"/>
                <w:color w:val="7A7B7C"/>
                <w:sz w:val="14"/>
                <w:szCs w:val="14"/>
                <w:lang w:eastAsia="en-AU"/>
              </w:rPr>
              <w:t xml:space="preserve">Availability of research and training services, score ranges </w:t>
            </w:r>
            <w:r w:rsidRPr="00922CDF">
              <w:rPr>
                <w:rFonts w:eastAsia="Arial Unicode MS" w:cs="Arial"/>
                <w:color w:val="7A7B7C"/>
                <w:sz w:val="14"/>
                <w:szCs w:val="14"/>
                <w:lang w:eastAsia="en-AU"/>
              </w:rPr>
              <w:br/>
            </w:r>
            <w:r w:rsidRPr="00922CDF">
              <w:rPr>
                <w:rFonts w:eastAsia="Arial Unicode MS" w:cs="Arial" w:hint="eastAsia"/>
                <w:color w:val="7A7B7C"/>
                <w:sz w:val="14"/>
                <w:szCs w:val="14"/>
                <w:lang w:eastAsia="en-AU"/>
              </w:rPr>
              <w:t>from 1-7 (best)</w:t>
            </w:r>
            <w:r w:rsidRPr="00922CDF">
              <w:rPr>
                <w:rFonts w:eastAsia="Arial Unicode MS" w:cs="Arial" w:hint="eastAsia"/>
                <w:color w:val="7A7B7C"/>
                <w:sz w:val="14"/>
                <w:szCs w:val="14"/>
                <w:lang w:eastAsia="en-AU"/>
              </w:rPr>
              <w:t>¹²</w:t>
            </w:r>
          </w:p>
        </w:tc>
        <w:tc>
          <w:tcPr>
            <w:tcW w:w="250" w:type="pct"/>
            <w:tcBorders>
              <w:bottom w:val="single" w:sz="8" w:space="0" w:color="22789A"/>
            </w:tcBorders>
            <w:shd w:val="clear" w:color="auto" w:fill="D5ECF5"/>
            <w:vAlign w:val="center"/>
          </w:tcPr>
          <w:p w14:paraId="7418C331"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tcBorders>
              <w:bottom w:val="single" w:sz="8" w:space="0" w:color="22789A"/>
            </w:tcBorders>
            <w:shd w:val="clear" w:color="auto" w:fill="D5ECF5"/>
            <w:vAlign w:val="center"/>
          </w:tcPr>
          <w:p w14:paraId="7418C332"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tcBorders>
              <w:bottom w:val="single" w:sz="8" w:space="0" w:color="22789A"/>
            </w:tcBorders>
            <w:shd w:val="clear" w:color="auto" w:fill="D5ECF5"/>
            <w:vAlign w:val="center"/>
          </w:tcPr>
          <w:p w14:paraId="7418C333"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w:t>
            </w:r>
          </w:p>
        </w:tc>
        <w:tc>
          <w:tcPr>
            <w:tcW w:w="250" w:type="pct"/>
            <w:tcBorders>
              <w:bottom w:val="single" w:sz="8" w:space="0" w:color="22789A"/>
            </w:tcBorders>
            <w:shd w:val="clear" w:color="auto" w:fill="D5ECF5"/>
            <w:vAlign w:val="center"/>
          </w:tcPr>
          <w:p w14:paraId="7418C334"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5.31</w:t>
            </w:r>
          </w:p>
        </w:tc>
        <w:tc>
          <w:tcPr>
            <w:tcW w:w="250" w:type="pct"/>
            <w:tcBorders>
              <w:bottom w:val="single" w:sz="8" w:space="0" w:color="22789A"/>
            </w:tcBorders>
            <w:shd w:val="clear" w:color="auto" w:fill="D5ECF5"/>
            <w:vAlign w:val="center"/>
          </w:tcPr>
          <w:p w14:paraId="7418C335"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5.20</w:t>
            </w:r>
          </w:p>
        </w:tc>
        <w:tc>
          <w:tcPr>
            <w:tcW w:w="250" w:type="pct"/>
            <w:tcBorders>
              <w:bottom w:val="single" w:sz="8" w:space="0" w:color="22789A"/>
            </w:tcBorders>
            <w:shd w:val="clear" w:color="auto" w:fill="D5ECF5"/>
            <w:vAlign w:val="center"/>
          </w:tcPr>
          <w:p w14:paraId="7418C336"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5.27</w:t>
            </w:r>
          </w:p>
        </w:tc>
        <w:tc>
          <w:tcPr>
            <w:tcW w:w="250" w:type="pct"/>
            <w:tcBorders>
              <w:bottom w:val="single" w:sz="8" w:space="0" w:color="22789A"/>
            </w:tcBorders>
            <w:shd w:val="clear" w:color="auto" w:fill="D5ECF5"/>
            <w:vAlign w:val="center"/>
          </w:tcPr>
          <w:p w14:paraId="7418C337"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5.28</w:t>
            </w:r>
          </w:p>
        </w:tc>
        <w:tc>
          <w:tcPr>
            <w:tcW w:w="250" w:type="pct"/>
            <w:tcBorders>
              <w:bottom w:val="single" w:sz="8" w:space="0" w:color="22789A"/>
            </w:tcBorders>
            <w:shd w:val="clear" w:color="auto" w:fill="D5ECF5"/>
            <w:vAlign w:val="center"/>
          </w:tcPr>
          <w:p w14:paraId="7418C338"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5.26</w:t>
            </w:r>
          </w:p>
        </w:tc>
        <w:tc>
          <w:tcPr>
            <w:tcW w:w="250" w:type="pct"/>
            <w:tcBorders>
              <w:bottom w:val="single" w:sz="8" w:space="0" w:color="22789A"/>
            </w:tcBorders>
            <w:shd w:val="clear" w:color="auto" w:fill="D5ECF5"/>
            <w:vAlign w:val="center"/>
          </w:tcPr>
          <w:p w14:paraId="7418C339"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5.39</w:t>
            </w:r>
          </w:p>
        </w:tc>
        <w:tc>
          <w:tcPr>
            <w:tcW w:w="250" w:type="pct"/>
            <w:tcBorders>
              <w:bottom w:val="single" w:sz="8" w:space="0" w:color="22789A"/>
            </w:tcBorders>
            <w:shd w:val="clear" w:color="auto" w:fill="D5ECF5"/>
            <w:vAlign w:val="center"/>
          </w:tcPr>
          <w:p w14:paraId="7418C33A"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5.32</w:t>
            </w:r>
          </w:p>
        </w:tc>
        <w:tc>
          <w:tcPr>
            <w:tcW w:w="250" w:type="pct"/>
            <w:tcBorders>
              <w:bottom w:val="single" w:sz="8" w:space="0" w:color="22789A"/>
            </w:tcBorders>
            <w:shd w:val="clear" w:color="auto" w:fill="D5ECF5"/>
            <w:vAlign w:val="center"/>
          </w:tcPr>
          <w:p w14:paraId="7418C33B"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5.07</w:t>
            </w:r>
          </w:p>
        </w:tc>
        <w:tc>
          <w:tcPr>
            <w:tcW w:w="250" w:type="pct"/>
            <w:tcBorders>
              <w:bottom w:val="single" w:sz="8" w:space="0" w:color="22789A"/>
            </w:tcBorders>
            <w:shd w:val="clear" w:color="auto" w:fill="D5ECF5"/>
            <w:vAlign w:val="center"/>
          </w:tcPr>
          <w:p w14:paraId="7418C33C"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5.21</w:t>
            </w:r>
          </w:p>
        </w:tc>
        <w:tc>
          <w:tcPr>
            <w:tcW w:w="231" w:type="pct"/>
            <w:tcBorders>
              <w:bottom w:val="single" w:sz="8" w:space="0" w:color="22789A"/>
            </w:tcBorders>
            <w:shd w:val="clear" w:color="auto" w:fill="D5ECF5"/>
            <w:vAlign w:val="center"/>
          </w:tcPr>
          <w:p w14:paraId="7418C33D"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5.65</w:t>
            </w:r>
          </w:p>
        </w:tc>
        <w:tc>
          <w:tcPr>
            <w:tcW w:w="225" w:type="pct"/>
            <w:tcBorders>
              <w:bottom w:val="single" w:sz="8" w:space="0" w:color="22789A"/>
            </w:tcBorders>
            <w:shd w:val="clear" w:color="auto" w:fill="D5ECF5"/>
            <w:vAlign w:val="center"/>
          </w:tcPr>
          <w:p w14:paraId="7418C33E" w14:textId="77777777" w:rsidR="00D471AD" w:rsidRPr="00922CDF" w:rsidRDefault="00D471AD" w:rsidP="004A31A9">
            <w:pPr>
              <w:spacing w:after="0" w:line="240" w:lineRule="auto"/>
              <w:jc w:val="right"/>
              <w:rPr>
                <w:rFonts w:eastAsia="Times New Roman" w:cs="Arial"/>
                <w:color w:val="7A7B7C"/>
                <w:sz w:val="14"/>
                <w:szCs w:val="14"/>
                <w:lang w:eastAsia="en-AU"/>
              </w:rPr>
            </w:pPr>
            <w:r w:rsidRPr="00922CDF">
              <w:rPr>
                <w:rFonts w:eastAsia="Times New Roman" w:cs="Arial"/>
                <w:color w:val="7A7B7C"/>
                <w:sz w:val="14"/>
                <w:szCs w:val="14"/>
                <w:lang w:eastAsia="en-AU"/>
              </w:rPr>
              <w:t>5.78</w:t>
            </w:r>
          </w:p>
        </w:tc>
      </w:tr>
    </w:tbl>
    <w:p w14:paraId="7418C340" w14:textId="77777777" w:rsidR="00D471AD" w:rsidRDefault="00D471AD" w:rsidP="00D471AD"/>
    <w:tbl>
      <w:tblPr>
        <w:tblW w:w="5000" w:type="pct"/>
        <w:tblBorders>
          <w:bottom w:val="single" w:sz="4" w:space="0" w:color="auto"/>
        </w:tblBorders>
        <w:tblLook w:val="04A0" w:firstRow="1" w:lastRow="0" w:firstColumn="1" w:lastColumn="0" w:noHBand="0" w:noVBand="1"/>
      </w:tblPr>
      <w:tblGrid>
        <w:gridCol w:w="5539"/>
        <w:gridCol w:w="1312"/>
        <w:gridCol w:w="173"/>
        <w:gridCol w:w="1616"/>
        <w:gridCol w:w="1234"/>
        <w:gridCol w:w="1460"/>
        <w:gridCol w:w="1312"/>
        <w:gridCol w:w="1245"/>
        <w:gridCol w:w="67"/>
      </w:tblGrid>
      <w:tr w:rsidR="00D471AD" w:rsidRPr="00051CAA" w14:paraId="7418C342" w14:textId="77777777" w:rsidTr="004A31A9">
        <w:trPr>
          <w:gridAfter w:val="1"/>
          <w:wAfter w:w="24" w:type="pct"/>
          <w:trHeight w:val="300"/>
          <w:tblHeader/>
        </w:trPr>
        <w:tc>
          <w:tcPr>
            <w:tcW w:w="4976" w:type="pct"/>
            <w:gridSpan w:val="8"/>
            <w:tcBorders>
              <w:top w:val="single" w:sz="8" w:space="0" w:color="22789A"/>
              <w:bottom w:val="nil"/>
            </w:tcBorders>
            <w:shd w:val="clear" w:color="auto" w:fill="auto"/>
            <w:vAlign w:val="center"/>
          </w:tcPr>
          <w:p w14:paraId="7418C341" w14:textId="77777777" w:rsidR="00D471AD" w:rsidRPr="00C10561" w:rsidRDefault="00D471AD" w:rsidP="004A31A9">
            <w:pPr>
              <w:pStyle w:val="TableParagraph"/>
              <w:spacing w:before="42"/>
              <w:ind w:left="-108"/>
              <w:rPr>
                <w:rFonts w:ascii="Arial"/>
                <w:i/>
                <w:color w:val="22789A"/>
                <w:spacing w:val="3"/>
                <w:sz w:val="18"/>
              </w:rPr>
            </w:pPr>
            <w:r w:rsidRPr="008F7EDC">
              <w:rPr>
                <w:rFonts w:ascii="Arial"/>
                <w:i/>
                <w:color w:val="22789A"/>
                <w:spacing w:val="3"/>
                <w:sz w:val="18"/>
              </w:rPr>
              <w:t>Table A8(b): Indicators of Australia</w:t>
            </w:r>
            <w:r w:rsidRPr="008F7EDC">
              <w:rPr>
                <w:rFonts w:ascii="Arial"/>
                <w:i/>
                <w:color w:val="22789A"/>
                <w:spacing w:val="3"/>
                <w:sz w:val="18"/>
              </w:rPr>
              <w:t>’</w:t>
            </w:r>
            <w:r w:rsidRPr="008F7EDC">
              <w:rPr>
                <w:rFonts w:ascii="Arial"/>
                <w:i/>
                <w:color w:val="22789A"/>
                <w:spacing w:val="3"/>
                <w:sz w:val="18"/>
              </w:rPr>
              <w:t>s research workforce</w:t>
            </w:r>
          </w:p>
        </w:tc>
      </w:tr>
      <w:tr w:rsidR="00D471AD" w14:paraId="7418C34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369"/>
          <w:tblHeader/>
        </w:trPr>
        <w:tc>
          <w:tcPr>
            <w:tcW w:w="1984" w:type="pct"/>
            <w:tcBorders>
              <w:top w:val="nil"/>
              <w:left w:val="nil"/>
              <w:bottom w:val="nil"/>
              <w:right w:val="nil"/>
            </w:tcBorders>
            <w:shd w:val="clear" w:color="auto" w:fill="22789A"/>
          </w:tcPr>
          <w:p w14:paraId="7418C343" w14:textId="77777777" w:rsidR="00D471AD" w:rsidRDefault="00D471AD" w:rsidP="004A31A9">
            <w:pPr>
              <w:pStyle w:val="TableParagraph"/>
              <w:spacing w:before="42"/>
              <w:ind w:left="79"/>
              <w:rPr>
                <w:rFonts w:ascii="Arial" w:eastAsia="Arial" w:hAnsi="Arial" w:cs="Arial"/>
                <w:sz w:val="18"/>
                <w:szCs w:val="18"/>
              </w:rPr>
            </w:pPr>
            <w:r>
              <w:rPr>
                <w:rFonts w:ascii="Arial"/>
                <w:i/>
                <w:color w:val="FFFFFF"/>
                <w:spacing w:val="3"/>
                <w:sz w:val="18"/>
              </w:rPr>
              <w:t>OECD+</w:t>
            </w:r>
            <w:r>
              <w:rPr>
                <w:rFonts w:ascii="Arial"/>
                <w:i/>
                <w:color w:val="FFFFFF"/>
                <w:spacing w:val="8"/>
                <w:sz w:val="18"/>
              </w:rPr>
              <w:t xml:space="preserve"> </w:t>
            </w:r>
            <w:r>
              <w:rPr>
                <w:rFonts w:ascii="Arial"/>
                <w:i/>
                <w:color w:val="FFFFFF"/>
                <w:spacing w:val="3"/>
                <w:sz w:val="18"/>
              </w:rPr>
              <w:t>Comparisons</w:t>
            </w:r>
            <w:r>
              <w:rPr>
                <w:rFonts w:ascii="Arial"/>
                <w:i/>
                <w:color w:val="FFFFFF"/>
                <w:spacing w:val="9"/>
                <w:sz w:val="18"/>
              </w:rPr>
              <w:t xml:space="preserve"> </w:t>
            </w:r>
            <w:r>
              <w:rPr>
                <w:rFonts w:ascii="Arial"/>
                <w:i/>
                <w:color w:val="FFFFFF"/>
                <w:spacing w:val="4"/>
                <w:sz w:val="18"/>
              </w:rPr>
              <w:t>(ii)</w:t>
            </w:r>
          </w:p>
        </w:tc>
        <w:tc>
          <w:tcPr>
            <w:tcW w:w="470" w:type="pct"/>
            <w:tcBorders>
              <w:top w:val="nil"/>
              <w:left w:val="nil"/>
              <w:bottom w:val="nil"/>
              <w:right w:val="nil"/>
            </w:tcBorders>
            <w:shd w:val="clear" w:color="auto" w:fill="22789A"/>
          </w:tcPr>
          <w:p w14:paraId="7418C344" w14:textId="77777777" w:rsidR="00D471AD" w:rsidRDefault="00D471AD" w:rsidP="004A31A9"/>
        </w:tc>
        <w:tc>
          <w:tcPr>
            <w:tcW w:w="2546" w:type="pct"/>
            <w:gridSpan w:val="7"/>
            <w:tcBorders>
              <w:top w:val="nil"/>
              <w:left w:val="nil"/>
              <w:bottom w:val="nil"/>
              <w:right w:val="nil"/>
            </w:tcBorders>
            <w:shd w:val="clear" w:color="auto" w:fill="22789A"/>
          </w:tcPr>
          <w:p w14:paraId="7418C345" w14:textId="77777777" w:rsidR="00D471AD" w:rsidRDefault="00D471AD" w:rsidP="004A31A9"/>
        </w:tc>
      </w:tr>
      <w:tr w:rsidR="00D471AD" w14:paraId="7418C350"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610"/>
          <w:tblHeader/>
        </w:trPr>
        <w:tc>
          <w:tcPr>
            <w:tcW w:w="1984" w:type="pct"/>
            <w:tcBorders>
              <w:top w:val="nil"/>
              <w:left w:val="nil"/>
              <w:bottom w:val="nil"/>
              <w:right w:val="nil"/>
            </w:tcBorders>
            <w:shd w:val="clear" w:color="auto" w:fill="E4F3F9"/>
          </w:tcPr>
          <w:p w14:paraId="7418C347" w14:textId="77777777" w:rsidR="00D471AD" w:rsidRPr="00507B05" w:rsidRDefault="00D471AD" w:rsidP="004A31A9">
            <w:pPr>
              <w:pStyle w:val="TableParagraph"/>
              <w:spacing w:before="50"/>
              <w:ind w:left="91"/>
              <w:contextualSpacing/>
              <w:rPr>
                <w:rFonts w:ascii="Arial" w:eastAsia="Arial" w:hAnsi="Arial" w:cs="Arial"/>
                <w:color w:val="44546A" w:themeColor="text2"/>
                <w:sz w:val="14"/>
                <w:szCs w:val="14"/>
              </w:rPr>
            </w:pPr>
            <w:r w:rsidRPr="00507B05">
              <w:rPr>
                <w:rFonts w:ascii="Arial"/>
                <w:i/>
                <w:color w:val="44546A" w:themeColor="text2"/>
                <w:sz w:val="14"/>
              </w:rPr>
              <w:t>Indicators</w:t>
            </w:r>
          </w:p>
        </w:tc>
        <w:tc>
          <w:tcPr>
            <w:tcW w:w="532" w:type="pct"/>
            <w:gridSpan w:val="2"/>
            <w:tcBorders>
              <w:top w:val="nil"/>
              <w:left w:val="nil"/>
              <w:bottom w:val="nil"/>
              <w:right w:val="nil"/>
            </w:tcBorders>
            <w:shd w:val="clear" w:color="auto" w:fill="E4F3F9"/>
          </w:tcPr>
          <w:p w14:paraId="7418C348" w14:textId="77777777" w:rsidR="00D471AD" w:rsidRPr="00507B05" w:rsidRDefault="00D471AD" w:rsidP="004A31A9">
            <w:pPr>
              <w:pStyle w:val="TableParagraph"/>
              <w:spacing w:before="100" w:beforeAutospacing="1"/>
              <w:ind w:left="205"/>
              <w:contextualSpacing/>
              <w:rPr>
                <w:rFonts w:ascii="Arial" w:eastAsia="Arial" w:hAnsi="Arial" w:cs="Arial"/>
                <w:color w:val="44546A" w:themeColor="text2"/>
                <w:sz w:val="14"/>
                <w:szCs w:val="14"/>
              </w:rPr>
            </w:pPr>
            <w:r w:rsidRPr="00507B05">
              <w:rPr>
                <w:rFonts w:ascii="Arial"/>
                <w:i/>
                <w:color w:val="44546A" w:themeColor="text2"/>
                <w:sz w:val="14"/>
              </w:rPr>
              <w:t>Australia's</w:t>
            </w:r>
            <w:r w:rsidRPr="00507B05">
              <w:rPr>
                <w:rFonts w:ascii="Arial"/>
                <w:i/>
                <w:color w:val="44546A" w:themeColor="text2"/>
                <w:spacing w:val="-1"/>
                <w:sz w:val="14"/>
              </w:rPr>
              <w:t xml:space="preserve"> </w:t>
            </w:r>
            <w:r w:rsidRPr="00507B05">
              <w:rPr>
                <w:rFonts w:ascii="Arial"/>
                <w:i/>
                <w:color w:val="44546A" w:themeColor="text2"/>
                <w:sz w:val="14"/>
              </w:rPr>
              <w:t>score</w:t>
            </w:r>
            <w:r w:rsidRPr="00507B05">
              <w:rPr>
                <w:rFonts w:ascii="Arial"/>
                <w:i/>
                <w:color w:val="44546A" w:themeColor="text2"/>
                <w:spacing w:val="-1"/>
                <w:sz w:val="14"/>
              </w:rPr>
              <w:t xml:space="preserve"> </w:t>
            </w:r>
            <w:r w:rsidRPr="00507B05">
              <w:rPr>
                <w:rFonts w:ascii="Arial"/>
                <w:i/>
                <w:color w:val="44546A" w:themeColor="text2"/>
                <w:sz w:val="14"/>
              </w:rPr>
              <w:t>(iii)</w:t>
            </w:r>
          </w:p>
        </w:tc>
        <w:tc>
          <w:tcPr>
            <w:tcW w:w="579" w:type="pct"/>
            <w:tcBorders>
              <w:top w:val="nil"/>
              <w:left w:val="nil"/>
              <w:bottom w:val="nil"/>
              <w:right w:val="nil"/>
            </w:tcBorders>
            <w:shd w:val="clear" w:color="auto" w:fill="E4F3F9"/>
          </w:tcPr>
          <w:p w14:paraId="7418C349" w14:textId="77777777" w:rsidR="00D471AD" w:rsidRPr="00507B05" w:rsidRDefault="00D471AD" w:rsidP="004A31A9">
            <w:pPr>
              <w:pStyle w:val="TableParagraph"/>
              <w:spacing w:before="100" w:beforeAutospacing="1"/>
              <w:ind w:left="100"/>
              <w:contextualSpacing/>
              <w:rPr>
                <w:rFonts w:ascii="Arial" w:eastAsia="Arial" w:hAnsi="Arial" w:cs="Arial"/>
                <w:color w:val="44546A" w:themeColor="text2"/>
                <w:sz w:val="14"/>
                <w:szCs w:val="14"/>
              </w:rPr>
            </w:pPr>
            <w:r w:rsidRPr="00507B05">
              <w:rPr>
                <w:rFonts w:ascii="Arial"/>
                <w:i/>
                <w:color w:val="44546A" w:themeColor="text2"/>
                <w:sz w:val="14"/>
              </w:rPr>
              <w:t>OECD+</w:t>
            </w:r>
            <w:r w:rsidRPr="00507B05">
              <w:rPr>
                <w:rFonts w:ascii="Arial"/>
                <w:i/>
                <w:color w:val="44546A" w:themeColor="text2"/>
                <w:spacing w:val="-7"/>
                <w:sz w:val="14"/>
              </w:rPr>
              <w:t xml:space="preserve"> </w:t>
            </w:r>
            <w:r w:rsidRPr="00507B05">
              <w:rPr>
                <w:rFonts w:ascii="Arial"/>
                <w:i/>
                <w:color w:val="44546A" w:themeColor="text2"/>
                <w:spacing w:val="-1"/>
                <w:sz w:val="14"/>
              </w:rPr>
              <w:t xml:space="preserve">Average </w:t>
            </w:r>
            <w:r w:rsidRPr="00507B05">
              <w:rPr>
                <w:rFonts w:ascii="Arial"/>
                <w:i/>
                <w:color w:val="44546A" w:themeColor="text2"/>
                <w:sz w:val="14"/>
              </w:rPr>
              <w:t>(iv)</w:t>
            </w:r>
          </w:p>
        </w:tc>
        <w:tc>
          <w:tcPr>
            <w:tcW w:w="442" w:type="pct"/>
            <w:tcBorders>
              <w:top w:val="nil"/>
              <w:left w:val="nil"/>
              <w:bottom w:val="nil"/>
              <w:right w:val="nil"/>
            </w:tcBorders>
            <w:shd w:val="clear" w:color="auto" w:fill="E4F3F9"/>
          </w:tcPr>
          <w:p w14:paraId="7418C34A" w14:textId="77777777" w:rsidR="00D471AD" w:rsidRPr="00507B05" w:rsidRDefault="00D471AD" w:rsidP="004A31A9">
            <w:pPr>
              <w:pStyle w:val="NoSpacing"/>
              <w:jc w:val="right"/>
              <w:rPr>
                <w:rFonts w:ascii="Arial" w:eastAsia="Arial" w:hAnsi="Arial" w:cs="Arial"/>
                <w:i/>
                <w:color w:val="44546A" w:themeColor="text2"/>
                <w:sz w:val="14"/>
                <w:szCs w:val="14"/>
              </w:rPr>
            </w:pPr>
            <w:r w:rsidRPr="00507B05">
              <w:rPr>
                <w:rFonts w:ascii="Arial" w:hAnsi="Arial" w:cs="Arial"/>
                <w:i/>
                <w:color w:val="44546A" w:themeColor="text2"/>
                <w:sz w:val="14"/>
                <w:szCs w:val="14"/>
              </w:rPr>
              <w:t>OECD+</w:t>
            </w:r>
            <w:r w:rsidRPr="00507B05">
              <w:rPr>
                <w:rFonts w:ascii="Arial" w:hAnsi="Arial" w:cs="Arial"/>
                <w:i/>
                <w:color w:val="44546A" w:themeColor="text2"/>
                <w:spacing w:val="-1"/>
                <w:sz w:val="14"/>
                <w:szCs w:val="14"/>
              </w:rPr>
              <w:t xml:space="preserve"> </w:t>
            </w:r>
            <w:r w:rsidRPr="00507B05">
              <w:rPr>
                <w:rFonts w:ascii="Arial" w:hAnsi="Arial" w:cs="Arial"/>
                <w:i/>
                <w:color w:val="44546A" w:themeColor="text2"/>
                <w:sz w:val="14"/>
                <w:szCs w:val="14"/>
              </w:rPr>
              <w:t>top</w:t>
            </w:r>
            <w:r w:rsidRPr="00507B05">
              <w:rPr>
                <w:rFonts w:ascii="Arial" w:hAnsi="Arial" w:cs="Arial"/>
                <w:i/>
                <w:color w:val="44546A" w:themeColor="text2"/>
                <w:spacing w:val="-1"/>
                <w:sz w:val="14"/>
                <w:szCs w:val="14"/>
              </w:rPr>
              <w:t xml:space="preserve"> </w:t>
            </w:r>
            <w:r w:rsidRPr="00507B05">
              <w:rPr>
                <w:rFonts w:ascii="Arial" w:hAnsi="Arial" w:cs="Arial"/>
                <w:i/>
                <w:color w:val="44546A" w:themeColor="text2"/>
                <w:sz w:val="14"/>
                <w:szCs w:val="14"/>
              </w:rPr>
              <w:t xml:space="preserve">5 </w:t>
            </w:r>
            <w:r w:rsidRPr="00507B05">
              <w:rPr>
                <w:rFonts w:ascii="Arial" w:hAnsi="Arial" w:cs="Arial"/>
                <w:i/>
                <w:color w:val="44546A" w:themeColor="text2"/>
                <w:spacing w:val="-1"/>
                <w:sz w:val="14"/>
                <w:szCs w:val="14"/>
              </w:rPr>
              <w:t>average</w:t>
            </w:r>
            <w:r w:rsidRPr="00507B05">
              <w:rPr>
                <w:rFonts w:ascii="Arial" w:hAnsi="Arial" w:cs="Arial"/>
                <w:i/>
                <w:color w:val="44546A" w:themeColor="text2"/>
                <w:sz w:val="14"/>
                <w:szCs w:val="14"/>
              </w:rPr>
              <w:t xml:space="preserve"> (vi)</w:t>
            </w:r>
          </w:p>
        </w:tc>
        <w:tc>
          <w:tcPr>
            <w:tcW w:w="523" w:type="pct"/>
            <w:tcBorders>
              <w:top w:val="nil"/>
              <w:left w:val="nil"/>
              <w:bottom w:val="nil"/>
              <w:right w:val="nil"/>
            </w:tcBorders>
            <w:shd w:val="clear" w:color="auto" w:fill="E4F3F9"/>
          </w:tcPr>
          <w:p w14:paraId="7418C34B"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Gap from the top 5 OECD+ performers</w:t>
            </w:r>
          </w:p>
          <w:p w14:paraId="7418C34C"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(per cent) (vii)</w:t>
            </w:r>
          </w:p>
        </w:tc>
        <w:tc>
          <w:tcPr>
            <w:tcW w:w="470" w:type="pct"/>
            <w:tcBorders>
              <w:top w:val="nil"/>
              <w:left w:val="nil"/>
              <w:bottom w:val="nil"/>
              <w:right w:val="nil"/>
            </w:tcBorders>
            <w:shd w:val="clear" w:color="auto" w:fill="E4F3F9"/>
          </w:tcPr>
          <w:p w14:paraId="7418C34D"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Ranking against OECD+ countries</w:t>
            </w:r>
          </w:p>
          <w:p w14:paraId="7418C34E"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(viii)</w:t>
            </w:r>
          </w:p>
        </w:tc>
        <w:tc>
          <w:tcPr>
            <w:tcW w:w="470" w:type="pct"/>
            <w:gridSpan w:val="2"/>
            <w:tcBorders>
              <w:top w:val="nil"/>
              <w:left w:val="nil"/>
              <w:bottom w:val="nil"/>
              <w:right w:val="nil"/>
            </w:tcBorders>
            <w:shd w:val="clear" w:color="auto" w:fill="E4F3F9"/>
          </w:tcPr>
          <w:p w14:paraId="7418C34F"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Year of OECD+ comparison</w:t>
            </w:r>
          </w:p>
        </w:tc>
      </w:tr>
      <w:tr w:rsidR="00D471AD" w:rsidRPr="009C3449" w14:paraId="7418C358"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C351"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Share of professionals and technicians in total employment, %</w:t>
            </w:r>
            <w:r w:rsidRPr="00507B05">
              <w:rPr>
                <w:rFonts w:ascii="Arial Unicode MS" w:eastAsia="Arial Unicode MS" w:hAnsi="Arial Unicode MS" w:cs="Arial Unicode MS"/>
                <w:color w:val="44546A" w:themeColor="text2"/>
                <w:sz w:val="14"/>
                <w:szCs w:val="14"/>
              </w:rPr>
              <w:t>¹ ² ³ ⁴</w:t>
            </w:r>
          </w:p>
        </w:tc>
        <w:tc>
          <w:tcPr>
            <w:tcW w:w="532" w:type="pct"/>
            <w:gridSpan w:val="2"/>
            <w:tcBorders>
              <w:top w:val="nil"/>
              <w:left w:val="nil"/>
              <w:bottom w:val="nil"/>
              <w:right w:val="nil"/>
            </w:tcBorders>
            <w:shd w:val="clear" w:color="auto" w:fill="D5ECF5"/>
          </w:tcPr>
          <w:p w14:paraId="7418C352"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31.8</w:t>
            </w:r>
          </w:p>
        </w:tc>
        <w:tc>
          <w:tcPr>
            <w:tcW w:w="579" w:type="pct"/>
            <w:tcBorders>
              <w:top w:val="nil"/>
              <w:left w:val="nil"/>
              <w:bottom w:val="nil"/>
              <w:right w:val="nil"/>
            </w:tcBorders>
            <w:shd w:val="clear" w:color="auto" w:fill="D5ECF5"/>
          </w:tcPr>
          <w:p w14:paraId="7418C353"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33.7</w:t>
            </w:r>
          </w:p>
        </w:tc>
        <w:tc>
          <w:tcPr>
            <w:tcW w:w="442" w:type="pct"/>
            <w:tcBorders>
              <w:top w:val="nil"/>
              <w:left w:val="nil"/>
              <w:bottom w:val="nil"/>
              <w:right w:val="nil"/>
            </w:tcBorders>
            <w:shd w:val="clear" w:color="auto" w:fill="D5ECF5"/>
          </w:tcPr>
          <w:p w14:paraId="7418C354"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44.6</w:t>
            </w:r>
          </w:p>
        </w:tc>
        <w:tc>
          <w:tcPr>
            <w:tcW w:w="523" w:type="pct"/>
            <w:tcBorders>
              <w:top w:val="nil"/>
              <w:left w:val="nil"/>
              <w:bottom w:val="nil"/>
              <w:right w:val="nil"/>
            </w:tcBorders>
            <w:shd w:val="clear" w:color="auto" w:fill="D5ECF5"/>
          </w:tcPr>
          <w:p w14:paraId="7418C355"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29</w:t>
            </w:r>
          </w:p>
        </w:tc>
        <w:tc>
          <w:tcPr>
            <w:tcW w:w="470" w:type="pct"/>
            <w:tcBorders>
              <w:top w:val="nil"/>
              <w:left w:val="nil"/>
              <w:bottom w:val="nil"/>
              <w:right w:val="nil"/>
            </w:tcBorders>
            <w:shd w:val="clear" w:color="auto" w:fill="D5ECF5"/>
          </w:tcPr>
          <w:p w14:paraId="7418C356"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21st of 31</w:t>
            </w:r>
          </w:p>
        </w:tc>
        <w:tc>
          <w:tcPr>
            <w:tcW w:w="470" w:type="pct"/>
            <w:gridSpan w:val="2"/>
            <w:tcBorders>
              <w:top w:val="nil"/>
              <w:left w:val="nil"/>
              <w:bottom w:val="nil"/>
              <w:right w:val="nil"/>
            </w:tcBorders>
            <w:shd w:val="clear" w:color="auto" w:fill="D5ECF5"/>
          </w:tcPr>
          <w:p w14:paraId="7418C357"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2012</w:t>
            </w:r>
          </w:p>
        </w:tc>
      </w:tr>
      <w:tr w:rsidR="00D471AD" w:rsidRPr="009C3449" w14:paraId="7418C360"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C359"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PhD graduation rate, %</w:t>
            </w:r>
            <w:r w:rsidRPr="00507B05">
              <w:rPr>
                <w:rFonts w:ascii="Arial Unicode MS" w:eastAsia="Arial Unicode MS" w:hAnsi="Arial Unicode MS" w:cs="Arial Unicode MS"/>
                <w:color w:val="44546A" w:themeColor="text2"/>
                <w:sz w:val="14"/>
                <w:szCs w:val="14"/>
              </w:rPr>
              <w:t>⁷ ⁸</w:t>
            </w:r>
          </w:p>
        </w:tc>
        <w:tc>
          <w:tcPr>
            <w:tcW w:w="532" w:type="pct"/>
            <w:gridSpan w:val="2"/>
            <w:tcBorders>
              <w:top w:val="nil"/>
              <w:left w:val="nil"/>
              <w:bottom w:val="nil"/>
              <w:right w:val="nil"/>
            </w:tcBorders>
            <w:shd w:val="clear" w:color="auto" w:fill="E4F3F9"/>
          </w:tcPr>
          <w:p w14:paraId="7418C35A"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2.50</w:t>
            </w:r>
          </w:p>
        </w:tc>
        <w:tc>
          <w:tcPr>
            <w:tcW w:w="579" w:type="pct"/>
            <w:tcBorders>
              <w:top w:val="nil"/>
              <w:left w:val="nil"/>
              <w:bottom w:val="nil"/>
              <w:right w:val="nil"/>
            </w:tcBorders>
            <w:shd w:val="clear" w:color="auto" w:fill="E4F3F9"/>
          </w:tcPr>
          <w:p w14:paraId="7418C35B"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1.70</w:t>
            </w:r>
          </w:p>
        </w:tc>
        <w:tc>
          <w:tcPr>
            <w:tcW w:w="442" w:type="pct"/>
            <w:tcBorders>
              <w:top w:val="nil"/>
              <w:left w:val="nil"/>
              <w:bottom w:val="nil"/>
              <w:right w:val="nil"/>
            </w:tcBorders>
            <w:shd w:val="clear" w:color="auto" w:fill="E4F3F9"/>
          </w:tcPr>
          <w:p w14:paraId="7418C35C"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3.06</w:t>
            </w:r>
          </w:p>
        </w:tc>
        <w:tc>
          <w:tcPr>
            <w:tcW w:w="523" w:type="pct"/>
            <w:tcBorders>
              <w:top w:val="nil"/>
              <w:left w:val="nil"/>
              <w:bottom w:val="nil"/>
              <w:right w:val="nil"/>
            </w:tcBorders>
            <w:shd w:val="clear" w:color="auto" w:fill="E4F3F9"/>
          </w:tcPr>
          <w:p w14:paraId="7418C35D"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18</w:t>
            </w:r>
          </w:p>
        </w:tc>
        <w:tc>
          <w:tcPr>
            <w:tcW w:w="470" w:type="pct"/>
            <w:tcBorders>
              <w:top w:val="nil"/>
              <w:left w:val="nil"/>
              <w:bottom w:val="nil"/>
              <w:right w:val="nil"/>
            </w:tcBorders>
            <w:shd w:val="clear" w:color="auto" w:fill="E4F3F9"/>
          </w:tcPr>
          <w:p w14:paraId="7418C35E"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8th of 30</w:t>
            </w:r>
          </w:p>
        </w:tc>
        <w:tc>
          <w:tcPr>
            <w:tcW w:w="470" w:type="pct"/>
            <w:gridSpan w:val="2"/>
            <w:tcBorders>
              <w:top w:val="nil"/>
              <w:left w:val="nil"/>
              <w:bottom w:val="nil"/>
              <w:right w:val="nil"/>
            </w:tcBorders>
            <w:shd w:val="clear" w:color="auto" w:fill="E4F3F9"/>
          </w:tcPr>
          <w:p w14:paraId="7418C35F"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2014</w:t>
            </w:r>
          </w:p>
        </w:tc>
      </w:tr>
      <w:tr w:rsidR="00D471AD" w:rsidRPr="009C3449" w14:paraId="7418C368"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C361"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Proportion of international students enrolled in advanced research programs, %</w:t>
            </w:r>
            <w:r w:rsidRPr="00507B05">
              <w:rPr>
                <w:rFonts w:ascii="Arial Unicode MS" w:eastAsia="Arial Unicode MS" w:hAnsi="Arial Unicode MS" w:cs="Arial Unicode MS"/>
                <w:color w:val="44546A" w:themeColor="text2"/>
                <w:sz w:val="14"/>
                <w:szCs w:val="14"/>
              </w:rPr>
              <w:t>⁹ ¹⁰</w:t>
            </w:r>
          </w:p>
        </w:tc>
        <w:tc>
          <w:tcPr>
            <w:tcW w:w="532" w:type="pct"/>
            <w:gridSpan w:val="2"/>
            <w:tcBorders>
              <w:top w:val="nil"/>
              <w:left w:val="nil"/>
              <w:bottom w:val="nil"/>
              <w:right w:val="nil"/>
            </w:tcBorders>
            <w:shd w:val="clear" w:color="auto" w:fill="D5ECF5"/>
          </w:tcPr>
          <w:p w14:paraId="7418C362"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32.5</w:t>
            </w:r>
          </w:p>
        </w:tc>
        <w:tc>
          <w:tcPr>
            <w:tcW w:w="579" w:type="pct"/>
            <w:tcBorders>
              <w:top w:val="nil"/>
              <w:left w:val="nil"/>
              <w:bottom w:val="nil"/>
              <w:right w:val="nil"/>
            </w:tcBorders>
            <w:shd w:val="clear" w:color="auto" w:fill="D5ECF5"/>
          </w:tcPr>
          <w:p w14:paraId="7418C363"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19.9</w:t>
            </w:r>
          </w:p>
        </w:tc>
        <w:tc>
          <w:tcPr>
            <w:tcW w:w="442" w:type="pct"/>
            <w:tcBorders>
              <w:top w:val="nil"/>
              <w:left w:val="nil"/>
              <w:bottom w:val="nil"/>
              <w:right w:val="nil"/>
            </w:tcBorders>
            <w:shd w:val="clear" w:color="auto" w:fill="D5ECF5"/>
          </w:tcPr>
          <w:p w14:paraId="7418C364"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51.5</w:t>
            </w:r>
          </w:p>
        </w:tc>
        <w:tc>
          <w:tcPr>
            <w:tcW w:w="523" w:type="pct"/>
            <w:tcBorders>
              <w:top w:val="nil"/>
              <w:left w:val="nil"/>
              <w:bottom w:val="nil"/>
              <w:right w:val="nil"/>
            </w:tcBorders>
            <w:shd w:val="clear" w:color="auto" w:fill="D5ECF5"/>
          </w:tcPr>
          <w:p w14:paraId="7418C365"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37</w:t>
            </w:r>
          </w:p>
        </w:tc>
        <w:tc>
          <w:tcPr>
            <w:tcW w:w="470" w:type="pct"/>
            <w:tcBorders>
              <w:top w:val="nil"/>
              <w:left w:val="nil"/>
              <w:bottom w:val="nil"/>
              <w:right w:val="nil"/>
            </w:tcBorders>
            <w:shd w:val="clear" w:color="auto" w:fill="D5ECF5"/>
          </w:tcPr>
          <w:p w14:paraId="7418C366"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8th of 33</w:t>
            </w:r>
          </w:p>
        </w:tc>
        <w:tc>
          <w:tcPr>
            <w:tcW w:w="470" w:type="pct"/>
            <w:gridSpan w:val="2"/>
            <w:tcBorders>
              <w:top w:val="nil"/>
              <w:left w:val="nil"/>
              <w:bottom w:val="nil"/>
              <w:right w:val="nil"/>
            </w:tcBorders>
            <w:shd w:val="clear" w:color="auto" w:fill="D5ECF5"/>
          </w:tcPr>
          <w:p w14:paraId="7418C367"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2012</w:t>
            </w:r>
          </w:p>
        </w:tc>
      </w:tr>
      <w:tr w:rsidR="00D471AD" w:rsidRPr="009C3449" w14:paraId="7418C370"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C369"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Researchers, % of total labour force</w:t>
            </w:r>
            <w:r w:rsidRPr="00507B05">
              <w:rPr>
                <w:rFonts w:ascii="Arial Unicode MS" w:eastAsia="Arial Unicode MS" w:hAnsi="Arial Unicode MS" w:cs="Arial Unicode MS"/>
                <w:color w:val="44546A" w:themeColor="text2"/>
                <w:sz w:val="14"/>
                <w:szCs w:val="14"/>
              </w:rPr>
              <w:t>¹¹ ¹³ ¹⁴</w:t>
            </w:r>
          </w:p>
        </w:tc>
        <w:tc>
          <w:tcPr>
            <w:tcW w:w="532" w:type="pct"/>
            <w:gridSpan w:val="2"/>
            <w:tcBorders>
              <w:top w:val="nil"/>
              <w:left w:val="nil"/>
              <w:bottom w:val="nil"/>
              <w:right w:val="nil"/>
            </w:tcBorders>
            <w:shd w:val="clear" w:color="auto" w:fill="E4F3F9"/>
          </w:tcPr>
          <w:p w14:paraId="7418C36A"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0.86</w:t>
            </w:r>
          </w:p>
        </w:tc>
        <w:tc>
          <w:tcPr>
            <w:tcW w:w="579" w:type="pct"/>
            <w:tcBorders>
              <w:top w:val="nil"/>
              <w:left w:val="nil"/>
              <w:bottom w:val="nil"/>
              <w:right w:val="nil"/>
            </w:tcBorders>
            <w:shd w:val="clear" w:color="auto" w:fill="E4F3F9"/>
          </w:tcPr>
          <w:p w14:paraId="7418C36B"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0.73</w:t>
            </w:r>
          </w:p>
        </w:tc>
        <w:tc>
          <w:tcPr>
            <w:tcW w:w="442" w:type="pct"/>
            <w:tcBorders>
              <w:top w:val="nil"/>
              <w:left w:val="nil"/>
              <w:bottom w:val="nil"/>
              <w:right w:val="nil"/>
            </w:tcBorders>
            <w:shd w:val="clear" w:color="auto" w:fill="E4F3F9"/>
          </w:tcPr>
          <w:p w14:paraId="7418C36C"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1.21</w:t>
            </w:r>
          </w:p>
        </w:tc>
        <w:tc>
          <w:tcPr>
            <w:tcW w:w="523" w:type="pct"/>
            <w:tcBorders>
              <w:top w:val="nil"/>
              <w:left w:val="nil"/>
              <w:bottom w:val="nil"/>
              <w:right w:val="nil"/>
            </w:tcBorders>
            <w:shd w:val="clear" w:color="auto" w:fill="E4F3F9"/>
          </w:tcPr>
          <w:p w14:paraId="7418C36D"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29</w:t>
            </w:r>
          </w:p>
        </w:tc>
        <w:tc>
          <w:tcPr>
            <w:tcW w:w="470" w:type="pct"/>
            <w:tcBorders>
              <w:top w:val="nil"/>
              <w:left w:val="nil"/>
              <w:bottom w:val="nil"/>
              <w:right w:val="nil"/>
            </w:tcBorders>
            <w:shd w:val="clear" w:color="auto" w:fill="E4F3F9"/>
          </w:tcPr>
          <w:p w14:paraId="7418C36E"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11th of 32</w:t>
            </w:r>
          </w:p>
        </w:tc>
        <w:tc>
          <w:tcPr>
            <w:tcW w:w="470" w:type="pct"/>
            <w:gridSpan w:val="2"/>
            <w:tcBorders>
              <w:top w:val="nil"/>
              <w:left w:val="nil"/>
              <w:bottom w:val="nil"/>
              <w:right w:val="nil"/>
            </w:tcBorders>
            <w:shd w:val="clear" w:color="auto" w:fill="E4F3F9"/>
          </w:tcPr>
          <w:p w14:paraId="7418C36F"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2010</w:t>
            </w:r>
          </w:p>
        </w:tc>
      </w:tr>
      <w:tr w:rsidR="00D471AD" w:rsidRPr="009C3449" w14:paraId="7418C378"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C371"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R&amp;D personnel, % of total employment</w:t>
            </w:r>
            <w:r w:rsidRPr="00507B05">
              <w:rPr>
                <w:rFonts w:ascii="Arial Unicode MS" w:eastAsia="Arial Unicode MS" w:hAnsi="Arial Unicode MS" w:cs="Arial Unicode MS"/>
                <w:color w:val="44546A" w:themeColor="text2"/>
                <w:sz w:val="14"/>
                <w:szCs w:val="14"/>
              </w:rPr>
              <w:t>¹¹ ¹³ ¹⁴</w:t>
            </w:r>
          </w:p>
        </w:tc>
        <w:tc>
          <w:tcPr>
            <w:tcW w:w="532" w:type="pct"/>
            <w:gridSpan w:val="2"/>
            <w:tcBorders>
              <w:top w:val="nil"/>
              <w:left w:val="nil"/>
              <w:bottom w:val="nil"/>
              <w:right w:val="nil"/>
            </w:tcBorders>
            <w:shd w:val="clear" w:color="auto" w:fill="D5ECF5"/>
          </w:tcPr>
          <w:p w14:paraId="7418C372"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1.32</w:t>
            </w:r>
          </w:p>
        </w:tc>
        <w:tc>
          <w:tcPr>
            <w:tcW w:w="579" w:type="pct"/>
            <w:tcBorders>
              <w:top w:val="nil"/>
              <w:left w:val="nil"/>
              <w:bottom w:val="nil"/>
              <w:right w:val="nil"/>
            </w:tcBorders>
            <w:shd w:val="clear" w:color="auto" w:fill="D5ECF5"/>
          </w:tcPr>
          <w:p w14:paraId="7418C373"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1.19</w:t>
            </w:r>
          </w:p>
        </w:tc>
        <w:tc>
          <w:tcPr>
            <w:tcW w:w="442" w:type="pct"/>
            <w:tcBorders>
              <w:top w:val="nil"/>
              <w:left w:val="nil"/>
              <w:bottom w:val="nil"/>
              <w:right w:val="nil"/>
            </w:tcBorders>
            <w:shd w:val="clear" w:color="auto" w:fill="D5ECF5"/>
          </w:tcPr>
          <w:p w14:paraId="7418C374"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1.90</w:t>
            </w:r>
          </w:p>
        </w:tc>
        <w:tc>
          <w:tcPr>
            <w:tcW w:w="523" w:type="pct"/>
            <w:tcBorders>
              <w:top w:val="nil"/>
              <w:left w:val="nil"/>
              <w:bottom w:val="nil"/>
              <w:right w:val="nil"/>
            </w:tcBorders>
            <w:shd w:val="clear" w:color="auto" w:fill="D5ECF5"/>
          </w:tcPr>
          <w:p w14:paraId="7418C375"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31</w:t>
            </w:r>
          </w:p>
        </w:tc>
        <w:tc>
          <w:tcPr>
            <w:tcW w:w="470" w:type="pct"/>
            <w:tcBorders>
              <w:top w:val="nil"/>
              <w:left w:val="nil"/>
              <w:bottom w:val="nil"/>
              <w:right w:val="nil"/>
            </w:tcBorders>
            <w:shd w:val="clear" w:color="auto" w:fill="D5ECF5"/>
          </w:tcPr>
          <w:p w14:paraId="7418C376"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15th of 30</w:t>
            </w:r>
          </w:p>
        </w:tc>
        <w:tc>
          <w:tcPr>
            <w:tcW w:w="470" w:type="pct"/>
            <w:gridSpan w:val="2"/>
            <w:tcBorders>
              <w:top w:val="nil"/>
              <w:left w:val="nil"/>
              <w:bottom w:val="nil"/>
              <w:right w:val="nil"/>
            </w:tcBorders>
            <w:shd w:val="clear" w:color="auto" w:fill="D5ECF5"/>
          </w:tcPr>
          <w:p w14:paraId="7418C377"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2010</w:t>
            </w:r>
          </w:p>
        </w:tc>
      </w:tr>
      <w:tr w:rsidR="00D471AD" w:rsidRPr="009C3449" w14:paraId="7418C380"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C379"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Availability of research and training services, score ranges from 1-7 (best)</w:t>
            </w:r>
            <w:r w:rsidRPr="00507B05">
              <w:rPr>
                <w:rFonts w:ascii="Arial Unicode MS" w:eastAsia="Arial Unicode MS" w:hAnsi="Arial Unicode MS" w:cs="Arial Unicode MS"/>
                <w:color w:val="44546A" w:themeColor="text2"/>
                <w:sz w:val="14"/>
                <w:szCs w:val="14"/>
              </w:rPr>
              <w:t>¹²</w:t>
            </w:r>
          </w:p>
        </w:tc>
        <w:tc>
          <w:tcPr>
            <w:tcW w:w="532" w:type="pct"/>
            <w:gridSpan w:val="2"/>
            <w:tcBorders>
              <w:top w:val="nil"/>
              <w:left w:val="nil"/>
              <w:bottom w:val="nil"/>
              <w:right w:val="nil"/>
            </w:tcBorders>
            <w:shd w:val="clear" w:color="auto" w:fill="E4F3F9"/>
          </w:tcPr>
          <w:p w14:paraId="7418C37A"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5.77</w:t>
            </w:r>
          </w:p>
        </w:tc>
        <w:tc>
          <w:tcPr>
            <w:tcW w:w="579" w:type="pct"/>
            <w:tcBorders>
              <w:top w:val="nil"/>
              <w:left w:val="nil"/>
              <w:bottom w:val="nil"/>
              <w:right w:val="nil"/>
            </w:tcBorders>
            <w:shd w:val="clear" w:color="auto" w:fill="E4F3F9"/>
          </w:tcPr>
          <w:p w14:paraId="7418C37B"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5.24</w:t>
            </w:r>
          </w:p>
        </w:tc>
        <w:tc>
          <w:tcPr>
            <w:tcW w:w="442" w:type="pct"/>
            <w:tcBorders>
              <w:top w:val="nil"/>
              <w:left w:val="nil"/>
              <w:bottom w:val="nil"/>
              <w:right w:val="nil"/>
            </w:tcBorders>
            <w:shd w:val="clear" w:color="auto" w:fill="E4F3F9"/>
          </w:tcPr>
          <w:p w14:paraId="7418C37C"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6.19</w:t>
            </w:r>
          </w:p>
        </w:tc>
        <w:tc>
          <w:tcPr>
            <w:tcW w:w="523" w:type="pct"/>
            <w:tcBorders>
              <w:top w:val="nil"/>
              <w:left w:val="nil"/>
              <w:bottom w:val="nil"/>
              <w:right w:val="nil"/>
            </w:tcBorders>
            <w:shd w:val="clear" w:color="auto" w:fill="E4F3F9"/>
          </w:tcPr>
          <w:p w14:paraId="7418C37D"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7</w:t>
            </w:r>
          </w:p>
        </w:tc>
        <w:tc>
          <w:tcPr>
            <w:tcW w:w="470" w:type="pct"/>
            <w:tcBorders>
              <w:top w:val="nil"/>
              <w:left w:val="nil"/>
              <w:bottom w:val="nil"/>
              <w:right w:val="nil"/>
            </w:tcBorders>
            <w:shd w:val="clear" w:color="auto" w:fill="E4F3F9"/>
          </w:tcPr>
          <w:p w14:paraId="7418C37E"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14th of 38</w:t>
            </w:r>
          </w:p>
        </w:tc>
        <w:tc>
          <w:tcPr>
            <w:tcW w:w="470" w:type="pct"/>
            <w:gridSpan w:val="2"/>
            <w:tcBorders>
              <w:top w:val="nil"/>
              <w:left w:val="nil"/>
              <w:bottom w:val="nil"/>
              <w:right w:val="nil"/>
            </w:tcBorders>
            <w:shd w:val="clear" w:color="auto" w:fill="E4F3F9"/>
          </w:tcPr>
          <w:p w14:paraId="7418C37F"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2016</w:t>
            </w:r>
          </w:p>
        </w:tc>
      </w:tr>
    </w:tbl>
    <w:p w14:paraId="7418C381" w14:textId="77777777" w:rsidR="00D471AD" w:rsidRPr="008B33FB" w:rsidRDefault="00D471AD" w:rsidP="00D471AD">
      <w:pPr>
        <w:spacing w:before="120" w:after="120"/>
        <w:rPr>
          <w:rFonts w:cs="Arial"/>
          <w:color w:val="22789A"/>
          <w:sz w:val="16"/>
          <w:szCs w:val="16"/>
        </w:rPr>
      </w:pPr>
      <w:r w:rsidRPr="008B33FB">
        <w:rPr>
          <w:rFonts w:cs="Arial"/>
          <w:color w:val="22789A"/>
          <w:sz w:val="16"/>
          <w:szCs w:val="16"/>
        </w:rPr>
        <w:t>– = data not available</w:t>
      </w:r>
    </w:p>
    <w:p w14:paraId="7418C382" w14:textId="77777777" w:rsidR="00D471AD" w:rsidRPr="008B33FB" w:rsidRDefault="00D471AD" w:rsidP="00D471AD">
      <w:pPr>
        <w:spacing w:before="120" w:after="120"/>
        <w:rPr>
          <w:rFonts w:eastAsia="Times New Roman" w:cs="Arial"/>
          <w:color w:val="22789A"/>
          <w:sz w:val="16"/>
          <w:szCs w:val="16"/>
          <w:lang w:eastAsia="en-AU"/>
        </w:rPr>
      </w:pPr>
      <w:r w:rsidRPr="008671B7">
        <w:rPr>
          <w:rFonts w:eastAsia="Times New Roman" w:cs="Arial"/>
          <w:b/>
          <w:i/>
          <w:iCs/>
          <w:color w:val="22789A"/>
          <w:sz w:val="16"/>
          <w:szCs w:val="16"/>
          <w:lang w:eastAsia="en-AU"/>
        </w:rPr>
        <w:t>Table notes</w:t>
      </w:r>
      <w:r w:rsidRPr="008671B7">
        <w:rPr>
          <w:rFonts w:eastAsia="Times New Roman" w:cs="Arial"/>
          <w:b/>
          <w:color w:val="22789A"/>
          <w:sz w:val="16"/>
          <w:szCs w:val="16"/>
          <w:lang w:eastAsia="en-AU"/>
        </w:rPr>
        <w:t>:</w:t>
      </w:r>
      <w:r w:rsidRPr="008671B7">
        <w:rPr>
          <w:rFonts w:eastAsia="Times New Roman" w:cs="Arial"/>
          <w:color w:val="22789A"/>
          <w:sz w:val="16"/>
          <w:szCs w:val="16"/>
          <w:lang w:eastAsia="en-AU"/>
        </w:rPr>
        <w:t xml:space="preserve"> </w:t>
      </w:r>
      <w:r w:rsidRPr="008671B7">
        <w:rPr>
          <w:rFonts w:eastAsia="Times New Roman" w:cs="Arial"/>
          <w:b/>
          <w:bCs/>
          <w:color w:val="22789A"/>
          <w:sz w:val="16"/>
          <w:szCs w:val="16"/>
          <w:lang w:eastAsia="en-AU"/>
        </w:rPr>
        <w:t>(i)</w:t>
      </w:r>
      <w:r w:rsidRPr="008671B7">
        <w:rPr>
          <w:rFonts w:eastAsia="Times New Roman" w:cs="Arial"/>
          <w:color w:val="22789A"/>
          <w:sz w:val="16"/>
          <w:szCs w:val="16"/>
          <w:lang w:eastAsia="en-AU"/>
        </w:rPr>
        <w:t xml:space="preserve"> Data are presented in calendar year format. Where the data are in financial years, it is expressed in terms of the year where the financial year begins e.g. 2010–11 is shown as 2010. </w:t>
      </w:r>
      <w:r w:rsidRPr="008671B7">
        <w:rPr>
          <w:rFonts w:eastAsia="Times New Roman" w:cs="Arial"/>
          <w:b/>
          <w:bCs/>
          <w:color w:val="22789A"/>
          <w:sz w:val="16"/>
          <w:szCs w:val="16"/>
          <w:lang w:eastAsia="en-AU"/>
        </w:rPr>
        <w:t xml:space="preserve">(ii) </w:t>
      </w:r>
      <w:r w:rsidRPr="008671B7">
        <w:rPr>
          <w:rFonts w:eastAsia="Times New Roman" w:cs="Arial"/>
          <w:color w:val="22789A"/>
          <w:sz w:val="16"/>
          <w:szCs w:val="16"/>
          <w:lang w:eastAsia="en-AU"/>
        </w:rPr>
        <w:t xml:space="preserve">OECD+ includes all countries in the OECD, as well as China, Taiwan and Singapore (where data is available). </w:t>
      </w:r>
      <w:r w:rsidRPr="008671B7">
        <w:rPr>
          <w:rFonts w:eastAsia="Times New Roman" w:cs="Arial"/>
          <w:b/>
          <w:bCs/>
          <w:color w:val="22789A"/>
          <w:sz w:val="16"/>
          <w:szCs w:val="16"/>
          <w:lang w:eastAsia="en-AU"/>
        </w:rPr>
        <w:t>(iii)</w:t>
      </w:r>
      <w:r w:rsidRPr="008671B7">
        <w:rPr>
          <w:rFonts w:eastAsia="Times New Roman" w:cs="Arial"/>
          <w:color w:val="22789A"/>
          <w:sz w:val="16"/>
          <w:szCs w:val="16"/>
          <w:lang w:eastAsia="en-AU"/>
        </w:rPr>
        <w:t xml:space="preserve"> The ‘Australia’s score’ field presents the Australian values used in the OECD+ comparisons. </w:t>
      </w:r>
      <w:r w:rsidRPr="008671B7">
        <w:rPr>
          <w:rFonts w:eastAsia="Times New Roman" w:cs="Arial"/>
          <w:b/>
          <w:bCs/>
          <w:color w:val="22789A"/>
          <w:sz w:val="16"/>
          <w:szCs w:val="16"/>
          <w:lang w:eastAsia="en-AU"/>
        </w:rPr>
        <w:t>(iv)</w:t>
      </w:r>
      <w:r w:rsidRPr="008671B7">
        <w:rPr>
          <w:rFonts w:eastAsia="Times New Roman" w:cs="Arial"/>
          <w:color w:val="22789A"/>
          <w:sz w:val="16"/>
          <w:szCs w:val="16"/>
          <w:lang w:eastAsia="en-AU"/>
        </w:rPr>
        <w:t xml:space="preserve"> This is the arithmetic (simple) average of the OECD+ country scores.</w:t>
      </w:r>
      <w:r w:rsidRPr="008671B7">
        <w:rPr>
          <w:rFonts w:eastAsia="Times New Roman" w:cs="Arial"/>
          <w:b/>
          <w:bCs/>
          <w:color w:val="22789A"/>
          <w:sz w:val="16"/>
          <w:szCs w:val="16"/>
          <w:lang w:eastAsia="en-AU"/>
        </w:rPr>
        <w:t xml:space="preserve"> (v) </w:t>
      </w:r>
      <w:r w:rsidRPr="008671B7">
        <w:rPr>
          <w:rFonts w:eastAsia="Times New Roman" w:cs="Arial"/>
          <w:color w:val="22789A"/>
          <w:sz w:val="16"/>
          <w:szCs w:val="16"/>
          <w:lang w:eastAsia="en-AU"/>
        </w:rPr>
        <w:t xml:space="preserve">This is the median of the OECD+ country scores </w:t>
      </w:r>
      <w:r w:rsidRPr="008671B7">
        <w:rPr>
          <w:rFonts w:eastAsia="Times New Roman" w:cs="Arial"/>
          <w:b/>
          <w:bCs/>
          <w:color w:val="22789A"/>
          <w:sz w:val="16"/>
          <w:szCs w:val="16"/>
          <w:lang w:eastAsia="en-AU"/>
        </w:rPr>
        <w:t xml:space="preserve">(vi) </w:t>
      </w:r>
      <w:r w:rsidRPr="008671B7">
        <w:rPr>
          <w:rFonts w:eastAsia="Times New Roman" w:cs="Arial"/>
          <w:color w:val="22789A"/>
          <w:sz w:val="16"/>
          <w:szCs w:val="16"/>
          <w:lang w:eastAsia="en-AU"/>
        </w:rPr>
        <w:t>This is the arithmetic (simple) average of the top five OECD+ countries in a ranked list.</w:t>
      </w:r>
      <w:r w:rsidRPr="008671B7">
        <w:rPr>
          <w:rFonts w:eastAsia="Times New Roman" w:cs="Arial"/>
          <w:b/>
          <w:bCs/>
          <w:color w:val="22789A"/>
          <w:sz w:val="16"/>
          <w:szCs w:val="16"/>
          <w:lang w:eastAsia="en-AU"/>
        </w:rPr>
        <w:t xml:space="preserve"> (vii)</w:t>
      </w:r>
      <w:r w:rsidRPr="008671B7">
        <w:rPr>
          <w:rFonts w:eastAsia="Times New Roman" w:cs="Arial"/>
          <w:color w:val="22789A"/>
          <w:sz w:val="16"/>
          <w:szCs w:val="16"/>
          <w:lang w:eastAsia="en-AU"/>
        </w:rPr>
        <w:t xml:space="preserve"> This represents Australia’s distance from the frontier as defined by the average of the top five ranked OECD+ countries. It is calculated as 100*(Top five average - Australia’s score)/ Top 5 average. Where the solution is a negative value or zero, ‘no gap’ is shown in the cell. </w:t>
      </w:r>
      <w:r w:rsidRPr="008671B7">
        <w:rPr>
          <w:rFonts w:eastAsia="Times New Roman" w:cs="Arial"/>
          <w:b/>
          <w:bCs/>
          <w:color w:val="22789A"/>
          <w:sz w:val="16"/>
          <w:szCs w:val="16"/>
          <w:lang w:eastAsia="en-AU"/>
        </w:rPr>
        <w:t>(viii)</w:t>
      </w:r>
      <w:r w:rsidRPr="008671B7">
        <w:rPr>
          <w:rFonts w:eastAsia="Times New Roman" w:cs="Arial"/>
          <w:color w:val="22789A"/>
          <w:sz w:val="16"/>
          <w:szCs w:val="16"/>
          <w:lang w:eastAsia="en-AU"/>
        </w:rPr>
        <w:t xml:space="preserve"> OECD+ rankings are performed on those OECD+ countries for which data are available. Individual data availability may vary between indicators.</w:t>
      </w:r>
    </w:p>
    <w:p w14:paraId="7418C383" w14:textId="77777777" w:rsidR="00D471AD" w:rsidRPr="008B33FB" w:rsidRDefault="00D471AD" w:rsidP="00D471AD">
      <w:pPr>
        <w:spacing w:before="120" w:after="120"/>
        <w:rPr>
          <w:rFonts w:eastAsia="Times New Roman" w:cs="Arial"/>
          <w:i/>
          <w:iCs/>
          <w:color w:val="22789A"/>
          <w:sz w:val="16"/>
          <w:szCs w:val="16"/>
          <w:lang w:eastAsia="en-AU"/>
        </w:rPr>
      </w:pPr>
      <w:r w:rsidRPr="008671B7">
        <w:rPr>
          <w:rFonts w:eastAsia="Times New Roman" w:cs="Arial"/>
          <w:b/>
          <w:i/>
          <w:iCs/>
          <w:color w:val="22789A"/>
          <w:sz w:val="16"/>
          <w:szCs w:val="16"/>
          <w:lang w:eastAsia="en-AU"/>
        </w:rPr>
        <w:t>Sources</w:t>
      </w:r>
      <w:r w:rsidRPr="008671B7">
        <w:rPr>
          <w:rFonts w:eastAsia="Times New Roman" w:cs="Arial"/>
          <w:b/>
          <w:color w:val="22789A"/>
          <w:sz w:val="16"/>
          <w:szCs w:val="16"/>
          <w:lang w:eastAsia="en-AU"/>
        </w:rPr>
        <w:t xml:space="preserve"> (1 - 12):</w:t>
      </w:r>
      <w:r w:rsidRPr="008671B7">
        <w:rPr>
          <w:rFonts w:eastAsia="Times New Roman" w:cs="Arial"/>
          <w:color w:val="22789A"/>
          <w:sz w:val="16"/>
          <w:szCs w:val="16"/>
          <w:lang w:eastAsia="en-AU"/>
        </w:rPr>
        <w:t xml:space="preserve"> </w:t>
      </w:r>
      <w:r w:rsidRPr="008671B7">
        <w:rPr>
          <w:rFonts w:eastAsia="Times New Roman" w:cs="Arial"/>
          <w:b/>
          <w:bCs/>
          <w:color w:val="22789A"/>
          <w:sz w:val="16"/>
          <w:szCs w:val="16"/>
          <w:lang w:eastAsia="en-AU"/>
        </w:rPr>
        <w:t>[1]</w:t>
      </w:r>
      <w:r w:rsidRPr="008671B7">
        <w:rPr>
          <w:rFonts w:eastAsia="Times New Roman" w:cs="Arial"/>
          <w:color w:val="22789A"/>
          <w:sz w:val="16"/>
          <w:szCs w:val="16"/>
          <w:lang w:eastAsia="en-AU"/>
        </w:rPr>
        <w:t xml:space="preserve"> OECD (2007) Science, Technology and Industry Scoreboard, 2007, DOI: 10.1787/sti_scoreboard-2007-en; </w:t>
      </w:r>
      <w:r w:rsidRPr="008671B7">
        <w:rPr>
          <w:rFonts w:eastAsia="Times New Roman" w:cs="Arial"/>
          <w:b/>
          <w:bCs/>
          <w:color w:val="22789A"/>
          <w:sz w:val="16"/>
          <w:szCs w:val="16"/>
          <w:lang w:eastAsia="en-AU"/>
        </w:rPr>
        <w:t xml:space="preserve">[2] </w:t>
      </w:r>
      <w:r w:rsidRPr="008671B7">
        <w:rPr>
          <w:rFonts w:eastAsia="Times New Roman" w:cs="Arial"/>
          <w:color w:val="22789A"/>
          <w:sz w:val="16"/>
          <w:szCs w:val="16"/>
          <w:lang w:eastAsia="en-AU"/>
        </w:rPr>
        <w:t xml:space="preserve">OECD (2009) Science, Technology and Industry Scoreboard, 2009, DOI: 10.1787/sti_scoreboard-2009-en; </w:t>
      </w:r>
      <w:r w:rsidRPr="008671B7">
        <w:rPr>
          <w:rFonts w:eastAsia="Times New Roman" w:cs="Arial"/>
          <w:b/>
          <w:bCs/>
          <w:color w:val="22789A"/>
          <w:sz w:val="16"/>
          <w:szCs w:val="16"/>
          <w:lang w:eastAsia="en-AU"/>
        </w:rPr>
        <w:t>[3]</w:t>
      </w:r>
      <w:r w:rsidRPr="008671B7">
        <w:rPr>
          <w:rFonts w:eastAsia="Times New Roman" w:cs="Arial"/>
          <w:color w:val="22789A"/>
          <w:sz w:val="16"/>
          <w:szCs w:val="16"/>
          <w:lang w:eastAsia="en-AU"/>
        </w:rPr>
        <w:t xml:space="preserve"> OECD (2011) Science, Technology and Industry Scoreboard, 2011, DOI: 10.1787/sti_scoreboard-2011-en; </w:t>
      </w:r>
      <w:r w:rsidRPr="008671B7">
        <w:rPr>
          <w:rFonts w:eastAsia="Times New Roman" w:cs="Arial"/>
          <w:b/>
          <w:bCs/>
          <w:color w:val="22789A"/>
          <w:sz w:val="16"/>
          <w:szCs w:val="16"/>
          <w:lang w:eastAsia="en-AU"/>
        </w:rPr>
        <w:t xml:space="preserve">[4] </w:t>
      </w:r>
      <w:r w:rsidRPr="008671B7">
        <w:rPr>
          <w:rFonts w:eastAsia="Times New Roman" w:cs="Arial"/>
          <w:color w:val="22789A"/>
          <w:sz w:val="16"/>
          <w:szCs w:val="16"/>
          <w:lang w:eastAsia="en-AU"/>
        </w:rPr>
        <w:t>OECD (2013) Science, Technology and Industry Scoreboard, 2013, DOI: 10.1787/sti_scoreboard-2013-en;</w:t>
      </w:r>
      <w:r w:rsidRPr="008671B7">
        <w:rPr>
          <w:rFonts w:eastAsia="Times New Roman" w:cs="Arial"/>
          <w:b/>
          <w:bCs/>
          <w:color w:val="22789A"/>
          <w:sz w:val="16"/>
          <w:szCs w:val="16"/>
          <w:lang w:eastAsia="en-AU"/>
        </w:rPr>
        <w:t xml:space="preserve"> [5]</w:t>
      </w:r>
      <w:r w:rsidRPr="008671B7">
        <w:rPr>
          <w:rFonts w:eastAsia="Times New Roman" w:cs="Arial"/>
          <w:color w:val="22789A"/>
          <w:sz w:val="16"/>
          <w:szCs w:val="16"/>
          <w:lang w:eastAsia="en-AU"/>
        </w:rPr>
        <w:t xml:space="preserve"> Australian Government (2014) Special data request from Department of Education, 2014; </w:t>
      </w:r>
      <w:r w:rsidRPr="008671B7">
        <w:rPr>
          <w:rFonts w:eastAsia="Times New Roman" w:cs="Arial"/>
          <w:b/>
          <w:bCs/>
          <w:color w:val="22789A"/>
          <w:sz w:val="16"/>
          <w:szCs w:val="16"/>
          <w:lang w:eastAsia="en-AU"/>
        </w:rPr>
        <w:t xml:space="preserve">[6] </w:t>
      </w:r>
      <w:r w:rsidRPr="008671B7">
        <w:rPr>
          <w:rFonts w:eastAsia="Times New Roman" w:cs="Arial"/>
          <w:color w:val="22789A"/>
          <w:sz w:val="16"/>
          <w:szCs w:val="16"/>
          <w:lang w:eastAsia="en-AU"/>
        </w:rPr>
        <w:t>Australian Government (2015) Higher Education Research Data Collection (HERDC), 2014-1, Award Course Completions, URL: http://education.gov.au/;</w:t>
      </w:r>
      <w:r w:rsidRPr="008671B7">
        <w:rPr>
          <w:rFonts w:eastAsia="Times New Roman" w:cs="Arial"/>
          <w:b/>
          <w:bCs/>
          <w:color w:val="22789A"/>
          <w:sz w:val="16"/>
          <w:szCs w:val="16"/>
          <w:lang w:eastAsia="en-AU"/>
        </w:rPr>
        <w:t xml:space="preserve"> [7]</w:t>
      </w:r>
      <w:r w:rsidRPr="008671B7">
        <w:rPr>
          <w:rFonts w:eastAsia="Times New Roman" w:cs="Arial"/>
          <w:color w:val="22789A"/>
          <w:sz w:val="16"/>
          <w:szCs w:val="16"/>
          <w:lang w:eastAsia="en-AU"/>
        </w:rPr>
        <w:t xml:space="preserve"> OECD (2014) Education at a Glance, 2014, Indicator A3: How many students are expected to complete tertiary education?, URL: http://www.oecd.org/; </w:t>
      </w:r>
      <w:r w:rsidRPr="008671B7">
        <w:rPr>
          <w:rFonts w:eastAsia="Times New Roman" w:cs="Arial"/>
          <w:b/>
          <w:bCs/>
          <w:color w:val="22789A"/>
          <w:sz w:val="16"/>
          <w:szCs w:val="16"/>
          <w:lang w:eastAsia="en-AU"/>
        </w:rPr>
        <w:t>[8]</w:t>
      </w:r>
      <w:r w:rsidRPr="008671B7">
        <w:rPr>
          <w:rFonts w:eastAsia="Times New Roman" w:cs="Arial"/>
          <w:color w:val="22789A"/>
          <w:sz w:val="16"/>
          <w:szCs w:val="16"/>
          <w:lang w:eastAsia="en-AU"/>
        </w:rPr>
        <w:t xml:space="preserve"> OECD (2016) Education at a Glance, 2016, OECD.Stat, URL: http://www.oecd.org/; </w:t>
      </w:r>
      <w:r w:rsidRPr="008671B7">
        <w:rPr>
          <w:rFonts w:eastAsia="Times New Roman" w:cs="Arial"/>
          <w:b/>
          <w:bCs/>
          <w:color w:val="22789A"/>
          <w:sz w:val="16"/>
          <w:szCs w:val="16"/>
          <w:lang w:eastAsia="en-AU"/>
        </w:rPr>
        <w:t>[9]</w:t>
      </w:r>
      <w:r w:rsidRPr="008671B7">
        <w:rPr>
          <w:rFonts w:eastAsia="Times New Roman" w:cs="Arial"/>
          <w:color w:val="22789A"/>
          <w:sz w:val="16"/>
          <w:szCs w:val="16"/>
          <w:lang w:eastAsia="en-AU"/>
        </w:rPr>
        <w:t xml:space="preserve"> OECD (2007–2013) Education at a Glance, 2007–2013, DOI: 10.1787/19991487;</w:t>
      </w:r>
      <w:r w:rsidRPr="008671B7">
        <w:rPr>
          <w:rFonts w:eastAsia="Times New Roman" w:cs="Arial"/>
          <w:b/>
          <w:bCs/>
          <w:color w:val="22789A"/>
          <w:sz w:val="16"/>
          <w:szCs w:val="16"/>
          <w:lang w:eastAsia="en-AU"/>
        </w:rPr>
        <w:t xml:space="preserve"> [10]</w:t>
      </w:r>
      <w:r w:rsidRPr="008671B7">
        <w:rPr>
          <w:rFonts w:eastAsia="Times New Roman" w:cs="Arial"/>
          <w:color w:val="22789A"/>
          <w:sz w:val="16"/>
          <w:szCs w:val="16"/>
          <w:lang w:eastAsia="en-AU"/>
        </w:rPr>
        <w:t xml:space="preserve"> OECD (2014) Education at a Glance, 2014, Indicator C4: Who studies abroad and where?, URL: http://www.oecd.org/;</w:t>
      </w:r>
      <w:r w:rsidRPr="008671B7">
        <w:rPr>
          <w:rFonts w:eastAsia="Times New Roman" w:cs="Arial"/>
          <w:b/>
          <w:bCs/>
          <w:color w:val="22789A"/>
          <w:sz w:val="16"/>
          <w:szCs w:val="16"/>
          <w:lang w:eastAsia="en-AU"/>
        </w:rPr>
        <w:t xml:space="preserve"> [11]</w:t>
      </w:r>
      <w:r w:rsidRPr="008671B7">
        <w:rPr>
          <w:rFonts w:eastAsia="Times New Roman" w:cs="Arial"/>
          <w:color w:val="22789A"/>
          <w:sz w:val="16"/>
          <w:szCs w:val="16"/>
          <w:lang w:eastAsia="en-AU"/>
        </w:rPr>
        <w:t xml:space="preserve"> OECD (2016) Main Science and Technology Indicators, 2016-1, URL: http://stats.oecd.org/;</w:t>
      </w:r>
      <w:r w:rsidRPr="008671B7">
        <w:rPr>
          <w:rFonts w:eastAsia="Times New Roman" w:cs="Arial"/>
          <w:b/>
          <w:bCs/>
          <w:color w:val="22789A"/>
          <w:sz w:val="16"/>
          <w:szCs w:val="16"/>
          <w:lang w:eastAsia="en-AU"/>
        </w:rPr>
        <w:t xml:space="preserve"> [12]</w:t>
      </w:r>
      <w:r w:rsidRPr="008671B7">
        <w:rPr>
          <w:rFonts w:eastAsia="Times New Roman" w:cs="Arial"/>
          <w:color w:val="22789A"/>
          <w:sz w:val="16"/>
          <w:szCs w:val="16"/>
          <w:lang w:eastAsia="en-AU"/>
        </w:rPr>
        <w:t xml:space="preserve"> World Economic Forum (2014-2016) Global Competitiveness Index, 2014–15 - 2016–17, URL: http://www.weforum.org/</w:t>
      </w:r>
    </w:p>
    <w:p w14:paraId="7418C384" w14:textId="77777777" w:rsidR="00D471AD" w:rsidRPr="00922CDF" w:rsidRDefault="00D471AD" w:rsidP="00D471AD">
      <w:pPr>
        <w:spacing w:before="120" w:after="120"/>
        <w:rPr>
          <w:rFonts w:eastAsia="Times New Roman" w:cs="Arial"/>
          <w:i/>
          <w:iCs/>
          <w:color w:val="22789A"/>
          <w:sz w:val="16"/>
          <w:szCs w:val="16"/>
          <w:lang w:eastAsia="en-AU"/>
        </w:rPr>
      </w:pPr>
      <w:r w:rsidRPr="008671B7">
        <w:rPr>
          <w:rFonts w:eastAsia="Times New Roman" w:cs="Arial"/>
          <w:b/>
          <w:i/>
          <w:iCs/>
          <w:color w:val="22789A"/>
          <w:sz w:val="16"/>
          <w:szCs w:val="16"/>
          <w:lang w:eastAsia="en-AU"/>
        </w:rPr>
        <w:t>Indicator notes</w:t>
      </w:r>
      <w:r w:rsidRPr="008671B7">
        <w:rPr>
          <w:rFonts w:eastAsia="Times New Roman" w:cs="Arial"/>
          <w:b/>
          <w:color w:val="22789A"/>
          <w:sz w:val="16"/>
          <w:szCs w:val="16"/>
          <w:lang w:eastAsia="en-AU"/>
        </w:rPr>
        <w:t xml:space="preserve"> (13 - 14):</w:t>
      </w:r>
      <w:r w:rsidRPr="008671B7">
        <w:rPr>
          <w:rFonts w:eastAsia="Times New Roman" w:cs="Arial"/>
          <w:b/>
          <w:bCs/>
          <w:color w:val="22789A"/>
          <w:sz w:val="16"/>
          <w:szCs w:val="16"/>
          <w:lang w:eastAsia="en-AU"/>
        </w:rPr>
        <w:t xml:space="preserve"> [13] </w:t>
      </w:r>
      <w:r w:rsidRPr="008671B7">
        <w:rPr>
          <w:rFonts w:eastAsia="Times New Roman" w:cs="Arial"/>
          <w:color w:val="22789A"/>
          <w:sz w:val="16"/>
          <w:szCs w:val="16"/>
          <w:lang w:eastAsia="en-AU"/>
        </w:rPr>
        <w:t xml:space="preserve">1996 data used in place of 1995 data.; </w:t>
      </w:r>
      <w:r w:rsidRPr="008671B7">
        <w:rPr>
          <w:rFonts w:eastAsia="Times New Roman" w:cs="Arial"/>
          <w:b/>
          <w:bCs/>
          <w:color w:val="22789A"/>
          <w:sz w:val="16"/>
          <w:szCs w:val="16"/>
          <w:lang w:eastAsia="en-AU"/>
        </w:rPr>
        <w:t>[14]</w:t>
      </w:r>
      <w:r w:rsidRPr="008671B7">
        <w:rPr>
          <w:rFonts w:eastAsia="Times New Roman" w:cs="Arial"/>
          <w:color w:val="22789A"/>
          <w:sz w:val="16"/>
          <w:szCs w:val="16"/>
          <w:lang w:eastAsia="en-AU"/>
        </w:rPr>
        <w:t xml:space="preserve"> 2004 data used in place of 2005 data.</w:t>
      </w:r>
    </w:p>
    <w:p w14:paraId="7418C385" w14:textId="77777777" w:rsidR="00D471AD" w:rsidRDefault="00D471AD" w:rsidP="00D471AD">
      <w:r>
        <w:br w:type="page"/>
      </w:r>
    </w:p>
    <w:tbl>
      <w:tblPr>
        <w:tblW w:w="5025" w:type="pct"/>
        <w:tblBorders>
          <w:bottom w:val="single" w:sz="4" w:space="0" w:color="auto"/>
        </w:tblBorders>
        <w:tblLook w:val="04A0" w:firstRow="1" w:lastRow="0" w:firstColumn="1" w:lastColumn="0" w:noHBand="0" w:noVBand="1"/>
      </w:tblPr>
      <w:tblGrid>
        <w:gridCol w:w="5703"/>
        <w:gridCol w:w="698"/>
        <w:gridCol w:w="698"/>
        <w:gridCol w:w="698"/>
        <w:gridCol w:w="698"/>
        <w:gridCol w:w="699"/>
        <w:gridCol w:w="699"/>
        <w:gridCol w:w="699"/>
        <w:gridCol w:w="699"/>
        <w:gridCol w:w="699"/>
        <w:gridCol w:w="699"/>
        <w:gridCol w:w="699"/>
        <w:gridCol w:w="640"/>
      </w:tblGrid>
      <w:tr w:rsidR="00D471AD" w:rsidRPr="00922CDF" w14:paraId="7418C387" w14:textId="77777777" w:rsidTr="004A31A9">
        <w:trPr>
          <w:trHeight w:val="300"/>
        </w:trPr>
        <w:tc>
          <w:tcPr>
            <w:tcW w:w="5000" w:type="pct"/>
            <w:gridSpan w:val="13"/>
            <w:tcBorders>
              <w:top w:val="single" w:sz="8" w:space="0" w:color="22789A"/>
              <w:bottom w:val="nil"/>
            </w:tcBorders>
            <w:shd w:val="clear" w:color="auto" w:fill="auto"/>
            <w:vAlign w:val="center"/>
          </w:tcPr>
          <w:p w14:paraId="7418C386" w14:textId="77777777" w:rsidR="00D471AD" w:rsidRPr="00922CDF" w:rsidRDefault="00D471AD" w:rsidP="004A31A9">
            <w:pPr>
              <w:widowControl w:val="0"/>
              <w:spacing w:before="42" w:after="0" w:line="240" w:lineRule="auto"/>
              <w:ind w:left="-108"/>
              <w:rPr>
                <w:rFonts w:eastAsia="Calibri" w:hAnsi="Calibri" w:cs="Times New Roman"/>
                <w:i/>
                <w:color w:val="22789A"/>
                <w:spacing w:val="3"/>
                <w:sz w:val="18"/>
                <w:lang w:val="en-US"/>
              </w:rPr>
            </w:pPr>
            <w:r w:rsidRPr="00922CDF">
              <w:rPr>
                <w:rFonts w:eastAsia="Calibri" w:hAnsi="Calibri" w:cs="Times New Roman"/>
                <w:i/>
                <w:color w:val="22789A"/>
                <w:spacing w:val="3"/>
                <w:sz w:val="18"/>
                <w:lang w:val="en-US"/>
              </w:rPr>
              <w:t>Table A9(a): Quality measures of Australia</w:t>
            </w:r>
            <w:r w:rsidRPr="00922CDF">
              <w:rPr>
                <w:rFonts w:eastAsia="Calibri" w:hAnsi="Calibri" w:cs="Times New Roman"/>
                <w:i/>
                <w:color w:val="22789A"/>
                <w:spacing w:val="3"/>
                <w:sz w:val="18"/>
                <w:lang w:val="en-US"/>
              </w:rPr>
              <w:t>’</w:t>
            </w:r>
            <w:r w:rsidRPr="00922CDF">
              <w:rPr>
                <w:rFonts w:eastAsia="Calibri" w:hAnsi="Calibri" w:cs="Times New Roman"/>
                <w:i/>
                <w:color w:val="22789A"/>
                <w:spacing w:val="3"/>
                <w:sz w:val="18"/>
                <w:lang w:val="en-US"/>
              </w:rPr>
              <w:t>s research publications</w:t>
            </w:r>
          </w:p>
        </w:tc>
      </w:tr>
      <w:tr w:rsidR="00D471AD" w:rsidRPr="00922CDF" w14:paraId="7418C389" w14:textId="77777777" w:rsidTr="004A31A9">
        <w:trPr>
          <w:trHeight w:val="300"/>
        </w:trPr>
        <w:tc>
          <w:tcPr>
            <w:tcW w:w="5000" w:type="pct"/>
            <w:gridSpan w:val="13"/>
            <w:tcBorders>
              <w:top w:val="nil"/>
            </w:tcBorders>
            <w:shd w:val="clear" w:color="292B67" w:fill="22789A"/>
            <w:vAlign w:val="center"/>
            <w:hideMark/>
          </w:tcPr>
          <w:p w14:paraId="7418C388" w14:textId="77777777" w:rsidR="00D471AD" w:rsidRPr="00922CDF" w:rsidRDefault="00D471AD" w:rsidP="004A31A9">
            <w:pPr>
              <w:widowControl w:val="0"/>
              <w:spacing w:before="42" w:after="0" w:line="240" w:lineRule="auto"/>
              <w:ind w:left="79"/>
              <w:rPr>
                <w:rFonts w:eastAsia="Calibri" w:hAnsi="Calibri" w:cs="Times New Roman"/>
                <w:i/>
                <w:color w:val="FFFFFF"/>
                <w:spacing w:val="3"/>
                <w:sz w:val="18"/>
                <w:lang w:val="en-US"/>
              </w:rPr>
            </w:pPr>
            <w:r w:rsidRPr="00922CDF">
              <w:rPr>
                <w:rFonts w:eastAsia="Calibri" w:hAnsi="Calibri" w:cs="Times New Roman"/>
                <w:i/>
                <w:color w:val="FFFFFF"/>
                <w:spacing w:val="3"/>
                <w:sz w:val="18"/>
                <w:lang w:val="en-US"/>
              </w:rPr>
              <w:t>Australian Trend Data (i)</w:t>
            </w:r>
          </w:p>
        </w:tc>
      </w:tr>
      <w:tr w:rsidR="00D471AD" w:rsidRPr="00922CDF" w14:paraId="7418C397" w14:textId="77777777" w:rsidTr="004A31A9">
        <w:trPr>
          <w:trHeight w:val="300"/>
        </w:trPr>
        <w:tc>
          <w:tcPr>
            <w:tcW w:w="2033" w:type="pct"/>
            <w:shd w:val="clear" w:color="auto" w:fill="E4F3F9"/>
            <w:vAlign w:val="center"/>
            <w:hideMark/>
          </w:tcPr>
          <w:p w14:paraId="7418C38A" w14:textId="77777777" w:rsidR="00D471AD" w:rsidRPr="00922CDF" w:rsidRDefault="00D471AD" w:rsidP="004A31A9">
            <w:pPr>
              <w:spacing w:after="0" w:line="240" w:lineRule="auto"/>
              <w:rPr>
                <w:rFonts w:eastAsia="Times New Roman" w:cs="Arial"/>
                <w:b/>
                <w:bCs/>
                <w:i/>
                <w:color w:val="7A7B7C"/>
                <w:sz w:val="14"/>
                <w:szCs w:val="14"/>
                <w:lang w:eastAsia="en-AU"/>
              </w:rPr>
            </w:pPr>
            <w:r w:rsidRPr="00922CDF">
              <w:rPr>
                <w:rFonts w:eastAsia="Times New Roman" w:cs="Arial"/>
                <w:b/>
                <w:bCs/>
                <w:i/>
                <w:color w:val="7A7B7C"/>
                <w:sz w:val="14"/>
                <w:szCs w:val="14"/>
                <w:lang w:eastAsia="en-AU"/>
              </w:rPr>
              <w:t>Indicators</w:t>
            </w:r>
          </w:p>
        </w:tc>
        <w:tc>
          <w:tcPr>
            <w:tcW w:w="249" w:type="pct"/>
            <w:shd w:val="clear" w:color="auto" w:fill="E4F3F9"/>
            <w:vAlign w:val="center"/>
            <w:hideMark/>
          </w:tcPr>
          <w:p w14:paraId="7418C38B"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1995</w:t>
            </w:r>
          </w:p>
        </w:tc>
        <w:tc>
          <w:tcPr>
            <w:tcW w:w="249" w:type="pct"/>
            <w:shd w:val="clear" w:color="auto" w:fill="E4F3F9"/>
            <w:vAlign w:val="center"/>
            <w:hideMark/>
          </w:tcPr>
          <w:p w14:paraId="7418C38C"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2000</w:t>
            </w:r>
          </w:p>
        </w:tc>
        <w:tc>
          <w:tcPr>
            <w:tcW w:w="249" w:type="pct"/>
            <w:shd w:val="clear" w:color="auto" w:fill="E4F3F9"/>
            <w:vAlign w:val="center"/>
            <w:hideMark/>
          </w:tcPr>
          <w:p w14:paraId="7418C38D"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2005</w:t>
            </w:r>
          </w:p>
        </w:tc>
        <w:tc>
          <w:tcPr>
            <w:tcW w:w="249" w:type="pct"/>
            <w:shd w:val="clear" w:color="auto" w:fill="E4F3F9"/>
            <w:vAlign w:val="center"/>
            <w:hideMark/>
          </w:tcPr>
          <w:p w14:paraId="7418C38E"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2007</w:t>
            </w:r>
          </w:p>
        </w:tc>
        <w:tc>
          <w:tcPr>
            <w:tcW w:w="249" w:type="pct"/>
            <w:shd w:val="clear" w:color="auto" w:fill="E4F3F9"/>
            <w:vAlign w:val="center"/>
            <w:hideMark/>
          </w:tcPr>
          <w:p w14:paraId="7418C38F"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2008</w:t>
            </w:r>
          </w:p>
        </w:tc>
        <w:tc>
          <w:tcPr>
            <w:tcW w:w="249" w:type="pct"/>
            <w:shd w:val="clear" w:color="auto" w:fill="E4F3F9"/>
            <w:vAlign w:val="center"/>
            <w:hideMark/>
          </w:tcPr>
          <w:p w14:paraId="7418C390"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2009</w:t>
            </w:r>
          </w:p>
        </w:tc>
        <w:tc>
          <w:tcPr>
            <w:tcW w:w="249" w:type="pct"/>
            <w:shd w:val="clear" w:color="auto" w:fill="E4F3F9"/>
            <w:vAlign w:val="center"/>
            <w:hideMark/>
          </w:tcPr>
          <w:p w14:paraId="7418C391"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2010</w:t>
            </w:r>
          </w:p>
        </w:tc>
        <w:tc>
          <w:tcPr>
            <w:tcW w:w="249" w:type="pct"/>
            <w:shd w:val="clear" w:color="auto" w:fill="E4F3F9"/>
            <w:vAlign w:val="center"/>
            <w:hideMark/>
          </w:tcPr>
          <w:p w14:paraId="7418C392"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2011</w:t>
            </w:r>
          </w:p>
        </w:tc>
        <w:tc>
          <w:tcPr>
            <w:tcW w:w="249" w:type="pct"/>
            <w:shd w:val="clear" w:color="auto" w:fill="E4F3F9"/>
            <w:vAlign w:val="center"/>
            <w:hideMark/>
          </w:tcPr>
          <w:p w14:paraId="7418C393"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2012</w:t>
            </w:r>
          </w:p>
        </w:tc>
        <w:tc>
          <w:tcPr>
            <w:tcW w:w="249" w:type="pct"/>
            <w:shd w:val="clear" w:color="auto" w:fill="E4F3F9"/>
            <w:vAlign w:val="center"/>
            <w:hideMark/>
          </w:tcPr>
          <w:p w14:paraId="7418C394"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2013</w:t>
            </w:r>
          </w:p>
        </w:tc>
        <w:tc>
          <w:tcPr>
            <w:tcW w:w="249" w:type="pct"/>
            <w:shd w:val="clear" w:color="auto" w:fill="E4F3F9"/>
            <w:vAlign w:val="center"/>
            <w:hideMark/>
          </w:tcPr>
          <w:p w14:paraId="7418C395"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2014</w:t>
            </w:r>
          </w:p>
        </w:tc>
        <w:tc>
          <w:tcPr>
            <w:tcW w:w="228" w:type="pct"/>
            <w:shd w:val="clear" w:color="auto" w:fill="E4F3F9"/>
            <w:vAlign w:val="center"/>
            <w:hideMark/>
          </w:tcPr>
          <w:p w14:paraId="7418C396"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2015</w:t>
            </w:r>
          </w:p>
        </w:tc>
      </w:tr>
      <w:tr w:rsidR="00D471AD" w:rsidRPr="00922CDF" w14:paraId="7418C3A5" w14:textId="77777777" w:rsidTr="004A31A9">
        <w:trPr>
          <w:trHeight w:val="300"/>
        </w:trPr>
        <w:tc>
          <w:tcPr>
            <w:tcW w:w="2033" w:type="pct"/>
            <w:shd w:val="clear" w:color="auto" w:fill="D5ECF5"/>
            <w:vAlign w:val="center"/>
            <w:hideMark/>
          </w:tcPr>
          <w:p w14:paraId="7418C398"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Share of world publications, %¹ ²</w:t>
            </w:r>
          </w:p>
        </w:tc>
        <w:tc>
          <w:tcPr>
            <w:tcW w:w="249" w:type="pct"/>
            <w:shd w:val="clear" w:color="auto" w:fill="D5ECF5"/>
            <w:vAlign w:val="center"/>
            <w:hideMark/>
          </w:tcPr>
          <w:p w14:paraId="7418C39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2.45</w:t>
            </w:r>
          </w:p>
        </w:tc>
        <w:tc>
          <w:tcPr>
            <w:tcW w:w="249" w:type="pct"/>
            <w:shd w:val="clear" w:color="auto" w:fill="D5ECF5"/>
            <w:vAlign w:val="center"/>
            <w:hideMark/>
          </w:tcPr>
          <w:p w14:paraId="7418C39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2.77</w:t>
            </w:r>
          </w:p>
        </w:tc>
        <w:tc>
          <w:tcPr>
            <w:tcW w:w="249" w:type="pct"/>
            <w:shd w:val="clear" w:color="auto" w:fill="D5ECF5"/>
            <w:vAlign w:val="center"/>
            <w:hideMark/>
          </w:tcPr>
          <w:p w14:paraId="7418C39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2.90</w:t>
            </w:r>
          </w:p>
        </w:tc>
        <w:tc>
          <w:tcPr>
            <w:tcW w:w="249" w:type="pct"/>
            <w:shd w:val="clear" w:color="auto" w:fill="D5ECF5"/>
            <w:vAlign w:val="center"/>
            <w:hideMark/>
          </w:tcPr>
          <w:p w14:paraId="7418C39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3.01</w:t>
            </w:r>
          </w:p>
        </w:tc>
        <w:tc>
          <w:tcPr>
            <w:tcW w:w="249" w:type="pct"/>
            <w:shd w:val="clear" w:color="auto" w:fill="D5ECF5"/>
            <w:vAlign w:val="center"/>
            <w:hideMark/>
          </w:tcPr>
          <w:p w14:paraId="7418C39D"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3.09</w:t>
            </w:r>
          </w:p>
        </w:tc>
        <w:tc>
          <w:tcPr>
            <w:tcW w:w="249" w:type="pct"/>
            <w:shd w:val="clear" w:color="auto" w:fill="D5ECF5"/>
            <w:vAlign w:val="center"/>
            <w:hideMark/>
          </w:tcPr>
          <w:p w14:paraId="7418C39E"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3.19</w:t>
            </w:r>
          </w:p>
        </w:tc>
        <w:tc>
          <w:tcPr>
            <w:tcW w:w="249" w:type="pct"/>
            <w:shd w:val="clear" w:color="auto" w:fill="D5ECF5"/>
            <w:vAlign w:val="center"/>
            <w:hideMark/>
          </w:tcPr>
          <w:p w14:paraId="7418C39F"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3.29</w:t>
            </w:r>
          </w:p>
        </w:tc>
        <w:tc>
          <w:tcPr>
            <w:tcW w:w="249" w:type="pct"/>
            <w:shd w:val="clear" w:color="auto" w:fill="D5ECF5"/>
            <w:vAlign w:val="center"/>
            <w:hideMark/>
          </w:tcPr>
          <w:p w14:paraId="7418C3A0"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3.38</w:t>
            </w:r>
          </w:p>
        </w:tc>
        <w:tc>
          <w:tcPr>
            <w:tcW w:w="249" w:type="pct"/>
            <w:shd w:val="clear" w:color="auto" w:fill="D5ECF5"/>
            <w:vAlign w:val="center"/>
            <w:hideMark/>
          </w:tcPr>
          <w:p w14:paraId="7418C3A1"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3.49</w:t>
            </w:r>
          </w:p>
        </w:tc>
        <w:tc>
          <w:tcPr>
            <w:tcW w:w="249" w:type="pct"/>
            <w:shd w:val="clear" w:color="auto" w:fill="D5ECF5"/>
            <w:vAlign w:val="center"/>
            <w:hideMark/>
          </w:tcPr>
          <w:p w14:paraId="7418C3A2"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3.61</w:t>
            </w:r>
          </w:p>
        </w:tc>
        <w:tc>
          <w:tcPr>
            <w:tcW w:w="249" w:type="pct"/>
            <w:shd w:val="clear" w:color="auto" w:fill="D5ECF5"/>
            <w:vAlign w:val="center"/>
            <w:hideMark/>
          </w:tcPr>
          <w:p w14:paraId="7418C3A3"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3.73</w:t>
            </w:r>
          </w:p>
        </w:tc>
        <w:tc>
          <w:tcPr>
            <w:tcW w:w="228" w:type="pct"/>
            <w:shd w:val="clear" w:color="auto" w:fill="D5ECF5"/>
            <w:vAlign w:val="center"/>
            <w:hideMark/>
          </w:tcPr>
          <w:p w14:paraId="7418C3A4"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3.85</w:t>
            </w:r>
          </w:p>
        </w:tc>
      </w:tr>
      <w:tr w:rsidR="00D471AD" w:rsidRPr="00922CDF" w14:paraId="7418C3B3" w14:textId="77777777" w:rsidTr="004A31A9">
        <w:trPr>
          <w:trHeight w:val="300"/>
        </w:trPr>
        <w:tc>
          <w:tcPr>
            <w:tcW w:w="2033" w:type="pct"/>
            <w:shd w:val="clear" w:color="auto" w:fill="E4F3F9"/>
            <w:vAlign w:val="center"/>
            <w:hideMark/>
          </w:tcPr>
          <w:p w14:paraId="7418C3A6"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Number of fields with higher than world average citation rate by field (out of 22)¹</w:t>
            </w:r>
          </w:p>
        </w:tc>
        <w:tc>
          <w:tcPr>
            <w:tcW w:w="249" w:type="pct"/>
            <w:shd w:val="clear" w:color="auto" w:fill="E4F3F9"/>
            <w:vAlign w:val="center"/>
            <w:hideMark/>
          </w:tcPr>
          <w:p w14:paraId="7418C3A7"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11</w:t>
            </w:r>
          </w:p>
        </w:tc>
        <w:tc>
          <w:tcPr>
            <w:tcW w:w="249" w:type="pct"/>
            <w:shd w:val="clear" w:color="auto" w:fill="E4F3F9"/>
            <w:vAlign w:val="center"/>
            <w:hideMark/>
          </w:tcPr>
          <w:p w14:paraId="7418C3A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15</w:t>
            </w:r>
          </w:p>
        </w:tc>
        <w:tc>
          <w:tcPr>
            <w:tcW w:w="249" w:type="pct"/>
            <w:shd w:val="clear" w:color="auto" w:fill="E4F3F9"/>
            <w:vAlign w:val="center"/>
            <w:hideMark/>
          </w:tcPr>
          <w:p w14:paraId="7418C3A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19</w:t>
            </w:r>
          </w:p>
        </w:tc>
        <w:tc>
          <w:tcPr>
            <w:tcW w:w="249" w:type="pct"/>
            <w:shd w:val="clear" w:color="auto" w:fill="E4F3F9"/>
            <w:vAlign w:val="center"/>
            <w:hideMark/>
          </w:tcPr>
          <w:p w14:paraId="7418C3A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20</w:t>
            </w:r>
          </w:p>
        </w:tc>
        <w:tc>
          <w:tcPr>
            <w:tcW w:w="249" w:type="pct"/>
            <w:shd w:val="clear" w:color="auto" w:fill="E4F3F9"/>
            <w:vAlign w:val="center"/>
            <w:hideMark/>
          </w:tcPr>
          <w:p w14:paraId="7418C3A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21</w:t>
            </w:r>
          </w:p>
        </w:tc>
        <w:tc>
          <w:tcPr>
            <w:tcW w:w="249" w:type="pct"/>
            <w:shd w:val="clear" w:color="auto" w:fill="E4F3F9"/>
            <w:vAlign w:val="center"/>
            <w:hideMark/>
          </w:tcPr>
          <w:p w14:paraId="7418C3A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21</w:t>
            </w:r>
          </w:p>
        </w:tc>
        <w:tc>
          <w:tcPr>
            <w:tcW w:w="249" w:type="pct"/>
            <w:shd w:val="clear" w:color="auto" w:fill="E4F3F9"/>
            <w:vAlign w:val="center"/>
            <w:hideMark/>
          </w:tcPr>
          <w:p w14:paraId="7418C3AD"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21</w:t>
            </w:r>
          </w:p>
        </w:tc>
        <w:tc>
          <w:tcPr>
            <w:tcW w:w="249" w:type="pct"/>
            <w:shd w:val="clear" w:color="auto" w:fill="E4F3F9"/>
            <w:vAlign w:val="center"/>
            <w:hideMark/>
          </w:tcPr>
          <w:p w14:paraId="7418C3AE"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21</w:t>
            </w:r>
          </w:p>
        </w:tc>
        <w:tc>
          <w:tcPr>
            <w:tcW w:w="249" w:type="pct"/>
            <w:shd w:val="clear" w:color="auto" w:fill="E4F3F9"/>
            <w:vAlign w:val="center"/>
            <w:hideMark/>
          </w:tcPr>
          <w:p w14:paraId="7418C3AF"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21</w:t>
            </w:r>
          </w:p>
        </w:tc>
        <w:tc>
          <w:tcPr>
            <w:tcW w:w="249" w:type="pct"/>
            <w:shd w:val="clear" w:color="auto" w:fill="E4F3F9"/>
            <w:vAlign w:val="center"/>
            <w:hideMark/>
          </w:tcPr>
          <w:p w14:paraId="7418C3B0"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21</w:t>
            </w:r>
          </w:p>
        </w:tc>
        <w:tc>
          <w:tcPr>
            <w:tcW w:w="249" w:type="pct"/>
            <w:shd w:val="clear" w:color="auto" w:fill="E4F3F9"/>
            <w:vAlign w:val="center"/>
            <w:hideMark/>
          </w:tcPr>
          <w:p w14:paraId="7418C3B1"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21</w:t>
            </w:r>
          </w:p>
        </w:tc>
        <w:tc>
          <w:tcPr>
            <w:tcW w:w="228" w:type="pct"/>
            <w:shd w:val="clear" w:color="auto" w:fill="E4F3F9"/>
            <w:vAlign w:val="center"/>
            <w:hideMark/>
          </w:tcPr>
          <w:p w14:paraId="7418C3B2"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22</w:t>
            </w:r>
          </w:p>
        </w:tc>
      </w:tr>
      <w:tr w:rsidR="00D471AD" w:rsidRPr="00922CDF" w14:paraId="7418C3C1" w14:textId="77777777" w:rsidTr="004A31A9">
        <w:trPr>
          <w:trHeight w:val="300"/>
        </w:trPr>
        <w:tc>
          <w:tcPr>
            <w:tcW w:w="2033" w:type="pct"/>
            <w:shd w:val="clear" w:color="auto" w:fill="D5ECF5"/>
            <w:vAlign w:val="center"/>
            <w:hideMark/>
          </w:tcPr>
          <w:p w14:paraId="7418C3B4"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Relative citation impact¹ ² ³</w:t>
            </w:r>
          </w:p>
        </w:tc>
        <w:tc>
          <w:tcPr>
            <w:tcW w:w="249" w:type="pct"/>
            <w:shd w:val="clear" w:color="auto" w:fill="D5ECF5"/>
            <w:vAlign w:val="center"/>
            <w:hideMark/>
          </w:tcPr>
          <w:p w14:paraId="7418C3B5"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1.05</w:t>
            </w:r>
          </w:p>
        </w:tc>
        <w:tc>
          <w:tcPr>
            <w:tcW w:w="249" w:type="pct"/>
            <w:shd w:val="clear" w:color="auto" w:fill="D5ECF5"/>
            <w:vAlign w:val="center"/>
            <w:hideMark/>
          </w:tcPr>
          <w:p w14:paraId="7418C3B6"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1.08</w:t>
            </w:r>
          </w:p>
        </w:tc>
        <w:tc>
          <w:tcPr>
            <w:tcW w:w="249" w:type="pct"/>
            <w:shd w:val="clear" w:color="auto" w:fill="D5ECF5"/>
            <w:vAlign w:val="center"/>
            <w:hideMark/>
          </w:tcPr>
          <w:p w14:paraId="7418C3B7"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1.14</w:t>
            </w:r>
          </w:p>
        </w:tc>
        <w:tc>
          <w:tcPr>
            <w:tcW w:w="249" w:type="pct"/>
            <w:shd w:val="clear" w:color="auto" w:fill="D5ECF5"/>
            <w:vAlign w:val="center"/>
            <w:hideMark/>
          </w:tcPr>
          <w:p w14:paraId="7418C3B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1.16</w:t>
            </w:r>
          </w:p>
        </w:tc>
        <w:tc>
          <w:tcPr>
            <w:tcW w:w="249" w:type="pct"/>
            <w:shd w:val="clear" w:color="auto" w:fill="D5ECF5"/>
            <w:vAlign w:val="center"/>
            <w:hideMark/>
          </w:tcPr>
          <w:p w14:paraId="7418C3B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1.18</w:t>
            </w:r>
          </w:p>
        </w:tc>
        <w:tc>
          <w:tcPr>
            <w:tcW w:w="249" w:type="pct"/>
            <w:shd w:val="clear" w:color="auto" w:fill="D5ECF5"/>
            <w:vAlign w:val="center"/>
            <w:hideMark/>
          </w:tcPr>
          <w:p w14:paraId="7418C3B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1.20</w:t>
            </w:r>
          </w:p>
        </w:tc>
        <w:tc>
          <w:tcPr>
            <w:tcW w:w="249" w:type="pct"/>
            <w:shd w:val="clear" w:color="auto" w:fill="D5ECF5"/>
            <w:vAlign w:val="center"/>
            <w:hideMark/>
          </w:tcPr>
          <w:p w14:paraId="7418C3B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1.23</w:t>
            </w:r>
          </w:p>
        </w:tc>
        <w:tc>
          <w:tcPr>
            <w:tcW w:w="249" w:type="pct"/>
            <w:shd w:val="clear" w:color="auto" w:fill="D5ECF5"/>
            <w:vAlign w:val="center"/>
            <w:hideMark/>
          </w:tcPr>
          <w:p w14:paraId="7418C3B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1.27</w:t>
            </w:r>
          </w:p>
        </w:tc>
        <w:tc>
          <w:tcPr>
            <w:tcW w:w="249" w:type="pct"/>
            <w:shd w:val="clear" w:color="auto" w:fill="D5ECF5"/>
            <w:vAlign w:val="center"/>
            <w:hideMark/>
          </w:tcPr>
          <w:p w14:paraId="7418C3BD"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1.30</w:t>
            </w:r>
          </w:p>
        </w:tc>
        <w:tc>
          <w:tcPr>
            <w:tcW w:w="249" w:type="pct"/>
            <w:shd w:val="clear" w:color="auto" w:fill="D5ECF5"/>
            <w:vAlign w:val="center"/>
            <w:hideMark/>
          </w:tcPr>
          <w:p w14:paraId="7418C3BE"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1.32</w:t>
            </w:r>
          </w:p>
        </w:tc>
        <w:tc>
          <w:tcPr>
            <w:tcW w:w="249" w:type="pct"/>
            <w:shd w:val="clear" w:color="auto" w:fill="D5ECF5"/>
            <w:vAlign w:val="center"/>
            <w:hideMark/>
          </w:tcPr>
          <w:p w14:paraId="7418C3BF"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1.34</w:t>
            </w:r>
          </w:p>
        </w:tc>
        <w:tc>
          <w:tcPr>
            <w:tcW w:w="228" w:type="pct"/>
            <w:shd w:val="clear" w:color="auto" w:fill="D5ECF5"/>
            <w:vAlign w:val="center"/>
            <w:hideMark/>
          </w:tcPr>
          <w:p w14:paraId="7418C3C0"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1.37</w:t>
            </w:r>
          </w:p>
        </w:tc>
      </w:tr>
      <w:tr w:rsidR="00D471AD" w:rsidRPr="00922CDF" w14:paraId="7418C3CF" w14:textId="77777777" w:rsidTr="004A31A9">
        <w:trPr>
          <w:trHeight w:val="300"/>
        </w:trPr>
        <w:tc>
          <w:tcPr>
            <w:tcW w:w="2033" w:type="pct"/>
            <w:shd w:val="clear" w:color="auto" w:fill="E4F3F9"/>
            <w:vAlign w:val="center"/>
            <w:hideMark/>
          </w:tcPr>
          <w:p w14:paraId="7418C3C2"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Share of world's top 1% highly cited publications, all disciplines ¹</w:t>
            </w:r>
          </w:p>
        </w:tc>
        <w:tc>
          <w:tcPr>
            <w:tcW w:w="249" w:type="pct"/>
            <w:shd w:val="clear" w:color="auto" w:fill="E4F3F9"/>
            <w:vAlign w:val="center"/>
            <w:hideMark/>
          </w:tcPr>
          <w:p w14:paraId="7418C3C3"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2.5</w:t>
            </w:r>
          </w:p>
        </w:tc>
        <w:tc>
          <w:tcPr>
            <w:tcW w:w="249" w:type="pct"/>
            <w:shd w:val="clear" w:color="auto" w:fill="E4F3F9"/>
            <w:vAlign w:val="center"/>
            <w:hideMark/>
          </w:tcPr>
          <w:p w14:paraId="7418C3C4"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3.1</w:t>
            </w:r>
          </w:p>
        </w:tc>
        <w:tc>
          <w:tcPr>
            <w:tcW w:w="249" w:type="pct"/>
            <w:shd w:val="clear" w:color="auto" w:fill="E4F3F9"/>
            <w:vAlign w:val="center"/>
            <w:hideMark/>
          </w:tcPr>
          <w:p w14:paraId="7418C3C5"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3.5</w:t>
            </w:r>
          </w:p>
        </w:tc>
        <w:tc>
          <w:tcPr>
            <w:tcW w:w="249" w:type="pct"/>
            <w:shd w:val="clear" w:color="auto" w:fill="E4F3F9"/>
            <w:vAlign w:val="center"/>
            <w:hideMark/>
          </w:tcPr>
          <w:p w14:paraId="7418C3C6"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3.9</w:t>
            </w:r>
          </w:p>
        </w:tc>
        <w:tc>
          <w:tcPr>
            <w:tcW w:w="249" w:type="pct"/>
            <w:shd w:val="clear" w:color="auto" w:fill="E4F3F9"/>
            <w:vAlign w:val="center"/>
            <w:hideMark/>
          </w:tcPr>
          <w:p w14:paraId="7418C3C7"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4.4</w:t>
            </w:r>
          </w:p>
        </w:tc>
        <w:tc>
          <w:tcPr>
            <w:tcW w:w="249" w:type="pct"/>
            <w:shd w:val="clear" w:color="auto" w:fill="E4F3F9"/>
            <w:vAlign w:val="center"/>
            <w:hideMark/>
          </w:tcPr>
          <w:p w14:paraId="7418C3C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5.0</w:t>
            </w:r>
          </w:p>
        </w:tc>
        <w:tc>
          <w:tcPr>
            <w:tcW w:w="249" w:type="pct"/>
            <w:shd w:val="clear" w:color="auto" w:fill="E4F3F9"/>
            <w:vAlign w:val="center"/>
            <w:hideMark/>
          </w:tcPr>
          <w:p w14:paraId="7418C3C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5.4</w:t>
            </w:r>
          </w:p>
        </w:tc>
        <w:tc>
          <w:tcPr>
            <w:tcW w:w="249" w:type="pct"/>
            <w:shd w:val="clear" w:color="auto" w:fill="E4F3F9"/>
            <w:vAlign w:val="center"/>
            <w:hideMark/>
          </w:tcPr>
          <w:p w14:paraId="7418C3C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5.7</w:t>
            </w:r>
          </w:p>
        </w:tc>
        <w:tc>
          <w:tcPr>
            <w:tcW w:w="249" w:type="pct"/>
            <w:shd w:val="clear" w:color="auto" w:fill="E4F3F9"/>
            <w:vAlign w:val="center"/>
            <w:hideMark/>
          </w:tcPr>
          <w:p w14:paraId="7418C3C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6.2</w:t>
            </w:r>
          </w:p>
        </w:tc>
        <w:tc>
          <w:tcPr>
            <w:tcW w:w="249" w:type="pct"/>
            <w:shd w:val="clear" w:color="auto" w:fill="E4F3F9"/>
            <w:vAlign w:val="center"/>
            <w:hideMark/>
          </w:tcPr>
          <w:p w14:paraId="7418C3C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6.5</w:t>
            </w:r>
          </w:p>
        </w:tc>
        <w:tc>
          <w:tcPr>
            <w:tcW w:w="249" w:type="pct"/>
            <w:shd w:val="clear" w:color="auto" w:fill="E4F3F9"/>
            <w:vAlign w:val="center"/>
            <w:hideMark/>
          </w:tcPr>
          <w:p w14:paraId="7418C3CD"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7.1</w:t>
            </w:r>
          </w:p>
        </w:tc>
        <w:tc>
          <w:tcPr>
            <w:tcW w:w="228" w:type="pct"/>
            <w:shd w:val="clear" w:color="auto" w:fill="E4F3F9"/>
            <w:vAlign w:val="center"/>
            <w:hideMark/>
          </w:tcPr>
          <w:p w14:paraId="7418C3CE"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7.3</w:t>
            </w:r>
          </w:p>
        </w:tc>
      </w:tr>
      <w:tr w:rsidR="00D471AD" w:rsidRPr="00922CDF" w14:paraId="7418C3DD" w14:textId="77777777" w:rsidTr="004A31A9">
        <w:trPr>
          <w:trHeight w:val="300"/>
        </w:trPr>
        <w:tc>
          <w:tcPr>
            <w:tcW w:w="2033" w:type="pct"/>
            <w:shd w:val="clear" w:color="auto" w:fill="D5ECF5"/>
            <w:vAlign w:val="center"/>
            <w:hideMark/>
          </w:tcPr>
          <w:p w14:paraId="7418C3D0"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Share of world's top 1% highly cited publications, natural sciences and engineering¹</w:t>
            </w:r>
          </w:p>
        </w:tc>
        <w:tc>
          <w:tcPr>
            <w:tcW w:w="249" w:type="pct"/>
            <w:shd w:val="clear" w:color="auto" w:fill="D5ECF5"/>
            <w:vAlign w:val="center"/>
            <w:hideMark/>
          </w:tcPr>
          <w:p w14:paraId="7418C3D1"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2.31</w:t>
            </w:r>
          </w:p>
        </w:tc>
        <w:tc>
          <w:tcPr>
            <w:tcW w:w="249" w:type="pct"/>
            <w:shd w:val="clear" w:color="auto" w:fill="D5ECF5"/>
            <w:vAlign w:val="center"/>
            <w:hideMark/>
          </w:tcPr>
          <w:p w14:paraId="7418C3D2"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3.07</w:t>
            </w:r>
          </w:p>
        </w:tc>
        <w:tc>
          <w:tcPr>
            <w:tcW w:w="249" w:type="pct"/>
            <w:shd w:val="clear" w:color="auto" w:fill="D5ECF5"/>
            <w:vAlign w:val="center"/>
            <w:hideMark/>
          </w:tcPr>
          <w:p w14:paraId="7418C3D3"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3.28</w:t>
            </w:r>
          </w:p>
        </w:tc>
        <w:tc>
          <w:tcPr>
            <w:tcW w:w="249" w:type="pct"/>
            <w:shd w:val="clear" w:color="auto" w:fill="D5ECF5"/>
            <w:vAlign w:val="center"/>
            <w:hideMark/>
          </w:tcPr>
          <w:p w14:paraId="7418C3D4"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3.89</w:t>
            </w:r>
          </w:p>
        </w:tc>
        <w:tc>
          <w:tcPr>
            <w:tcW w:w="249" w:type="pct"/>
            <w:shd w:val="clear" w:color="auto" w:fill="D5ECF5"/>
            <w:vAlign w:val="center"/>
            <w:hideMark/>
          </w:tcPr>
          <w:p w14:paraId="7418C3D5"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4.38</w:t>
            </w:r>
          </w:p>
        </w:tc>
        <w:tc>
          <w:tcPr>
            <w:tcW w:w="249" w:type="pct"/>
            <w:shd w:val="clear" w:color="auto" w:fill="D5ECF5"/>
            <w:vAlign w:val="center"/>
            <w:hideMark/>
          </w:tcPr>
          <w:p w14:paraId="7418C3D6"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4.74</w:t>
            </w:r>
          </w:p>
        </w:tc>
        <w:tc>
          <w:tcPr>
            <w:tcW w:w="249" w:type="pct"/>
            <w:shd w:val="clear" w:color="auto" w:fill="D5ECF5"/>
            <w:vAlign w:val="center"/>
            <w:hideMark/>
          </w:tcPr>
          <w:p w14:paraId="7418C3D7"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5.06</w:t>
            </w:r>
          </w:p>
        </w:tc>
        <w:tc>
          <w:tcPr>
            <w:tcW w:w="249" w:type="pct"/>
            <w:shd w:val="clear" w:color="auto" w:fill="D5ECF5"/>
            <w:vAlign w:val="center"/>
            <w:hideMark/>
          </w:tcPr>
          <w:p w14:paraId="7418C3D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5.41</w:t>
            </w:r>
          </w:p>
        </w:tc>
        <w:tc>
          <w:tcPr>
            <w:tcW w:w="249" w:type="pct"/>
            <w:shd w:val="clear" w:color="auto" w:fill="D5ECF5"/>
            <w:vAlign w:val="center"/>
            <w:hideMark/>
          </w:tcPr>
          <w:p w14:paraId="7418C3D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5.90</w:t>
            </w:r>
          </w:p>
        </w:tc>
        <w:tc>
          <w:tcPr>
            <w:tcW w:w="249" w:type="pct"/>
            <w:shd w:val="clear" w:color="auto" w:fill="D5ECF5"/>
            <w:vAlign w:val="center"/>
            <w:hideMark/>
          </w:tcPr>
          <w:p w14:paraId="7418C3D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6.26</w:t>
            </w:r>
          </w:p>
        </w:tc>
        <w:tc>
          <w:tcPr>
            <w:tcW w:w="249" w:type="pct"/>
            <w:shd w:val="clear" w:color="auto" w:fill="D5ECF5"/>
            <w:vAlign w:val="center"/>
            <w:hideMark/>
          </w:tcPr>
          <w:p w14:paraId="7418C3D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6.70</w:t>
            </w:r>
          </w:p>
        </w:tc>
        <w:tc>
          <w:tcPr>
            <w:tcW w:w="228" w:type="pct"/>
            <w:shd w:val="clear" w:color="auto" w:fill="D5ECF5"/>
            <w:vAlign w:val="center"/>
            <w:hideMark/>
          </w:tcPr>
          <w:p w14:paraId="7418C3D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6.93</w:t>
            </w:r>
          </w:p>
        </w:tc>
      </w:tr>
      <w:tr w:rsidR="00D471AD" w:rsidRPr="00922CDF" w14:paraId="7418C3EB" w14:textId="77777777" w:rsidTr="004A31A9">
        <w:trPr>
          <w:trHeight w:val="300"/>
        </w:trPr>
        <w:tc>
          <w:tcPr>
            <w:tcW w:w="2033" w:type="pct"/>
            <w:shd w:val="clear" w:color="auto" w:fill="E4F3F9"/>
            <w:vAlign w:val="center"/>
            <w:hideMark/>
          </w:tcPr>
          <w:p w14:paraId="7418C3DE"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 xml:space="preserve">Share of world's top 1% highly cited publications, Social Sciences and Humanities¹ </w:t>
            </w:r>
            <w:r w:rsidRPr="00922CDF">
              <w:rPr>
                <w:rFonts w:ascii="Cambria Math" w:eastAsia="Times New Roman" w:hAnsi="Cambria Math" w:cs="Cambria Math"/>
                <w:bCs/>
                <w:color w:val="7A7B7C"/>
                <w:sz w:val="14"/>
                <w:szCs w:val="14"/>
                <w:lang w:eastAsia="en-AU"/>
              </w:rPr>
              <w:t>⁴</w:t>
            </w:r>
          </w:p>
        </w:tc>
        <w:tc>
          <w:tcPr>
            <w:tcW w:w="249" w:type="pct"/>
            <w:shd w:val="clear" w:color="auto" w:fill="E4F3F9"/>
            <w:vAlign w:val="center"/>
            <w:hideMark/>
          </w:tcPr>
          <w:p w14:paraId="7418C3DF"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2.31</w:t>
            </w:r>
          </w:p>
        </w:tc>
        <w:tc>
          <w:tcPr>
            <w:tcW w:w="249" w:type="pct"/>
            <w:shd w:val="clear" w:color="auto" w:fill="E4F3F9"/>
            <w:vAlign w:val="center"/>
            <w:hideMark/>
          </w:tcPr>
          <w:p w14:paraId="7418C3E0"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2.84</w:t>
            </w:r>
          </w:p>
        </w:tc>
        <w:tc>
          <w:tcPr>
            <w:tcW w:w="249" w:type="pct"/>
            <w:shd w:val="clear" w:color="auto" w:fill="E4F3F9"/>
            <w:vAlign w:val="center"/>
            <w:hideMark/>
          </w:tcPr>
          <w:p w14:paraId="7418C3E1"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2.80</w:t>
            </w:r>
          </w:p>
        </w:tc>
        <w:tc>
          <w:tcPr>
            <w:tcW w:w="249" w:type="pct"/>
            <w:shd w:val="clear" w:color="auto" w:fill="E4F3F9"/>
            <w:vAlign w:val="center"/>
            <w:hideMark/>
          </w:tcPr>
          <w:p w14:paraId="7418C3E2"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3.25</w:t>
            </w:r>
          </w:p>
        </w:tc>
        <w:tc>
          <w:tcPr>
            <w:tcW w:w="249" w:type="pct"/>
            <w:shd w:val="clear" w:color="auto" w:fill="E4F3F9"/>
            <w:vAlign w:val="center"/>
            <w:hideMark/>
          </w:tcPr>
          <w:p w14:paraId="7418C3E3"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3.86</w:t>
            </w:r>
          </w:p>
        </w:tc>
        <w:tc>
          <w:tcPr>
            <w:tcW w:w="249" w:type="pct"/>
            <w:shd w:val="clear" w:color="auto" w:fill="E4F3F9"/>
            <w:vAlign w:val="center"/>
            <w:hideMark/>
          </w:tcPr>
          <w:p w14:paraId="7418C3E4"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4.48</w:t>
            </w:r>
          </w:p>
        </w:tc>
        <w:tc>
          <w:tcPr>
            <w:tcW w:w="249" w:type="pct"/>
            <w:shd w:val="clear" w:color="auto" w:fill="E4F3F9"/>
            <w:vAlign w:val="center"/>
            <w:hideMark/>
          </w:tcPr>
          <w:p w14:paraId="7418C3E5"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5.03</w:t>
            </w:r>
          </w:p>
        </w:tc>
        <w:tc>
          <w:tcPr>
            <w:tcW w:w="249" w:type="pct"/>
            <w:shd w:val="clear" w:color="auto" w:fill="E4F3F9"/>
            <w:vAlign w:val="center"/>
            <w:hideMark/>
          </w:tcPr>
          <w:p w14:paraId="7418C3E6"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5.22</w:t>
            </w:r>
          </w:p>
        </w:tc>
        <w:tc>
          <w:tcPr>
            <w:tcW w:w="249" w:type="pct"/>
            <w:shd w:val="clear" w:color="auto" w:fill="E4F3F9"/>
            <w:vAlign w:val="center"/>
            <w:hideMark/>
          </w:tcPr>
          <w:p w14:paraId="7418C3E7"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5.76</w:t>
            </w:r>
          </w:p>
        </w:tc>
        <w:tc>
          <w:tcPr>
            <w:tcW w:w="249" w:type="pct"/>
            <w:shd w:val="clear" w:color="auto" w:fill="E4F3F9"/>
            <w:vAlign w:val="center"/>
            <w:hideMark/>
          </w:tcPr>
          <w:p w14:paraId="7418C3E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6.27</w:t>
            </w:r>
          </w:p>
        </w:tc>
        <w:tc>
          <w:tcPr>
            <w:tcW w:w="249" w:type="pct"/>
            <w:shd w:val="clear" w:color="auto" w:fill="E4F3F9"/>
            <w:vAlign w:val="center"/>
            <w:hideMark/>
          </w:tcPr>
          <w:p w14:paraId="7418C3E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7.66</w:t>
            </w:r>
          </w:p>
        </w:tc>
        <w:tc>
          <w:tcPr>
            <w:tcW w:w="228" w:type="pct"/>
            <w:shd w:val="clear" w:color="auto" w:fill="E4F3F9"/>
            <w:vAlign w:val="center"/>
            <w:hideMark/>
          </w:tcPr>
          <w:p w14:paraId="7418C3E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8.32</w:t>
            </w:r>
          </w:p>
        </w:tc>
      </w:tr>
      <w:tr w:rsidR="00D471AD" w:rsidRPr="00922CDF" w14:paraId="7418C3F9" w14:textId="77777777" w:rsidTr="004A31A9">
        <w:trPr>
          <w:trHeight w:val="397"/>
        </w:trPr>
        <w:tc>
          <w:tcPr>
            <w:tcW w:w="2033" w:type="pct"/>
            <w:shd w:val="clear" w:color="auto" w:fill="D5ECF5"/>
            <w:vAlign w:val="center"/>
            <w:hideMark/>
          </w:tcPr>
          <w:p w14:paraId="7418C3EC"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Share of world's top 1% highly cited publications attributed to international collaboration, All disciplines¹</w:t>
            </w:r>
          </w:p>
        </w:tc>
        <w:tc>
          <w:tcPr>
            <w:tcW w:w="249" w:type="pct"/>
            <w:shd w:val="clear" w:color="auto" w:fill="D5ECF5"/>
            <w:vAlign w:val="center"/>
            <w:hideMark/>
          </w:tcPr>
          <w:p w14:paraId="7418C3ED"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1.02</w:t>
            </w:r>
          </w:p>
        </w:tc>
        <w:tc>
          <w:tcPr>
            <w:tcW w:w="249" w:type="pct"/>
            <w:shd w:val="clear" w:color="auto" w:fill="D5ECF5"/>
            <w:vAlign w:val="center"/>
            <w:hideMark/>
          </w:tcPr>
          <w:p w14:paraId="7418C3EE"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1.66</w:t>
            </w:r>
          </w:p>
        </w:tc>
        <w:tc>
          <w:tcPr>
            <w:tcW w:w="249" w:type="pct"/>
            <w:shd w:val="clear" w:color="auto" w:fill="D5ECF5"/>
            <w:vAlign w:val="center"/>
            <w:hideMark/>
          </w:tcPr>
          <w:p w14:paraId="7418C3EF"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2.23</w:t>
            </w:r>
          </w:p>
        </w:tc>
        <w:tc>
          <w:tcPr>
            <w:tcW w:w="249" w:type="pct"/>
            <w:shd w:val="clear" w:color="auto" w:fill="D5ECF5"/>
            <w:vAlign w:val="center"/>
            <w:hideMark/>
          </w:tcPr>
          <w:p w14:paraId="7418C3F0"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2.57</w:t>
            </w:r>
          </w:p>
        </w:tc>
        <w:tc>
          <w:tcPr>
            <w:tcW w:w="249" w:type="pct"/>
            <w:shd w:val="clear" w:color="auto" w:fill="D5ECF5"/>
            <w:vAlign w:val="center"/>
            <w:hideMark/>
          </w:tcPr>
          <w:p w14:paraId="7418C3F1"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2.94</w:t>
            </w:r>
          </w:p>
        </w:tc>
        <w:tc>
          <w:tcPr>
            <w:tcW w:w="249" w:type="pct"/>
            <w:shd w:val="clear" w:color="auto" w:fill="D5ECF5"/>
            <w:vAlign w:val="center"/>
            <w:hideMark/>
          </w:tcPr>
          <w:p w14:paraId="7418C3F2"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3.37</w:t>
            </w:r>
          </w:p>
        </w:tc>
        <w:tc>
          <w:tcPr>
            <w:tcW w:w="249" w:type="pct"/>
            <w:shd w:val="clear" w:color="auto" w:fill="D5ECF5"/>
            <w:vAlign w:val="center"/>
            <w:hideMark/>
          </w:tcPr>
          <w:p w14:paraId="7418C3F3"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3.74</w:t>
            </w:r>
          </w:p>
        </w:tc>
        <w:tc>
          <w:tcPr>
            <w:tcW w:w="249" w:type="pct"/>
            <w:shd w:val="clear" w:color="auto" w:fill="D5ECF5"/>
            <w:vAlign w:val="center"/>
            <w:hideMark/>
          </w:tcPr>
          <w:p w14:paraId="7418C3F4"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4.08</w:t>
            </w:r>
          </w:p>
        </w:tc>
        <w:tc>
          <w:tcPr>
            <w:tcW w:w="249" w:type="pct"/>
            <w:shd w:val="clear" w:color="auto" w:fill="D5ECF5"/>
            <w:vAlign w:val="center"/>
            <w:hideMark/>
          </w:tcPr>
          <w:p w14:paraId="7418C3F5"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4.50</w:t>
            </w:r>
          </w:p>
        </w:tc>
        <w:tc>
          <w:tcPr>
            <w:tcW w:w="249" w:type="pct"/>
            <w:shd w:val="clear" w:color="auto" w:fill="D5ECF5"/>
            <w:vAlign w:val="center"/>
            <w:hideMark/>
          </w:tcPr>
          <w:p w14:paraId="7418C3F6"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4.88</w:t>
            </w:r>
          </w:p>
        </w:tc>
        <w:tc>
          <w:tcPr>
            <w:tcW w:w="249" w:type="pct"/>
            <w:shd w:val="clear" w:color="auto" w:fill="D5ECF5"/>
            <w:vAlign w:val="center"/>
            <w:hideMark/>
          </w:tcPr>
          <w:p w14:paraId="7418C3F7"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5.46</w:t>
            </w:r>
          </w:p>
        </w:tc>
        <w:tc>
          <w:tcPr>
            <w:tcW w:w="228" w:type="pct"/>
            <w:shd w:val="clear" w:color="auto" w:fill="D5ECF5"/>
            <w:vAlign w:val="center"/>
            <w:hideMark/>
          </w:tcPr>
          <w:p w14:paraId="7418C3F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5.68</w:t>
            </w:r>
          </w:p>
        </w:tc>
      </w:tr>
      <w:tr w:rsidR="00D471AD" w:rsidRPr="00922CDF" w14:paraId="7418C407" w14:textId="77777777" w:rsidTr="004A31A9">
        <w:trPr>
          <w:trHeight w:val="397"/>
        </w:trPr>
        <w:tc>
          <w:tcPr>
            <w:tcW w:w="2033" w:type="pct"/>
            <w:shd w:val="clear" w:color="auto" w:fill="E4F3F9"/>
            <w:vAlign w:val="center"/>
            <w:hideMark/>
          </w:tcPr>
          <w:p w14:paraId="7418C3FA"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Share of world's top 1% highly cited publications attributed to international collaboration, Natural Sciences and Engineering¹</w:t>
            </w:r>
          </w:p>
        </w:tc>
        <w:tc>
          <w:tcPr>
            <w:tcW w:w="249" w:type="pct"/>
            <w:shd w:val="clear" w:color="auto" w:fill="E4F3F9"/>
            <w:vAlign w:val="center"/>
            <w:hideMark/>
          </w:tcPr>
          <w:p w14:paraId="7418C3F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1.06</w:t>
            </w:r>
          </w:p>
        </w:tc>
        <w:tc>
          <w:tcPr>
            <w:tcW w:w="249" w:type="pct"/>
            <w:shd w:val="clear" w:color="auto" w:fill="E4F3F9"/>
            <w:vAlign w:val="center"/>
            <w:hideMark/>
          </w:tcPr>
          <w:p w14:paraId="7418C3F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1.81</w:t>
            </w:r>
          </w:p>
        </w:tc>
        <w:tc>
          <w:tcPr>
            <w:tcW w:w="249" w:type="pct"/>
            <w:shd w:val="clear" w:color="auto" w:fill="E4F3F9"/>
            <w:vAlign w:val="center"/>
            <w:hideMark/>
          </w:tcPr>
          <w:p w14:paraId="7418C3FD"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2.26</w:t>
            </w:r>
          </w:p>
        </w:tc>
        <w:tc>
          <w:tcPr>
            <w:tcW w:w="249" w:type="pct"/>
            <w:shd w:val="clear" w:color="auto" w:fill="E4F3F9"/>
            <w:vAlign w:val="center"/>
            <w:hideMark/>
          </w:tcPr>
          <w:p w14:paraId="7418C3FE"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2.77</w:t>
            </w:r>
          </w:p>
        </w:tc>
        <w:tc>
          <w:tcPr>
            <w:tcW w:w="249" w:type="pct"/>
            <w:shd w:val="clear" w:color="auto" w:fill="E4F3F9"/>
            <w:vAlign w:val="center"/>
            <w:hideMark/>
          </w:tcPr>
          <w:p w14:paraId="7418C3FF"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3.16</w:t>
            </w:r>
          </w:p>
        </w:tc>
        <w:tc>
          <w:tcPr>
            <w:tcW w:w="249" w:type="pct"/>
            <w:shd w:val="clear" w:color="auto" w:fill="E4F3F9"/>
            <w:vAlign w:val="center"/>
            <w:hideMark/>
          </w:tcPr>
          <w:p w14:paraId="7418C400"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3.49</w:t>
            </w:r>
          </w:p>
        </w:tc>
        <w:tc>
          <w:tcPr>
            <w:tcW w:w="249" w:type="pct"/>
            <w:shd w:val="clear" w:color="auto" w:fill="E4F3F9"/>
            <w:vAlign w:val="center"/>
            <w:hideMark/>
          </w:tcPr>
          <w:p w14:paraId="7418C401"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3.82</w:t>
            </w:r>
          </w:p>
        </w:tc>
        <w:tc>
          <w:tcPr>
            <w:tcW w:w="249" w:type="pct"/>
            <w:shd w:val="clear" w:color="auto" w:fill="E4F3F9"/>
            <w:vAlign w:val="center"/>
            <w:hideMark/>
          </w:tcPr>
          <w:p w14:paraId="7418C402"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4.16</w:t>
            </w:r>
          </w:p>
        </w:tc>
        <w:tc>
          <w:tcPr>
            <w:tcW w:w="249" w:type="pct"/>
            <w:shd w:val="clear" w:color="auto" w:fill="E4F3F9"/>
            <w:vAlign w:val="center"/>
            <w:hideMark/>
          </w:tcPr>
          <w:p w14:paraId="7418C403"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4.61</w:t>
            </w:r>
          </w:p>
        </w:tc>
        <w:tc>
          <w:tcPr>
            <w:tcW w:w="249" w:type="pct"/>
            <w:shd w:val="clear" w:color="auto" w:fill="E4F3F9"/>
            <w:vAlign w:val="center"/>
            <w:hideMark/>
          </w:tcPr>
          <w:p w14:paraId="7418C404"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4.98</w:t>
            </w:r>
          </w:p>
        </w:tc>
        <w:tc>
          <w:tcPr>
            <w:tcW w:w="249" w:type="pct"/>
            <w:shd w:val="clear" w:color="auto" w:fill="E4F3F9"/>
            <w:vAlign w:val="center"/>
            <w:hideMark/>
          </w:tcPr>
          <w:p w14:paraId="7418C405"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5.44</w:t>
            </w:r>
          </w:p>
        </w:tc>
        <w:tc>
          <w:tcPr>
            <w:tcW w:w="228" w:type="pct"/>
            <w:shd w:val="clear" w:color="auto" w:fill="E4F3F9"/>
            <w:vAlign w:val="center"/>
            <w:hideMark/>
          </w:tcPr>
          <w:p w14:paraId="7418C406"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5.65</w:t>
            </w:r>
          </w:p>
        </w:tc>
      </w:tr>
      <w:tr w:rsidR="00D471AD" w:rsidRPr="00922CDF" w14:paraId="7418C415" w14:textId="77777777" w:rsidTr="004A31A9">
        <w:trPr>
          <w:trHeight w:val="397"/>
        </w:trPr>
        <w:tc>
          <w:tcPr>
            <w:tcW w:w="2033" w:type="pct"/>
            <w:shd w:val="clear" w:color="auto" w:fill="D5ECF5"/>
            <w:vAlign w:val="center"/>
            <w:hideMark/>
          </w:tcPr>
          <w:p w14:paraId="7418C408"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Share of world's top 1% highly cited publications attributed to international collaboration, Social Science and Humanities¹</w:t>
            </w:r>
          </w:p>
        </w:tc>
        <w:tc>
          <w:tcPr>
            <w:tcW w:w="249" w:type="pct"/>
            <w:shd w:val="clear" w:color="auto" w:fill="D5ECF5"/>
            <w:vAlign w:val="center"/>
            <w:hideMark/>
          </w:tcPr>
          <w:p w14:paraId="7418C40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0.80</w:t>
            </w:r>
          </w:p>
        </w:tc>
        <w:tc>
          <w:tcPr>
            <w:tcW w:w="249" w:type="pct"/>
            <w:shd w:val="clear" w:color="auto" w:fill="D5ECF5"/>
            <w:vAlign w:val="center"/>
            <w:hideMark/>
          </w:tcPr>
          <w:p w14:paraId="7418C40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1.17</w:t>
            </w:r>
          </w:p>
        </w:tc>
        <w:tc>
          <w:tcPr>
            <w:tcW w:w="249" w:type="pct"/>
            <w:shd w:val="clear" w:color="auto" w:fill="D5ECF5"/>
            <w:vAlign w:val="center"/>
            <w:hideMark/>
          </w:tcPr>
          <w:p w14:paraId="7418C40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1.53</w:t>
            </w:r>
          </w:p>
        </w:tc>
        <w:tc>
          <w:tcPr>
            <w:tcW w:w="249" w:type="pct"/>
            <w:shd w:val="clear" w:color="auto" w:fill="D5ECF5"/>
            <w:vAlign w:val="center"/>
            <w:hideMark/>
          </w:tcPr>
          <w:p w14:paraId="7418C40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1.77</w:t>
            </w:r>
          </w:p>
        </w:tc>
        <w:tc>
          <w:tcPr>
            <w:tcW w:w="249" w:type="pct"/>
            <w:shd w:val="clear" w:color="auto" w:fill="D5ECF5"/>
            <w:vAlign w:val="center"/>
            <w:hideMark/>
          </w:tcPr>
          <w:p w14:paraId="7418C40D"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1.92</w:t>
            </w:r>
          </w:p>
        </w:tc>
        <w:tc>
          <w:tcPr>
            <w:tcW w:w="249" w:type="pct"/>
            <w:shd w:val="clear" w:color="auto" w:fill="D5ECF5"/>
            <w:vAlign w:val="center"/>
            <w:hideMark/>
          </w:tcPr>
          <w:p w14:paraId="7418C40E"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2.36</w:t>
            </w:r>
          </w:p>
        </w:tc>
        <w:tc>
          <w:tcPr>
            <w:tcW w:w="249" w:type="pct"/>
            <w:shd w:val="clear" w:color="auto" w:fill="D5ECF5"/>
            <w:vAlign w:val="center"/>
            <w:hideMark/>
          </w:tcPr>
          <w:p w14:paraId="7418C40F"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2.73</w:t>
            </w:r>
          </w:p>
        </w:tc>
        <w:tc>
          <w:tcPr>
            <w:tcW w:w="249" w:type="pct"/>
            <w:shd w:val="clear" w:color="auto" w:fill="D5ECF5"/>
            <w:vAlign w:val="center"/>
            <w:hideMark/>
          </w:tcPr>
          <w:p w14:paraId="7418C410"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2.98</w:t>
            </w:r>
          </w:p>
        </w:tc>
        <w:tc>
          <w:tcPr>
            <w:tcW w:w="249" w:type="pct"/>
            <w:shd w:val="clear" w:color="auto" w:fill="D5ECF5"/>
            <w:vAlign w:val="center"/>
            <w:hideMark/>
          </w:tcPr>
          <w:p w14:paraId="7418C411"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3.32</w:t>
            </w:r>
          </w:p>
        </w:tc>
        <w:tc>
          <w:tcPr>
            <w:tcW w:w="249" w:type="pct"/>
            <w:shd w:val="clear" w:color="auto" w:fill="D5ECF5"/>
            <w:vAlign w:val="center"/>
            <w:hideMark/>
          </w:tcPr>
          <w:p w14:paraId="7418C412"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3.70</w:t>
            </w:r>
          </w:p>
        </w:tc>
        <w:tc>
          <w:tcPr>
            <w:tcW w:w="249" w:type="pct"/>
            <w:shd w:val="clear" w:color="auto" w:fill="D5ECF5"/>
            <w:vAlign w:val="center"/>
            <w:hideMark/>
          </w:tcPr>
          <w:p w14:paraId="7418C413"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4.75</w:t>
            </w:r>
          </w:p>
        </w:tc>
        <w:tc>
          <w:tcPr>
            <w:tcW w:w="228" w:type="pct"/>
            <w:shd w:val="clear" w:color="auto" w:fill="D5ECF5"/>
            <w:vAlign w:val="center"/>
            <w:hideMark/>
          </w:tcPr>
          <w:p w14:paraId="7418C414"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5.11</w:t>
            </w:r>
          </w:p>
        </w:tc>
      </w:tr>
      <w:tr w:rsidR="00D471AD" w:rsidRPr="00922CDF" w14:paraId="7418C423" w14:textId="77777777" w:rsidTr="004A31A9">
        <w:trPr>
          <w:trHeight w:val="300"/>
        </w:trPr>
        <w:tc>
          <w:tcPr>
            <w:tcW w:w="2033" w:type="pct"/>
            <w:shd w:val="clear" w:color="auto" w:fill="E4F3F9"/>
            <w:vAlign w:val="center"/>
            <w:hideMark/>
          </w:tcPr>
          <w:p w14:paraId="7418C416"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Top 1% publications per Bn PPP GERD Offset¹</w:t>
            </w:r>
          </w:p>
        </w:tc>
        <w:tc>
          <w:tcPr>
            <w:tcW w:w="249" w:type="pct"/>
            <w:shd w:val="clear" w:color="auto" w:fill="E4F3F9"/>
            <w:vAlign w:val="center"/>
            <w:hideMark/>
          </w:tcPr>
          <w:p w14:paraId="7418C417"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119.7</w:t>
            </w:r>
          </w:p>
        </w:tc>
        <w:tc>
          <w:tcPr>
            <w:tcW w:w="249" w:type="pct"/>
            <w:shd w:val="clear" w:color="auto" w:fill="E4F3F9"/>
            <w:vAlign w:val="center"/>
            <w:hideMark/>
          </w:tcPr>
          <w:p w14:paraId="7418C41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132.7</w:t>
            </w:r>
          </w:p>
        </w:tc>
        <w:tc>
          <w:tcPr>
            <w:tcW w:w="249" w:type="pct"/>
            <w:shd w:val="clear" w:color="auto" w:fill="E4F3F9"/>
            <w:vAlign w:val="center"/>
            <w:hideMark/>
          </w:tcPr>
          <w:p w14:paraId="7418C41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126.0</w:t>
            </w:r>
          </w:p>
        </w:tc>
        <w:tc>
          <w:tcPr>
            <w:tcW w:w="249" w:type="pct"/>
            <w:shd w:val="clear" w:color="auto" w:fill="E4F3F9"/>
            <w:vAlign w:val="center"/>
            <w:hideMark/>
          </w:tcPr>
          <w:p w14:paraId="7418C41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131.7</w:t>
            </w:r>
          </w:p>
        </w:tc>
        <w:tc>
          <w:tcPr>
            <w:tcW w:w="249" w:type="pct"/>
            <w:shd w:val="clear" w:color="auto" w:fill="E4F3F9"/>
            <w:vAlign w:val="center"/>
            <w:hideMark/>
          </w:tcPr>
          <w:p w14:paraId="7418C41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143.1</w:t>
            </w:r>
          </w:p>
        </w:tc>
        <w:tc>
          <w:tcPr>
            <w:tcW w:w="249" w:type="pct"/>
            <w:shd w:val="clear" w:color="auto" w:fill="E4F3F9"/>
            <w:vAlign w:val="center"/>
            <w:hideMark/>
          </w:tcPr>
          <w:p w14:paraId="7418C41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151.9</w:t>
            </w:r>
          </w:p>
        </w:tc>
        <w:tc>
          <w:tcPr>
            <w:tcW w:w="249" w:type="pct"/>
            <w:shd w:val="clear" w:color="auto" w:fill="E4F3F9"/>
            <w:vAlign w:val="center"/>
            <w:hideMark/>
          </w:tcPr>
          <w:p w14:paraId="7418C41D"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152.5</w:t>
            </w:r>
          </w:p>
        </w:tc>
        <w:tc>
          <w:tcPr>
            <w:tcW w:w="249" w:type="pct"/>
            <w:shd w:val="clear" w:color="auto" w:fill="E4F3F9"/>
            <w:vAlign w:val="center"/>
            <w:hideMark/>
          </w:tcPr>
          <w:p w14:paraId="7418C41E"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153.1</w:t>
            </w:r>
          </w:p>
        </w:tc>
        <w:tc>
          <w:tcPr>
            <w:tcW w:w="249" w:type="pct"/>
            <w:shd w:val="clear" w:color="auto" w:fill="E4F3F9"/>
            <w:vAlign w:val="center"/>
            <w:hideMark/>
          </w:tcPr>
          <w:p w14:paraId="7418C41F"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158.0</w:t>
            </w:r>
          </w:p>
        </w:tc>
        <w:tc>
          <w:tcPr>
            <w:tcW w:w="249" w:type="pct"/>
            <w:shd w:val="clear" w:color="auto" w:fill="E4F3F9"/>
            <w:vAlign w:val="center"/>
            <w:hideMark/>
          </w:tcPr>
          <w:p w14:paraId="7418C420"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165.0</w:t>
            </w:r>
          </w:p>
        </w:tc>
        <w:tc>
          <w:tcPr>
            <w:tcW w:w="249" w:type="pct"/>
            <w:shd w:val="clear" w:color="auto" w:fill="E4F3F9"/>
            <w:vAlign w:val="center"/>
            <w:hideMark/>
          </w:tcPr>
          <w:p w14:paraId="7418C421"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w:t>
            </w:r>
          </w:p>
        </w:tc>
        <w:tc>
          <w:tcPr>
            <w:tcW w:w="228" w:type="pct"/>
            <w:shd w:val="clear" w:color="auto" w:fill="E4F3F9"/>
            <w:vAlign w:val="center"/>
            <w:hideMark/>
          </w:tcPr>
          <w:p w14:paraId="7418C422"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w:t>
            </w:r>
          </w:p>
        </w:tc>
      </w:tr>
      <w:tr w:rsidR="00D471AD" w:rsidRPr="00922CDF" w14:paraId="7418C431" w14:textId="77777777" w:rsidTr="004A31A9">
        <w:trPr>
          <w:trHeight w:val="300"/>
        </w:trPr>
        <w:tc>
          <w:tcPr>
            <w:tcW w:w="2033" w:type="pct"/>
            <w:shd w:val="clear" w:color="auto" w:fill="D5ECF5"/>
            <w:vAlign w:val="center"/>
            <w:hideMark/>
          </w:tcPr>
          <w:p w14:paraId="7418C424"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 xml:space="preserve">Top 1% publications per Bn PPP GERD (excluding BERD)¹ </w:t>
            </w:r>
            <w:r w:rsidRPr="00922CDF">
              <w:rPr>
                <w:rFonts w:ascii="Cambria Math" w:eastAsia="Times New Roman" w:hAnsi="Cambria Math" w:cs="Cambria Math"/>
                <w:bCs/>
                <w:color w:val="7A7B7C"/>
                <w:sz w:val="14"/>
                <w:szCs w:val="14"/>
                <w:lang w:eastAsia="en-AU"/>
              </w:rPr>
              <w:t>⁴</w:t>
            </w:r>
          </w:p>
        </w:tc>
        <w:tc>
          <w:tcPr>
            <w:tcW w:w="249" w:type="pct"/>
            <w:shd w:val="clear" w:color="auto" w:fill="D5ECF5"/>
            <w:vAlign w:val="center"/>
            <w:hideMark/>
          </w:tcPr>
          <w:p w14:paraId="7418C425"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226.1</w:t>
            </w:r>
          </w:p>
        </w:tc>
        <w:tc>
          <w:tcPr>
            <w:tcW w:w="249" w:type="pct"/>
            <w:shd w:val="clear" w:color="auto" w:fill="D5ECF5"/>
            <w:vAlign w:val="center"/>
            <w:hideMark/>
          </w:tcPr>
          <w:p w14:paraId="7418C426"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261.6</w:t>
            </w:r>
          </w:p>
        </w:tc>
        <w:tc>
          <w:tcPr>
            <w:tcW w:w="249" w:type="pct"/>
            <w:shd w:val="clear" w:color="auto" w:fill="D5ECF5"/>
            <w:vAlign w:val="center"/>
            <w:hideMark/>
          </w:tcPr>
          <w:p w14:paraId="7418C427"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255.9</w:t>
            </w:r>
          </w:p>
        </w:tc>
        <w:tc>
          <w:tcPr>
            <w:tcW w:w="249" w:type="pct"/>
            <w:shd w:val="clear" w:color="auto" w:fill="D5ECF5"/>
            <w:vAlign w:val="center"/>
            <w:hideMark/>
          </w:tcPr>
          <w:p w14:paraId="7418C42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282.5</w:t>
            </w:r>
          </w:p>
        </w:tc>
        <w:tc>
          <w:tcPr>
            <w:tcW w:w="249" w:type="pct"/>
            <w:shd w:val="clear" w:color="auto" w:fill="D5ECF5"/>
            <w:vAlign w:val="center"/>
            <w:hideMark/>
          </w:tcPr>
          <w:p w14:paraId="7418C42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312.9</w:t>
            </w:r>
          </w:p>
        </w:tc>
        <w:tc>
          <w:tcPr>
            <w:tcW w:w="249" w:type="pct"/>
            <w:shd w:val="clear" w:color="auto" w:fill="D5ECF5"/>
            <w:vAlign w:val="center"/>
            <w:hideMark/>
          </w:tcPr>
          <w:p w14:paraId="7418C42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346.3</w:t>
            </w:r>
          </w:p>
        </w:tc>
        <w:tc>
          <w:tcPr>
            <w:tcW w:w="249" w:type="pct"/>
            <w:shd w:val="clear" w:color="auto" w:fill="D5ECF5"/>
            <w:vAlign w:val="center"/>
            <w:hideMark/>
          </w:tcPr>
          <w:p w14:paraId="7418C42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365.3</w:t>
            </w:r>
          </w:p>
        </w:tc>
        <w:tc>
          <w:tcPr>
            <w:tcW w:w="249" w:type="pct"/>
            <w:shd w:val="clear" w:color="auto" w:fill="D5ECF5"/>
            <w:vAlign w:val="center"/>
            <w:hideMark/>
          </w:tcPr>
          <w:p w14:paraId="7418C42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383.9</w:t>
            </w:r>
          </w:p>
        </w:tc>
        <w:tc>
          <w:tcPr>
            <w:tcW w:w="249" w:type="pct"/>
            <w:shd w:val="clear" w:color="auto" w:fill="D5ECF5"/>
            <w:vAlign w:val="center"/>
            <w:hideMark/>
          </w:tcPr>
          <w:p w14:paraId="7418C42D"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396.5</w:t>
            </w:r>
          </w:p>
        </w:tc>
        <w:tc>
          <w:tcPr>
            <w:tcW w:w="249" w:type="pct"/>
            <w:shd w:val="clear" w:color="auto" w:fill="D5ECF5"/>
            <w:vAlign w:val="center"/>
            <w:hideMark/>
          </w:tcPr>
          <w:p w14:paraId="7418C42E"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405.2</w:t>
            </w:r>
          </w:p>
        </w:tc>
        <w:tc>
          <w:tcPr>
            <w:tcW w:w="249" w:type="pct"/>
            <w:shd w:val="clear" w:color="auto" w:fill="D5ECF5"/>
            <w:vAlign w:val="center"/>
            <w:hideMark/>
          </w:tcPr>
          <w:p w14:paraId="7418C42F"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w:t>
            </w:r>
          </w:p>
        </w:tc>
        <w:tc>
          <w:tcPr>
            <w:tcW w:w="228" w:type="pct"/>
            <w:shd w:val="clear" w:color="auto" w:fill="D5ECF5"/>
            <w:vAlign w:val="center"/>
            <w:hideMark/>
          </w:tcPr>
          <w:p w14:paraId="7418C430"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w:t>
            </w:r>
          </w:p>
        </w:tc>
      </w:tr>
      <w:tr w:rsidR="00D471AD" w:rsidRPr="00922CDF" w14:paraId="7418C43F" w14:textId="77777777" w:rsidTr="004A31A9">
        <w:trPr>
          <w:trHeight w:val="300"/>
        </w:trPr>
        <w:tc>
          <w:tcPr>
            <w:tcW w:w="2033" w:type="pct"/>
            <w:shd w:val="clear" w:color="auto" w:fill="E4F3F9"/>
            <w:vAlign w:val="center"/>
            <w:hideMark/>
          </w:tcPr>
          <w:p w14:paraId="7418C432"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Proportion of publications in top 1%¹</w:t>
            </w:r>
          </w:p>
        </w:tc>
        <w:tc>
          <w:tcPr>
            <w:tcW w:w="249" w:type="pct"/>
            <w:shd w:val="clear" w:color="auto" w:fill="E4F3F9"/>
            <w:vAlign w:val="center"/>
            <w:hideMark/>
          </w:tcPr>
          <w:p w14:paraId="7418C433"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1.0</w:t>
            </w:r>
          </w:p>
        </w:tc>
        <w:tc>
          <w:tcPr>
            <w:tcW w:w="249" w:type="pct"/>
            <w:shd w:val="clear" w:color="auto" w:fill="E4F3F9"/>
            <w:vAlign w:val="center"/>
            <w:hideMark/>
          </w:tcPr>
          <w:p w14:paraId="7418C434"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1.1</w:t>
            </w:r>
          </w:p>
        </w:tc>
        <w:tc>
          <w:tcPr>
            <w:tcW w:w="249" w:type="pct"/>
            <w:shd w:val="clear" w:color="auto" w:fill="E4F3F9"/>
            <w:vAlign w:val="center"/>
            <w:hideMark/>
          </w:tcPr>
          <w:p w14:paraId="7418C435"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1.2</w:t>
            </w:r>
          </w:p>
        </w:tc>
        <w:tc>
          <w:tcPr>
            <w:tcW w:w="249" w:type="pct"/>
            <w:shd w:val="clear" w:color="auto" w:fill="E4F3F9"/>
            <w:vAlign w:val="center"/>
            <w:hideMark/>
          </w:tcPr>
          <w:p w14:paraId="7418C436"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1.2</w:t>
            </w:r>
          </w:p>
        </w:tc>
        <w:tc>
          <w:tcPr>
            <w:tcW w:w="249" w:type="pct"/>
            <w:shd w:val="clear" w:color="auto" w:fill="E4F3F9"/>
            <w:vAlign w:val="center"/>
            <w:hideMark/>
          </w:tcPr>
          <w:p w14:paraId="7418C437"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1.4</w:t>
            </w:r>
          </w:p>
        </w:tc>
        <w:tc>
          <w:tcPr>
            <w:tcW w:w="249" w:type="pct"/>
            <w:shd w:val="clear" w:color="auto" w:fill="E4F3F9"/>
            <w:vAlign w:val="center"/>
            <w:hideMark/>
          </w:tcPr>
          <w:p w14:paraId="7418C43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1.5</w:t>
            </w:r>
          </w:p>
        </w:tc>
        <w:tc>
          <w:tcPr>
            <w:tcW w:w="249" w:type="pct"/>
            <w:shd w:val="clear" w:color="auto" w:fill="E4F3F9"/>
            <w:vAlign w:val="center"/>
            <w:hideMark/>
          </w:tcPr>
          <w:p w14:paraId="7418C43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1.6</w:t>
            </w:r>
          </w:p>
        </w:tc>
        <w:tc>
          <w:tcPr>
            <w:tcW w:w="249" w:type="pct"/>
            <w:shd w:val="clear" w:color="auto" w:fill="E4F3F9"/>
            <w:vAlign w:val="center"/>
            <w:hideMark/>
          </w:tcPr>
          <w:p w14:paraId="7418C43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1.6</w:t>
            </w:r>
          </w:p>
        </w:tc>
        <w:tc>
          <w:tcPr>
            <w:tcW w:w="249" w:type="pct"/>
            <w:shd w:val="clear" w:color="auto" w:fill="E4F3F9"/>
            <w:vAlign w:val="center"/>
            <w:hideMark/>
          </w:tcPr>
          <w:p w14:paraId="7418C43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1.7</w:t>
            </w:r>
          </w:p>
        </w:tc>
        <w:tc>
          <w:tcPr>
            <w:tcW w:w="249" w:type="pct"/>
            <w:shd w:val="clear" w:color="auto" w:fill="E4F3F9"/>
            <w:vAlign w:val="center"/>
            <w:hideMark/>
          </w:tcPr>
          <w:p w14:paraId="7418C43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1.8</w:t>
            </w:r>
          </w:p>
        </w:tc>
        <w:tc>
          <w:tcPr>
            <w:tcW w:w="249" w:type="pct"/>
            <w:shd w:val="clear" w:color="auto" w:fill="E4F3F9"/>
            <w:vAlign w:val="center"/>
            <w:hideMark/>
          </w:tcPr>
          <w:p w14:paraId="7418C43D"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1.8</w:t>
            </w:r>
          </w:p>
        </w:tc>
        <w:tc>
          <w:tcPr>
            <w:tcW w:w="228" w:type="pct"/>
            <w:shd w:val="clear" w:color="auto" w:fill="E4F3F9"/>
            <w:vAlign w:val="center"/>
            <w:hideMark/>
          </w:tcPr>
          <w:p w14:paraId="7418C43E"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1.8</w:t>
            </w:r>
          </w:p>
        </w:tc>
      </w:tr>
      <w:tr w:rsidR="00D471AD" w:rsidRPr="00922CDF" w14:paraId="7418C44D" w14:textId="77777777" w:rsidTr="004A31A9">
        <w:trPr>
          <w:trHeight w:val="300"/>
        </w:trPr>
        <w:tc>
          <w:tcPr>
            <w:tcW w:w="2033" w:type="pct"/>
            <w:tcBorders>
              <w:bottom w:val="single" w:sz="8" w:space="0" w:color="22789A"/>
            </w:tcBorders>
            <w:shd w:val="clear" w:color="auto" w:fill="D5ECF5"/>
            <w:vAlign w:val="center"/>
            <w:hideMark/>
          </w:tcPr>
          <w:p w14:paraId="7418C440"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Proportion of publications in top 10%¹</w:t>
            </w:r>
          </w:p>
        </w:tc>
        <w:tc>
          <w:tcPr>
            <w:tcW w:w="249" w:type="pct"/>
            <w:tcBorders>
              <w:bottom w:val="single" w:sz="8" w:space="0" w:color="22789A"/>
            </w:tcBorders>
            <w:shd w:val="clear" w:color="auto" w:fill="D5ECF5"/>
            <w:vAlign w:val="center"/>
            <w:hideMark/>
          </w:tcPr>
          <w:p w14:paraId="7418C441"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10.5</w:t>
            </w:r>
          </w:p>
        </w:tc>
        <w:tc>
          <w:tcPr>
            <w:tcW w:w="249" w:type="pct"/>
            <w:tcBorders>
              <w:bottom w:val="single" w:sz="8" w:space="0" w:color="22789A"/>
            </w:tcBorders>
            <w:shd w:val="clear" w:color="auto" w:fill="D5ECF5"/>
            <w:vAlign w:val="center"/>
            <w:hideMark/>
          </w:tcPr>
          <w:p w14:paraId="7418C442"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11.2</w:t>
            </w:r>
          </w:p>
        </w:tc>
        <w:tc>
          <w:tcPr>
            <w:tcW w:w="249" w:type="pct"/>
            <w:tcBorders>
              <w:bottom w:val="single" w:sz="8" w:space="0" w:color="22789A"/>
            </w:tcBorders>
            <w:shd w:val="clear" w:color="auto" w:fill="D5ECF5"/>
            <w:vAlign w:val="center"/>
            <w:hideMark/>
          </w:tcPr>
          <w:p w14:paraId="7418C443"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11.8</w:t>
            </w:r>
          </w:p>
        </w:tc>
        <w:tc>
          <w:tcPr>
            <w:tcW w:w="249" w:type="pct"/>
            <w:tcBorders>
              <w:bottom w:val="single" w:sz="8" w:space="0" w:color="22789A"/>
            </w:tcBorders>
            <w:shd w:val="clear" w:color="auto" w:fill="D5ECF5"/>
            <w:vAlign w:val="center"/>
            <w:hideMark/>
          </w:tcPr>
          <w:p w14:paraId="7418C444"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12.2</w:t>
            </w:r>
          </w:p>
        </w:tc>
        <w:tc>
          <w:tcPr>
            <w:tcW w:w="249" w:type="pct"/>
            <w:tcBorders>
              <w:bottom w:val="single" w:sz="8" w:space="0" w:color="22789A"/>
            </w:tcBorders>
            <w:shd w:val="clear" w:color="auto" w:fill="D5ECF5"/>
            <w:vAlign w:val="center"/>
            <w:hideMark/>
          </w:tcPr>
          <w:p w14:paraId="7418C445"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12.9</w:t>
            </w:r>
          </w:p>
        </w:tc>
        <w:tc>
          <w:tcPr>
            <w:tcW w:w="249" w:type="pct"/>
            <w:tcBorders>
              <w:bottom w:val="single" w:sz="8" w:space="0" w:color="22789A"/>
            </w:tcBorders>
            <w:shd w:val="clear" w:color="auto" w:fill="D5ECF5"/>
            <w:vAlign w:val="center"/>
            <w:hideMark/>
          </w:tcPr>
          <w:p w14:paraId="7418C446"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13.4</w:t>
            </w:r>
          </w:p>
        </w:tc>
        <w:tc>
          <w:tcPr>
            <w:tcW w:w="249" w:type="pct"/>
            <w:tcBorders>
              <w:bottom w:val="single" w:sz="8" w:space="0" w:color="22789A"/>
            </w:tcBorders>
            <w:shd w:val="clear" w:color="auto" w:fill="D5ECF5"/>
            <w:vAlign w:val="center"/>
            <w:hideMark/>
          </w:tcPr>
          <w:p w14:paraId="7418C447"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13.6</w:t>
            </w:r>
          </w:p>
        </w:tc>
        <w:tc>
          <w:tcPr>
            <w:tcW w:w="249" w:type="pct"/>
            <w:tcBorders>
              <w:bottom w:val="single" w:sz="8" w:space="0" w:color="22789A"/>
            </w:tcBorders>
            <w:shd w:val="clear" w:color="auto" w:fill="D5ECF5"/>
            <w:vAlign w:val="center"/>
            <w:hideMark/>
          </w:tcPr>
          <w:p w14:paraId="7418C44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14.0</w:t>
            </w:r>
          </w:p>
        </w:tc>
        <w:tc>
          <w:tcPr>
            <w:tcW w:w="249" w:type="pct"/>
            <w:tcBorders>
              <w:bottom w:val="single" w:sz="8" w:space="0" w:color="22789A"/>
            </w:tcBorders>
            <w:shd w:val="clear" w:color="auto" w:fill="D5ECF5"/>
            <w:vAlign w:val="center"/>
            <w:hideMark/>
          </w:tcPr>
          <w:p w14:paraId="7418C44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14.1</w:t>
            </w:r>
          </w:p>
        </w:tc>
        <w:tc>
          <w:tcPr>
            <w:tcW w:w="249" w:type="pct"/>
            <w:tcBorders>
              <w:bottom w:val="single" w:sz="8" w:space="0" w:color="22789A"/>
            </w:tcBorders>
            <w:shd w:val="clear" w:color="auto" w:fill="D5ECF5"/>
            <w:vAlign w:val="center"/>
            <w:hideMark/>
          </w:tcPr>
          <w:p w14:paraId="7418C44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14.2</w:t>
            </w:r>
          </w:p>
        </w:tc>
        <w:tc>
          <w:tcPr>
            <w:tcW w:w="249" w:type="pct"/>
            <w:tcBorders>
              <w:bottom w:val="single" w:sz="8" w:space="0" w:color="22789A"/>
            </w:tcBorders>
            <w:shd w:val="clear" w:color="auto" w:fill="D5ECF5"/>
            <w:vAlign w:val="center"/>
            <w:hideMark/>
          </w:tcPr>
          <w:p w14:paraId="7418C44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14.4</w:t>
            </w:r>
          </w:p>
        </w:tc>
        <w:tc>
          <w:tcPr>
            <w:tcW w:w="228" w:type="pct"/>
            <w:tcBorders>
              <w:bottom w:val="single" w:sz="8" w:space="0" w:color="22789A"/>
            </w:tcBorders>
            <w:shd w:val="clear" w:color="auto" w:fill="D5ECF5"/>
            <w:vAlign w:val="center"/>
            <w:hideMark/>
          </w:tcPr>
          <w:p w14:paraId="7418C44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14.2</w:t>
            </w:r>
          </w:p>
        </w:tc>
      </w:tr>
    </w:tbl>
    <w:p w14:paraId="7418C44E" w14:textId="77777777" w:rsidR="00D471AD" w:rsidRDefault="00D471AD" w:rsidP="00D471AD"/>
    <w:tbl>
      <w:tblPr>
        <w:tblW w:w="5000" w:type="pct"/>
        <w:tblBorders>
          <w:bottom w:val="single" w:sz="4" w:space="0" w:color="auto"/>
        </w:tblBorders>
        <w:tblLook w:val="04A0" w:firstRow="1" w:lastRow="0" w:firstColumn="1" w:lastColumn="0" w:noHBand="0" w:noVBand="1"/>
      </w:tblPr>
      <w:tblGrid>
        <w:gridCol w:w="5539"/>
        <w:gridCol w:w="1312"/>
        <w:gridCol w:w="173"/>
        <w:gridCol w:w="1616"/>
        <w:gridCol w:w="1234"/>
        <w:gridCol w:w="1460"/>
        <w:gridCol w:w="1312"/>
        <w:gridCol w:w="1245"/>
        <w:gridCol w:w="67"/>
      </w:tblGrid>
      <w:tr w:rsidR="00D471AD" w:rsidRPr="00051CAA" w14:paraId="7418C450" w14:textId="77777777" w:rsidTr="004A31A9">
        <w:trPr>
          <w:gridAfter w:val="1"/>
          <w:wAfter w:w="24" w:type="pct"/>
          <w:trHeight w:val="300"/>
          <w:tblHeader/>
        </w:trPr>
        <w:tc>
          <w:tcPr>
            <w:tcW w:w="4976" w:type="pct"/>
            <w:gridSpan w:val="8"/>
            <w:tcBorders>
              <w:top w:val="single" w:sz="8" w:space="0" w:color="22789A"/>
              <w:bottom w:val="nil"/>
            </w:tcBorders>
            <w:shd w:val="clear" w:color="auto" w:fill="auto"/>
            <w:vAlign w:val="center"/>
          </w:tcPr>
          <w:p w14:paraId="7418C44F" w14:textId="77777777" w:rsidR="00D471AD" w:rsidRPr="00C10561" w:rsidRDefault="00D471AD" w:rsidP="004A31A9">
            <w:pPr>
              <w:pStyle w:val="TableParagraph"/>
              <w:spacing w:before="42"/>
              <w:ind w:left="-108"/>
              <w:rPr>
                <w:rFonts w:ascii="Arial"/>
                <w:i/>
                <w:color w:val="22789A"/>
                <w:spacing w:val="3"/>
                <w:sz w:val="18"/>
              </w:rPr>
            </w:pPr>
            <w:r w:rsidRPr="008F7EDC">
              <w:rPr>
                <w:rFonts w:ascii="Arial"/>
                <w:i/>
                <w:color w:val="22789A"/>
                <w:spacing w:val="3"/>
                <w:sz w:val="18"/>
              </w:rPr>
              <w:t>Table A9(b): Quality measures of Australia</w:t>
            </w:r>
            <w:r w:rsidRPr="008F7EDC">
              <w:rPr>
                <w:rFonts w:ascii="Arial"/>
                <w:i/>
                <w:color w:val="22789A"/>
                <w:spacing w:val="3"/>
                <w:sz w:val="18"/>
              </w:rPr>
              <w:t>’</w:t>
            </w:r>
            <w:r w:rsidRPr="008F7EDC">
              <w:rPr>
                <w:rFonts w:ascii="Arial"/>
                <w:i/>
                <w:color w:val="22789A"/>
                <w:spacing w:val="3"/>
                <w:sz w:val="18"/>
              </w:rPr>
              <w:t>s research publications</w:t>
            </w:r>
          </w:p>
        </w:tc>
      </w:tr>
      <w:tr w:rsidR="00D471AD" w14:paraId="7418C454"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369"/>
          <w:tblHeader/>
        </w:trPr>
        <w:tc>
          <w:tcPr>
            <w:tcW w:w="1984" w:type="pct"/>
            <w:tcBorders>
              <w:top w:val="nil"/>
              <w:left w:val="nil"/>
              <w:bottom w:val="nil"/>
              <w:right w:val="nil"/>
            </w:tcBorders>
            <w:shd w:val="clear" w:color="auto" w:fill="22789A"/>
          </w:tcPr>
          <w:p w14:paraId="7418C451" w14:textId="77777777" w:rsidR="00D471AD" w:rsidRDefault="00D471AD" w:rsidP="004A31A9">
            <w:pPr>
              <w:pStyle w:val="TableParagraph"/>
              <w:spacing w:before="42"/>
              <w:ind w:left="79"/>
              <w:rPr>
                <w:rFonts w:ascii="Arial" w:eastAsia="Arial" w:hAnsi="Arial" w:cs="Arial"/>
                <w:sz w:val="18"/>
                <w:szCs w:val="18"/>
              </w:rPr>
            </w:pPr>
            <w:r>
              <w:rPr>
                <w:rFonts w:ascii="Arial"/>
                <w:i/>
                <w:color w:val="FFFFFF"/>
                <w:spacing w:val="3"/>
                <w:sz w:val="18"/>
              </w:rPr>
              <w:t>OECD+</w:t>
            </w:r>
            <w:r>
              <w:rPr>
                <w:rFonts w:ascii="Arial"/>
                <w:i/>
                <w:color w:val="FFFFFF"/>
                <w:spacing w:val="8"/>
                <w:sz w:val="18"/>
              </w:rPr>
              <w:t xml:space="preserve"> </w:t>
            </w:r>
            <w:r>
              <w:rPr>
                <w:rFonts w:ascii="Arial"/>
                <w:i/>
                <w:color w:val="FFFFFF"/>
                <w:spacing w:val="3"/>
                <w:sz w:val="18"/>
              </w:rPr>
              <w:t>Comparisons</w:t>
            </w:r>
            <w:r>
              <w:rPr>
                <w:rFonts w:ascii="Arial"/>
                <w:i/>
                <w:color w:val="FFFFFF"/>
                <w:spacing w:val="9"/>
                <w:sz w:val="18"/>
              </w:rPr>
              <w:t xml:space="preserve"> </w:t>
            </w:r>
            <w:r>
              <w:rPr>
                <w:rFonts w:ascii="Arial"/>
                <w:i/>
                <w:color w:val="FFFFFF"/>
                <w:spacing w:val="4"/>
                <w:sz w:val="18"/>
              </w:rPr>
              <w:t>(ii)</w:t>
            </w:r>
          </w:p>
        </w:tc>
        <w:tc>
          <w:tcPr>
            <w:tcW w:w="470" w:type="pct"/>
            <w:tcBorders>
              <w:top w:val="nil"/>
              <w:left w:val="nil"/>
              <w:bottom w:val="nil"/>
              <w:right w:val="nil"/>
            </w:tcBorders>
            <w:shd w:val="clear" w:color="auto" w:fill="22789A"/>
          </w:tcPr>
          <w:p w14:paraId="7418C452" w14:textId="77777777" w:rsidR="00D471AD" w:rsidRDefault="00D471AD" w:rsidP="004A31A9"/>
        </w:tc>
        <w:tc>
          <w:tcPr>
            <w:tcW w:w="2546" w:type="pct"/>
            <w:gridSpan w:val="7"/>
            <w:tcBorders>
              <w:top w:val="nil"/>
              <w:left w:val="nil"/>
              <w:bottom w:val="nil"/>
              <w:right w:val="nil"/>
            </w:tcBorders>
            <w:shd w:val="clear" w:color="auto" w:fill="22789A"/>
          </w:tcPr>
          <w:p w14:paraId="7418C453" w14:textId="77777777" w:rsidR="00D471AD" w:rsidRDefault="00D471AD" w:rsidP="004A31A9"/>
        </w:tc>
      </w:tr>
      <w:tr w:rsidR="00D471AD" w14:paraId="7418C45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hRule="exact" w:val="610"/>
          <w:tblHeader/>
        </w:trPr>
        <w:tc>
          <w:tcPr>
            <w:tcW w:w="1984" w:type="pct"/>
            <w:tcBorders>
              <w:top w:val="nil"/>
              <w:left w:val="nil"/>
              <w:bottom w:val="nil"/>
              <w:right w:val="nil"/>
            </w:tcBorders>
            <w:shd w:val="clear" w:color="auto" w:fill="E4F3F9"/>
          </w:tcPr>
          <w:p w14:paraId="7418C455" w14:textId="77777777" w:rsidR="00D471AD" w:rsidRPr="00507B05" w:rsidRDefault="00D471AD" w:rsidP="004A31A9">
            <w:pPr>
              <w:pStyle w:val="TableParagraph"/>
              <w:spacing w:before="50"/>
              <w:ind w:left="91"/>
              <w:contextualSpacing/>
              <w:rPr>
                <w:rFonts w:ascii="Arial" w:eastAsia="Arial" w:hAnsi="Arial" w:cs="Arial"/>
                <w:color w:val="44546A" w:themeColor="text2"/>
                <w:sz w:val="14"/>
                <w:szCs w:val="14"/>
              </w:rPr>
            </w:pPr>
            <w:r w:rsidRPr="00507B05">
              <w:rPr>
                <w:rFonts w:ascii="Arial"/>
                <w:i/>
                <w:color w:val="44546A" w:themeColor="text2"/>
                <w:sz w:val="14"/>
              </w:rPr>
              <w:t>Indicators</w:t>
            </w:r>
          </w:p>
        </w:tc>
        <w:tc>
          <w:tcPr>
            <w:tcW w:w="532" w:type="pct"/>
            <w:gridSpan w:val="2"/>
            <w:tcBorders>
              <w:top w:val="nil"/>
              <w:left w:val="nil"/>
              <w:bottom w:val="nil"/>
              <w:right w:val="nil"/>
            </w:tcBorders>
            <w:shd w:val="clear" w:color="auto" w:fill="E4F3F9"/>
          </w:tcPr>
          <w:p w14:paraId="7418C456" w14:textId="77777777" w:rsidR="00D471AD" w:rsidRPr="00507B05" w:rsidRDefault="00D471AD" w:rsidP="004A31A9">
            <w:pPr>
              <w:pStyle w:val="TableParagraph"/>
              <w:spacing w:before="100" w:beforeAutospacing="1"/>
              <w:ind w:left="205"/>
              <w:contextualSpacing/>
              <w:rPr>
                <w:rFonts w:ascii="Arial" w:eastAsia="Arial" w:hAnsi="Arial" w:cs="Arial"/>
                <w:color w:val="44546A" w:themeColor="text2"/>
                <w:sz w:val="14"/>
                <w:szCs w:val="14"/>
              </w:rPr>
            </w:pPr>
            <w:r w:rsidRPr="00507B05">
              <w:rPr>
                <w:rFonts w:ascii="Arial"/>
                <w:i/>
                <w:color w:val="44546A" w:themeColor="text2"/>
                <w:sz w:val="14"/>
              </w:rPr>
              <w:t>Australia's</w:t>
            </w:r>
            <w:r w:rsidRPr="00507B05">
              <w:rPr>
                <w:rFonts w:ascii="Arial"/>
                <w:i/>
                <w:color w:val="44546A" w:themeColor="text2"/>
                <w:spacing w:val="-1"/>
                <w:sz w:val="14"/>
              </w:rPr>
              <w:t xml:space="preserve"> </w:t>
            </w:r>
            <w:r w:rsidRPr="00507B05">
              <w:rPr>
                <w:rFonts w:ascii="Arial"/>
                <w:i/>
                <w:color w:val="44546A" w:themeColor="text2"/>
                <w:sz w:val="14"/>
              </w:rPr>
              <w:t>score</w:t>
            </w:r>
            <w:r w:rsidRPr="00507B05">
              <w:rPr>
                <w:rFonts w:ascii="Arial"/>
                <w:i/>
                <w:color w:val="44546A" w:themeColor="text2"/>
                <w:spacing w:val="-1"/>
                <w:sz w:val="14"/>
              </w:rPr>
              <w:t xml:space="preserve"> </w:t>
            </w:r>
            <w:r w:rsidRPr="00507B05">
              <w:rPr>
                <w:rFonts w:ascii="Arial"/>
                <w:i/>
                <w:color w:val="44546A" w:themeColor="text2"/>
                <w:sz w:val="14"/>
              </w:rPr>
              <w:t>(iii)</w:t>
            </w:r>
          </w:p>
        </w:tc>
        <w:tc>
          <w:tcPr>
            <w:tcW w:w="579" w:type="pct"/>
            <w:tcBorders>
              <w:top w:val="nil"/>
              <w:left w:val="nil"/>
              <w:bottom w:val="nil"/>
              <w:right w:val="nil"/>
            </w:tcBorders>
            <w:shd w:val="clear" w:color="auto" w:fill="E4F3F9"/>
          </w:tcPr>
          <w:p w14:paraId="7418C457" w14:textId="77777777" w:rsidR="00D471AD" w:rsidRPr="00507B05" w:rsidRDefault="00D471AD" w:rsidP="004A31A9">
            <w:pPr>
              <w:pStyle w:val="TableParagraph"/>
              <w:spacing w:before="100" w:beforeAutospacing="1"/>
              <w:ind w:left="100"/>
              <w:contextualSpacing/>
              <w:rPr>
                <w:rFonts w:ascii="Arial" w:eastAsia="Arial" w:hAnsi="Arial" w:cs="Arial"/>
                <w:color w:val="44546A" w:themeColor="text2"/>
                <w:sz w:val="14"/>
                <w:szCs w:val="14"/>
              </w:rPr>
            </w:pPr>
            <w:r w:rsidRPr="00507B05">
              <w:rPr>
                <w:rFonts w:ascii="Arial"/>
                <w:i/>
                <w:color w:val="44546A" w:themeColor="text2"/>
                <w:sz w:val="14"/>
              </w:rPr>
              <w:t>OECD+</w:t>
            </w:r>
            <w:r w:rsidRPr="00507B05">
              <w:rPr>
                <w:rFonts w:ascii="Arial"/>
                <w:i/>
                <w:color w:val="44546A" w:themeColor="text2"/>
                <w:spacing w:val="-7"/>
                <w:sz w:val="14"/>
              </w:rPr>
              <w:t xml:space="preserve"> </w:t>
            </w:r>
            <w:r w:rsidRPr="00507B05">
              <w:rPr>
                <w:rFonts w:ascii="Arial"/>
                <w:i/>
                <w:color w:val="44546A" w:themeColor="text2"/>
                <w:spacing w:val="-1"/>
                <w:sz w:val="14"/>
              </w:rPr>
              <w:t xml:space="preserve">Average </w:t>
            </w:r>
            <w:r w:rsidRPr="00507B05">
              <w:rPr>
                <w:rFonts w:ascii="Arial"/>
                <w:i/>
                <w:color w:val="44546A" w:themeColor="text2"/>
                <w:sz w:val="14"/>
              </w:rPr>
              <w:t>(iv)</w:t>
            </w:r>
          </w:p>
        </w:tc>
        <w:tc>
          <w:tcPr>
            <w:tcW w:w="442" w:type="pct"/>
            <w:tcBorders>
              <w:top w:val="nil"/>
              <w:left w:val="nil"/>
              <w:bottom w:val="nil"/>
              <w:right w:val="nil"/>
            </w:tcBorders>
            <w:shd w:val="clear" w:color="auto" w:fill="E4F3F9"/>
          </w:tcPr>
          <w:p w14:paraId="7418C458" w14:textId="77777777" w:rsidR="00D471AD" w:rsidRPr="00507B05" w:rsidRDefault="00D471AD" w:rsidP="004A31A9">
            <w:pPr>
              <w:pStyle w:val="NoSpacing"/>
              <w:jc w:val="right"/>
              <w:rPr>
                <w:rFonts w:ascii="Arial" w:eastAsia="Arial" w:hAnsi="Arial" w:cs="Arial"/>
                <w:i/>
                <w:color w:val="44546A" w:themeColor="text2"/>
                <w:sz w:val="14"/>
                <w:szCs w:val="14"/>
              </w:rPr>
            </w:pPr>
            <w:r w:rsidRPr="00507B05">
              <w:rPr>
                <w:rFonts w:ascii="Arial" w:hAnsi="Arial" w:cs="Arial"/>
                <w:i/>
                <w:color w:val="44546A" w:themeColor="text2"/>
                <w:sz w:val="14"/>
                <w:szCs w:val="14"/>
              </w:rPr>
              <w:t>OECD+</w:t>
            </w:r>
            <w:r w:rsidRPr="00507B05">
              <w:rPr>
                <w:rFonts w:ascii="Arial" w:hAnsi="Arial" w:cs="Arial"/>
                <w:i/>
                <w:color w:val="44546A" w:themeColor="text2"/>
                <w:spacing w:val="-1"/>
                <w:sz w:val="14"/>
                <w:szCs w:val="14"/>
              </w:rPr>
              <w:t xml:space="preserve"> </w:t>
            </w:r>
            <w:r w:rsidRPr="00507B05">
              <w:rPr>
                <w:rFonts w:ascii="Arial" w:hAnsi="Arial" w:cs="Arial"/>
                <w:i/>
                <w:color w:val="44546A" w:themeColor="text2"/>
                <w:sz w:val="14"/>
                <w:szCs w:val="14"/>
              </w:rPr>
              <w:t>top</w:t>
            </w:r>
            <w:r w:rsidRPr="00507B05">
              <w:rPr>
                <w:rFonts w:ascii="Arial" w:hAnsi="Arial" w:cs="Arial"/>
                <w:i/>
                <w:color w:val="44546A" w:themeColor="text2"/>
                <w:spacing w:val="-1"/>
                <w:sz w:val="14"/>
                <w:szCs w:val="14"/>
              </w:rPr>
              <w:t xml:space="preserve"> </w:t>
            </w:r>
            <w:r w:rsidRPr="00507B05">
              <w:rPr>
                <w:rFonts w:ascii="Arial" w:hAnsi="Arial" w:cs="Arial"/>
                <w:i/>
                <w:color w:val="44546A" w:themeColor="text2"/>
                <w:sz w:val="14"/>
                <w:szCs w:val="14"/>
              </w:rPr>
              <w:t xml:space="preserve">5 </w:t>
            </w:r>
            <w:r w:rsidRPr="00507B05">
              <w:rPr>
                <w:rFonts w:ascii="Arial" w:hAnsi="Arial" w:cs="Arial"/>
                <w:i/>
                <w:color w:val="44546A" w:themeColor="text2"/>
                <w:spacing w:val="-1"/>
                <w:sz w:val="14"/>
                <w:szCs w:val="14"/>
              </w:rPr>
              <w:t>average</w:t>
            </w:r>
            <w:r w:rsidRPr="00507B05">
              <w:rPr>
                <w:rFonts w:ascii="Arial" w:hAnsi="Arial" w:cs="Arial"/>
                <w:i/>
                <w:color w:val="44546A" w:themeColor="text2"/>
                <w:sz w:val="14"/>
                <w:szCs w:val="14"/>
              </w:rPr>
              <w:t xml:space="preserve"> (vi)</w:t>
            </w:r>
          </w:p>
        </w:tc>
        <w:tc>
          <w:tcPr>
            <w:tcW w:w="523" w:type="pct"/>
            <w:tcBorders>
              <w:top w:val="nil"/>
              <w:left w:val="nil"/>
              <w:bottom w:val="nil"/>
              <w:right w:val="nil"/>
            </w:tcBorders>
            <w:shd w:val="clear" w:color="auto" w:fill="E4F3F9"/>
          </w:tcPr>
          <w:p w14:paraId="7418C459"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Gap from the top 5 OECD+ performers</w:t>
            </w:r>
          </w:p>
          <w:p w14:paraId="7418C45A"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(per cent) (vii)</w:t>
            </w:r>
          </w:p>
        </w:tc>
        <w:tc>
          <w:tcPr>
            <w:tcW w:w="470" w:type="pct"/>
            <w:tcBorders>
              <w:top w:val="nil"/>
              <w:left w:val="nil"/>
              <w:bottom w:val="nil"/>
              <w:right w:val="nil"/>
            </w:tcBorders>
            <w:shd w:val="clear" w:color="auto" w:fill="E4F3F9"/>
          </w:tcPr>
          <w:p w14:paraId="7418C45B"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Ranking against OECD+ countries</w:t>
            </w:r>
          </w:p>
          <w:p w14:paraId="7418C45C"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(viii)</w:t>
            </w:r>
          </w:p>
        </w:tc>
        <w:tc>
          <w:tcPr>
            <w:tcW w:w="470" w:type="pct"/>
            <w:gridSpan w:val="2"/>
            <w:tcBorders>
              <w:top w:val="nil"/>
              <w:left w:val="nil"/>
              <w:bottom w:val="nil"/>
              <w:right w:val="nil"/>
            </w:tcBorders>
            <w:shd w:val="clear" w:color="auto" w:fill="E4F3F9"/>
          </w:tcPr>
          <w:p w14:paraId="7418C45D" w14:textId="77777777" w:rsidR="00D471AD" w:rsidRPr="00507B05" w:rsidRDefault="00D471AD" w:rsidP="004A31A9">
            <w:pPr>
              <w:pStyle w:val="NoSpacing"/>
              <w:jc w:val="right"/>
              <w:rPr>
                <w:rFonts w:ascii="Arial" w:hAnsi="Arial" w:cs="Arial"/>
                <w:i/>
                <w:color w:val="44546A" w:themeColor="text2"/>
                <w:sz w:val="14"/>
                <w:szCs w:val="14"/>
              </w:rPr>
            </w:pPr>
            <w:r w:rsidRPr="00507B05">
              <w:rPr>
                <w:rFonts w:ascii="Arial" w:hAnsi="Arial" w:cs="Arial"/>
                <w:i/>
                <w:color w:val="44546A" w:themeColor="text2"/>
                <w:sz w:val="14"/>
                <w:szCs w:val="14"/>
              </w:rPr>
              <w:t>Year of OECD+ comparison</w:t>
            </w:r>
          </w:p>
        </w:tc>
      </w:tr>
      <w:tr w:rsidR="00D471AD" w:rsidRPr="009C3449" w14:paraId="7418C46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C45F"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Share of world publications, %</w:t>
            </w:r>
            <w:r w:rsidRPr="00507B05">
              <w:rPr>
                <w:rFonts w:ascii="Arial Unicode MS" w:eastAsia="Arial Unicode MS" w:hAnsi="Arial Unicode MS" w:cs="Arial Unicode MS"/>
                <w:color w:val="44546A" w:themeColor="text2"/>
                <w:sz w:val="14"/>
                <w:szCs w:val="14"/>
              </w:rPr>
              <w:t>¹ ²</w:t>
            </w:r>
          </w:p>
        </w:tc>
        <w:tc>
          <w:tcPr>
            <w:tcW w:w="532" w:type="pct"/>
            <w:gridSpan w:val="2"/>
            <w:tcBorders>
              <w:top w:val="nil"/>
              <w:left w:val="nil"/>
              <w:bottom w:val="nil"/>
              <w:right w:val="nil"/>
            </w:tcBorders>
            <w:shd w:val="clear" w:color="auto" w:fill="D5ECF5"/>
          </w:tcPr>
          <w:p w14:paraId="7418C460"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3.85</w:t>
            </w:r>
          </w:p>
        </w:tc>
        <w:tc>
          <w:tcPr>
            <w:tcW w:w="579" w:type="pct"/>
            <w:tcBorders>
              <w:top w:val="nil"/>
              <w:left w:val="nil"/>
              <w:bottom w:val="nil"/>
              <w:right w:val="nil"/>
            </w:tcBorders>
            <w:shd w:val="clear" w:color="auto" w:fill="D5ECF5"/>
          </w:tcPr>
          <w:p w14:paraId="7418C461"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3.04</w:t>
            </w:r>
          </w:p>
        </w:tc>
        <w:tc>
          <w:tcPr>
            <w:tcW w:w="442" w:type="pct"/>
            <w:tcBorders>
              <w:top w:val="nil"/>
              <w:left w:val="nil"/>
              <w:bottom w:val="nil"/>
              <w:right w:val="nil"/>
            </w:tcBorders>
            <w:shd w:val="clear" w:color="auto" w:fill="D5ECF5"/>
          </w:tcPr>
          <w:p w14:paraId="7418C462"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12.57</w:t>
            </w:r>
          </w:p>
        </w:tc>
        <w:tc>
          <w:tcPr>
            <w:tcW w:w="523" w:type="pct"/>
            <w:tcBorders>
              <w:top w:val="nil"/>
              <w:left w:val="nil"/>
              <w:bottom w:val="nil"/>
              <w:right w:val="nil"/>
            </w:tcBorders>
            <w:shd w:val="clear" w:color="auto" w:fill="D5ECF5"/>
          </w:tcPr>
          <w:p w14:paraId="7418C463"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69</w:t>
            </w:r>
          </w:p>
        </w:tc>
        <w:tc>
          <w:tcPr>
            <w:tcW w:w="470" w:type="pct"/>
            <w:tcBorders>
              <w:top w:val="nil"/>
              <w:left w:val="nil"/>
              <w:bottom w:val="nil"/>
              <w:right w:val="nil"/>
            </w:tcBorders>
            <w:shd w:val="clear" w:color="auto" w:fill="D5ECF5"/>
          </w:tcPr>
          <w:p w14:paraId="7418C464"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9th of 37</w:t>
            </w:r>
          </w:p>
        </w:tc>
        <w:tc>
          <w:tcPr>
            <w:tcW w:w="470" w:type="pct"/>
            <w:gridSpan w:val="2"/>
            <w:tcBorders>
              <w:top w:val="nil"/>
              <w:left w:val="nil"/>
              <w:bottom w:val="nil"/>
              <w:right w:val="nil"/>
            </w:tcBorders>
            <w:shd w:val="clear" w:color="auto" w:fill="D5ECF5"/>
          </w:tcPr>
          <w:p w14:paraId="7418C465"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2015</w:t>
            </w:r>
          </w:p>
        </w:tc>
      </w:tr>
      <w:tr w:rsidR="00D471AD" w:rsidRPr="009C3449" w14:paraId="7418C46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C467"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Relative citation impact</w:t>
            </w:r>
            <w:r w:rsidRPr="00507B05">
              <w:rPr>
                <w:rFonts w:ascii="Arial Unicode MS" w:eastAsia="Arial Unicode MS" w:hAnsi="Arial Unicode MS" w:cs="Arial Unicode MS"/>
                <w:color w:val="44546A" w:themeColor="text2"/>
                <w:sz w:val="14"/>
                <w:szCs w:val="14"/>
              </w:rPr>
              <w:t>¹ ² ³</w:t>
            </w:r>
          </w:p>
        </w:tc>
        <w:tc>
          <w:tcPr>
            <w:tcW w:w="532" w:type="pct"/>
            <w:gridSpan w:val="2"/>
            <w:tcBorders>
              <w:top w:val="nil"/>
              <w:left w:val="nil"/>
              <w:bottom w:val="nil"/>
              <w:right w:val="nil"/>
            </w:tcBorders>
            <w:shd w:val="clear" w:color="auto" w:fill="E4F3F9"/>
          </w:tcPr>
          <w:p w14:paraId="7418C468"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1.37</w:t>
            </w:r>
          </w:p>
        </w:tc>
        <w:tc>
          <w:tcPr>
            <w:tcW w:w="579" w:type="pct"/>
            <w:tcBorders>
              <w:top w:val="nil"/>
              <w:left w:val="nil"/>
              <w:bottom w:val="nil"/>
              <w:right w:val="nil"/>
            </w:tcBorders>
            <w:shd w:val="clear" w:color="auto" w:fill="E4F3F9"/>
          </w:tcPr>
          <w:p w14:paraId="7418C469"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1.25</w:t>
            </w:r>
          </w:p>
        </w:tc>
        <w:tc>
          <w:tcPr>
            <w:tcW w:w="442" w:type="pct"/>
            <w:tcBorders>
              <w:top w:val="nil"/>
              <w:left w:val="nil"/>
              <w:bottom w:val="nil"/>
              <w:right w:val="nil"/>
            </w:tcBorders>
            <w:shd w:val="clear" w:color="auto" w:fill="E4F3F9"/>
          </w:tcPr>
          <w:p w14:paraId="7418C46A"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1.66</w:t>
            </w:r>
          </w:p>
        </w:tc>
        <w:tc>
          <w:tcPr>
            <w:tcW w:w="523" w:type="pct"/>
            <w:tcBorders>
              <w:top w:val="nil"/>
              <w:left w:val="nil"/>
              <w:bottom w:val="nil"/>
              <w:right w:val="nil"/>
            </w:tcBorders>
            <w:shd w:val="clear" w:color="auto" w:fill="E4F3F9"/>
          </w:tcPr>
          <w:p w14:paraId="7418C46B"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18</w:t>
            </w:r>
          </w:p>
        </w:tc>
        <w:tc>
          <w:tcPr>
            <w:tcW w:w="470" w:type="pct"/>
            <w:tcBorders>
              <w:top w:val="nil"/>
              <w:left w:val="nil"/>
              <w:bottom w:val="nil"/>
              <w:right w:val="nil"/>
            </w:tcBorders>
            <w:shd w:val="clear" w:color="auto" w:fill="E4F3F9"/>
          </w:tcPr>
          <w:p w14:paraId="7418C46C"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14th of 37</w:t>
            </w:r>
          </w:p>
        </w:tc>
        <w:tc>
          <w:tcPr>
            <w:tcW w:w="470" w:type="pct"/>
            <w:gridSpan w:val="2"/>
            <w:tcBorders>
              <w:top w:val="nil"/>
              <w:left w:val="nil"/>
              <w:bottom w:val="nil"/>
              <w:right w:val="nil"/>
            </w:tcBorders>
            <w:shd w:val="clear" w:color="auto" w:fill="E4F3F9"/>
          </w:tcPr>
          <w:p w14:paraId="7418C46D"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2015</w:t>
            </w:r>
          </w:p>
        </w:tc>
      </w:tr>
      <w:tr w:rsidR="00D471AD" w:rsidRPr="009C3449" w14:paraId="7418C47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C46F"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Share of world's top 1% highly cited publications, all disciplines</w:t>
            </w:r>
            <w:r w:rsidRPr="00507B05">
              <w:rPr>
                <w:rFonts w:ascii="Arial Unicode MS" w:eastAsia="Arial Unicode MS" w:hAnsi="Arial Unicode MS" w:cs="Arial Unicode MS"/>
                <w:color w:val="44546A" w:themeColor="text2"/>
                <w:sz w:val="14"/>
                <w:szCs w:val="14"/>
              </w:rPr>
              <w:t>¹</w:t>
            </w:r>
          </w:p>
        </w:tc>
        <w:tc>
          <w:tcPr>
            <w:tcW w:w="532" w:type="pct"/>
            <w:gridSpan w:val="2"/>
            <w:tcBorders>
              <w:top w:val="nil"/>
              <w:left w:val="nil"/>
              <w:bottom w:val="nil"/>
              <w:right w:val="nil"/>
            </w:tcBorders>
            <w:shd w:val="clear" w:color="auto" w:fill="D5ECF5"/>
          </w:tcPr>
          <w:p w14:paraId="7418C470"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7.3</w:t>
            </w:r>
          </w:p>
        </w:tc>
        <w:tc>
          <w:tcPr>
            <w:tcW w:w="579" w:type="pct"/>
            <w:tcBorders>
              <w:top w:val="nil"/>
              <w:left w:val="nil"/>
              <w:bottom w:val="nil"/>
              <w:right w:val="nil"/>
            </w:tcBorders>
            <w:shd w:val="clear" w:color="auto" w:fill="D5ECF5"/>
          </w:tcPr>
          <w:p w14:paraId="7418C471"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4.9</w:t>
            </w:r>
          </w:p>
        </w:tc>
        <w:tc>
          <w:tcPr>
            <w:tcW w:w="442" w:type="pct"/>
            <w:tcBorders>
              <w:top w:val="nil"/>
              <w:left w:val="nil"/>
              <w:bottom w:val="nil"/>
              <w:right w:val="nil"/>
            </w:tcBorders>
            <w:shd w:val="clear" w:color="auto" w:fill="D5ECF5"/>
          </w:tcPr>
          <w:p w14:paraId="7418C472"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20.3</w:t>
            </w:r>
          </w:p>
        </w:tc>
        <w:tc>
          <w:tcPr>
            <w:tcW w:w="523" w:type="pct"/>
            <w:tcBorders>
              <w:top w:val="nil"/>
              <w:left w:val="nil"/>
              <w:bottom w:val="nil"/>
              <w:right w:val="nil"/>
            </w:tcBorders>
            <w:shd w:val="clear" w:color="auto" w:fill="D5ECF5"/>
          </w:tcPr>
          <w:p w14:paraId="7418C473"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64</w:t>
            </w:r>
          </w:p>
        </w:tc>
        <w:tc>
          <w:tcPr>
            <w:tcW w:w="470" w:type="pct"/>
            <w:tcBorders>
              <w:top w:val="nil"/>
              <w:left w:val="nil"/>
              <w:bottom w:val="nil"/>
              <w:right w:val="nil"/>
            </w:tcBorders>
            <w:shd w:val="clear" w:color="auto" w:fill="D5ECF5"/>
          </w:tcPr>
          <w:p w14:paraId="7418C474"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7th of 37</w:t>
            </w:r>
          </w:p>
        </w:tc>
        <w:tc>
          <w:tcPr>
            <w:tcW w:w="470" w:type="pct"/>
            <w:gridSpan w:val="2"/>
            <w:tcBorders>
              <w:top w:val="nil"/>
              <w:left w:val="nil"/>
              <w:bottom w:val="nil"/>
              <w:right w:val="nil"/>
            </w:tcBorders>
            <w:shd w:val="clear" w:color="auto" w:fill="D5ECF5"/>
          </w:tcPr>
          <w:p w14:paraId="7418C475"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2015</w:t>
            </w:r>
          </w:p>
        </w:tc>
      </w:tr>
      <w:tr w:rsidR="00D471AD" w:rsidRPr="009C3449" w14:paraId="7418C47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C477"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Share of world's top 1% highly cited publications, natural sciences and engineering</w:t>
            </w:r>
            <w:r w:rsidRPr="00507B05">
              <w:rPr>
                <w:rFonts w:ascii="Arial Unicode MS" w:eastAsia="Arial Unicode MS" w:hAnsi="Arial Unicode MS" w:cs="Arial Unicode MS"/>
                <w:color w:val="44546A" w:themeColor="text2"/>
                <w:sz w:val="14"/>
                <w:szCs w:val="14"/>
              </w:rPr>
              <w:t>¹</w:t>
            </w:r>
          </w:p>
        </w:tc>
        <w:tc>
          <w:tcPr>
            <w:tcW w:w="532" w:type="pct"/>
            <w:gridSpan w:val="2"/>
            <w:tcBorders>
              <w:top w:val="nil"/>
              <w:left w:val="nil"/>
              <w:bottom w:val="nil"/>
              <w:right w:val="nil"/>
            </w:tcBorders>
            <w:shd w:val="clear" w:color="auto" w:fill="E4F3F9"/>
          </w:tcPr>
          <w:p w14:paraId="7418C478"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6.93</w:t>
            </w:r>
          </w:p>
        </w:tc>
        <w:tc>
          <w:tcPr>
            <w:tcW w:w="579" w:type="pct"/>
            <w:tcBorders>
              <w:top w:val="nil"/>
              <w:left w:val="nil"/>
              <w:bottom w:val="nil"/>
              <w:right w:val="nil"/>
            </w:tcBorders>
            <w:shd w:val="clear" w:color="auto" w:fill="E4F3F9"/>
          </w:tcPr>
          <w:p w14:paraId="7418C479"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5.01</w:t>
            </w:r>
          </w:p>
        </w:tc>
        <w:tc>
          <w:tcPr>
            <w:tcW w:w="442" w:type="pct"/>
            <w:tcBorders>
              <w:top w:val="nil"/>
              <w:left w:val="nil"/>
              <w:bottom w:val="nil"/>
              <w:right w:val="nil"/>
            </w:tcBorders>
            <w:shd w:val="clear" w:color="auto" w:fill="E4F3F9"/>
          </w:tcPr>
          <w:p w14:paraId="7418C47A"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21.03</w:t>
            </w:r>
          </w:p>
        </w:tc>
        <w:tc>
          <w:tcPr>
            <w:tcW w:w="523" w:type="pct"/>
            <w:tcBorders>
              <w:top w:val="nil"/>
              <w:left w:val="nil"/>
              <w:bottom w:val="nil"/>
              <w:right w:val="nil"/>
            </w:tcBorders>
            <w:shd w:val="clear" w:color="auto" w:fill="E4F3F9"/>
          </w:tcPr>
          <w:p w14:paraId="7418C47B"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67</w:t>
            </w:r>
          </w:p>
        </w:tc>
        <w:tc>
          <w:tcPr>
            <w:tcW w:w="470" w:type="pct"/>
            <w:tcBorders>
              <w:top w:val="nil"/>
              <w:left w:val="nil"/>
              <w:bottom w:val="nil"/>
              <w:right w:val="nil"/>
            </w:tcBorders>
            <w:shd w:val="clear" w:color="auto" w:fill="E4F3F9"/>
          </w:tcPr>
          <w:p w14:paraId="7418C47C"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8th of 37</w:t>
            </w:r>
          </w:p>
        </w:tc>
        <w:tc>
          <w:tcPr>
            <w:tcW w:w="470" w:type="pct"/>
            <w:gridSpan w:val="2"/>
            <w:tcBorders>
              <w:top w:val="nil"/>
              <w:left w:val="nil"/>
              <w:bottom w:val="nil"/>
              <w:right w:val="nil"/>
            </w:tcBorders>
            <w:shd w:val="clear" w:color="auto" w:fill="E4F3F9"/>
          </w:tcPr>
          <w:p w14:paraId="7418C47D"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2015</w:t>
            </w:r>
          </w:p>
        </w:tc>
      </w:tr>
      <w:tr w:rsidR="00D471AD" w:rsidRPr="009C3449" w14:paraId="7418C48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C47F"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Share of world's top 1% highly cited publications, Social Sciences and Humanities</w:t>
            </w:r>
            <w:r w:rsidRPr="00507B05">
              <w:rPr>
                <w:rFonts w:ascii="Arial Unicode MS" w:eastAsia="Arial Unicode MS" w:hAnsi="Arial Unicode MS" w:cs="Arial Unicode MS"/>
                <w:color w:val="44546A" w:themeColor="text2"/>
                <w:sz w:val="14"/>
                <w:szCs w:val="14"/>
              </w:rPr>
              <w:t>¹ ⁴</w:t>
            </w:r>
          </w:p>
        </w:tc>
        <w:tc>
          <w:tcPr>
            <w:tcW w:w="532" w:type="pct"/>
            <w:gridSpan w:val="2"/>
            <w:tcBorders>
              <w:top w:val="nil"/>
              <w:left w:val="nil"/>
              <w:bottom w:val="nil"/>
              <w:right w:val="nil"/>
            </w:tcBorders>
            <w:shd w:val="clear" w:color="auto" w:fill="D5ECF5"/>
          </w:tcPr>
          <w:p w14:paraId="7418C480"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8.32</w:t>
            </w:r>
          </w:p>
        </w:tc>
        <w:tc>
          <w:tcPr>
            <w:tcW w:w="579" w:type="pct"/>
            <w:tcBorders>
              <w:top w:val="nil"/>
              <w:left w:val="nil"/>
              <w:bottom w:val="nil"/>
              <w:right w:val="nil"/>
            </w:tcBorders>
            <w:shd w:val="clear" w:color="auto" w:fill="D5ECF5"/>
          </w:tcPr>
          <w:p w14:paraId="7418C481"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3.94</w:t>
            </w:r>
          </w:p>
        </w:tc>
        <w:tc>
          <w:tcPr>
            <w:tcW w:w="442" w:type="pct"/>
            <w:tcBorders>
              <w:top w:val="nil"/>
              <w:left w:val="nil"/>
              <w:bottom w:val="nil"/>
              <w:right w:val="nil"/>
            </w:tcBorders>
            <w:shd w:val="clear" w:color="auto" w:fill="D5ECF5"/>
          </w:tcPr>
          <w:p w14:paraId="7418C482"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19.01</w:t>
            </w:r>
          </w:p>
        </w:tc>
        <w:tc>
          <w:tcPr>
            <w:tcW w:w="523" w:type="pct"/>
            <w:tcBorders>
              <w:top w:val="nil"/>
              <w:left w:val="nil"/>
              <w:bottom w:val="nil"/>
              <w:right w:val="nil"/>
            </w:tcBorders>
            <w:shd w:val="clear" w:color="auto" w:fill="D5ECF5"/>
          </w:tcPr>
          <w:p w14:paraId="7418C483"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56</w:t>
            </w:r>
          </w:p>
        </w:tc>
        <w:tc>
          <w:tcPr>
            <w:tcW w:w="470" w:type="pct"/>
            <w:tcBorders>
              <w:top w:val="nil"/>
              <w:left w:val="nil"/>
              <w:bottom w:val="nil"/>
              <w:right w:val="nil"/>
            </w:tcBorders>
            <w:shd w:val="clear" w:color="auto" w:fill="D5ECF5"/>
          </w:tcPr>
          <w:p w14:paraId="7418C484"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4th of 37</w:t>
            </w:r>
          </w:p>
        </w:tc>
        <w:tc>
          <w:tcPr>
            <w:tcW w:w="470" w:type="pct"/>
            <w:gridSpan w:val="2"/>
            <w:tcBorders>
              <w:top w:val="nil"/>
              <w:left w:val="nil"/>
              <w:bottom w:val="nil"/>
              <w:right w:val="nil"/>
            </w:tcBorders>
            <w:shd w:val="clear" w:color="auto" w:fill="D5ECF5"/>
          </w:tcPr>
          <w:p w14:paraId="7418C485"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2015</w:t>
            </w:r>
          </w:p>
        </w:tc>
      </w:tr>
      <w:tr w:rsidR="00D471AD" w:rsidRPr="009C3449" w14:paraId="7418C48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C487"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Share of world's top 1% highly cited publications attributed to international collaboration, All disciplines</w:t>
            </w:r>
            <w:r w:rsidRPr="00507B05">
              <w:rPr>
                <w:rFonts w:ascii="Arial Unicode MS" w:eastAsia="Arial Unicode MS" w:hAnsi="Arial Unicode MS" w:cs="Arial Unicode MS"/>
                <w:color w:val="44546A" w:themeColor="text2"/>
                <w:sz w:val="14"/>
                <w:szCs w:val="14"/>
              </w:rPr>
              <w:t>¹</w:t>
            </w:r>
          </w:p>
        </w:tc>
        <w:tc>
          <w:tcPr>
            <w:tcW w:w="532" w:type="pct"/>
            <w:gridSpan w:val="2"/>
            <w:tcBorders>
              <w:top w:val="nil"/>
              <w:left w:val="nil"/>
              <w:bottom w:val="nil"/>
              <w:right w:val="nil"/>
            </w:tcBorders>
            <w:shd w:val="clear" w:color="auto" w:fill="E4F3F9"/>
          </w:tcPr>
          <w:p w14:paraId="7418C488"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5.68</w:t>
            </w:r>
          </w:p>
        </w:tc>
        <w:tc>
          <w:tcPr>
            <w:tcW w:w="579" w:type="pct"/>
            <w:tcBorders>
              <w:top w:val="nil"/>
              <w:left w:val="nil"/>
              <w:bottom w:val="nil"/>
              <w:right w:val="nil"/>
            </w:tcBorders>
            <w:shd w:val="clear" w:color="auto" w:fill="E4F3F9"/>
          </w:tcPr>
          <w:p w14:paraId="7418C489"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3.34</w:t>
            </w:r>
          </w:p>
        </w:tc>
        <w:tc>
          <w:tcPr>
            <w:tcW w:w="442" w:type="pct"/>
            <w:tcBorders>
              <w:top w:val="nil"/>
              <w:left w:val="nil"/>
              <w:bottom w:val="nil"/>
              <w:right w:val="nil"/>
            </w:tcBorders>
            <w:shd w:val="clear" w:color="auto" w:fill="E4F3F9"/>
          </w:tcPr>
          <w:p w14:paraId="7418C48A"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12.06</w:t>
            </w:r>
          </w:p>
        </w:tc>
        <w:tc>
          <w:tcPr>
            <w:tcW w:w="523" w:type="pct"/>
            <w:tcBorders>
              <w:top w:val="nil"/>
              <w:left w:val="nil"/>
              <w:bottom w:val="nil"/>
              <w:right w:val="nil"/>
            </w:tcBorders>
            <w:shd w:val="clear" w:color="auto" w:fill="E4F3F9"/>
          </w:tcPr>
          <w:p w14:paraId="7418C48B"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53</w:t>
            </w:r>
          </w:p>
        </w:tc>
        <w:tc>
          <w:tcPr>
            <w:tcW w:w="470" w:type="pct"/>
            <w:tcBorders>
              <w:top w:val="nil"/>
              <w:left w:val="nil"/>
              <w:bottom w:val="nil"/>
              <w:right w:val="nil"/>
            </w:tcBorders>
            <w:shd w:val="clear" w:color="auto" w:fill="E4F3F9"/>
          </w:tcPr>
          <w:p w14:paraId="7418C48C"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7th of 37</w:t>
            </w:r>
          </w:p>
        </w:tc>
        <w:tc>
          <w:tcPr>
            <w:tcW w:w="470" w:type="pct"/>
            <w:gridSpan w:val="2"/>
            <w:tcBorders>
              <w:top w:val="nil"/>
              <w:left w:val="nil"/>
              <w:bottom w:val="nil"/>
              <w:right w:val="nil"/>
            </w:tcBorders>
            <w:shd w:val="clear" w:color="auto" w:fill="E4F3F9"/>
          </w:tcPr>
          <w:p w14:paraId="7418C48D"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2015</w:t>
            </w:r>
          </w:p>
        </w:tc>
      </w:tr>
      <w:tr w:rsidR="00D471AD" w:rsidRPr="009C3449" w14:paraId="7418C49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C48F"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Share of world's top 1% highly cited publications attributed to international collaboration, Natural Sciences and Engineering</w:t>
            </w:r>
            <w:r w:rsidRPr="00507B05">
              <w:rPr>
                <w:rFonts w:ascii="Arial Unicode MS" w:eastAsia="Arial Unicode MS" w:hAnsi="Arial Unicode MS" w:cs="Arial Unicode MS"/>
                <w:color w:val="44546A" w:themeColor="text2"/>
                <w:sz w:val="14"/>
                <w:szCs w:val="14"/>
              </w:rPr>
              <w:t>¹</w:t>
            </w:r>
          </w:p>
        </w:tc>
        <w:tc>
          <w:tcPr>
            <w:tcW w:w="532" w:type="pct"/>
            <w:gridSpan w:val="2"/>
            <w:tcBorders>
              <w:top w:val="nil"/>
              <w:left w:val="nil"/>
              <w:bottom w:val="nil"/>
              <w:right w:val="nil"/>
            </w:tcBorders>
            <w:shd w:val="clear" w:color="auto" w:fill="D5ECF5"/>
          </w:tcPr>
          <w:p w14:paraId="7418C490"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5.65</w:t>
            </w:r>
          </w:p>
        </w:tc>
        <w:tc>
          <w:tcPr>
            <w:tcW w:w="579" w:type="pct"/>
            <w:tcBorders>
              <w:top w:val="nil"/>
              <w:left w:val="nil"/>
              <w:bottom w:val="nil"/>
              <w:right w:val="nil"/>
            </w:tcBorders>
            <w:shd w:val="clear" w:color="auto" w:fill="D5ECF5"/>
          </w:tcPr>
          <w:p w14:paraId="7418C491"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3.54</w:t>
            </w:r>
          </w:p>
        </w:tc>
        <w:tc>
          <w:tcPr>
            <w:tcW w:w="442" w:type="pct"/>
            <w:tcBorders>
              <w:top w:val="nil"/>
              <w:left w:val="nil"/>
              <w:bottom w:val="nil"/>
              <w:right w:val="nil"/>
            </w:tcBorders>
            <w:shd w:val="clear" w:color="auto" w:fill="D5ECF5"/>
          </w:tcPr>
          <w:p w14:paraId="7418C492"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12.89</w:t>
            </w:r>
          </w:p>
        </w:tc>
        <w:tc>
          <w:tcPr>
            <w:tcW w:w="523" w:type="pct"/>
            <w:tcBorders>
              <w:top w:val="nil"/>
              <w:left w:val="nil"/>
              <w:bottom w:val="nil"/>
              <w:right w:val="nil"/>
            </w:tcBorders>
            <w:shd w:val="clear" w:color="auto" w:fill="D5ECF5"/>
          </w:tcPr>
          <w:p w14:paraId="7418C493"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56</w:t>
            </w:r>
          </w:p>
        </w:tc>
        <w:tc>
          <w:tcPr>
            <w:tcW w:w="470" w:type="pct"/>
            <w:tcBorders>
              <w:top w:val="nil"/>
              <w:left w:val="nil"/>
              <w:bottom w:val="nil"/>
              <w:right w:val="nil"/>
            </w:tcBorders>
            <w:shd w:val="clear" w:color="auto" w:fill="D5ECF5"/>
          </w:tcPr>
          <w:p w14:paraId="7418C494"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8th of 37</w:t>
            </w:r>
          </w:p>
        </w:tc>
        <w:tc>
          <w:tcPr>
            <w:tcW w:w="470" w:type="pct"/>
            <w:gridSpan w:val="2"/>
            <w:tcBorders>
              <w:top w:val="nil"/>
              <w:left w:val="nil"/>
              <w:bottom w:val="nil"/>
              <w:right w:val="nil"/>
            </w:tcBorders>
            <w:shd w:val="clear" w:color="auto" w:fill="D5ECF5"/>
          </w:tcPr>
          <w:p w14:paraId="7418C495"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2015</w:t>
            </w:r>
          </w:p>
        </w:tc>
      </w:tr>
      <w:tr w:rsidR="00D471AD" w:rsidRPr="009C3449" w14:paraId="7418C49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C497"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Share of world's top 1% highly cited publications attributed to international collaboration, Social Science and Humanities</w:t>
            </w:r>
            <w:r w:rsidRPr="00507B05">
              <w:rPr>
                <w:rFonts w:ascii="Arial Unicode MS" w:eastAsia="Arial Unicode MS" w:hAnsi="Arial Unicode MS" w:cs="Arial Unicode MS"/>
                <w:color w:val="44546A" w:themeColor="text2"/>
                <w:sz w:val="14"/>
                <w:szCs w:val="14"/>
              </w:rPr>
              <w:t>¹</w:t>
            </w:r>
          </w:p>
        </w:tc>
        <w:tc>
          <w:tcPr>
            <w:tcW w:w="532" w:type="pct"/>
            <w:gridSpan w:val="2"/>
            <w:tcBorders>
              <w:top w:val="nil"/>
              <w:left w:val="nil"/>
              <w:bottom w:val="nil"/>
              <w:right w:val="nil"/>
            </w:tcBorders>
            <w:shd w:val="clear" w:color="auto" w:fill="E4F3F9"/>
          </w:tcPr>
          <w:p w14:paraId="7418C498"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5.11</w:t>
            </w:r>
          </w:p>
        </w:tc>
        <w:tc>
          <w:tcPr>
            <w:tcW w:w="579" w:type="pct"/>
            <w:tcBorders>
              <w:top w:val="nil"/>
              <w:left w:val="nil"/>
              <w:bottom w:val="nil"/>
              <w:right w:val="nil"/>
            </w:tcBorders>
            <w:shd w:val="clear" w:color="auto" w:fill="E4F3F9"/>
          </w:tcPr>
          <w:p w14:paraId="7418C499"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2.17</w:t>
            </w:r>
          </w:p>
        </w:tc>
        <w:tc>
          <w:tcPr>
            <w:tcW w:w="442" w:type="pct"/>
            <w:tcBorders>
              <w:top w:val="nil"/>
              <w:left w:val="nil"/>
              <w:bottom w:val="nil"/>
              <w:right w:val="nil"/>
            </w:tcBorders>
            <w:shd w:val="clear" w:color="auto" w:fill="E4F3F9"/>
          </w:tcPr>
          <w:p w14:paraId="7418C49A"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8.99</w:t>
            </w:r>
          </w:p>
        </w:tc>
        <w:tc>
          <w:tcPr>
            <w:tcW w:w="523" w:type="pct"/>
            <w:tcBorders>
              <w:top w:val="nil"/>
              <w:left w:val="nil"/>
              <w:bottom w:val="nil"/>
              <w:right w:val="nil"/>
            </w:tcBorders>
            <w:shd w:val="clear" w:color="auto" w:fill="E4F3F9"/>
          </w:tcPr>
          <w:p w14:paraId="7418C49B"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43</w:t>
            </w:r>
          </w:p>
        </w:tc>
        <w:tc>
          <w:tcPr>
            <w:tcW w:w="470" w:type="pct"/>
            <w:tcBorders>
              <w:top w:val="nil"/>
              <w:left w:val="nil"/>
              <w:bottom w:val="nil"/>
              <w:right w:val="nil"/>
            </w:tcBorders>
            <w:shd w:val="clear" w:color="auto" w:fill="E4F3F9"/>
          </w:tcPr>
          <w:p w14:paraId="7418C49C"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5th of 37</w:t>
            </w:r>
          </w:p>
        </w:tc>
        <w:tc>
          <w:tcPr>
            <w:tcW w:w="470" w:type="pct"/>
            <w:gridSpan w:val="2"/>
            <w:tcBorders>
              <w:top w:val="nil"/>
              <w:left w:val="nil"/>
              <w:bottom w:val="nil"/>
              <w:right w:val="nil"/>
            </w:tcBorders>
            <w:shd w:val="clear" w:color="auto" w:fill="E4F3F9"/>
          </w:tcPr>
          <w:p w14:paraId="7418C49D"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2015</w:t>
            </w:r>
          </w:p>
        </w:tc>
      </w:tr>
      <w:tr w:rsidR="00D471AD" w:rsidRPr="009C3449" w14:paraId="7418C4A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C49F"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Top 1% publications per Bn PPP GERD Offset</w:t>
            </w:r>
            <w:r w:rsidRPr="00507B05">
              <w:rPr>
                <w:rFonts w:ascii="Arial Unicode MS" w:eastAsia="Arial Unicode MS" w:hAnsi="Arial Unicode MS" w:cs="Arial Unicode MS"/>
                <w:color w:val="44546A" w:themeColor="text2"/>
                <w:sz w:val="14"/>
                <w:szCs w:val="14"/>
              </w:rPr>
              <w:t>¹</w:t>
            </w:r>
          </w:p>
        </w:tc>
        <w:tc>
          <w:tcPr>
            <w:tcW w:w="532" w:type="pct"/>
            <w:gridSpan w:val="2"/>
            <w:tcBorders>
              <w:top w:val="nil"/>
              <w:left w:val="nil"/>
              <w:bottom w:val="nil"/>
              <w:right w:val="nil"/>
            </w:tcBorders>
            <w:shd w:val="clear" w:color="auto" w:fill="D5ECF5"/>
          </w:tcPr>
          <w:p w14:paraId="7418C4A0"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165.0</w:t>
            </w:r>
          </w:p>
        </w:tc>
        <w:tc>
          <w:tcPr>
            <w:tcW w:w="579" w:type="pct"/>
            <w:tcBorders>
              <w:top w:val="nil"/>
              <w:left w:val="nil"/>
              <w:bottom w:val="nil"/>
              <w:right w:val="nil"/>
            </w:tcBorders>
            <w:shd w:val="clear" w:color="auto" w:fill="D5ECF5"/>
          </w:tcPr>
          <w:p w14:paraId="7418C4A1"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144.5</w:t>
            </w:r>
          </w:p>
        </w:tc>
        <w:tc>
          <w:tcPr>
            <w:tcW w:w="442" w:type="pct"/>
            <w:tcBorders>
              <w:top w:val="nil"/>
              <w:left w:val="nil"/>
              <w:bottom w:val="nil"/>
              <w:right w:val="nil"/>
            </w:tcBorders>
            <w:shd w:val="clear" w:color="auto" w:fill="D5ECF5"/>
          </w:tcPr>
          <w:p w14:paraId="7418C4A2"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300.3</w:t>
            </w:r>
          </w:p>
        </w:tc>
        <w:tc>
          <w:tcPr>
            <w:tcW w:w="523" w:type="pct"/>
            <w:tcBorders>
              <w:top w:val="nil"/>
              <w:left w:val="nil"/>
              <w:bottom w:val="nil"/>
              <w:right w:val="nil"/>
            </w:tcBorders>
            <w:shd w:val="clear" w:color="auto" w:fill="D5ECF5"/>
          </w:tcPr>
          <w:p w14:paraId="7418C4A3"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45</w:t>
            </w:r>
          </w:p>
        </w:tc>
        <w:tc>
          <w:tcPr>
            <w:tcW w:w="470" w:type="pct"/>
            <w:tcBorders>
              <w:top w:val="nil"/>
              <w:left w:val="nil"/>
              <w:bottom w:val="nil"/>
              <w:right w:val="nil"/>
            </w:tcBorders>
            <w:shd w:val="clear" w:color="auto" w:fill="D5ECF5"/>
          </w:tcPr>
          <w:p w14:paraId="7418C4A4"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12th of 35</w:t>
            </w:r>
          </w:p>
        </w:tc>
        <w:tc>
          <w:tcPr>
            <w:tcW w:w="470" w:type="pct"/>
            <w:gridSpan w:val="2"/>
            <w:tcBorders>
              <w:top w:val="nil"/>
              <w:left w:val="nil"/>
              <w:bottom w:val="nil"/>
              <w:right w:val="nil"/>
            </w:tcBorders>
            <w:shd w:val="clear" w:color="auto" w:fill="D5ECF5"/>
          </w:tcPr>
          <w:p w14:paraId="7418C4A5"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2013</w:t>
            </w:r>
          </w:p>
        </w:tc>
      </w:tr>
      <w:tr w:rsidR="00D471AD" w:rsidRPr="009C3449" w14:paraId="7418C4A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E4F3F9"/>
          </w:tcPr>
          <w:p w14:paraId="7418C4A7"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Top 1% publications per Bn PPP GERD (excluding BERD)</w:t>
            </w:r>
            <w:r w:rsidRPr="00507B05">
              <w:rPr>
                <w:rFonts w:ascii="Arial Unicode MS" w:eastAsia="Arial Unicode MS" w:hAnsi="Arial Unicode MS" w:cs="Arial Unicode MS"/>
                <w:color w:val="44546A" w:themeColor="text2"/>
                <w:sz w:val="14"/>
                <w:szCs w:val="14"/>
              </w:rPr>
              <w:t>¹ ⁴</w:t>
            </w:r>
          </w:p>
        </w:tc>
        <w:tc>
          <w:tcPr>
            <w:tcW w:w="532" w:type="pct"/>
            <w:gridSpan w:val="2"/>
            <w:tcBorders>
              <w:top w:val="nil"/>
              <w:left w:val="nil"/>
              <w:bottom w:val="nil"/>
              <w:right w:val="nil"/>
            </w:tcBorders>
            <w:shd w:val="clear" w:color="auto" w:fill="E4F3F9"/>
          </w:tcPr>
          <w:p w14:paraId="7418C4A8"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405.2</w:t>
            </w:r>
          </w:p>
        </w:tc>
        <w:tc>
          <w:tcPr>
            <w:tcW w:w="579" w:type="pct"/>
            <w:tcBorders>
              <w:top w:val="nil"/>
              <w:left w:val="nil"/>
              <w:bottom w:val="nil"/>
              <w:right w:val="nil"/>
            </w:tcBorders>
            <w:shd w:val="clear" w:color="auto" w:fill="E4F3F9"/>
          </w:tcPr>
          <w:p w14:paraId="7418C4A9"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347.3</w:t>
            </w:r>
          </w:p>
        </w:tc>
        <w:tc>
          <w:tcPr>
            <w:tcW w:w="442" w:type="pct"/>
            <w:tcBorders>
              <w:top w:val="nil"/>
              <w:left w:val="nil"/>
              <w:bottom w:val="nil"/>
              <w:right w:val="nil"/>
            </w:tcBorders>
            <w:shd w:val="clear" w:color="auto" w:fill="E4F3F9"/>
          </w:tcPr>
          <w:p w14:paraId="7418C4AA"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623.1</w:t>
            </w:r>
          </w:p>
        </w:tc>
        <w:tc>
          <w:tcPr>
            <w:tcW w:w="523" w:type="pct"/>
            <w:tcBorders>
              <w:top w:val="nil"/>
              <w:left w:val="nil"/>
              <w:bottom w:val="nil"/>
              <w:right w:val="nil"/>
            </w:tcBorders>
            <w:shd w:val="clear" w:color="auto" w:fill="E4F3F9"/>
          </w:tcPr>
          <w:p w14:paraId="7418C4AB"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35</w:t>
            </w:r>
          </w:p>
        </w:tc>
        <w:tc>
          <w:tcPr>
            <w:tcW w:w="470" w:type="pct"/>
            <w:tcBorders>
              <w:top w:val="nil"/>
              <w:left w:val="nil"/>
              <w:bottom w:val="nil"/>
              <w:right w:val="nil"/>
            </w:tcBorders>
            <w:shd w:val="clear" w:color="auto" w:fill="E4F3F9"/>
          </w:tcPr>
          <w:p w14:paraId="7418C4AC"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11th of 35</w:t>
            </w:r>
          </w:p>
        </w:tc>
        <w:tc>
          <w:tcPr>
            <w:tcW w:w="470" w:type="pct"/>
            <w:gridSpan w:val="2"/>
            <w:tcBorders>
              <w:top w:val="nil"/>
              <w:left w:val="nil"/>
              <w:bottom w:val="nil"/>
              <w:right w:val="nil"/>
            </w:tcBorders>
            <w:shd w:val="clear" w:color="auto" w:fill="E4F3F9"/>
          </w:tcPr>
          <w:p w14:paraId="7418C4AD"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2013</w:t>
            </w:r>
          </w:p>
        </w:tc>
      </w:tr>
      <w:tr w:rsidR="00D471AD" w:rsidRPr="009C3449" w14:paraId="7418C4B6"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nil"/>
              <w:right w:val="nil"/>
            </w:tcBorders>
            <w:shd w:val="clear" w:color="auto" w:fill="D5ECF5"/>
          </w:tcPr>
          <w:p w14:paraId="7418C4AF"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Proportion of publications in top 1%</w:t>
            </w:r>
            <w:r w:rsidRPr="00507B05">
              <w:rPr>
                <w:rFonts w:ascii="Arial Unicode MS" w:eastAsia="Arial Unicode MS" w:hAnsi="Arial Unicode MS" w:cs="Arial Unicode MS"/>
                <w:color w:val="44546A" w:themeColor="text2"/>
                <w:sz w:val="14"/>
                <w:szCs w:val="14"/>
              </w:rPr>
              <w:t>¹</w:t>
            </w:r>
          </w:p>
        </w:tc>
        <w:tc>
          <w:tcPr>
            <w:tcW w:w="532" w:type="pct"/>
            <w:gridSpan w:val="2"/>
            <w:tcBorders>
              <w:top w:val="nil"/>
              <w:left w:val="nil"/>
              <w:bottom w:val="nil"/>
              <w:right w:val="nil"/>
            </w:tcBorders>
            <w:shd w:val="clear" w:color="auto" w:fill="D5ECF5"/>
          </w:tcPr>
          <w:p w14:paraId="7418C4B0"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1.8</w:t>
            </w:r>
          </w:p>
        </w:tc>
        <w:tc>
          <w:tcPr>
            <w:tcW w:w="579" w:type="pct"/>
            <w:tcBorders>
              <w:top w:val="nil"/>
              <w:left w:val="nil"/>
              <w:bottom w:val="nil"/>
              <w:right w:val="nil"/>
            </w:tcBorders>
            <w:shd w:val="clear" w:color="auto" w:fill="D5ECF5"/>
          </w:tcPr>
          <w:p w14:paraId="7418C4B1"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1.7</w:t>
            </w:r>
          </w:p>
        </w:tc>
        <w:tc>
          <w:tcPr>
            <w:tcW w:w="442" w:type="pct"/>
            <w:tcBorders>
              <w:top w:val="nil"/>
              <w:left w:val="nil"/>
              <w:bottom w:val="nil"/>
              <w:right w:val="nil"/>
            </w:tcBorders>
            <w:shd w:val="clear" w:color="auto" w:fill="D5ECF5"/>
          </w:tcPr>
          <w:p w14:paraId="7418C4B2"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2.7</w:t>
            </w:r>
          </w:p>
        </w:tc>
        <w:tc>
          <w:tcPr>
            <w:tcW w:w="523" w:type="pct"/>
            <w:tcBorders>
              <w:top w:val="nil"/>
              <w:left w:val="nil"/>
              <w:bottom w:val="nil"/>
              <w:right w:val="nil"/>
            </w:tcBorders>
            <w:shd w:val="clear" w:color="auto" w:fill="D5ECF5"/>
          </w:tcPr>
          <w:p w14:paraId="7418C4B3"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33</w:t>
            </w:r>
          </w:p>
        </w:tc>
        <w:tc>
          <w:tcPr>
            <w:tcW w:w="470" w:type="pct"/>
            <w:tcBorders>
              <w:top w:val="nil"/>
              <w:left w:val="nil"/>
              <w:bottom w:val="nil"/>
              <w:right w:val="nil"/>
            </w:tcBorders>
            <w:shd w:val="clear" w:color="auto" w:fill="D5ECF5"/>
          </w:tcPr>
          <w:p w14:paraId="7418C4B4"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14th of 37</w:t>
            </w:r>
          </w:p>
        </w:tc>
        <w:tc>
          <w:tcPr>
            <w:tcW w:w="470" w:type="pct"/>
            <w:gridSpan w:val="2"/>
            <w:tcBorders>
              <w:top w:val="nil"/>
              <w:left w:val="nil"/>
              <w:bottom w:val="nil"/>
              <w:right w:val="nil"/>
            </w:tcBorders>
            <w:shd w:val="clear" w:color="auto" w:fill="D5ECF5"/>
          </w:tcPr>
          <w:p w14:paraId="7418C4B5"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2015</w:t>
            </w:r>
          </w:p>
        </w:tc>
      </w:tr>
      <w:tr w:rsidR="00D471AD" w:rsidRPr="009C3449" w14:paraId="7418C4BE" w14:textId="77777777" w:rsidTr="004A31A9">
        <w:tblPrEx>
          <w:tblBorders>
            <w:bottom w:val="none" w:sz="0" w:space="0" w:color="auto"/>
          </w:tblBorders>
          <w:tblCellMar>
            <w:left w:w="0" w:type="dxa"/>
            <w:right w:w="0" w:type="dxa"/>
          </w:tblCellMar>
          <w:tblLook w:val="01E0" w:firstRow="1" w:lastRow="1" w:firstColumn="1" w:lastColumn="1" w:noHBand="0" w:noVBand="0"/>
        </w:tblPrEx>
        <w:trPr>
          <w:trHeight w:val="301"/>
        </w:trPr>
        <w:tc>
          <w:tcPr>
            <w:tcW w:w="1984" w:type="pct"/>
            <w:tcBorders>
              <w:top w:val="nil"/>
              <w:left w:val="nil"/>
              <w:bottom w:val="single" w:sz="8" w:space="0" w:color="22789A"/>
              <w:right w:val="nil"/>
            </w:tcBorders>
            <w:shd w:val="clear" w:color="auto" w:fill="E4F3F9"/>
          </w:tcPr>
          <w:p w14:paraId="7418C4B7" w14:textId="77777777" w:rsidR="00D471AD" w:rsidRPr="00507B05" w:rsidRDefault="00D471AD" w:rsidP="004A31A9">
            <w:pPr>
              <w:pStyle w:val="TableParagraph"/>
              <w:spacing w:before="50"/>
              <w:ind w:left="91"/>
              <w:rPr>
                <w:rFonts w:ascii="Arial" w:eastAsia="Arial" w:hAnsi="Arial" w:cs="Arial"/>
                <w:color w:val="44546A" w:themeColor="text2"/>
                <w:sz w:val="14"/>
                <w:szCs w:val="14"/>
              </w:rPr>
            </w:pPr>
            <w:r w:rsidRPr="00507B05">
              <w:rPr>
                <w:rFonts w:ascii="Arial" w:eastAsia="Arial" w:hAnsi="Arial" w:cs="Arial"/>
                <w:color w:val="44546A" w:themeColor="text2"/>
                <w:sz w:val="14"/>
                <w:szCs w:val="14"/>
              </w:rPr>
              <w:t>Proportion of publications in top 10%</w:t>
            </w:r>
            <w:r w:rsidRPr="00507B05">
              <w:rPr>
                <w:rFonts w:ascii="Arial Unicode MS" w:eastAsia="Arial Unicode MS" w:hAnsi="Arial Unicode MS" w:cs="Arial Unicode MS"/>
                <w:color w:val="44546A" w:themeColor="text2"/>
                <w:sz w:val="14"/>
                <w:szCs w:val="14"/>
              </w:rPr>
              <w:t>¹</w:t>
            </w:r>
          </w:p>
        </w:tc>
        <w:tc>
          <w:tcPr>
            <w:tcW w:w="532" w:type="pct"/>
            <w:gridSpan w:val="2"/>
            <w:tcBorders>
              <w:top w:val="nil"/>
              <w:left w:val="nil"/>
              <w:bottom w:val="single" w:sz="8" w:space="0" w:color="22789A"/>
              <w:right w:val="nil"/>
            </w:tcBorders>
            <w:shd w:val="clear" w:color="auto" w:fill="E4F3F9"/>
          </w:tcPr>
          <w:p w14:paraId="7418C4B8"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14.2</w:t>
            </w:r>
          </w:p>
        </w:tc>
        <w:tc>
          <w:tcPr>
            <w:tcW w:w="579" w:type="pct"/>
            <w:tcBorders>
              <w:top w:val="nil"/>
              <w:left w:val="nil"/>
              <w:bottom w:val="single" w:sz="8" w:space="0" w:color="22789A"/>
              <w:right w:val="nil"/>
            </w:tcBorders>
            <w:shd w:val="clear" w:color="auto" w:fill="E4F3F9"/>
          </w:tcPr>
          <w:p w14:paraId="7418C4B9"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12.8</w:t>
            </w:r>
          </w:p>
        </w:tc>
        <w:tc>
          <w:tcPr>
            <w:tcW w:w="442" w:type="pct"/>
            <w:tcBorders>
              <w:top w:val="nil"/>
              <w:left w:val="nil"/>
              <w:bottom w:val="single" w:sz="8" w:space="0" w:color="22789A"/>
              <w:right w:val="nil"/>
            </w:tcBorders>
            <w:shd w:val="clear" w:color="auto" w:fill="E4F3F9"/>
          </w:tcPr>
          <w:p w14:paraId="7418C4BA"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17.0</w:t>
            </w:r>
          </w:p>
        </w:tc>
        <w:tc>
          <w:tcPr>
            <w:tcW w:w="523" w:type="pct"/>
            <w:tcBorders>
              <w:top w:val="nil"/>
              <w:left w:val="nil"/>
              <w:bottom w:val="single" w:sz="8" w:space="0" w:color="22789A"/>
              <w:right w:val="nil"/>
            </w:tcBorders>
            <w:shd w:val="clear" w:color="auto" w:fill="E4F3F9"/>
          </w:tcPr>
          <w:p w14:paraId="7418C4BB"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16</w:t>
            </w:r>
          </w:p>
        </w:tc>
        <w:tc>
          <w:tcPr>
            <w:tcW w:w="470" w:type="pct"/>
            <w:tcBorders>
              <w:top w:val="nil"/>
              <w:left w:val="nil"/>
              <w:bottom w:val="single" w:sz="8" w:space="0" w:color="22789A"/>
              <w:right w:val="nil"/>
            </w:tcBorders>
            <w:shd w:val="clear" w:color="auto" w:fill="E4F3F9"/>
          </w:tcPr>
          <w:p w14:paraId="7418C4BC"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14th of 37</w:t>
            </w:r>
          </w:p>
        </w:tc>
        <w:tc>
          <w:tcPr>
            <w:tcW w:w="470" w:type="pct"/>
            <w:gridSpan w:val="2"/>
            <w:tcBorders>
              <w:top w:val="nil"/>
              <w:left w:val="nil"/>
              <w:bottom w:val="single" w:sz="8" w:space="0" w:color="22789A"/>
              <w:right w:val="nil"/>
            </w:tcBorders>
            <w:shd w:val="clear" w:color="auto" w:fill="E4F3F9"/>
          </w:tcPr>
          <w:p w14:paraId="7418C4BD" w14:textId="77777777" w:rsidR="00D471AD" w:rsidRPr="00507B05" w:rsidRDefault="00D471AD" w:rsidP="004A31A9">
            <w:pPr>
              <w:pStyle w:val="TableParagraph"/>
              <w:spacing w:before="50"/>
              <w:ind w:right="99"/>
              <w:jc w:val="right"/>
              <w:rPr>
                <w:rFonts w:ascii="Arial" w:eastAsia="Arial" w:hAnsi="Arial" w:cs="Arial"/>
                <w:color w:val="44546A" w:themeColor="text2"/>
                <w:sz w:val="14"/>
                <w:szCs w:val="14"/>
              </w:rPr>
            </w:pPr>
            <w:r w:rsidRPr="00507B05">
              <w:rPr>
                <w:rFonts w:ascii="Arial" w:eastAsia="Arial" w:hAnsi="Arial" w:cs="Arial"/>
                <w:color w:val="44546A" w:themeColor="text2"/>
                <w:sz w:val="14"/>
                <w:szCs w:val="14"/>
              </w:rPr>
              <w:t>2015</w:t>
            </w:r>
          </w:p>
        </w:tc>
      </w:tr>
    </w:tbl>
    <w:p w14:paraId="7418C4BF" w14:textId="77777777" w:rsidR="00D471AD" w:rsidRPr="008B33FB" w:rsidRDefault="00D471AD" w:rsidP="00D471AD">
      <w:pPr>
        <w:spacing w:before="120" w:after="120"/>
        <w:rPr>
          <w:rFonts w:cs="Arial"/>
          <w:color w:val="22789A"/>
          <w:sz w:val="16"/>
          <w:szCs w:val="16"/>
        </w:rPr>
      </w:pPr>
      <w:r w:rsidRPr="008B33FB">
        <w:rPr>
          <w:rFonts w:cs="Arial"/>
          <w:color w:val="22789A"/>
          <w:sz w:val="16"/>
          <w:szCs w:val="16"/>
        </w:rPr>
        <w:t>– = data not available</w:t>
      </w:r>
    </w:p>
    <w:p w14:paraId="7418C4C0" w14:textId="77777777" w:rsidR="00D471AD" w:rsidRPr="008B33FB" w:rsidRDefault="00D471AD" w:rsidP="00D471AD">
      <w:pPr>
        <w:spacing w:before="120" w:after="120"/>
        <w:rPr>
          <w:rFonts w:eastAsia="Times New Roman" w:cs="Arial"/>
          <w:color w:val="22789A"/>
          <w:sz w:val="16"/>
          <w:szCs w:val="16"/>
          <w:lang w:eastAsia="en-AU"/>
        </w:rPr>
      </w:pPr>
      <w:r w:rsidRPr="008671B7">
        <w:rPr>
          <w:rFonts w:eastAsia="Times New Roman" w:cs="Arial"/>
          <w:b/>
          <w:i/>
          <w:iCs/>
          <w:color w:val="22789A"/>
          <w:sz w:val="16"/>
          <w:szCs w:val="16"/>
          <w:lang w:eastAsia="en-AU"/>
        </w:rPr>
        <w:t>Table notes:</w:t>
      </w:r>
      <w:r w:rsidRPr="008671B7">
        <w:rPr>
          <w:rFonts w:eastAsia="Times New Roman" w:cs="Arial"/>
          <w:i/>
          <w:iCs/>
          <w:color w:val="22789A"/>
          <w:sz w:val="16"/>
          <w:szCs w:val="16"/>
          <w:lang w:eastAsia="en-AU"/>
        </w:rPr>
        <w:t xml:space="preserve"> </w:t>
      </w:r>
      <w:r w:rsidRPr="008671B7">
        <w:rPr>
          <w:rFonts w:eastAsia="Times New Roman" w:cs="Arial"/>
          <w:b/>
          <w:bCs/>
          <w:color w:val="22789A"/>
          <w:sz w:val="16"/>
          <w:szCs w:val="16"/>
          <w:lang w:eastAsia="en-AU"/>
        </w:rPr>
        <w:t>(i)</w:t>
      </w:r>
      <w:r w:rsidRPr="008671B7">
        <w:rPr>
          <w:rFonts w:eastAsia="Times New Roman" w:cs="Arial"/>
          <w:color w:val="22789A"/>
          <w:sz w:val="16"/>
          <w:szCs w:val="16"/>
          <w:lang w:eastAsia="en-AU"/>
        </w:rPr>
        <w:t xml:space="preserve"> Data are presented in calendar year format. Where the data are in financial years, it is expressed in terms of the year where the financial year begins e.g. 2010–11 is shown as 2010.</w:t>
      </w:r>
      <w:r w:rsidRPr="008671B7">
        <w:rPr>
          <w:rFonts w:eastAsia="Times New Roman" w:cs="Arial"/>
          <w:b/>
          <w:bCs/>
          <w:color w:val="22789A"/>
          <w:sz w:val="16"/>
          <w:szCs w:val="16"/>
          <w:lang w:eastAsia="en-AU"/>
        </w:rPr>
        <w:t xml:space="preserve"> (ii) </w:t>
      </w:r>
      <w:r w:rsidRPr="008671B7">
        <w:rPr>
          <w:rFonts w:eastAsia="Times New Roman" w:cs="Arial"/>
          <w:color w:val="22789A"/>
          <w:sz w:val="16"/>
          <w:szCs w:val="16"/>
          <w:lang w:eastAsia="en-AU"/>
        </w:rPr>
        <w:t xml:space="preserve">OECD+ includes all countries in the OECD, as well as China, Taiwan and Singapore (where data is available). </w:t>
      </w:r>
      <w:r w:rsidRPr="008671B7">
        <w:rPr>
          <w:rFonts w:eastAsia="Times New Roman" w:cs="Arial"/>
          <w:b/>
          <w:bCs/>
          <w:color w:val="22789A"/>
          <w:sz w:val="16"/>
          <w:szCs w:val="16"/>
          <w:lang w:eastAsia="en-AU"/>
        </w:rPr>
        <w:t xml:space="preserve">(iii) </w:t>
      </w:r>
      <w:r w:rsidRPr="008671B7">
        <w:rPr>
          <w:rFonts w:eastAsia="Times New Roman" w:cs="Arial"/>
          <w:color w:val="22789A"/>
          <w:sz w:val="16"/>
          <w:szCs w:val="16"/>
          <w:lang w:eastAsia="en-AU"/>
        </w:rPr>
        <w:t xml:space="preserve">The ‘Australia’s score’ field presents the Australian values used in the OECD+ comparisons. </w:t>
      </w:r>
      <w:r w:rsidRPr="008671B7">
        <w:rPr>
          <w:rFonts w:eastAsia="Times New Roman" w:cs="Arial"/>
          <w:b/>
          <w:bCs/>
          <w:color w:val="22789A"/>
          <w:sz w:val="16"/>
          <w:szCs w:val="16"/>
          <w:lang w:eastAsia="en-AU"/>
        </w:rPr>
        <w:t xml:space="preserve">(iv) </w:t>
      </w:r>
      <w:r w:rsidRPr="008671B7">
        <w:rPr>
          <w:rFonts w:eastAsia="Times New Roman" w:cs="Arial"/>
          <w:color w:val="22789A"/>
          <w:sz w:val="16"/>
          <w:szCs w:val="16"/>
          <w:lang w:eastAsia="en-AU"/>
        </w:rPr>
        <w:t>This is the arithmetic (simple) average of the OECD+ country scores.</w:t>
      </w:r>
      <w:r w:rsidRPr="008671B7">
        <w:rPr>
          <w:rFonts w:eastAsia="Times New Roman" w:cs="Arial"/>
          <w:b/>
          <w:bCs/>
          <w:color w:val="22789A"/>
          <w:sz w:val="16"/>
          <w:szCs w:val="16"/>
          <w:lang w:eastAsia="en-AU"/>
        </w:rPr>
        <w:t xml:space="preserve"> (v) </w:t>
      </w:r>
      <w:r w:rsidRPr="008671B7">
        <w:rPr>
          <w:rFonts w:eastAsia="Times New Roman" w:cs="Arial"/>
          <w:color w:val="22789A"/>
          <w:sz w:val="16"/>
          <w:szCs w:val="16"/>
          <w:lang w:eastAsia="en-AU"/>
        </w:rPr>
        <w:t xml:space="preserve">This is the median of the OECD+ country scores </w:t>
      </w:r>
      <w:r w:rsidRPr="008671B7">
        <w:rPr>
          <w:rFonts w:eastAsia="Times New Roman" w:cs="Arial"/>
          <w:b/>
          <w:bCs/>
          <w:color w:val="22789A"/>
          <w:sz w:val="16"/>
          <w:szCs w:val="16"/>
          <w:lang w:eastAsia="en-AU"/>
        </w:rPr>
        <w:t>(vi)</w:t>
      </w:r>
      <w:r w:rsidRPr="008671B7">
        <w:rPr>
          <w:rFonts w:eastAsia="Times New Roman" w:cs="Arial"/>
          <w:color w:val="22789A"/>
          <w:sz w:val="16"/>
          <w:szCs w:val="16"/>
          <w:lang w:eastAsia="en-AU"/>
        </w:rPr>
        <w:t xml:space="preserve"> This is the arithmetic (simple) average of the top five OECD+ countries in a ranked list. </w:t>
      </w:r>
      <w:r w:rsidRPr="008671B7">
        <w:rPr>
          <w:rFonts w:eastAsia="Times New Roman" w:cs="Arial"/>
          <w:b/>
          <w:bCs/>
          <w:color w:val="22789A"/>
          <w:sz w:val="16"/>
          <w:szCs w:val="16"/>
          <w:lang w:eastAsia="en-AU"/>
        </w:rPr>
        <w:t xml:space="preserve">(vii) </w:t>
      </w:r>
      <w:r w:rsidRPr="008671B7">
        <w:rPr>
          <w:rFonts w:eastAsia="Times New Roman" w:cs="Arial"/>
          <w:color w:val="22789A"/>
          <w:sz w:val="16"/>
          <w:szCs w:val="16"/>
          <w:lang w:eastAsia="en-AU"/>
        </w:rPr>
        <w:t xml:space="preserve">This represents Australia’s distance from the frontier as defined by the average of the top five ranked OECD+ countries. It is calculated as 100*(Top five average - Australia’s score)/ Top 5 average. Where the solution is a negative value or zero, ‘no gap’ is shown in the cell. </w:t>
      </w:r>
      <w:r w:rsidRPr="008671B7">
        <w:rPr>
          <w:rFonts w:eastAsia="Times New Roman" w:cs="Arial"/>
          <w:b/>
          <w:bCs/>
          <w:color w:val="22789A"/>
          <w:sz w:val="16"/>
          <w:szCs w:val="16"/>
          <w:lang w:eastAsia="en-AU"/>
        </w:rPr>
        <w:t xml:space="preserve">(viii) </w:t>
      </w:r>
      <w:r w:rsidRPr="008671B7">
        <w:rPr>
          <w:rFonts w:eastAsia="Times New Roman" w:cs="Arial"/>
          <w:color w:val="22789A"/>
          <w:sz w:val="16"/>
          <w:szCs w:val="16"/>
          <w:lang w:eastAsia="en-AU"/>
        </w:rPr>
        <w:t>OECD+ rankings are performed on those OECD+ countries for which data are available. Individual data availability may vary between indicators.</w:t>
      </w:r>
    </w:p>
    <w:p w14:paraId="7418C4C1" w14:textId="77777777" w:rsidR="00D471AD" w:rsidRPr="008B33FB" w:rsidRDefault="00D471AD" w:rsidP="00D471AD">
      <w:pPr>
        <w:spacing w:before="120" w:after="120"/>
        <w:rPr>
          <w:rFonts w:eastAsia="Times New Roman" w:cs="Arial"/>
          <w:i/>
          <w:iCs/>
          <w:color w:val="22789A"/>
          <w:sz w:val="16"/>
          <w:szCs w:val="16"/>
          <w:lang w:eastAsia="en-AU"/>
        </w:rPr>
      </w:pPr>
      <w:r w:rsidRPr="008671B7">
        <w:rPr>
          <w:rFonts w:eastAsia="Times New Roman" w:cs="Arial"/>
          <w:b/>
          <w:i/>
          <w:iCs/>
          <w:color w:val="22789A"/>
          <w:sz w:val="16"/>
          <w:szCs w:val="16"/>
          <w:lang w:eastAsia="en-AU"/>
        </w:rPr>
        <w:t>Sources</w:t>
      </w:r>
      <w:r w:rsidRPr="008671B7">
        <w:rPr>
          <w:rFonts w:eastAsia="Times New Roman" w:cs="Arial"/>
          <w:b/>
          <w:color w:val="22789A"/>
          <w:sz w:val="16"/>
          <w:szCs w:val="16"/>
          <w:lang w:eastAsia="en-AU"/>
        </w:rPr>
        <w:t xml:space="preserve"> (1):</w:t>
      </w:r>
      <w:r w:rsidRPr="008671B7">
        <w:rPr>
          <w:rFonts w:eastAsia="Times New Roman" w:cs="Arial"/>
          <w:b/>
          <w:bCs/>
          <w:color w:val="22789A"/>
          <w:sz w:val="16"/>
          <w:szCs w:val="16"/>
          <w:lang w:eastAsia="en-AU"/>
        </w:rPr>
        <w:t xml:space="preserve"> [1] </w:t>
      </w:r>
      <w:r w:rsidRPr="008671B7">
        <w:rPr>
          <w:rFonts w:eastAsia="Times New Roman" w:cs="Arial"/>
          <w:color w:val="22789A"/>
          <w:sz w:val="16"/>
          <w:szCs w:val="16"/>
          <w:lang w:eastAsia="en-AU"/>
        </w:rPr>
        <w:t>InCites (2016) InCites, 2016, Ref: Thomson Reuters subscription database</w:t>
      </w:r>
    </w:p>
    <w:p w14:paraId="7418C4C2" w14:textId="77777777" w:rsidR="00D471AD" w:rsidRPr="008B33FB" w:rsidRDefault="00D471AD" w:rsidP="00D471AD">
      <w:pPr>
        <w:spacing w:before="120" w:after="120"/>
        <w:rPr>
          <w:rFonts w:eastAsia="Times New Roman" w:cs="Arial"/>
          <w:i/>
          <w:iCs/>
          <w:color w:val="22789A"/>
          <w:sz w:val="16"/>
          <w:szCs w:val="16"/>
          <w:lang w:eastAsia="en-AU"/>
        </w:rPr>
      </w:pPr>
      <w:r w:rsidRPr="008671B7">
        <w:rPr>
          <w:rFonts w:eastAsia="Times New Roman" w:cs="Arial"/>
          <w:b/>
          <w:i/>
          <w:iCs/>
          <w:color w:val="22789A"/>
          <w:sz w:val="16"/>
          <w:szCs w:val="16"/>
          <w:lang w:eastAsia="en-AU"/>
        </w:rPr>
        <w:t>Indicator notes</w:t>
      </w:r>
      <w:r w:rsidRPr="008671B7">
        <w:rPr>
          <w:rFonts w:eastAsia="Times New Roman" w:cs="Arial"/>
          <w:b/>
          <w:color w:val="22789A"/>
          <w:sz w:val="16"/>
          <w:szCs w:val="16"/>
          <w:lang w:eastAsia="en-AU"/>
        </w:rPr>
        <w:t xml:space="preserve"> (2 - 4):</w:t>
      </w:r>
      <w:r w:rsidRPr="008671B7">
        <w:rPr>
          <w:rFonts w:eastAsia="Times New Roman" w:cs="Arial"/>
          <w:color w:val="22789A"/>
          <w:sz w:val="16"/>
          <w:szCs w:val="16"/>
          <w:lang w:eastAsia="en-AU"/>
        </w:rPr>
        <w:t xml:space="preserve"> </w:t>
      </w:r>
      <w:r w:rsidRPr="008671B7">
        <w:rPr>
          <w:rFonts w:eastAsia="Times New Roman" w:cs="Arial"/>
          <w:b/>
          <w:bCs/>
          <w:color w:val="22789A"/>
          <w:sz w:val="16"/>
          <w:szCs w:val="16"/>
          <w:lang w:eastAsia="en-AU"/>
        </w:rPr>
        <w:t>[2]</w:t>
      </w:r>
      <w:r w:rsidRPr="008671B7">
        <w:rPr>
          <w:rFonts w:eastAsia="Times New Roman" w:cs="Arial"/>
          <w:color w:val="22789A"/>
          <w:sz w:val="16"/>
          <w:szCs w:val="16"/>
          <w:lang w:eastAsia="en-AU"/>
        </w:rPr>
        <w:t xml:space="preserve"> Data cover a five year period e.g. 2013 data covers 2009–2013 inclusive;</w:t>
      </w:r>
      <w:r w:rsidRPr="008671B7">
        <w:rPr>
          <w:rFonts w:eastAsia="Times New Roman" w:cs="Arial"/>
          <w:b/>
          <w:bCs/>
          <w:color w:val="22789A"/>
          <w:sz w:val="16"/>
          <w:szCs w:val="16"/>
          <w:lang w:eastAsia="en-AU"/>
        </w:rPr>
        <w:t xml:space="preserve"> [3] </w:t>
      </w:r>
      <w:r w:rsidRPr="008671B7">
        <w:rPr>
          <w:rFonts w:eastAsia="Times New Roman" w:cs="Arial"/>
          <w:color w:val="22789A"/>
          <w:sz w:val="16"/>
          <w:szCs w:val="16"/>
          <w:lang w:eastAsia="en-AU"/>
        </w:rPr>
        <w:t xml:space="preserve">A value of 1.33 indicates Australian publications received, on average, a citation rate 33% higher than the world average for publications in their discipline and year; </w:t>
      </w:r>
      <w:r w:rsidRPr="008671B7">
        <w:rPr>
          <w:rFonts w:eastAsia="Times New Roman" w:cs="Arial"/>
          <w:b/>
          <w:bCs/>
          <w:color w:val="22789A"/>
          <w:sz w:val="16"/>
          <w:szCs w:val="16"/>
          <w:lang w:eastAsia="en-AU"/>
        </w:rPr>
        <w:t xml:space="preserve">[4] </w:t>
      </w:r>
      <w:r w:rsidRPr="008671B7">
        <w:rPr>
          <w:rFonts w:eastAsia="Times New Roman" w:cs="Arial"/>
          <w:color w:val="22789A"/>
          <w:sz w:val="16"/>
          <w:szCs w:val="16"/>
          <w:lang w:eastAsia="en-AU"/>
        </w:rPr>
        <w:t>Data covers a three year period e.g. 2013 data covers 2011–2013 inclusive. Per cent of world top publications produced by Australian authors. Top publications means papers (articles and reviews) that rank in the top 1% by citations for field and year</w:t>
      </w:r>
    </w:p>
    <w:p w14:paraId="7418C4C3" w14:textId="77777777" w:rsidR="00D471AD" w:rsidRDefault="00D471AD" w:rsidP="00D471AD"/>
    <w:p w14:paraId="7418C4C4" w14:textId="77777777" w:rsidR="00D471AD" w:rsidRDefault="00D471AD" w:rsidP="00D471AD">
      <w:r>
        <w:br w:type="page"/>
      </w:r>
    </w:p>
    <w:tbl>
      <w:tblPr>
        <w:tblW w:w="5044" w:type="pct"/>
        <w:tblBorders>
          <w:bottom w:val="single" w:sz="4" w:space="0" w:color="auto"/>
        </w:tblBorders>
        <w:tblLook w:val="04A0" w:firstRow="1" w:lastRow="0" w:firstColumn="1" w:lastColumn="0" w:noHBand="0" w:noVBand="1"/>
      </w:tblPr>
      <w:tblGrid>
        <w:gridCol w:w="6408"/>
        <w:gridCol w:w="699"/>
        <w:gridCol w:w="699"/>
        <w:gridCol w:w="699"/>
        <w:gridCol w:w="698"/>
        <w:gridCol w:w="698"/>
        <w:gridCol w:w="698"/>
        <w:gridCol w:w="698"/>
        <w:gridCol w:w="698"/>
        <w:gridCol w:w="698"/>
        <w:gridCol w:w="698"/>
        <w:gridCol w:w="690"/>
      </w:tblGrid>
      <w:tr w:rsidR="00D471AD" w:rsidRPr="00922CDF" w14:paraId="7418C4C6" w14:textId="77777777" w:rsidTr="004A31A9">
        <w:trPr>
          <w:trHeight w:val="300"/>
        </w:trPr>
        <w:tc>
          <w:tcPr>
            <w:tcW w:w="5000" w:type="pct"/>
            <w:gridSpan w:val="12"/>
            <w:tcBorders>
              <w:top w:val="single" w:sz="8" w:space="0" w:color="22789A"/>
              <w:bottom w:val="nil"/>
            </w:tcBorders>
            <w:shd w:val="clear" w:color="auto" w:fill="auto"/>
            <w:vAlign w:val="center"/>
          </w:tcPr>
          <w:p w14:paraId="7418C4C5" w14:textId="77777777" w:rsidR="00D471AD" w:rsidRPr="00922CDF" w:rsidRDefault="00D471AD" w:rsidP="004A31A9">
            <w:pPr>
              <w:widowControl w:val="0"/>
              <w:spacing w:before="42" w:after="0" w:line="240" w:lineRule="auto"/>
              <w:ind w:left="-108"/>
              <w:rPr>
                <w:rFonts w:eastAsia="Calibri" w:hAnsi="Calibri" w:cs="Times New Roman"/>
                <w:i/>
                <w:color w:val="22789A"/>
                <w:spacing w:val="3"/>
                <w:sz w:val="18"/>
                <w:lang w:val="en-US"/>
              </w:rPr>
            </w:pPr>
            <w:r w:rsidRPr="00922CDF">
              <w:rPr>
                <w:rFonts w:eastAsia="Calibri" w:hAnsi="Calibri" w:cs="Times New Roman"/>
                <w:i/>
                <w:color w:val="22789A"/>
                <w:spacing w:val="3"/>
                <w:sz w:val="18"/>
                <w:lang w:val="en-US"/>
              </w:rPr>
              <w:t>Table A10: Research Commercialisation Outcomes</w:t>
            </w:r>
          </w:p>
        </w:tc>
      </w:tr>
      <w:tr w:rsidR="00D471AD" w:rsidRPr="00922CDF" w14:paraId="7418C4C8" w14:textId="77777777" w:rsidTr="004A31A9">
        <w:trPr>
          <w:trHeight w:val="300"/>
        </w:trPr>
        <w:tc>
          <w:tcPr>
            <w:tcW w:w="5000" w:type="pct"/>
            <w:gridSpan w:val="12"/>
            <w:tcBorders>
              <w:top w:val="nil"/>
            </w:tcBorders>
            <w:shd w:val="clear" w:color="292B67" w:fill="22789A"/>
            <w:vAlign w:val="center"/>
            <w:hideMark/>
          </w:tcPr>
          <w:p w14:paraId="7418C4C7" w14:textId="77777777" w:rsidR="00D471AD" w:rsidRPr="00922CDF" w:rsidRDefault="00D471AD" w:rsidP="004A31A9">
            <w:pPr>
              <w:widowControl w:val="0"/>
              <w:spacing w:before="42" w:after="0" w:line="240" w:lineRule="auto"/>
              <w:ind w:left="79"/>
              <w:rPr>
                <w:rFonts w:eastAsia="Calibri" w:hAnsi="Calibri" w:cs="Times New Roman"/>
                <w:i/>
                <w:color w:val="FFFFFF"/>
                <w:spacing w:val="3"/>
                <w:sz w:val="18"/>
                <w:lang w:val="en-US"/>
              </w:rPr>
            </w:pPr>
            <w:r w:rsidRPr="00922CDF">
              <w:rPr>
                <w:rFonts w:eastAsia="Calibri" w:hAnsi="Calibri" w:cs="Times New Roman"/>
                <w:i/>
                <w:color w:val="FFFFFF"/>
                <w:spacing w:val="3"/>
                <w:sz w:val="18"/>
                <w:lang w:val="en-US"/>
              </w:rPr>
              <w:t>Australian Trend Data (i)</w:t>
            </w:r>
          </w:p>
        </w:tc>
      </w:tr>
      <w:tr w:rsidR="00D471AD" w:rsidRPr="00922CDF" w14:paraId="7418C4D5" w14:textId="77777777" w:rsidTr="004A31A9">
        <w:trPr>
          <w:trHeight w:val="300"/>
        </w:trPr>
        <w:tc>
          <w:tcPr>
            <w:tcW w:w="2275" w:type="pct"/>
            <w:shd w:val="clear" w:color="auto" w:fill="E4F3F9"/>
            <w:vAlign w:val="center"/>
            <w:hideMark/>
          </w:tcPr>
          <w:p w14:paraId="7418C4C9" w14:textId="77777777" w:rsidR="00D471AD" w:rsidRPr="00922CDF" w:rsidRDefault="00D471AD" w:rsidP="004A31A9">
            <w:pPr>
              <w:spacing w:after="0" w:line="240" w:lineRule="auto"/>
              <w:rPr>
                <w:rFonts w:eastAsia="Times New Roman" w:cs="Arial"/>
                <w:b/>
                <w:bCs/>
                <w:i/>
                <w:color w:val="7A7B7C"/>
                <w:sz w:val="14"/>
                <w:szCs w:val="14"/>
                <w:lang w:eastAsia="en-AU"/>
              </w:rPr>
            </w:pPr>
            <w:r w:rsidRPr="00922CDF">
              <w:rPr>
                <w:rFonts w:eastAsia="Times New Roman" w:cs="Arial"/>
                <w:b/>
                <w:bCs/>
                <w:i/>
                <w:color w:val="7A7B7C"/>
                <w:sz w:val="14"/>
                <w:szCs w:val="14"/>
                <w:lang w:eastAsia="en-AU"/>
              </w:rPr>
              <w:t>Indicators</w:t>
            </w:r>
          </w:p>
        </w:tc>
        <w:tc>
          <w:tcPr>
            <w:tcW w:w="248" w:type="pct"/>
            <w:shd w:val="clear" w:color="auto" w:fill="E4F3F9"/>
            <w:vAlign w:val="center"/>
            <w:hideMark/>
          </w:tcPr>
          <w:p w14:paraId="7418C4CA"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2000</w:t>
            </w:r>
          </w:p>
        </w:tc>
        <w:tc>
          <w:tcPr>
            <w:tcW w:w="248" w:type="pct"/>
            <w:shd w:val="clear" w:color="auto" w:fill="E4F3F9"/>
            <w:vAlign w:val="center"/>
            <w:hideMark/>
          </w:tcPr>
          <w:p w14:paraId="7418C4CB"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2005</w:t>
            </w:r>
          </w:p>
        </w:tc>
        <w:tc>
          <w:tcPr>
            <w:tcW w:w="248" w:type="pct"/>
            <w:shd w:val="clear" w:color="auto" w:fill="E4F3F9"/>
            <w:vAlign w:val="center"/>
            <w:hideMark/>
          </w:tcPr>
          <w:p w14:paraId="7418C4CC"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2006</w:t>
            </w:r>
          </w:p>
        </w:tc>
        <w:tc>
          <w:tcPr>
            <w:tcW w:w="248" w:type="pct"/>
            <w:shd w:val="clear" w:color="auto" w:fill="E4F3F9"/>
            <w:vAlign w:val="center"/>
            <w:hideMark/>
          </w:tcPr>
          <w:p w14:paraId="7418C4CD"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2007</w:t>
            </w:r>
          </w:p>
        </w:tc>
        <w:tc>
          <w:tcPr>
            <w:tcW w:w="248" w:type="pct"/>
            <w:shd w:val="clear" w:color="auto" w:fill="E4F3F9"/>
            <w:vAlign w:val="center"/>
            <w:hideMark/>
          </w:tcPr>
          <w:p w14:paraId="7418C4CE"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2008</w:t>
            </w:r>
          </w:p>
        </w:tc>
        <w:tc>
          <w:tcPr>
            <w:tcW w:w="248" w:type="pct"/>
            <w:shd w:val="clear" w:color="auto" w:fill="E4F3F9"/>
            <w:vAlign w:val="center"/>
            <w:hideMark/>
          </w:tcPr>
          <w:p w14:paraId="7418C4CF"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2009</w:t>
            </w:r>
          </w:p>
        </w:tc>
        <w:tc>
          <w:tcPr>
            <w:tcW w:w="248" w:type="pct"/>
            <w:shd w:val="clear" w:color="auto" w:fill="E4F3F9"/>
            <w:vAlign w:val="center"/>
            <w:hideMark/>
          </w:tcPr>
          <w:p w14:paraId="7418C4D0"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2010</w:t>
            </w:r>
          </w:p>
        </w:tc>
        <w:tc>
          <w:tcPr>
            <w:tcW w:w="248" w:type="pct"/>
            <w:shd w:val="clear" w:color="auto" w:fill="E4F3F9"/>
            <w:vAlign w:val="center"/>
            <w:hideMark/>
          </w:tcPr>
          <w:p w14:paraId="7418C4D1"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2011</w:t>
            </w:r>
          </w:p>
        </w:tc>
        <w:tc>
          <w:tcPr>
            <w:tcW w:w="248" w:type="pct"/>
            <w:shd w:val="clear" w:color="auto" w:fill="E4F3F9"/>
            <w:vAlign w:val="center"/>
            <w:hideMark/>
          </w:tcPr>
          <w:p w14:paraId="7418C4D2"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2012</w:t>
            </w:r>
          </w:p>
        </w:tc>
        <w:tc>
          <w:tcPr>
            <w:tcW w:w="248" w:type="pct"/>
            <w:shd w:val="clear" w:color="auto" w:fill="E4F3F9"/>
            <w:vAlign w:val="center"/>
            <w:hideMark/>
          </w:tcPr>
          <w:p w14:paraId="7418C4D3"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2013</w:t>
            </w:r>
          </w:p>
        </w:tc>
        <w:tc>
          <w:tcPr>
            <w:tcW w:w="245" w:type="pct"/>
            <w:shd w:val="clear" w:color="auto" w:fill="E4F3F9"/>
            <w:vAlign w:val="center"/>
            <w:hideMark/>
          </w:tcPr>
          <w:p w14:paraId="7418C4D4" w14:textId="77777777" w:rsidR="00D471AD" w:rsidRPr="00922CDF" w:rsidRDefault="00D471AD" w:rsidP="004A31A9">
            <w:pPr>
              <w:spacing w:after="0" w:line="240" w:lineRule="auto"/>
              <w:jc w:val="right"/>
              <w:rPr>
                <w:rFonts w:eastAsia="Times New Roman" w:cs="Arial"/>
                <w:b/>
                <w:bCs/>
                <w:i/>
                <w:color w:val="7A7B7C"/>
                <w:sz w:val="14"/>
                <w:szCs w:val="14"/>
                <w:lang w:eastAsia="en-AU"/>
              </w:rPr>
            </w:pPr>
            <w:r w:rsidRPr="00922CDF">
              <w:rPr>
                <w:rFonts w:eastAsia="Times New Roman" w:cs="Arial"/>
                <w:b/>
                <w:bCs/>
                <w:i/>
                <w:color w:val="7A7B7C"/>
                <w:sz w:val="14"/>
                <w:szCs w:val="14"/>
                <w:lang w:eastAsia="en-AU"/>
              </w:rPr>
              <w:t>2014</w:t>
            </w:r>
          </w:p>
        </w:tc>
      </w:tr>
      <w:tr w:rsidR="00D471AD" w:rsidRPr="00922CDF" w14:paraId="7418C4E2" w14:textId="77777777" w:rsidTr="004A31A9">
        <w:trPr>
          <w:trHeight w:val="397"/>
        </w:trPr>
        <w:tc>
          <w:tcPr>
            <w:tcW w:w="2275" w:type="pct"/>
            <w:shd w:val="clear" w:color="auto" w:fill="D5ECF5"/>
            <w:vAlign w:val="center"/>
            <w:hideMark/>
          </w:tcPr>
          <w:p w14:paraId="7418C4D6"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Number of formal agreements on academic/research collaboration between Australian universities and overseas institutions</w:t>
            </w:r>
            <w:r w:rsidRPr="00922CDF">
              <w:rPr>
                <w:rFonts w:ascii="Arial Unicode MS" w:eastAsia="Arial Unicode MS" w:hAnsi="Arial Unicode MS" w:cs="Arial Unicode MS" w:hint="eastAsia"/>
                <w:bCs/>
                <w:color w:val="7A7B7C"/>
                <w:sz w:val="14"/>
                <w:szCs w:val="14"/>
                <w:lang w:eastAsia="en-AU"/>
              </w:rPr>
              <w:t xml:space="preserve">¹ </w:t>
            </w:r>
            <w:r w:rsidRPr="00922CDF">
              <w:rPr>
                <w:rFonts w:ascii="Arial Unicode MS" w:eastAsia="Arial Unicode MS" w:hAnsi="Arial Unicode MS" w:cs="Arial Unicode MS"/>
                <w:bCs/>
                <w:color w:val="7A7B7C"/>
                <w:sz w:val="14"/>
                <w:szCs w:val="14"/>
                <w:lang w:eastAsia="en-AU"/>
              </w:rPr>
              <w:t>⁶</w:t>
            </w:r>
          </w:p>
        </w:tc>
        <w:tc>
          <w:tcPr>
            <w:tcW w:w="248" w:type="pct"/>
            <w:shd w:val="clear" w:color="auto" w:fill="D5ECF5"/>
            <w:vAlign w:val="center"/>
            <w:hideMark/>
          </w:tcPr>
          <w:p w14:paraId="7418C4D7"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w:t>
            </w:r>
          </w:p>
        </w:tc>
        <w:tc>
          <w:tcPr>
            <w:tcW w:w="248" w:type="pct"/>
            <w:shd w:val="clear" w:color="auto" w:fill="D5ECF5"/>
            <w:vAlign w:val="center"/>
            <w:hideMark/>
          </w:tcPr>
          <w:p w14:paraId="7418C4D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3,054</w:t>
            </w:r>
          </w:p>
        </w:tc>
        <w:tc>
          <w:tcPr>
            <w:tcW w:w="248" w:type="pct"/>
            <w:shd w:val="clear" w:color="auto" w:fill="D5ECF5"/>
            <w:vAlign w:val="center"/>
            <w:hideMark/>
          </w:tcPr>
          <w:p w14:paraId="7418C4D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w:t>
            </w:r>
          </w:p>
        </w:tc>
        <w:tc>
          <w:tcPr>
            <w:tcW w:w="248" w:type="pct"/>
            <w:shd w:val="clear" w:color="auto" w:fill="D5ECF5"/>
            <w:vAlign w:val="center"/>
            <w:hideMark/>
          </w:tcPr>
          <w:p w14:paraId="7418C4D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3,419</w:t>
            </w:r>
          </w:p>
        </w:tc>
        <w:tc>
          <w:tcPr>
            <w:tcW w:w="248" w:type="pct"/>
            <w:shd w:val="clear" w:color="auto" w:fill="D5ECF5"/>
            <w:vAlign w:val="center"/>
            <w:hideMark/>
          </w:tcPr>
          <w:p w14:paraId="7418C4D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w:t>
            </w:r>
          </w:p>
        </w:tc>
        <w:tc>
          <w:tcPr>
            <w:tcW w:w="248" w:type="pct"/>
            <w:shd w:val="clear" w:color="auto" w:fill="D5ECF5"/>
            <w:vAlign w:val="center"/>
            <w:hideMark/>
          </w:tcPr>
          <w:p w14:paraId="7418C4D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3,886</w:t>
            </w:r>
          </w:p>
        </w:tc>
        <w:tc>
          <w:tcPr>
            <w:tcW w:w="248" w:type="pct"/>
            <w:shd w:val="clear" w:color="auto" w:fill="D5ECF5"/>
            <w:vAlign w:val="center"/>
            <w:hideMark/>
          </w:tcPr>
          <w:p w14:paraId="7418C4DD"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w:t>
            </w:r>
          </w:p>
        </w:tc>
        <w:tc>
          <w:tcPr>
            <w:tcW w:w="248" w:type="pct"/>
            <w:shd w:val="clear" w:color="auto" w:fill="D5ECF5"/>
            <w:vAlign w:val="center"/>
            <w:hideMark/>
          </w:tcPr>
          <w:p w14:paraId="7418C4DE"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w:t>
            </w:r>
          </w:p>
        </w:tc>
        <w:tc>
          <w:tcPr>
            <w:tcW w:w="248" w:type="pct"/>
            <w:shd w:val="clear" w:color="auto" w:fill="D5ECF5"/>
            <w:vAlign w:val="center"/>
            <w:hideMark/>
          </w:tcPr>
          <w:p w14:paraId="7418C4DF"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5,086</w:t>
            </w:r>
          </w:p>
        </w:tc>
        <w:tc>
          <w:tcPr>
            <w:tcW w:w="248" w:type="pct"/>
            <w:shd w:val="clear" w:color="auto" w:fill="D5ECF5"/>
            <w:vAlign w:val="center"/>
            <w:hideMark/>
          </w:tcPr>
          <w:p w14:paraId="7418C4E0"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w:t>
            </w:r>
          </w:p>
        </w:tc>
        <w:tc>
          <w:tcPr>
            <w:tcW w:w="245" w:type="pct"/>
            <w:shd w:val="clear" w:color="auto" w:fill="D5ECF5"/>
            <w:vAlign w:val="center"/>
            <w:hideMark/>
          </w:tcPr>
          <w:p w14:paraId="7418C4E1"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5,559</w:t>
            </w:r>
          </w:p>
        </w:tc>
      </w:tr>
      <w:tr w:rsidR="00D471AD" w:rsidRPr="00922CDF" w14:paraId="7418C4EF" w14:textId="77777777" w:rsidTr="004A31A9">
        <w:trPr>
          <w:trHeight w:val="397"/>
        </w:trPr>
        <w:tc>
          <w:tcPr>
            <w:tcW w:w="2275" w:type="pct"/>
            <w:shd w:val="clear" w:color="auto" w:fill="E4F3F9"/>
            <w:vAlign w:val="center"/>
            <w:hideMark/>
          </w:tcPr>
          <w:p w14:paraId="7418C4E3"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Adjusted gross income from Licenses, Options and Assignments by major publicly funded research agencies, universities and medical research institutes million A$</w:t>
            </w:r>
            <w:r w:rsidRPr="00922CDF">
              <w:rPr>
                <w:rFonts w:ascii="Arial Unicode MS" w:eastAsia="Arial Unicode MS" w:hAnsi="Arial Unicode MS" w:cs="Arial Unicode MS" w:hint="eastAsia"/>
                <w:bCs/>
                <w:color w:val="7A7B7C"/>
                <w:sz w:val="14"/>
                <w:szCs w:val="14"/>
                <w:lang w:eastAsia="en-AU"/>
              </w:rPr>
              <w:t xml:space="preserve">² </w:t>
            </w:r>
            <w:r w:rsidRPr="00922CDF">
              <w:rPr>
                <w:rFonts w:ascii="Arial Unicode MS" w:eastAsia="Arial Unicode MS" w:hAnsi="Arial Unicode MS" w:cs="Arial Unicode MS"/>
                <w:bCs/>
                <w:color w:val="7A7B7C"/>
                <w:sz w:val="14"/>
                <w:szCs w:val="14"/>
                <w:lang w:eastAsia="en-AU"/>
              </w:rPr>
              <w:t>⁷</w:t>
            </w:r>
            <w:r w:rsidRPr="00922CDF">
              <w:rPr>
                <w:rFonts w:ascii="Arial Unicode MS" w:eastAsia="Arial Unicode MS" w:hAnsi="Arial Unicode MS" w:cs="Arial Unicode MS" w:hint="eastAsia"/>
                <w:bCs/>
                <w:color w:val="7A7B7C"/>
                <w:sz w:val="14"/>
                <w:szCs w:val="14"/>
                <w:lang w:eastAsia="en-AU"/>
              </w:rPr>
              <w:t xml:space="preserve"> </w:t>
            </w:r>
            <w:r w:rsidRPr="00922CDF">
              <w:rPr>
                <w:rFonts w:ascii="Arial Unicode MS" w:eastAsia="Arial Unicode MS" w:hAnsi="Arial Unicode MS" w:cs="Arial Unicode MS"/>
                <w:bCs/>
                <w:color w:val="7A7B7C"/>
                <w:sz w:val="14"/>
                <w:szCs w:val="14"/>
                <w:lang w:eastAsia="en-AU"/>
              </w:rPr>
              <w:t>⁸</w:t>
            </w:r>
          </w:p>
        </w:tc>
        <w:tc>
          <w:tcPr>
            <w:tcW w:w="248" w:type="pct"/>
            <w:shd w:val="clear" w:color="auto" w:fill="E4F3F9"/>
            <w:vAlign w:val="center"/>
            <w:hideMark/>
          </w:tcPr>
          <w:p w14:paraId="7418C4E4"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152</w:t>
            </w:r>
          </w:p>
        </w:tc>
        <w:tc>
          <w:tcPr>
            <w:tcW w:w="248" w:type="pct"/>
            <w:shd w:val="clear" w:color="auto" w:fill="E4F3F9"/>
            <w:vAlign w:val="center"/>
            <w:hideMark/>
          </w:tcPr>
          <w:p w14:paraId="7418C4E5"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81</w:t>
            </w:r>
          </w:p>
        </w:tc>
        <w:tc>
          <w:tcPr>
            <w:tcW w:w="248" w:type="pct"/>
            <w:shd w:val="clear" w:color="auto" w:fill="E4F3F9"/>
            <w:vAlign w:val="center"/>
            <w:hideMark/>
          </w:tcPr>
          <w:p w14:paraId="7418C4E6"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141</w:t>
            </w:r>
          </w:p>
        </w:tc>
        <w:tc>
          <w:tcPr>
            <w:tcW w:w="248" w:type="pct"/>
            <w:shd w:val="clear" w:color="auto" w:fill="E4F3F9"/>
            <w:vAlign w:val="center"/>
            <w:hideMark/>
          </w:tcPr>
          <w:p w14:paraId="7418C4E7"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260</w:t>
            </w:r>
          </w:p>
        </w:tc>
        <w:tc>
          <w:tcPr>
            <w:tcW w:w="248" w:type="pct"/>
            <w:shd w:val="clear" w:color="auto" w:fill="E4F3F9"/>
            <w:vAlign w:val="center"/>
            <w:hideMark/>
          </w:tcPr>
          <w:p w14:paraId="7418C4E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106</w:t>
            </w:r>
          </w:p>
        </w:tc>
        <w:tc>
          <w:tcPr>
            <w:tcW w:w="248" w:type="pct"/>
            <w:shd w:val="clear" w:color="auto" w:fill="E4F3F9"/>
            <w:vAlign w:val="center"/>
            <w:hideMark/>
          </w:tcPr>
          <w:p w14:paraId="7418C4E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332</w:t>
            </w:r>
          </w:p>
        </w:tc>
        <w:tc>
          <w:tcPr>
            <w:tcW w:w="248" w:type="pct"/>
            <w:shd w:val="clear" w:color="auto" w:fill="E4F3F9"/>
            <w:vAlign w:val="center"/>
            <w:hideMark/>
          </w:tcPr>
          <w:p w14:paraId="7418C4E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160</w:t>
            </w:r>
          </w:p>
        </w:tc>
        <w:tc>
          <w:tcPr>
            <w:tcW w:w="248" w:type="pct"/>
            <w:shd w:val="clear" w:color="auto" w:fill="E4F3F9"/>
            <w:vAlign w:val="center"/>
            <w:hideMark/>
          </w:tcPr>
          <w:p w14:paraId="7418C4E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107</w:t>
            </w:r>
          </w:p>
        </w:tc>
        <w:tc>
          <w:tcPr>
            <w:tcW w:w="248" w:type="pct"/>
            <w:shd w:val="clear" w:color="auto" w:fill="E4F3F9"/>
            <w:vAlign w:val="center"/>
            <w:hideMark/>
          </w:tcPr>
          <w:p w14:paraId="7418C4E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350</w:t>
            </w:r>
          </w:p>
        </w:tc>
        <w:tc>
          <w:tcPr>
            <w:tcW w:w="248" w:type="pct"/>
            <w:shd w:val="clear" w:color="auto" w:fill="E4F3F9"/>
            <w:vAlign w:val="center"/>
            <w:hideMark/>
          </w:tcPr>
          <w:p w14:paraId="7418C4ED"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120</w:t>
            </w:r>
          </w:p>
        </w:tc>
        <w:tc>
          <w:tcPr>
            <w:tcW w:w="245" w:type="pct"/>
            <w:shd w:val="clear" w:color="auto" w:fill="E4F3F9"/>
            <w:vAlign w:val="center"/>
            <w:hideMark/>
          </w:tcPr>
          <w:p w14:paraId="7418C4EE"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99</w:t>
            </w:r>
          </w:p>
        </w:tc>
      </w:tr>
      <w:tr w:rsidR="00D471AD" w:rsidRPr="00922CDF" w14:paraId="7418C4FC" w14:textId="77777777" w:rsidTr="004A31A9">
        <w:trPr>
          <w:trHeight w:val="397"/>
        </w:trPr>
        <w:tc>
          <w:tcPr>
            <w:tcW w:w="2275" w:type="pct"/>
            <w:shd w:val="clear" w:color="auto" w:fill="D5ECF5"/>
            <w:vAlign w:val="center"/>
            <w:hideMark/>
          </w:tcPr>
          <w:p w14:paraId="7418C4F0"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Number of Licenses, Options and Assignments yielding income from major publicly funded research agencies, universities and medical research institutes</w:t>
            </w:r>
            <w:r w:rsidRPr="00922CDF">
              <w:rPr>
                <w:rFonts w:ascii="Arial Unicode MS" w:eastAsia="Arial Unicode MS" w:hAnsi="Arial Unicode MS" w:cs="Arial Unicode MS" w:hint="eastAsia"/>
                <w:bCs/>
                <w:color w:val="7A7B7C"/>
                <w:sz w:val="14"/>
                <w:szCs w:val="14"/>
                <w:lang w:eastAsia="en-AU"/>
              </w:rPr>
              <w:t xml:space="preserve">² </w:t>
            </w:r>
            <w:r w:rsidRPr="00922CDF">
              <w:rPr>
                <w:rFonts w:ascii="Arial Unicode MS" w:eastAsia="Arial Unicode MS" w:hAnsi="Arial Unicode MS" w:cs="Arial Unicode MS"/>
                <w:bCs/>
                <w:color w:val="7A7B7C"/>
                <w:sz w:val="14"/>
                <w:szCs w:val="14"/>
                <w:lang w:eastAsia="en-AU"/>
              </w:rPr>
              <w:t>⁸</w:t>
            </w:r>
          </w:p>
        </w:tc>
        <w:tc>
          <w:tcPr>
            <w:tcW w:w="248" w:type="pct"/>
            <w:shd w:val="clear" w:color="auto" w:fill="D5ECF5"/>
            <w:vAlign w:val="center"/>
            <w:hideMark/>
          </w:tcPr>
          <w:p w14:paraId="7418C4F1"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487</w:t>
            </w:r>
          </w:p>
        </w:tc>
        <w:tc>
          <w:tcPr>
            <w:tcW w:w="248" w:type="pct"/>
            <w:shd w:val="clear" w:color="auto" w:fill="D5ECF5"/>
            <w:vAlign w:val="center"/>
            <w:hideMark/>
          </w:tcPr>
          <w:p w14:paraId="7418C4F2"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652</w:t>
            </w:r>
          </w:p>
        </w:tc>
        <w:tc>
          <w:tcPr>
            <w:tcW w:w="248" w:type="pct"/>
            <w:shd w:val="clear" w:color="auto" w:fill="D5ECF5"/>
            <w:vAlign w:val="center"/>
            <w:hideMark/>
          </w:tcPr>
          <w:p w14:paraId="7418C4F3"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703</w:t>
            </w:r>
          </w:p>
        </w:tc>
        <w:tc>
          <w:tcPr>
            <w:tcW w:w="248" w:type="pct"/>
            <w:shd w:val="clear" w:color="auto" w:fill="D5ECF5"/>
            <w:vAlign w:val="center"/>
            <w:hideMark/>
          </w:tcPr>
          <w:p w14:paraId="7418C4F4"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738</w:t>
            </w:r>
          </w:p>
        </w:tc>
        <w:tc>
          <w:tcPr>
            <w:tcW w:w="248" w:type="pct"/>
            <w:shd w:val="clear" w:color="auto" w:fill="D5ECF5"/>
            <w:vAlign w:val="center"/>
            <w:hideMark/>
          </w:tcPr>
          <w:p w14:paraId="7418C4F5"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629</w:t>
            </w:r>
          </w:p>
        </w:tc>
        <w:tc>
          <w:tcPr>
            <w:tcW w:w="248" w:type="pct"/>
            <w:shd w:val="clear" w:color="auto" w:fill="D5ECF5"/>
            <w:vAlign w:val="center"/>
            <w:hideMark/>
          </w:tcPr>
          <w:p w14:paraId="7418C4F6"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692</w:t>
            </w:r>
          </w:p>
        </w:tc>
        <w:tc>
          <w:tcPr>
            <w:tcW w:w="248" w:type="pct"/>
            <w:shd w:val="clear" w:color="auto" w:fill="D5ECF5"/>
            <w:vAlign w:val="center"/>
            <w:hideMark/>
          </w:tcPr>
          <w:p w14:paraId="7418C4F7"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798</w:t>
            </w:r>
          </w:p>
        </w:tc>
        <w:tc>
          <w:tcPr>
            <w:tcW w:w="248" w:type="pct"/>
            <w:shd w:val="clear" w:color="auto" w:fill="D5ECF5"/>
            <w:vAlign w:val="center"/>
            <w:hideMark/>
          </w:tcPr>
          <w:p w14:paraId="7418C4F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777</w:t>
            </w:r>
          </w:p>
        </w:tc>
        <w:tc>
          <w:tcPr>
            <w:tcW w:w="248" w:type="pct"/>
            <w:shd w:val="clear" w:color="auto" w:fill="D5ECF5"/>
            <w:vAlign w:val="center"/>
            <w:hideMark/>
          </w:tcPr>
          <w:p w14:paraId="7418C4F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759</w:t>
            </w:r>
          </w:p>
        </w:tc>
        <w:tc>
          <w:tcPr>
            <w:tcW w:w="248" w:type="pct"/>
            <w:shd w:val="clear" w:color="auto" w:fill="D5ECF5"/>
            <w:vAlign w:val="center"/>
            <w:hideMark/>
          </w:tcPr>
          <w:p w14:paraId="7418C4F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947</w:t>
            </w:r>
          </w:p>
        </w:tc>
        <w:tc>
          <w:tcPr>
            <w:tcW w:w="245" w:type="pct"/>
            <w:shd w:val="clear" w:color="auto" w:fill="D5ECF5"/>
            <w:vAlign w:val="center"/>
            <w:hideMark/>
          </w:tcPr>
          <w:p w14:paraId="7418C4F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632</w:t>
            </w:r>
          </w:p>
        </w:tc>
      </w:tr>
      <w:tr w:rsidR="00D471AD" w:rsidRPr="00922CDF" w14:paraId="7418C509" w14:textId="77777777" w:rsidTr="004A31A9">
        <w:trPr>
          <w:trHeight w:val="397"/>
        </w:trPr>
        <w:tc>
          <w:tcPr>
            <w:tcW w:w="2275" w:type="pct"/>
            <w:shd w:val="clear" w:color="auto" w:fill="E4F3F9"/>
            <w:vAlign w:val="center"/>
            <w:hideMark/>
          </w:tcPr>
          <w:p w14:paraId="7418C4FD"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 xml:space="preserve">Number of patents granted worldwide from publicly funded research agencies, universities, and medical research institutes (MRIs) </w:t>
            </w:r>
            <w:r w:rsidRPr="00922CDF">
              <w:rPr>
                <w:rFonts w:ascii="Arial Unicode MS" w:eastAsia="Arial Unicode MS" w:hAnsi="Arial Unicode MS" w:cs="Arial Unicode MS" w:hint="eastAsia"/>
                <w:bCs/>
                <w:color w:val="7A7B7C"/>
                <w:sz w:val="14"/>
                <w:szCs w:val="14"/>
                <w:lang w:eastAsia="en-AU"/>
              </w:rPr>
              <w:t xml:space="preserve">³ </w:t>
            </w:r>
            <w:r w:rsidRPr="00922CDF">
              <w:rPr>
                <w:rFonts w:ascii="Arial Unicode MS" w:eastAsia="Arial Unicode MS" w:hAnsi="Arial Unicode MS" w:cs="Arial Unicode MS"/>
                <w:bCs/>
                <w:color w:val="7A7B7C"/>
                <w:sz w:val="14"/>
                <w:szCs w:val="14"/>
                <w:lang w:eastAsia="en-AU"/>
              </w:rPr>
              <w:t>⁹</w:t>
            </w:r>
          </w:p>
        </w:tc>
        <w:tc>
          <w:tcPr>
            <w:tcW w:w="248" w:type="pct"/>
            <w:shd w:val="clear" w:color="auto" w:fill="E4F3F9"/>
            <w:vAlign w:val="center"/>
            <w:hideMark/>
          </w:tcPr>
          <w:p w14:paraId="7418C4FE"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324</w:t>
            </w:r>
          </w:p>
        </w:tc>
        <w:tc>
          <w:tcPr>
            <w:tcW w:w="248" w:type="pct"/>
            <w:shd w:val="clear" w:color="auto" w:fill="E4F3F9"/>
            <w:vAlign w:val="center"/>
            <w:hideMark/>
          </w:tcPr>
          <w:p w14:paraId="7418C4FF"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381</w:t>
            </w:r>
          </w:p>
        </w:tc>
        <w:tc>
          <w:tcPr>
            <w:tcW w:w="248" w:type="pct"/>
            <w:shd w:val="clear" w:color="auto" w:fill="E4F3F9"/>
            <w:vAlign w:val="center"/>
            <w:hideMark/>
          </w:tcPr>
          <w:p w14:paraId="7418C500"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423</w:t>
            </w:r>
          </w:p>
        </w:tc>
        <w:tc>
          <w:tcPr>
            <w:tcW w:w="248" w:type="pct"/>
            <w:shd w:val="clear" w:color="auto" w:fill="E4F3F9"/>
            <w:vAlign w:val="center"/>
            <w:hideMark/>
          </w:tcPr>
          <w:p w14:paraId="7418C501"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426</w:t>
            </w:r>
          </w:p>
        </w:tc>
        <w:tc>
          <w:tcPr>
            <w:tcW w:w="248" w:type="pct"/>
            <w:shd w:val="clear" w:color="auto" w:fill="E4F3F9"/>
            <w:vAlign w:val="center"/>
            <w:hideMark/>
          </w:tcPr>
          <w:p w14:paraId="7418C502"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403</w:t>
            </w:r>
          </w:p>
        </w:tc>
        <w:tc>
          <w:tcPr>
            <w:tcW w:w="248" w:type="pct"/>
            <w:shd w:val="clear" w:color="auto" w:fill="E4F3F9"/>
            <w:vAlign w:val="center"/>
            <w:hideMark/>
          </w:tcPr>
          <w:p w14:paraId="7418C503"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380</w:t>
            </w:r>
          </w:p>
        </w:tc>
        <w:tc>
          <w:tcPr>
            <w:tcW w:w="248" w:type="pct"/>
            <w:shd w:val="clear" w:color="auto" w:fill="E4F3F9"/>
            <w:vAlign w:val="center"/>
            <w:hideMark/>
          </w:tcPr>
          <w:p w14:paraId="7418C504"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345</w:t>
            </w:r>
          </w:p>
        </w:tc>
        <w:tc>
          <w:tcPr>
            <w:tcW w:w="248" w:type="pct"/>
            <w:shd w:val="clear" w:color="auto" w:fill="E4F3F9"/>
            <w:vAlign w:val="center"/>
            <w:hideMark/>
          </w:tcPr>
          <w:p w14:paraId="7418C505"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374</w:t>
            </w:r>
          </w:p>
        </w:tc>
        <w:tc>
          <w:tcPr>
            <w:tcW w:w="248" w:type="pct"/>
            <w:shd w:val="clear" w:color="auto" w:fill="E4F3F9"/>
            <w:vAlign w:val="center"/>
            <w:hideMark/>
          </w:tcPr>
          <w:p w14:paraId="7418C506"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400</w:t>
            </w:r>
          </w:p>
        </w:tc>
        <w:tc>
          <w:tcPr>
            <w:tcW w:w="248" w:type="pct"/>
            <w:shd w:val="clear" w:color="auto" w:fill="E4F3F9"/>
            <w:vAlign w:val="center"/>
            <w:hideMark/>
          </w:tcPr>
          <w:p w14:paraId="7418C507"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418</w:t>
            </w:r>
          </w:p>
        </w:tc>
        <w:tc>
          <w:tcPr>
            <w:tcW w:w="245" w:type="pct"/>
            <w:shd w:val="clear" w:color="auto" w:fill="E4F3F9"/>
            <w:vAlign w:val="center"/>
            <w:hideMark/>
          </w:tcPr>
          <w:p w14:paraId="7418C50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419</w:t>
            </w:r>
          </w:p>
        </w:tc>
      </w:tr>
      <w:tr w:rsidR="00D471AD" w:rsidRPr="00922CDF" w14:paraId="7418C516" w14:textId="77777777" w:rsidTr="004A31A9">
        <w:trPr>
          <w:trHeight w:val="397"/>
        </w:trPr>
        <w:tc>
          <w:tcPr>
            <w:tcW w:w="2275" w:type="pct"/>
            <w:shd w:val="clear" w:color="auto" w:fill="D5ECF5"/>
            <w:vAlign w:val="center"/>
            <w:hideMark/>
          </w:tcPr>
          <w:p w14:paraId="7418C50A"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Value of equity holdings by major publicly funded research agencies, universities and medical research institutes, million A$</w:t>
            </w:r>
            <w:r w:rsidRPr="00922CDF">
              <w:rPr>
                <w:rFonts w:ascii="Arial Unicode MS" w:eastAsia="Arial Unicode MS" w:hAnsi="Arial Unicode MS" w:cs="Arial Unicode MS" w:hint="eastAsia"/>
                <w:bCs/>
                <w:color w:val="7A7B7C"/>
                <w:sz w:val="14"/>
                <w:szCs w:val="14"/>
                <w:lang w:eastAsia="en-AU"/>
              </w:rPr>
              <w:t xml:space="preserve">² </w:t>
            </w:r>
            <w:r w:rsidRPr="00922CDF">
              <w:rPr>
                <w:rFonts w:ascii="Arial Unicode MS" w:eastAsia="Arial Unicode MS" w:hAnsi="Arial Unicode MS" w:cs="Arial Unicode MS"/>
                <w:bCs/>
                <w:color w:val="7A7B7C"/>
                <w:sz w:val="14"/>
                <w:szCs w:val="14"/>
                <w:lang w:eastAsia="en-AU"/>
              </w:rPr>
              <w:t>⁷</w:t>
            </w:r>
            <w:r w:rsidRPr="00922CDF">
              <w:rPr>
                <w:rFonts w:ascii="Arial Unicode MS" w:eastAsia="Arial Unicode MS" w:hAnsi="Arial Unicode MS" w:cs="Arial Unicode MS" w:hint="eastAsia"/>
                <w:bCs/>
                <w:color w:val="7A7B7C"/>
                <w:sz w:val="14"/>
                <w:szCs w:val="14"/>
                <w:lang w:eastAsia="en-AU"/>
              </w:rPr>
              <w:t xml:space="preserve"> </w:t>
            </w:r>
            <w:r w:rsidRPr="00922CDF">
              <w:rPr>
                <w:rFonts w:ascii="Arial Unicode MS" w:eastAsia="Arial Unicode MS" w:hAnsi="Arial Unicode MS" w:cs="Arial Unicode MS"/>
                <w:bCs/>
                <w:color w:val="7A7B7C"/>
                <w:sz w:val="14"/>
                <w:szCs w:val="14"/>
                <w:lang w:eastAsia="en-AU"/>
              </w:rPr>
              <w:t>⁸</w:t>
            </w:r>
          </w:p>
        </w:tc>
        <w:tc>
          <w:tcPr>
            <w:tcW w:w="248" w:type="pct"/>
            <w:shd w:val="clear" w:color="auto" w:fill="D5ECF5"/>
            <w:vAlign w:val="center"/>
            <w:hideMark/>
          </w:tcPr>
          <w:p w14:paraId="7418C50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186</w:t>
            </w:r>
          </w:p>
        </w:tc>
        <w:tc>
          <w:tcPr>
            <w:tcW w:w="248" w:type="pct"/>
            <w:shd w:val="clear" w:color="auto" w:fill="D5ECF5"/>
            <w:vAlign w:val="center"/>
            <w:hideMark/>
          </w:tcPr>
          <w:p w14:paraId="7418C50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213</w:t>
            </w:r>
          </w:p>
        </w:tc>
        <w:tc>
          <w:tcPr>
            <w:tcW w:w="248" w:type="pct"/>
            <w:shd w:val="clear" w:color="auto" w:fill="D5ECF5"/>
            <w:vAlign w:val="center"/>
            <w:hideMark/>
          </w:tcPr>
          <w:p w14:paraId="7418C50D"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235</w:t>
            </w:r>
          </w:p>
        </w:tc>
        <w:tc>
          <w:tcPr>
            <w:tcW w:w="248" w:type="pct"/>
            <w:shd w:val="clear" w:color="auto" w:fill="D5ECF5"/>
            <w:vAlign w:val="center"/>
            <w:hideMark/>
          </w:tcPr>
          <w:p w14:paraId="7418C50E"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236</w:t>
            </w:r>
          </w:p>
        </w:tc>
        <w:tc>
          <w:tcPr>
            <w:tcW w:w="248" w:type="pct"/>
            <w:shd w:val="clear" w:color="auto" w:fill="D5ECF5"/>
            <w:vAlign w:val="center"/>
            <w:hideMark/>
          </w:tcPr>
          <w:p w14:paraId="7418C50F"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205</w:t>
            </w:r>
          </w:p>
        </w:tc>
        <w:tc>
          <w:tcPr>
            <w:tcW w:w="248" w:type="pct"/>
            <w:shd w:val="clear" w:color="auto" w:fill="D5ECF5"/>
            <w:vAlign w:val="center"/>
            <w:hideMark/>
          </w:tcPr>
          <w:p w14:paraId="7418C510"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256</w:t>
            </w:r>
          </w:p>
        </w:tc>
        <w:tc>
          <w:tcPr>
            <w:tcW w:w="248" w:type="pct"/>
            <w:shd w:val="clear" w:color="auto" w:fill="D5ECF5"/>
            <w:vAlign w:val="center"/>
            <w:hideMark/>
          </w:tcPr>
          <w:p w14:paraId="7418C511"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159</w:t>
            </w:r>
          </w:p>
        </w:tc>
        <w:tc>
          <w:tcPr>
            <w:tcW w:w="248" w:type="pct"/>
            <w:shd w:val="clear" w:color="auto" w:fill="D5ECF5"/>
            <w:vAlign w:val="center"/>
            <w:hideMark/>
          </w:tcPr>
          <w:p w14:paraId="7418C512"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143</w:t>
            </w:r>
          </w:p>
        </w:tc>
        <w:tc>
          <w:tcPr>
            <w:tcW w:w="248" w:type="pct"/>
            <w:shd w:val="clear" w:color="auto" w:fill="D5ECF5"/>
            <w:vAlign w:val="center"/>
            <w:hideMark/>
          </w:tcPr>
          <w:p w14:paraId="7418C513"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92</w:t>
            </w:r>
          </w:p>
        </w:tc>
        <w:tc>
          <w:tcPr>
            <w:tcW w:w="248" w:type="pct"/>
            <w:shd w:val="clear" w:color="auto" w:fill="D5ECF5"/>
            <w:vAlign w:val="center"/>
            <w:hideMark/>
          </w:tcPr>
          <w:p w14:paraId="7418C514"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136</w:t>
            </w:r>
          </w:p>
        </w:tc>
        <w:tc>
          <w:tcPr>
            <w:tcW w:w="245" w:type="pct"/>
            <w:shd w:val="clear" w:color="auto" w:fill="D5ECF5"/>
            <w:vAlign w:val="center"/>
            <w:hideMark/>
          </w:tcPr>
          <w:p w14:paraId="7418C515"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95</w:t>
            </w:r>
          </w:p>
        </w:tc>
      </w:tr>
      <w:tr w:rsidR="00D471AD" w:rsidRPr="00922CDF" w14:paraId="7418C523" w14:textId="77777777" w:rsidTr="004A31A9">
        <w:trPr>
          <w:trHeight w:val="397"/>
        </w:trPr>
        <w:tc>
          <w:tcPr>
            <w:tcW w:w="2275" w:type="pct"/>
            <w:shd w:val="clear" w:color="auto" w:fill="E4F3F9"/>
            <w:vAlign w:val="center"/>
            <w:hideMark/>
          </w:tcPr>
          <w:p w14:paraId="7418C517"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Number of start-up companies in which major publicly funded research agencies, universities and medical research institutes have an equity holding</w:t>
            </w:r>
            <w:r w:rsidRPr="00922CDF">
              <w:rPr>
                <w:rFonts w:ascii="Arial Unicode MS" w:eastAsia="Arial Unicode MS" w:hAnsi="Arial Unicode MS" w:cs="Arial Unicode MS" w:hint="eastAsia"/>
                <w:bCs/>
                <w:color w:val="7A7B7C"/>
                <w:sz w:val="14"/>
                <w:szCs w:val="14"/>
                <w:lang w:eastAsia="en-AU"/>
              </w:rPr>
              <w:t xml:space="preserve">² </w:t>
            </w:r>
            <w:r w:rsidRPr="00922CDF">
              <w:rPr>
                <w:rFonts w:ascii="Arial Unicode MS" w:eastAsia="Arial Unicode MS" w:hAnsi="Arial Unicode MS" w:cs="Arial Unicode MS"/>
                <w:bCs/>
                <w:color w:val="7A7B7C"/>
                <w:sz w:val="14"/>
                <w:szCs w:val="14"/>
                <w:lang w:eastAsia="en-AU"/>
              </w:rPr>
              <w:t>⁸</w:t>
            </w:r>
          </w:p>
        </w:tc>
        <w:tc>
          <w:tcPr>
            <w:tcW w:w="248" w:type="pct"/>
            <w:shd w:val="clear" w:color="auto" w:fill="E4F3F9"/>
            <w:vAlign w:val="center"/>
            <w:hideMark/>
          </w:tcPr>
          <w:p w14:paraId="7418C51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69</w:t>
            </w:r>
          </w:p>
        </w:tc>
        <w:tc>
          <w:tcPr>
            <w:tcW w:w="248" w:type="pct"/>
            <w:shd w:val="clear" w:color="auto" w:fill="E4F3F9"/>
            <w:vAlign w:val="center"/>
            <w:hideMark/>
          </w:tcPr>
          <w:p w14:paraId="7418C51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172</w:t>
            </w:r>
          </w:p>
        </w:tc>
        <w:tc>
          <w:tcPr>
            <w:tcW w:w="248" w:type="pct"/>
            <w:shd w:val="clear" w:color="auto" w:fill="E4F3F9"/>
            <w:vAlign w:val="center"/>
            <w:hideMark/>
          </w:tcPr>
          <w:p w14:paraId="7418C51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194</w:t>
            </w:r>
          </w:p>
        </w:tc>
        <w:tc>
          <w:tcPr>
            <w:tcW w:w="248" w:type="pct"/>
            <w:shd w:val="clear" w:color="auto" w:fill="E4F3F9"/>
            <w:vAlign w:val="center"/>
            <w:hideMark/>
          </w:tcPr>
          <w:p w14:paraId="7418C51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197</w:t>
            </w:r>
          </w:p>
        </w:tc>
        <w:tc>
          <w:tcPr>
            <w:tcW w:w="248" w:type="pct"/>
            <w:shd w:val="clear" w:color="auto" w:fill="E4F3F9"/>
            <w:vAlign w:val="center"/>
            <w:hideMark/>
          </w:tcPr>
          <w:p w14:paraId="7418C51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186</w:t>
            </w:r>
          </w:p>
        </w:tc>
        <w:tc>
          <w:tcPr>
            <w:tcW w:w="248" w:type="pct"/>
            <w:shd w:val="clear" w:color="auto" w:fill="E4F3F9"/>
            <w:vAlign w:val="center"/>
            <w:hideMark/>
          </w:tcPr>
          <w:p w14:paraId="7418C51D"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187</w:t>
            </w:r>
          </w:p>
        </w:tc>
        <w:tc>
          <w:tcPr>
            <w:tcW w:w="248" w:type="pct"/>
            <w:shd w:val="clear" w:color="auto" w:fill="E4F3F9"/>
            <w:vAlign w:val="center"/>
            <w:hideMark/>
          </w:tcPr>
          <w:p w14:paraId="7418C51E"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175</w:t>
            </w:r>
          </w:p>
        </w:tc>
        <w:tc>
          <w:tcPr>
            <w:tcW w:w="248" w:type="pct"/>
            <w:shd w:val="clear" w:color="auto" w:fill="E4F3F9"/>
            <w:vAlign w:val="center"/>
            <w:hideMark/>
          </w:tcPr>
          <w:p w14:paraId="7418C51F"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173</w:t>
            </w:r>
          </w:p>
        </w:tc>
        <w:tc>
          <w:tcPr>
            <w:tcW w:w="248" w:type="pct"/>
            <w:shd w:val="clear" w:color="auto" w:fill="E4F3F9"/>
            <w:vAlign w:val="center"/>
            <w:hideMark/>
          </w:tcPr>
          <w:p w14:paraId="7418C520"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124</w:t>
            </w:r>
          </w:p>
        </w:tc>
        <w:tc>
          <w:tcPr>
            <w:tcW w:w="248" w:type="pct"/>
            <w:shd w:val="clear" w:color="auto" w:fill="E4F3F9"/>
            <w:vAlign w:val="center"/>
            <w:hideMark/>
          </w:tcPr>
          <w:p w14:paraId="7418C521"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180</w:t>
            </w:r>
          </w:p>
        </w:tc>
        <w:tc>
          <w:tcPr>
            <w:tcW w:w="245" w:type="pct"/>
            <w:shd w:val="clear" w:color="auto" w:fill="E4F3F9"/>
            <w:vAlign w:val="center"/>
            <w:hideMark/>
          </w:tcPr>
          <w:p w14:paraId="7418C522"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77</w:t>
            </w:r>
          </w:p>
        </w:tc>
      </w:tr>
      <w:tr w:rsidR="00D471AD" w:rsidRPr="00922CDF" w14:paraId="7418C530" w14:textId="77777777" w:rsidTr="004A31A9">
        <w:trPr>
          <w:trHeight w:val="300"/>
        </w:trPr>
        <w:tc>
          <w:tcPr>
            <w:tcW w:w="2275" w:type="pct"/>
            <w:shd w:val="clear" w:color="auto" w:fill="D5ECF5"/>
            <w:vAlign w:val="center"/>
            <w:hideMark/>
          </w:tcPr>
          <w:p w14:paraId="7418C524"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University income from Cooperative Research Centre (CRC) Research (million A</w:t>
            </w:r>
            <w:r>
              <w:rPr>
                <w:rFonts w:eastAsia="Times New Roman" w:cs="Arial"/>
                <w:bCs/>
                <w:color w:val="7A7B7C"/>
                <w:sz w:val="14"/>
                <w:szCs w:val="14"/>
                <w:lang w:eastAsia="en-AU"/>
              </w:rPr>
              <w:t>$</w:t>
            </w:r>
            <w:r w:rsidRPr="00922CDF">
              <w:rPr>
                <w:rFonts w:eastAsia="Times New Roman" w:cs="Arial" w:hint="eastAsia"/>
                <w:bCs/>
                <w:color w:val="7A7B7C"/>
                <w:sz w:val="14"/>
                <w:szCs w:val="14"/>
                <w:lang w:eastAsia="en-AU"/>
              </w:rPr>
              <w:t>)</w:t>
            </w:r>
            <w:r w:rsidRPr="00922CDF">
              <w:rPr>
                <w:rFonts w:ascii="Arial Unicode MS" w:eastAsia="Arial Unicode MS" w:hAnsi="Arial Unicode MS" w:cs="Arial Unicode MS"/>
                <w:bCs/>
                <w:color w:val="7A7B7C"/>
                <w:sz w:val="14"/>
                <w:szCs w:val="14"/>
                <w:lang w:eastAsia="en-AU"/>
              </w:rPr>
              <w:t>⁴</w:t>
            </w:r>
            <w:r w:rsidRPr="00922CDF">
              <w:rPr>
                <w:rFonts w:ascii="Arial Unicode MS" w:eastAsia="Arial Unicode MS" w:hAnsi="Arial Unicode MS" w:cs="Arial Unicode MS" w:hint="eastAsia"/>
                <w:bCs/>
                <w:color w:val="7A7B7C"/>
                <w:sz w:val="14"/>
                <w:szCs w:val="14"/>
                <w:lang w:eastAsia="en-AU"/>
              </w:rPr>
              <w:t xml:space="preserve"> </w:t>
            </w:r>
            <w:r w:rsidRPr="00922CDF">
              <w:rPr>
                <w:rFonts w:ascii="Arial Unicode MS" w:eastAsia="Arial Unicode MS" w:hAnsi="Arial Unicode MS" w:cs="Arial Unicode MS"/>
                <w:bCs/>
                <w:color w:val="7A7B7C"/>
                <w:sz w:val="14"/>
                <w:szCs w:val="14"/>
                <w:lang w:eastAsia="en-AU"/>
              </w:rPr>
              <w:t>⁵</w:t>
            </w:r>
          </w:p>
        </w:tc>
        <w:tc>
          <w:tcPr>
            <w:tcW w:w="248" w:type="pct"/>
            <w:shd w:val="clear" w:color="auto" w:fill="D5ECF5"/>
            <w:vAlign w:val="center"/>
            <w:hideMark/>
          </w:tcPr>
          <w:p w14:paraId="7418C525"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81</w:t>
            </w:r>
          </w:p>
        </w:tc>
        <w:tc>
          <w:tcPr>
            <w:tcW w:w="248" w:type="pct"/>
            <w:shd w:val="clear" w:color="auto" w:fill="D5ECF5"/>
            <w:vAlign w:val="center"/>
            <w:hideMark/>
          </w:tcPr>
          <w:p w14:paraId="7418C526"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130</w:t>
            </w:r>
          </w:p>
        </w:tc>
        <w:tc>
          <w:tcPr>
            <w:tcW w:w="248" w:type="pct"/>
            <w:shd w:val="clear" w:color="auto" w:fill="D5ECF5"/>
            <w:vAlign w:val="center"/>
            <w:hideMark/>
          </w:tcPr>
          <w:p w14:paraId="7418C527"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131</w:t>
            </w:r>
          </w:p>
        </w:tc>
        <w:tc>
          <w:tcPr>
            <w:tcW w:w="248" w:type="pct"/>
            <w:shd w:val="clear" w:color="auto" w:fill="D5ECF5"/>
            <w:vAlign w:val="center"/>
            <w:hideMark/>
          </w:tcPr>
          <w:p w14:paraId="7418C52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126</w:t>
            </w:r>
          </w:p>
        </w:tc>
        <w:tc>
          <w:tcPr>
            <w:tcW w:w="248" w:type="pct"/>
            <w:shd w:val="clear" w:color="auto" w:fill="D5ECF5"/>
            <w:vAlign w:val="center"/>
            <w:hideMark/>
          </w:tcPr>
          <w:p w14:paraId="7418C52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124</w:t>
            </w:r>
          </w:p>
        </w:tc>
        <w:tc>
          <w:tcPr>
            <w:tcW w:w="248" w:type="pct"/>
            <w:shd w:val="clear" w:color="auto" w:fill="D5ECF5"/>
            <w:vAlign w:val="center"/>
            <w:hideMark/>
          </w:tcPr>
          <w:p w14:paraId="7418C52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123</w:t>
            </w:r>
          </w:p>
        </w:tc>
        <w:tc>
          <w:tcPr>
            <w:tcW w:w="248" w:type="pct"/>
            <w:shd w:val="clear" w:color="auto" w:fill="D5ECF5"/>
            <w:vAlign w:val="center"/>
            <w:hideMark/>
          </w:tcPr>
          <w:p w14:paraId="7418C52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119</w:t>
            </w:r>
          </w:p>
        </w:tc>
        <w:tc>
          <w:tcPr>
            <w:tcW w:w="248" w:type="pct"/>
            <w:shd w:val="clear" w:color="auto" w:fill="D5ECF5"/>
            <w:vAlign w:val="center"/>
            <w:hideMark/>
          </w:tcPr>
          <w:p w14:paraId="7418C52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108</w:t>
            </w:r>
          </w:p>
        </w:tc>
        <w:tc>
          <w:tcPr>
            <w:tcW w:w="248" w:type="pct"/>
            <w:shd w:val="clear" w:color="auto" w:fill="D5ECF5"/>
            <w:vAlign w:val="center"/>
            <w:hideMark/>
          </w:tcPr>
          <w:p w14:paraId="7418C52D"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117</w:t>
            </w:r>
          </w:p>
        </w:tc>
        <w:tc>
          <w:tcPr>
            <w:tcW w:w="248" w:type="pct"/>
            <w:shd w:val="clear" w:color="auto" w:fill="D5ECF5"/>
            <w:vAlign w:val="center"/>
            <w:hideMark/>
          </w:tcPr>
          <w:p w14:paraId="7418C52E"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104</w:t>
            </w:r>
          </w:p>
        </w:tc>
        <w:tc>
          <w:tcPr>
            <w:tcW w:w="245" w:type="pct"/>
            <w:shd w:val="clear" w:color="auto" w:fill="D5ECF5"/>
            <w:vAlign w:val="center"/>
            <w:hideMark/>
          </w:tcPr>
          <w:p w14:paraId="7418C52F"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108</w:t>
            </w:r>
          </w:p>
        </w:tc>
      </w:tr>
      <w:tr w:rsidR="00D471AD" w:rsidRPr="00922CDF" w14:paraId="7418C53D" w14:textId="77777777" w:rsidTr="004A31A9">
        <w:trPr>
          <w:trHeight w:val="300"/>
        </w:trPr>
        <w:tc>
          <w:tcPr>
            <w:tcW w:w="2275" w:type="pct"/>
            <w:tcBorders>
              <w:bottom w:val="single" w:sz="8" w:space="0" w:color="22789A"/>
            </w:tcBorders>
            <w:shd w:val="clear" w:color="auto" w:fill="E4F3F9"/>
            <w:vAlign w:val="center"/>
            <w:hideMark/>
          </w:tcPr>
          <w:p w14:paraId="7418C531" w14:textId="77777777" w:rsidR="00D471AD" w:rsidRPr="00922CDF" w:rsidRDefault="00D471AD" w:rsidP="004A31A9">
            <w:pPr>
              <w:spacing w:after="0" w:line="240" w:lineRule="auto"/>
              <w:rPr>
                <w:rFonts w:eastAsia="Times New Roman" w:cs="Arial"/>
                <w:bCs/>
                <w:color w:val="7A7B7C"/>
                <w:sz w:val="14"/>
                <w:szCs w:val="14"/>
                <w:lang w:eastAsia="en-AU"/>
              </w:rPr>
            </w:pPr>
            <w:r w:rsidRPr="00922CDF">
              <w:rPr>
                <w:rFonts w:eastAsia="Times New Roman" w:cs="Arial" w:hint="eastAsia"/>
                <w:bCs/>
                <w:color w:val="7A7B7C"/>
                <w:sz w:val="14"/>
                <w:szCs w:val="14"/>
                <w:lang w:eastAsia="en-AU"/>
              </w:rPr>
              <w:t>University income from industry</w:t>
            </w:r>
            <w:r>
              <w:rPr>
                <w:rFonts w:eastAsia="Times New Roman" w:cs="Arial"/>
                <w:bCs/>
                <w:color w:val="7A7B7C"/>
                <w:sz w:val="14"/>
                <w:szCs w:val="14"/>
                <w:lang w:eastAsia="en-AU"/>
              </w:rPr>
              <w:t xml:space="preserve"> and other funding sources for research</w:t>
            </w:r>
            <w:r w:rsidRPr="00922CDF">
              <w:rPr>
                <w:rFonts w:eastAsia="Times New Roman" w:cs="Arial" w:hint="eastAsia"/>
                <w:bCs/>
                <w:color w:val="7A7B7C"/>
                <w:sz w:val="14"/>
                <w:szCs w:val="14"/>
                <w:lang w:eastAsia="en-AU"/>
              </w:rPr>
              <w:t xml:space="preserve"> (million A</w:t>
            </w:r>
            <w:r>
              <w:rPr>
                <w:rFonts w:eastAsia="Times New Roman" w:cs="Arial"/>
                <w:bCs/>
                <w:color w:val="7A7B7C"/>
                <w:sz w:val="14"/>
                <w:szCs w:val="14"/>
                <w:lang w:eastAsia="en-AU"/>
              </w:rPr>
              <w:t>$</w:t>
            </w:r>
            <w:r w:rsidRPr="00922CDF">
              <w:rPr>
                <w:rFonts w:eastAsia="Times New Roman" w:cs="Arial" w:hint="eastAsia"/>
                <w:bCs/>
                <w:color w:val="7A7B7C"/>
                <w:sz w:val="14"/>
                <w:szCs w:val="14"/>
                <w:lang w:eastAsia="en-AU"/>
              </w:rPr>
              <w:t>)</w:t>
            </w:r>
            <w:r w:rsidRPr="00922CDF">
              <w:rPr>
                <w:rFonts w:ascii="Arial Unicode MS" w:eastAsia="Arial Unicode MS" w:hAnsi="Arial Unicode MS" w:cs="Arial Unicode MS"/>
                <w:bCs/>
                <w:color w:val="7A7B7C"/>
                <w:sz w:val="14"/>
                <w:szCs w:val="14"/>
                <w:lang w:eastAsia="en-AU"/>
              </w:rPr>
              <w:t>⁴</w:t>
            </w:r>
            <w:r w:rsidRPr="00922CDF">
              <w:rPr>
                <w:rFonts w:ascii="Arial Unicode MS" w:eastAsia="Arial Unicode MS" w:hAnsi="Arial Unicode MS" w:cs="Arial Unicode MS" w:hint="eastAsia"/>
                <w:bCs/>
                <w:color w:val="7A7B7C"/>
                <w:sz w:val="14"/>
                <w:szCs w:val="14"/>
                <w:lang w:eastAsia="en-AU"/>
              </w:rPr>
              <w:t xml:space="preserve"> </w:t>
            </w:r>
            <w:r w:rsidRPr="00922CDF">
              <w:rPr>
                <w:rFonts w:ascii="Arial Unicode MS" w:eastAsia="Arial Unicode MS" w:hAnsi="Arial Unicode MS" w:cs="Arial Unicode MS"/>
                <w:bCs/>
                <w:color w:val="7A7B7C"/>
                <w:sz w:val="14"/>
                <w:szCs w:val="14"/>
                <w:lang w:eastAsia="en-AU"/>
              </w:rPr>
              <w:t>⁵</w:t>
            </w:r>
          </w:p>
        </w:tc>
        <w:tc>
          <w:tcPr>
            <w:tcW w:w="248" w:type="pct"/>
            <w:tcBorders>
              <w:bottom w:val="single" w:sz="8" w:space="0" w:color="22789A"/>
            </w:tcBorders>
            <w:shd w:val="clear" w:color="auto" w:fill="E4F3F9"/>
            <w:vAlign w:val="center"/>
            <w:hideMark/>
          </w:tcPr>
          <w:p w14:paraId="7418C532"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331</w:t>
            </w:r>
          </w:p>
        </w:tc>
        <w:tc>
          <w:tcPr>
            <w:tcW w:w="248" w:type="pct"/>
            <w:tcBorders>
              <w:bottom w:val="single" w:sz="8" w:space="0" w:color="22789A"/>
            </w:tcBorders>
            <w:shd w:val="clear" w:color="auto" w:fill="E4F3F9"/>
            <w:vAlign w:val="center"/>
            <w:hideMark/>
          </w:tcPr>
          <w:p w14:paraId="7418C533"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492</w:t>
            </w:r>
          </w:p>
        </w:tc>
        <w:tc>
          <w:tcPr>
            <w:tcW w:w="248" w:type="pct"/>
            <w:tcBorders>
              <w:bottom w:val="single" w:sz="8" w:space="0" w:color="22789A"/>
            </w:tcBorders>
            <w:shd w:val="clear" w:color="auto" w:fill="E4F3F9"/>
            <w:vAlign w:val="center"/>
            <w:hideMark/>
          </w:tcPr>
          <w:p w14:paraId="7418C534"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627</w:t>
            </w:r>
          </w:p>
        </w:tc>
        <w:tc>
          <w:tcPr>
            <w:tcW w:w="248" w:type="pct"/>
            <w:tcBorders>
              <w:bottom w:val="single" w:sz="8" w:space="0" w:color="22789A"/>
            </w:tcBorders>
            <w:shd w:val="clear" w:color="auto" w:fill="E4F3F9"/>
            <w:vAlign w:val="center"/>
            <w:hideMark/>
          </w:tcPr>
          <w:p w14:paraId="7418C535"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672</w:t>
            </w:r>
          </w:p>
        </w:tc>
        <w:tc>
          <w:tcPr>
            <w:tcW w:w="248" w:type="pct"/>
            <w:tcBorders>
              <w:bottom w:val="single" w:sz="8" w:space="0" w:color="22789A"/>
            </w:tcBorders>
            <w:shd w:val="clear" w:color="auto" w:fill="E4F3F9"/>
            <w:vAlign w:val="center"/>
            <w:hideMark/>
          </w:tcPr>
          <w:p w14:paraId="7418C536"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773</w:t>
            </w:r>
          </w:p>
        </w:tc>
        <w:tc>
          <w:tcPr>
            <w:tcW w:w="248" w:type="pct"/>
            <w:tcBorders>
              <w:bottom w:val="single" w:sz="8" w:space="0" w:color="22789A"/>
            </w:tcBorders>
            <w:shd w:val="clear" w:color="auto" w:fill="E4F3F9"/>
            <w:vAlign w:val="center"/>
            <w:hideMark/>
          </w:tcPr>
          <w:p w14:paraId="7418C537"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666</w:t>
            </w:r>
          </w:p>
        </w:tc>
        <w:tc>
          <w:tcPr>
            <w:tcW w:w="248" w:type="pct"/>
            <w:tcBorders>
              <w:bottom w:val="single" w:sz="8" w:space="0" w:color="22789A"/>
            </w:tcBorders>
            <w:shd w:val="clear" w:color="auto" w:fill="E4F3F9"/>
            <w:vAlign w:val="center"/>
            <w:hideMark/>
          </w:tcPr>
          <w:p w14:paraId="7418C538"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797</w:t>
            </w:r>
          </w:p>
        </w:tc>
        <w:tc>
          <w:tcPr>
            <w:tcW w:w="248" w:type="pct"/>
            <w:tcBorders>
              <w:bottom w:val="single" w:sz="8" w:space="0" w:color="22789A"/>
            </w:tcBorders>
            <w:shd w:val="clear" w:color="auto" w:fill="E4F3F9"/>
            <w:vAlign w:val="center"/>
            <w:hideMark/>
          </w:tcPr>
          <w:p w14:paraId="7418C539"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832</w:t>
            </w:r>
          </w:p>
        </w:tc>
        <w:tc>
          <w:tcPr>
            <w:tcW w:w="248" w:type="pct"/>
            <w:tcBorders>
              <w:bottom w:val="single" w:sz="8" w:space="0" w:color="22789A"/>
            </w:tcBorders>
            <w:shd w:val="clear" w:color="auto" w:fill="E4F3F9"/>
            <w:vAlign w:val="center"/>
            <w:hideMark/>
          </w:tcPr>
          <w:p w14:paraId="7418C53A"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830</w:t>
            </w:r>
          </w:p>
        </w:tc>
        <w:tc>
          <w:tcPr>
            <w:tcW w:w="248" w:type="pct"/>
            <w:tcBorders>
              <w:bottom w:val="single" w:sz="8" w:space="0" w:color="22789A"/>
            </w:tcBorders>
            <w:shd w:val="clear" w:color="auto" w:fill="E4F3F9"/>
            <w:vAlign w:val="center"/>
            <w:hideMark/>
          </w:tcPr>
          <w:p w14:paraId="7418C53B"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925</w:t>
            </w:r>
          </w:p>
        </w:tc>
        <w:tc>
          <w:tcPr>
            <w:tcW w:w="245" w:type="pct"/>
            <w:tcBorders>
              <w:bottom w:val="single" w:sz="8" w:space="0" w:color="22789A"/>
            </w:tcBorders>
            <w:shd w:val="clear" w:color="auto" w:fill="E4F3F9"/>
            <w:vAlign w:val="center"/>
            <w:hideMark/>
          </w:tcPr>
          <w:p w14:paraId="7418C53C" w14:textId="77777777" w:rsidR="00D471AD" w:rsidRPr="00922CDF" w:rsidRDefault="00D471AD" w:rsidP="004A31A9">
            <w:pPr>
              <w:spacing w:after="0" w:line="240" w:lineRule="auto"/>
              <w:jc w:val="right"/>
              <w:rPr>
                <w:rFonts w:eastAsia="Times New Roman" w:cs="Arial"/>
                <w:bCs/>
                <w:color w:val="7A7B7C"/>
                <w:sz w:val="14"/>
                <w:szCs w:val="14"/>
                <w:lang w:eastAsia="en-AU"/>
              </w:rPr>
            </w:pPr>
            <w:r w:rsidRPr="00922CDF">
              <w:rPr>
                <w:rFonts w:eastAsia="Times New Roman" w:cs="Arial"/>
                <w:bCs/>
                <w:color w:val="7A7B7C"/>
                <w:sz w:val="14"/>
                <w:szCs w:val="14"/>
                <w:lang w:eastAsia="en-AU"/>
              </w:rPr>
              <w:t>981</w:t>
            </w:r>
          </w:p>
        </w:tc>
      </w:tr>
    </w:tbl>
    <w:p w14:paraId="7418C53E" w14:textId="77777777" w:rsidR="00D471AD" w:rsidRPr="008B33FB" w:rsidRDefault="00D471AD" w:rsidP="00D471AD">
      <w:pPr>
        <w:spacing w:before="120" w:after="120"/>
        <w:rPr>
          <w:rFonts w:cs="Arial"/>
          <w:color w:val="22789A"/>
          <w:sz w:val="16"/>
          <w:szCs w:val="16"/>
        </w:rPr>
      </w:pPr>
      <w:r w:rsidRPr="008B33FB">
        <w:rPr>
          <w:rFonts w:cs="Arial"/>
          <w:color w:val="22789A"/>
          <w:sz w:val="16"/>
          <w:szCs w:val="16"/>
        </w:rPr>
        <w:t>– = data not available</w:t>
      </w:r>
    </w:p>
    <w:p w14:paraId="7418C53F" w14:textId="77777777" w:rsidR="00D471AD" w:rsidRPr="008B33FB" w:rsidRDefault="00D471AD" w:rsidP="00D471AD">
      <w:pPr>
        <w:spacing w:before="120" w:after="120"/>
        <w:rPr>
          <w:rFonts w:cs="Arial"/>
          <w:color w:val="22789A"/>
          <w:sz w:val="16"/>
          <w:szCs w:val="16"/>
        </w:rPr>
      </w:pPr>
      <w:r w:rsidRPr="002B2741">
        <w:rPr>
          <w:rFonts w:cs="Arial"/>
          <w:b/>
          <w:i/>
          <w:iCs/>
          <w:color w:val="22789A"/>
          <w:sz w:val="16"/>
          <w:szCs w:val="16"/>
        </w:rPr>
        <w:t>Table notes</w:t>
      </w:r>
      <w:r w:rsidRPr="002B2741">
        <w:rPr>
          <w:rFonts w:cs="Arial"/>
          <w:b/>
          <w:color w:val="22789A"/>
          <w:sz w:val="16"/>
          <w:szCs w:val="16"/>
        </w:rPr>
        <w:t>:</w:t>
      </w:r>
      <w:r w:rsidRPr="008B33FB">
        <w:rPr>
          <w:rFonts w:cs="Arial"/>
          <w:color w:val="22789A"/>
          <w:sz w:val="16"/>
          <w:szCs w:val="16"/>
        </w:rPr>
        <w:t xml:space="preserve"> </w:t>
      </w:r>
      <w:r w:rsidRPr="008B33FB">
        <w:rPr>
          <w:rFonts w:cs="Arial"/>
          <w:b/>
          <w:bCs/>
          <w:color w:val="22789A"/>
          <w:sz w:val="16"/>
          <w:szCs w:val="16"/>
        </w:rPr>
        <w:t xml:space="preserve">(i) </w:t>
      </w:r>
      <w:r w:rsidRPr="008B33FB">
        <w:rPr>
          <w:rFonts w:cs="Arial"/>
          <w:color w:val="22789A"/>
          <w:sz w:val="16"/>
          <w:szCs w:val="16"/>
        </w:rPr>
        <w:t>Data are presented in calendar year format. Where the data are in financial years, it is expressed in terms of the year where the financial year begins e.g. 2010–11 is shown as 2010.</w:t>
      </w:r>
    </w:p>
    <w:p w14:paraId="7418C540" w14:textId="77777777" w:rsidR="00D471AD" w:rsidRPr="008B33FB" w:rsidRDefault="00D471AD" w:rsidP="00D471AD">
      <w:pPr>
        <w:spacing w:before="120" w:after="120"/>
        <w:rPr>
          <w:rFonts w:cs="Arial"/>
          <w:i/>
          <w:iCs/>
          <w:color w:val="22789A"/>
          <w:sz w:val="16"/>
          <w:szCs w:val="16"/>
        </w:rPr>
      </w:pPr>
      <w:r w:rsidRPr="002B2741">
        <w:rPr>
          <w:rFonts w:cs="Arial"/>
          <w:b/>
          <w:i/>
          <w:iCs/>
          <w:color w:val="22789A"/>
          <w:sz w:val="16"/>
          <w:szCs w:val="16"/>
        </w:rPr>
        <w:t>Sources</w:t>
      </w:r>
      <w:r w:rsidRPr="002B2741">
        <w:rPr>
          <w:rFonts w:cs="Arial"/>
          <w:b/>
          <w:color w:val="22789A"/>
          <w:sz w:val="16"/>
          <w:szCs w:val="16"/>
        </w:rPr>
        <w:t xml:space="preserve"> (1 - 5):</w:t>
      </w:r>
      <w:r w:rsidRPr="002B2741">
        <w:rPr>
          <w:rFonts w:cs="Arial"/>
          <w:b/>
          <w:bCs/>
          <w:color w:val="22789A"/>
          <w:sz w:val="16"/>
          <w:szCs w:val="16"/>
        </w:rPr>
        <w:t xml:space="preserve"> [</w:t>
      </w:r>
      <w:r w:rsidRPr="008B33FB">
        <w:rPr>
          <w:rFonts w:cs="Arial"/>
          <w:b/>
          <w:bCs/>
          <w:color w:val="22789A"/>
          <w:sz w:val="16"/>
          <w:szCs w:val="16"/>
        </w:rPr>
        <w:t xml:space="preserve">1] </w:t>
      </w:r>
      <w:r w:rsidRPr="008B33FB">
        <w:rPr>
          <w:rFonts w:cs="Arial"/>
          <w:color w:val="22789A"/>
          <w:sz w:val="16"/>
          <w:szCs w:val="16"/>
        </w:rPr>
        <w:t xml:space="preserve">Universities Australia (2014) International Links of Australian Universities, October 2014, Type of Agreement, URL: https://www.universitiesaustralia.edu.au/; </w:t>
      </w:r>
      <w:r w:rsidRPr="008B33FB">
        <w:rPr>
          <w:rFonts w:cs="Arial"/>
          <w:b/>
          <w:bCs/>
          <w:color w:val="22789A"/>
          <w:sz w:val="16"/>
          <w:szCs w:val="16"/>
        </w:rPr>
        <w:t xml:space="preserve">[2] </w:t>
      </w:r>
      <w:r w:rsidRPr="008B33FB">
        <w:rPr>
          <w:rFonts w:cs="Arial"/>
          <w:color w:val="22789A"/>
          <w:sz w:val="16"/>
          <w:szCs w:val="16"/>
        </w:rPr>
        <w:t>Australian Government (2016) National Survey of Research Commercialisation (NSRC), 2014–15, URL: http://www.innovation.gov.au/;</w:t>
      </w:r>
      <w:r w:rsidRPr="008B33FB">
        <w:rPr>
          <w:rFonts w:cs="Arial"/>
          <w:b/>
          <w:bCs/>
          <w:color w:val="22789A"/>
          <w:sz w:val="16"/>
          <w:szCs w:val="16"/>
        </w:rPr>
        <w:t xml:space="preserve"> [3]</w:t>
      </w:r>
      <w:r w:rsidRPr="008B33FB">
        <w:rPr>
          <w:rFonts w:cs="Arial"/>
          <w:color w:val="22789A"/>
          <w:sz w:val="16"/>
          <w:szCs w:val="16"/>
        </w:rPr>
        <w:t xml:space="preserve"> Australian Government (2016) Special request from NSRC, 2016, Data Extracted from IP Australia Analytics Hub, Research Organisation Time Series; </w:t>
      </w:r>
      <w:r w:rsidRPr="008B33FB">
        <w:rPr>
          <w:rFonts w:cs="Arial"/>
          <w:b/>
          <w:bCs/>
          <w:color w:val="22789A"/>
          <w:sz w:val="16"/>
          <w:szCs w:val="16"/>
        </w:rPr>
        <w:t xml:space="preserve">[4] </w:t>
      </w:r>
      <w:r w:rsidRPr="008B33FB">
        <w:rPr>
          <w:rFonts w:cs="Arial"/>
          <w:color w:val="22789A"/>
          <w:sz w:val="16"/>
          <w:szCs w:val="16"/>
        </w:rPr>
        <w:t xml:space="preserve">Australian Government (2013–2014) Higher Education Research Data Collection (HERDC), 2012–2013, URL: http://education.gov.au/; </w:t>
      </w:r>
      <w:r w:rsidRPr="008B33FB">
        <w:rPr>
          <w:rFonts w:cs="Arial"/>
          <w:b/>
          <w:bCs/>
          <w:color w:val="22789A"/>
          <w:sz w:val="16"/>
          <w:szCs w:val="16"/>
        </w:rPr>
        <w:t xml:space="preserve">[5] </w:t>
      </w:r>
      <w:r w:rsidRPr="008B33FB">
        <w:rPr>
          <w:rFonts w:cs="Arial"/>
          <w:color w:val="22789A"/>
          <w:sz w:val="16"/>
          <w:szCs w:val="16"/>
        </w:rPr>
        <w:t>Australian Government (2015) Higher Education Research Data Collection (HERDC), 2014, Research Block Grants, URL: http://education.gov.au/</w:t>
      </w:r>
    </w:p>
    <w:p w14:paraId="7418C541" w14:textId="77777777" w:rsidR="00D471AD" w:rsidRPr="008B33FB" w:rsidRDefault="00D471AD" w:rsidP="00D471AD">
      <w:pPr>
        <w:spacing w:before="120" w:after="120"/>
        <w:rPr>
          <w:rFonts w:cs="Arial"/>
          <w:i/>
          <w:iCs/>
          <w:color w:val="22789A"/>
          <w:sz w:val="16"/>
          <w:szCs w:val="16"/>
        </w:rPr>
      </w:pPr>
      <w:r w:rsidRPr="002B2741">
        <w:rPr>
          <w:rFonts w:cs="Arial"/>
          <w:b/>
          <w:i/>
          <w:iCs/>
          <w:color w:val="22789A"/>
          <w:sz w:val="16"/>
          <w:szCs w:val="16"/>
        </w:rPr>
        <w:t>Indicator notes</w:t>
      </w:r>
      <w:r w:rsidRPr="002B2741">
        <w:rPr>
          <w:rFonts w:cs="Arial"/>
          <w:b/>
          <w:color w:val="22789A"/>
          <w:sz w:val="16"/>
          <w:szCs w:val="16"/>
        </w:rPr>
        <w:t xml:space="preserve"> (6 - 9): </w:t>
      </w:r>
      <w:r w:rsidRPr="008B33FB">
        <w:rPr>
          <w:rFonts w:cs="Arial"/>
          <w:b/>
          <w:bCs/>
          <w:color w:val="22789A"/>
          <w:sz w:val="16"/>
          <w:szCs w:val="16"/>
        </w:rPr>
        <w:t xml:space="preserve">[6] </w:t>
      </w:r>
      <w:r w:rsidRPr="008B33FB">
        <w:rPr>
          <w:rFonts w:cs="Arial"/>
          <w:color w:val="22789A"/>
          <w:sz w:val="16"/>
          <w:szCs w:val="16"/>
        </w:rPr>
        <w:t>2003 data used in place of 2005 data.;</w:t>
      </w:r>
      <w:r w:rsidRPr="008B33FB">
        <w:rPr>
          <w:rFonts w:cs="Arial"/>
          <w:b/>
          <w:bCs/>
          <w:color w:val="22789A"/>
          <w:sz w:val="16"/>
          <w:szCs w:val="16"/>
        </w:rPr>
        <w:t xml:space="preserve"> [7] </w:t>
      </w:r>
      <w:r w:rsidRPr="008B33FB">
        <w:rPr>
          <w:rFonts w:cs="Arial"/>
          <w:color w:val="22789A"/>
          <w:sz w:val="16"/>
          <w:szCs w:val="16"/>
        </w:rPr>
        <w:t xml:space="preserve">Constant 2014 prices; </w:t>
      </w:r>
      <w:r w:rsidRPr="008B33FB">
        <w:rPr>
          <w:rFonts w:cs="Arial"/>
          <w:b/>
          <w:bCs/>
          <w:color w:val="22789A"/>
          <w:sz w:val="16"/>
          <w:szCs w:val="16"/>
        </w:rPr>
        <w:t xml:space="preserve">[8] </w:t>
      </w:r>
      <w:r w:rsidRPr="008B33FB">
        <w:rPr>
          <w:rFonts w:cs="Arial"/>
          <w:color w:val="22789A"/>
          <w:sz w:val="16"/>
          <w:szCs w:val="16"/>
        </w:rPr>
        <w:t xml:space="preserve">The data is drawn from the current time series of 55 organisations; </w:t>
      </w:r>
      <w:r w:rsidRPr="008B33FB">
        <w:rPr>
          <w:rFonts w:cs="Arial"/>
          <w:b/>
          <w:bCs/>
          <w:color w:val="22789A"/>
          <w:sz w:val="16"/>
          <w:szCs w:val="16"/>
        </w:rPr>
        <w:t>[9]</w:t>
      </w:r>
      <w:r w:rsidRPr="008B33FB">
        <w:rPr>
          <w:rFonts w:cs="Arial"/>
          <w:color w:val="22789A"/>
          <w:sz w:val="16"/>
          <w:szCs w:val="16"/>
        </w:rPr>
        <w:t xml:space="preserve"> The data is based on 2000-2014 time series cohort of 53 organisations</w:t>
      </w:r>
    </w:p>
    <w:p w14:paraId="7418C542" w14:textId="77777777" w:rsidR="00D471AD" w:rsidRDefault="00D471AD" w:rsidP="00D471AD">
      <w:r>
        <w:br w:type="page"/>
      </w:r>
    </w:p>
    <w:p w14:paraId="7418C543" w14:textId="77777777" w:rsidR="00D471AD" w:rsidRPr="001729A3" w:rsidRDefault="00D471AD" w:rsidP="00D471AD">
      <w:pPr>
        <w:pStyle w:val="BodyText"/>
        <w:sectPr w:rsidR="00D471AD" w:rsidRPr="001729A3" w:rsidSect="00D471AD">
          <w:headerReference w:type="even" r:id="rId190"/>
          <w:headerReference w:type="default" r:id="rId191"/>
          <w:footerReference w:type="even" r:id="rId192"/>
          <w:footerReference w:type="default" r:id="rId193"/>
          <w:headerReference w:type="first" r:id="rId194"/>
          <w:footnotePr>
            <w:numFmt w:val="upperRoman"/>
          </w:footnotePr>
          <w:endnotePr>
            <w:numFmt w:val="decimal"/>
          </w:endnotePr>
          <w:pgSz w:w="16838" w:h="11906" w:orient="landscape" w:code="9"/>
          <w:pgMar w:top="1440" w:right="1440" w:bottom="1440" w:left="1440" w:header="709" w:footer="709" w:gutter="0"/>
          <w:cols w:space="708"/>
          <w:docGrid w:linePitch="360"/>
        </w:sectPr>
      </w:pPr>
    </w:p>
    <w:p w14:paraId="7418C544" w14:textId="77777777" w:rsidR="00D471AD" w:rsidRPr="001729A3" w:rsidRDefault="00D471AD" w:rsidP="00D471AD">
      <w:pPr>
        <w:pStyle w:val="Glossary"/>
        <w:rPr>
          <w:lang w:val="en-AU"/>
        </w:rPr>
      </w:pPr>
      <w:bookmarkStart w:id="3157" w:name="_Toc461180169"/>
      <w:bookmarkStart w:id="3158" w:name="_Toc461180605"/>
      <w:bookmarkStart w:id="3159" w:name="_Toc461183264"/>
      <w:bookmarkStart w:id="3160" w:name="_Toc461183327"/>
      <w:bookmarkStart w:id="3161" w:name="_Toc461183807"/>
      <w:bookmarkStart w:id="3162" w:name="_Toc461184503"/>
      <w:bookmarkStart w:id="3163" w:name="_Toc461186541"/>
      <w:bookmarkStart w:id="3164" w:name="_Toc461186963"/>
      <w:bookmarkStart w:id="3165" w:name="_Toc461198314"/>
      <w:bookmarkStart w:id="3166" w:name="_Toc461198856"/>
      <w:bookmarkStart w:id="3167" w:name="_Toc461204144"/>
      <w:bookmarkStart w:id="3168" w:name="_Toc461527602"/>
      <w:bookmarkStart w:id="3169" w:name="_Toc461624510"/>
      <w:bookmarkStart w:id="3170" w:name="_Toc461629734"/>
      <w:bookmarkStart w:id="3171" w:name="_Toc461633064"/>
      <w:bookmarkStart w:id="3172" w:name="_Toc461634334"/>
      <w:bookmarkStart w:id="3173" w:name="_Toc465862848"/>
      <w:r w:rsidRPr="001729A3">
        <w:rPr>
          <w:lang w:val="en-AU"/>
        </w:rPr>
        <w:t>Glossary of terms</w:t>
      </w:r>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p>
    <w:p w14:paraId="7418C545" w14:textId="77777777" w:rsidR="00D471AD" w:rsidRPr="001729A3" w:rsidRDefault="00D471AD" w:rsidP="00D471AD">
      <w:pPr>
        <w:pStyle w:val="glossaryheading"/>
        <w:rPr>
          <w:lang w:val="en-AU"/>
        </w:rPr>
      </w:pPr>
      <w:r w:rsidRPr="001729A3">
        <w:rPr>
          <w:lang w:val="en-AU"/>
        </w:rPr>
        <w:t>Absorptive capacity</w:t>
      </w:r>
      <w:r w:rsidRPr="001729A3" w:rsidDel="00AA2218">
        <w:rPr>
          <w:lang w:val="en-AU"/>
        </w:rPr>
        <w:t xml:space="preserve"> (AC)</w:t>
      </w:r>
    </w:p>
    <w:p w14:paraId="7418C546" w14:textId="77777777" w:rsidR="00D471AD" w:rsidRPr="001729A3" w:rsidRDefault="00D471AD" w:rsidP="00D471AD">
      <w:pPr>
        <w:pStyle w:val="BodyText"/>
      </w:pPr>
      <w:r w:rsidRPr="001729A3">
        <w:t xml:space="preserve">Absorptive capacity is a business’ ability to identify, acquire, transform and exploit knowledge that is external to the business. Measures such as </w:t>
      </w:r>
      <w:r>
        <w:t>R&amp;D</w:t>
      </w:r>
      <w:r w:rsidRPr="001729A3">
        <w:t xml:space="preserve"> expenditure, number of researchers in the business and survey methods are used to measure absorptive capacity. </w:t>
      </w:r>
    </w:p>
    <w:p w14:paraId="7418C547" w14:textId="77777777" w:rsidR="00D471AD" w:rsidRPr="001729A3" w:rsidRDefault="00D471AD" w:rsidP="00D471AD">
      <w:pPr>
        <w:pStyle w:val="glossaryheading"/>
        <w:rPr>
          <w:lang w:val="en-AU"/>
        </w:rPr>
      </w:pPr>
      <w:r w:rsidRPr="001729A3">
        <w:rPr>
          <w:lang w:val="en-AU"/>
        </w:rPr>
        <w:t xml:space="preserve">Backward participation </w:t>
      </w:r>
    </w:p>
    <w:p w14:paraId="7418C548" w14:textId="77777777" w:rsidR="00D471AD" w:rsidRPr="001729A3" w:rsidRDefault="00D471AD" w:rsidP="00D471AD">
      <w:pPr>
        <w:pStyle w:val="BodyText"/>
      </w:pPr>
      <w:r w:rsidRPr="001729A3">
        <w:t>Backward participation measures the value of imported inputs in the overall exports of a country (the remainder being the domestic content of exports). This indicator provides an indication of the contribution of foreign industries to the exports of a country by looking at the foreign value added embodied in the gross exports.</w:t>
      </w:r>
    </w:p>
    <w:p w14:paraId="7418C549" w14:textId="77777777" w:rsidR="00D471AD" w:rsidRPr="001729A3" w:rsidRDefault="00D471AD" w:rsidP="00D471AD">
      <w:pPr>
        <w:pStyle w:val="glossaryheading"/>
        <w:rPr>
          <w:lang w:val="en-AU"/>
        </w:rPr>
      </w:pPr>
      <w:r w:rsidRPr="001729A3">
        <w:rPr>
          <w:lang w:val="en-AU"/>
        </w:rPr>
        <w:t>Business Characteristics Survey (BCS)</w:t>
      </w:r>
    </w:p>
    <w:p w14:paraId="7418C54A" w14:textId="77777777" w:rsidR="00D471AD" w:rsidRPr="001729A3" w:rsidRDefault="00D471AD" w:rsidP="00D471AD">
      <w:pPr>
        <w:pStyle w:val="BodyText"/>
      </w:pPr>
      <w:r w:rsidRPr="001729A3">
        <w:t xml:space="preserve">The BCS is an annual survey and it is the vehicle for the ABS' Integrated Business Characteristics Strategy. The strategy is designed to integrate the collection and quality assurance of data required for input into both the ABS' Business Longitudinal Database and the production of point in time estimates for: Use of information technology; innovation; and a broad range of other non-financial characteristics. </w:t>
      </w:r>
    </w:p>
    <w:p w14:paraId="7418C54B" w14:textId="77777777" w:rsidR="00D471AD" w:rsidRPr="001729A3" w:rsidRDefault="00D471AD" w:rsidP="00D471AD">
      <w:pPr>
        <w:pStyle w:val="BodyText"/>
      </w:pPr>
      <w:r w:rsidRPr="001729A3">
        <w:t>A key part of the BCS is a detailed set of questions on business innovation asked every second year. This is why some business innovation data presented in this report is only available every second year. The detailed survey includes questions on drivers, sources of ideas</w:t>
      </w:r>
      <w:r>
        <w:t>,</w:t>
      </w:r>
      <w:r w:rsidRPr="001729A3">
        <w:t xml:space="preserve"> and collaboration for innovation.</w:t>
      </w:r>
    </w:p>
    <w:p w14:paraId="7418C54C" w14:textId="77777777" w:rsidR="00D471AD" w:rsidRPr="001729A3" w:rsidRDefault="00D471AD" w:rsidP="00D471AD">
      <w:pPr>
        <w:pStyle w:val="glossaryheading"/>
        <w:rPr>
          <w:lang w:val="en-AU"/>
        </w:rPr>
      </w:pPr>
      <w:r w:rsidRPr="001729A3">
        <w:rPr>
          <w:lang w:val="en-AU"/>
        </w:rPr>
        <w:t>Business expenditure on R&amp;D (BERD)</w:t>
      </w:r>
    </w:p>
    <w:p w14:paraId="7418C54D" w14:textId="77777777" w:rsidR="00D471AD" w:rsidRPr="001729A3" w:rsidRDefault="00D471AD" w:rsidP="00D471AD">
      <w:pPr>
        <w:pStyle w:val="BodyText"/>
      </w:pPr>
      <w:r w:rsidRPr="001729A3">
        <w:t>R&amp;D expenditure undertaken by the industry sector only.</w:t>
      </w:r>
    </w:p>
    <w:p w14:paraId="7418C54E" w14:textId="77777777" w:rsidR="00D471AD" w:rsidRPr="001729A3" w:rsidRDefault="004A31A9" w:rsidP="00D471AD">
      <w:pPr>
        <w:pStyle w:val="glossaryheading"/>
        <w:rPr>
          <w:lang w:val="en-AU"/>
        </w:rPr>
      </w:pPr>
      <w:hyperlink r:id="rId195" w:history="1">
        <w:r w:rsidR="00D471AD" w:rsidRPr="00D754BD">
          <w:rPr>
            <w:rStyle w:val="Hyperlink"/>
          </w:rPr>
          <w:t>Business Longitudinal Analysis Data Environment (BLADE)</w:t>
        </w:r>
      </w:hyperlink>
      <w:r w:rsidR="00D471AD">
        <w:rPr>
          <w:rStyle w:val="EndnoteReference"/>
          <w:color w:val="22789A"/>
          <w:u w:val="single"/>
        </w:rPr>
        <w:endnoteReference w:id="91"/>
      </w:r>
    </w:p>
    <w:p w14:paraId="7418C54F" w14:textId="77777777" w:rsidR="00D471AD" w:rsidRPr="001729A3" w:rsidRDefault="00D471AD" w:rsidP="00D471AD">
      <w:pPr>
        <w:pStyle w:val="BodyText"/>
      </w:pPr>
      <w:r w:rsidRPr="001729A3">
        <w:t xml:space="preserve">The ABS' BLADE is a series of integrated, linked longitudinal datasets over the period 2001–02 to 2013–14. It is based on retrospectively reconciling the different reporting structures in ATO and ABS data to facilitate linking survey and administrative data for businesses. </w:t>
      </w:r>
    </w:p>
    <w:p w14:paraId="7418C550" w14:textId="77777777" w:rsidR="00D471AD" w:rsidRPr="001729A3" w:rsidRDefault="00D471AD" w:rsidP="00D471AD">
      <w:pPr>
        <w:pStyle w:val="BodyText"/>
      </w:pPr>
      <w:r w:rsidRPr="001729A3">
        <w:t>The survey data used here is from two sources: the Business Characteristics Survey, and the Business Expenditure on Research and Development. The administrative data is sourced from the ATO and includes Business Activity Statements and Pay-As-You-Go. In addition</w:t>
      </w:r>
      <w:r>
        <w:t>,</w:t>
      </w:r>
      <w:r w:rsidRPr="001729A3">
        <w:t xml:space="preserve"> demographic information, such as business age or industry classification, are derived by a combination of data from the ABS Business Register and historical ATO reporting patterns.</w:t>
      </w:r>
    </w:p>
    <w:p w14:paraId="7418C551" w14:textId="77777777" w:rsidR="00D471AD" w:rsidRPr="001729A3" w:rsidRDefault="00D471AD" w:rsidP="00D471AD">
      <w:pPr>
        <w:pStyle w:val="glossaryheading"/>
        <w:rPr>
          <w:lang w:val="en-AU"/>
        </w:rPr>
      </w:pPr>
      <w:r w:rsidRPr="001729A3">
        <w:rPr>
          <w:lang w:val="en-AU"/>
        </w:rPr>
        <w:t>Business size</w:t>
      </w:r>
    </w:p>
    <w:p w14:paraId="7418C552" w14:textId="77777777" w:rsidR="00D471AD" w:rsidRPr="001729A3" w:rsidRDefault="00D471AD" w:rsidP="00D471AD">
      <w:pPr>
        <w:pStyle w:val="BodyText"/>
      </w:pPr>
      <w:r w:rsidRPr="001729A3">
        <w:t xml:space="preserve">According to the Australian Bureau of Statistics: </w:t>
      </w:r>
    </w:p>
    <w:p w14:paraId="7418C553" w14:textId="77777777" w:rsidR="00D471AD" w:rsidRPr="001729A3" w:rsidRDefault="00D471AD" w:rsidP="00D471AD">
      <w:pPr>
        <w:pStyle w:val="ListBullet2"/>
        <w:numPr>
          <w:ilvl w:val="0"/>
          <w:numId w:val="19"/>
        </w:numPr>
      </w:pPr>
      <w:r>
        <w:t>l</w:t>
      </w:r>
      <w:r w:rsidRPr="001729A3">
        <w:t>arge businesses are considered those employing 200 or more persons</w:t>
      </w:r>
    </w:p>
    <w:p w14:paraId="7418C554" w14:textId="77777777" w:rsidR="00D471AD" w:rsidRPr="001729A3" w:rsidRDefault="00D471AD" w:rsidP="00D471AD">
      <w:pPr>
        <w:pStyle w:val="ListBullet2"/>
        <w:numPr>
          <w:ilvl w:val="0"/>
          <w:numId w:val="19"/>
        </w:numPr>
      </w:pPr>
      <w:r>
        <w:t>m</w:t>
      </w:r>
      <w:r w:rsidRPr="001729A3">
        <w:t>edium-sized enterprises are those employing 20 to fewer than 200 persons</w:t>
      </w:r>
    </w:p>
    <w:p w14:paraId="7418C555" w14:textId="77777777" w:rsidR="00D471AD" w:rsidRPr="001729A3" w:rsidRDefault="00D471AD" w:rsidP="00D471AD">
      <w:pPr>
        <w:pStyle w:val="ListBullet2"/>
        <w:numPr>
          <w:ilvl w:val="0"/>
          <w:numId w:val="19"/>
        </w:numPr>
      </w:pPr>
      <w:r>
        <w:t>s</w:t>
      </w:r>
      <w:r w:rsidRPr="001729A3">
        <w:t xml:space="preserve">mall businesses are those employing between </w:t>
      </w:r>
      <w:r>
        <w:t>five</w:t>
      </w:r>
      <w:r w:rsidRPr="00660104">
        <w:t xml:space="preserve"> </w:t>
      </w:r>
      <w:r w:rsidRPr="001729A3">
        <w:t>and 19 persons</w:t>
      </w:r>
    </w:p>
    <w:p w14:paraId="7418C556" w14:textId="77777777" w:rsidR="00D471AD" w:rsidRPr="001729A3" w:rsidRDefault="00D471AD" w:rsidP="00D471AD">
      <w:pPr>
        <w:pStyle w:val="ListBullet2"/>
        <w:numPr>
          <w:ilvl w:val="0"/>
          <w:numId w:val="19"/>
        </w:numPr>
      </w:pPr>
      <w:r>
        <w:t>m</w:t>
      </w:r>
      <w:r w:rsidRPr="001729A3">
        <w:t xml:space="preserve">icro-businesses are those employing </w:t>
      </w:r>
      <w:r>
        <w:t>fewer</w:t>
      </w:r>
      <w:r w:rsidRPr="00660104">
        <w:t xml:space="preserve"> </w:t>
      </w:r>
      <w:r w:rsidRPr="001729A3">
        <w:t xml:space="preserve">than </w:t>
      </w:r>
      <w:r>
        <w:t>five</w:t>
      </w:r>
      <w:r w:rsidRPr="00660104">
        <w:t xml:space="preserve"> </w:t>
      </w:r>
      <w:r w:rsidRPr="001729A3">
        <w:t>people</w:t>
      </w:r>
    </w:p>
    <w:p w14:paraId="7418C557" w14:textId="77777777" w:rsidR="00D471AD" w:rsidRPr="001729A3" w:rsidRDefault="00D471AD" w:rsidP="00D471AD">
      <w:pPr>
        <w:pStyle w:val="ListBullet2"/>
        <w:numPr>
          <w:ilvl w:val="0"/>
          <w:numId w:val="19"/>
        </w:numPr>
      </w:pPr>
      <w:r>
        <w:t>n</w:t>
      </w:r>
      <w:r w:rsidRPr="001729A3">
        <w:t>on-employing businesses are those run by their owners.</w:t>
      </w:r>
    </w:p>
    <w:p w14:paraId="7418C558" w14:textId="77777777" w:rsidR="00D471AD" w:rsidRPr="001729A3" w:rsidRDefault="00D471AD" w:rsidP="00D471AD">
      <w:pPr>
        <w:pStyle w:val="ListBullet2"/>
        <w:numPr>
          <w:ilvl w:val="0"/>
          <w:numId w:val="19"/>
        </w:numPr>
      </w:pPr>
      <w:r>
        <w:t>s</w:t>
      </w:r>
      <w:r w:rsidRPr="001729A3">
        <w:t>mall</w:t>
      </w:r>
      <w:r>
        <w:t>-</w:t>
      </w:r>
      <w:r w:rsidRPr="001729A3">
        <w:t xml:space="preserve"> to medium-sized enterprises (SMEs) are defined as businesses that employ </w:t>
      </w:r>
      <w:r>
        <w:t>one</w:t>
      </w:r>
      <w:r w:rsidRPr="00660104">
        <w:t xml:space="preserve"> </w:t>
      </w:r>
      <w:r w:rsidRPr="001729A3">
        <w:t>to fewer than 200 persons.</w:t>
      </w:r>
    </w:p>
    <w:p w14:paraId="7418C559" w14:textId="77777777" w:rsidR="00D471AD" w:rsidRPr="001729A3" w:rsidRDefault="00D471AD" w:rsidP="00D471AD">
      <w:pPr>
        <w:pStyle w:val="BodyText"/>
      </w:pPr>
      <w:r w:rsidRPr="001729A3">
        <w:t xml:space="preserve">The OECD defines SMEs as businesses </w:t>
      </w:r>
      <w:r>
        <w:t>that</w:t>
      </w:r>
      <w:r w:rsidRPr="00660104">
        <w:t xml:space="preserve"> </w:t>
      </w:r>
      <w:r w:rsidRPr="001729A3">
        <w:t>employ fewer than 250 employees, while the United States considers SMEs to include businesses with fewer than 500 employees.</w:t>
      </w:r>
      <w:r>
        <w:t xml:space="preserve"> </w:t>
      </w:r>
      <w:r w:rsidRPr="007671E4">
        <w:t>When performing international comparisons, we use the OECD definitions of SME and large business.</w:t>
      </w:r>
    </w:p>
    <w:p w14:paraId="7418C55A" w14:textId="77777777" w:rsidR="00D471AD" w:rsidRPr="001729A3" w:rsidRDefault="00D471AD" w:rsidP="00D471AD">
      <w:pPr>
        <w:pStyle w:val="glossaryheading"/>
        <w:rPr>
          <w:lang w:val="en-AU"/>
        </w:rPr>
      </w:pPr>
      <w:r w:rsidRPr="001729A3">
        <w:rPr>
          <w:lang w:val="en-AU"/>
        </w:rPr>
        <w:t>Capital expenditure</w:t>
      </w:r>
    </w:p>
    <w:p w14:paraId="7418C55B" w14:textId="77777777" w:rsidR="00D471AD" w:rsidRPr="001729A3" w:rsidRDefault="00D471AD" w:rsidP="00D471AD">
      <w:pPr>
        <w:pStyle w:val="BodyText"/>
      </w:pPr>
      <w:r w:rsidRPr="001729A3">
        <w:t xml:space="preserve">Capital expenditure, or Capex, are funds used by a company to acquire or upgrade physical assets such as property, industrial buildings or equipment. It is often used to undertake new projects or investments by the business. </w:t>
      </w:r>
    </w:p>
    <w:p w14:paraId="7418C55C" w14:textId="77777777" w:rsidR="00D471AD" w:rsidRPr="001729A3" w:rsidRDefault="00D471AD" w:rsidP="00D471AD">
      <w:pPr>
        <w:pStyle w:val="glossaryheading"/>
        <w:rPr>
          <w:lang w:val="en-AU"/>
        </w:rPr>
      </w:pPr>
      <w:r w:rsidRPr="001729A3">
        <w:rPr>
          <w:lang w:val="en-AU"/>
        </w:rPr>
        <w:t>Collaboration</w:t>
      </w:r>
    </w:p>
    <w:p w14:paraId="7418C55D" w14:textId="77777777" w:rsidR="00D471AD" w:rsidRPr="001729A3" w:rsidRDefault="00D471AD" w:rsidP="00D471AD">
      <w:pPr>
        <w:pStyle w:val="BodyText"/>
      </w:pPr>
      <w:r w:rsidRPr="001729A3">
        <w:t>Collaboration amounts to interactions both among organisations and between organisations and their surroundings. Systems approaches often highlight linkages as the most vital area for promoting innovation activity. These interactions can consist of informal contacts and information flows, or more formal collaboration on innovation projects. They include adjustments in the value chain, such as closer relationships with suppliers or users, or research on market demand or on the potential uses for technologies. Businesses may have close relationships with other businesses within an industry cluster, global supply or production chain</w:t>
      </w:r>
      <w:r>
        <w:t>,</w:t>
      </w:r>
      <w:r w:rsidRPr="001729A3">
        <w:t xml:space="preserve"> or be part of looser networks. They may draw on published work from public research institutions</w:t>
      </w:r>
      <w:r>
        <w:t>,</w:t>
      </w:r>
      <w:r w:rsidRPr="001729A3">
        <w:t xml:space="preserve"> or work directly with them on collaborative projects. The lowest level of links between businesses is when a business draws on information belonging to another business that is openly available and that does not require the purchase of technology or intellectual property rights, or interaction with the source. Linkage may also involve acquisition of knowledge and technology through procurement of external knowledge and/or purchase of capital goods and services (machinery, equipment and software) which have knowledge and technology embodied </w:t>
      </w:r>
      <w:r>
        <w:t xml:space="preserve">in </w:t>
      </w:r>
      <w:r w:rsidRPr="001729A3">
        <w:t>them. The benefits of linkages will depend on how well knowledge is shared throughout the enterprise and channelled into the development of new products, processes and other innovations.</w:t>
      </w:r>
    </w:p>
    <w:p w14:paraId="7418C55E" w14:textId="77777777" w:rsidR="00D471AD" w:rsidRPr="001729A3" w:rsidRDefault="00D471AD" w:rsidP="00D471AD">
      <w:pPr>
        <w:pStyle w:val="glossaryheading"/>
        <w:rPr>
          <w:lang w:val="en-AU"/>
        </w:rPr>
      </w:pPr>
      <w:r w:rsidRPr="001729A3">
        <w:rPr>
          <w:lang w:val="en-AU"/>
        </w:rPr>
        <w:t xml:space="preserve">Competitive advantage </w:t>
      </w:r>
    </w:p>
    <w:p w14:paraId="7418C55F" w14:textId="77777777" w:rsidR="00D471AD" w:rsidRPr="001729A3" w:rsidRDefault="00D471AD" w:rsidP="00D471AD">
      <w:pPr>
        <w:pStyle w:val="BodyText"/>
      </w:pPr>
      <w:r w:rsidRPr="001729A3">
        <w:t>Competitive advantage is the value a business is able to create for its buyers that exceeds the business' cost of creating it. Value is what buyers are willing to pay, and superior value stems from offering either lower prices than competitors for equivalent benefits or providing unique benefits that more than offset a higher price.</w:t>
      </w:r>
    </w:p>
    <w:p w14:paraId="7418C560" w14:textId="77777777" w:rsidR="00D471AD" w:rsidRPr="001729A3" w:rsidRDefault="00D471AD" w:rsidP="00D471AD">
      <w:pPr>
        <w:pStyle w:val="glossaryheading"/>
        <w:rPr>
          <w:lang w:val="en-AU"/>
        </w:rPr>
      </w:pPr>
      <w:r w:rsidRPr="001729A3">
        <w:rPr>
          <w:lang w:val="en-AU"/>
        </w:rPr>
        <w:t>Competitiveness</w:t>
      </w:r>
    </w:p>
    <w:p w14:paraId="7418C561" w14:textId="77777777" w:rsidR="00D471AD" w:rsidRPr="001729A3" w:rsidRDefault="00D471AD" w:rsidP="00D471AD">
      <w:pPr>
        <w:pStyle w:val="BodyText"/>
      </w:pPr>
      <w:r w:rsidRPr="001729A3">
        <w:t>The competitiveness of trade-exposed businesses is defined as their ability to succeed in international competition against leading international competitors. For businesses that are non-trade exposed, competitiveness is defined by their ability to be as efficient and effective as global leaders in their industry.</w:t>
      </w:r>
    </w:p>
    <w:p w14:paraId="7418C562" w14:textId="77777777" w:rsidR="00D471AD" w:rsidRPr="001729A3" w:rsidRDefault="00D471AD" w:rsidP="00D471AD">
      <w:pPr>
        <w:pStyle w:val="glossaryheading"/>
        <w:rPr>
          <w:lang w:val="en-AU"/>
        </w:rPr>
      </w:pPr>
      <w:r w:rsidRPr="001729A3">
        <w:rPr>
          <w:lang w:val="en-AU"/>
        </w:rPr>
        <w:t>Economic complexity</w:t>
      </w:r>
    </w:p>
    <w:p w14:paraId="7418C563" w14:textId="77777777" w:rsidR="00D471AD" w:rsidRPr="001729A3" w:rsidRDefault="00D471AD" w:rsidP="00D471AD">
      <w:pPr>
        <w:pStyle w:val="BodyText"/>
      </w:pPr>
      <w:r w:rsidRPr="001729A3">
        <w:t>Economic complexity is expressed in the composition of a country’s productive output</w:t>
      </w:r>
      <w:r>
        <w:t>,</w:t>
      </w:r>
      <w:r w:rsidRPr="001729A3">
        <w:t xml:space="preserve"> and reflects the structures that emerge to hold and combine knowledge. Ultimately, the complexity of an economy is related to the multiplicity of useful knowledge embedded in it. For a complex society to exist, and to sustain itself, people who know about design, sales and marketing, finance, technology, human resource management, operations and trade law must be able to interact and combine their knowledge to make products. These same products cannot be made in societies that are missing parts of this capability set. Increased economic complexity is necessary for a society to be able to hold and use a larger amount of productive knowledge.</w:t>
      </w:r>
    </w:p>
    <w:p w14:paraId="7418C564" w14:textId="77777777" w:rsidR="00D471AD" w:rsidRPr="001729A3" w:rsidRDefault="00D471AD" w:rsidP="00D471AD">
      <w:pPr>
        <w:pStyle w:val="glossaryheading"/>
        <w:rPr>
          <w:lang w:val="en-AU"/>
        </w:rPr>
      </w:pPr>
      <w:r w:rsidRPr="001729A3">
        <w:rPr>
          <w:lang w:val="en-AU"/>
        </w:rPr>
        <w:t>Economic complexity index</w:t>
      </w:r>
    </w:p>
    <w:p w14:paraId="7418C565" w14:textId="77777777" w:rsidR="00D471AD" w:rsidRPr="001729A3" w:rsidRDefault="00D471AD" w:rsidP="00D471AD">
      <w:pPr>
        <w:pStyle w:val="BodyText"/>
      </w:pPr>
      <w:r w:rsidRPr="001729A3">
        <w:t>The economic complexity index (ECI) is a holistic measure of the production characteristics of large economic systems, usually whole countries. As</w:t>
      </w:r>
      <w:r w:rsidRPr="00660104">
        <w:t xml:space="preserve"> </w:t>
      </w:r>
      <w:r>
        <w:t>with</w:t>
      </w:r>
      <w:r w:rsidRPr="001729A3">
        <w:t xml:space="preserve"> most of the measurements used in complexity economics, the goal of this index is to explain an economic system as a whole rather than the sum of its parts. The ECI looks to explain the knowledge accumulated in a country's population</w:t>
      </w:r>
      <w:r>
        <w:t>,</w:t>
      </w:r>
      <w:r w:rsidRPr="001729A3">
        <w:t xml:space="preserve"> and that is expressed in the country's industrial composition. To achieve this goal, the ECI combines metrics of the diversity of countries and the ubiquity of products to create measures of the relative complexity of a country's exports. The product equivalent of the Economic Complexity Index is the Product Complexity Index </w:t>
      </w:r>
      <w:r w:rsidRPr="00660104">
        <w:t>o</w:t>
      </w:r>
      <w:r>
        <w:t>r</w:t>
      </w:r>
      <w:r w:rsidRPr="00660104">
        <w:t xml:space="preserve"> </w:t>
      </w:r>
      <w:r w:rsidRPr="001729A3">
        <w:t>PCI.</w:t>
      </w:r>
    </w:p>
    <w:p w14:paraId="7418C566" w14:textId="77777777" w:rsidR="00D471AD" w:rsidRPr="001729A3" w:rsidRDefault="00D471AD" w:rsidP="00D471AD">
      <w:pPr>
        <w:pStyle w:val="glossaryheading"/>
        <w:rPr>
          <w:lang w:val="en-AU"/>
        </w:rPr>
      </w:pPr>
      <w:r w:rsidRPr="001729A3">
        <w:rPr>
          <w:lang w:val="en-AU"/>
        </w:rPr>
        <w:t>Employee Share Schemes</w:t>
      </w:r>
    </w:p>
    <w:p w14:paraId="7418C567" w14:textId="77777777" w:rsidR="00D471AD" w:rsidRPr="001729A3" w:rsidRDefault="00D471AD" w:rsidP="00D471AD">
      <w:pPr>
        <w:pStyle w:val="BodyText"/>
      </w:pPr>
      <w:r w:rsidRPr="001729A3">
        <w:t>An employee share scheme (ESS), also referred to as an employee share option plan, employee share ownership scheme, or an employee equity scheme, is a remuneration scheme under which businesses offer to their employees shares, stapled securities, or rights to acquire them (options).</w:t>
      </w:r>
    </w:p>
    <w:p w14:paraId="7418C568" w14:textId="77777777" w:rsidR="00D471AD" w:rsidRPr="001729A3" w:rsidRDefault="00D471AD" w:rsidP="00D471AD">
      <w:pPr>
        <w:pStyle w:val="glossaryheading"/>
        <w:rPr>
          <w:lang w:val="en-AU"/>
        </w:rPr>
      </w:pPr>
      <w:r w:rsidRPr="001729A3">
        <w:rPr>
          <w:lang w:val="en-AU"/>
        </w:rPr>
        <w:t>Entrepreneurship</w:t>
      </w:r>
    </w:p>
    <w:p w14:paraId="7418C569" w14:textId="77777777" w:rsidR="00D471AD" w:rsidRPr="001729A3" w:rsidRDefault="00D471AD" w:rsidP="00D471AD">
      <w:pPr>
        <w:pStyle w:val="BodyText"/>
      </w:pPr>
      <w:r w:rsidRPr="001729A3">
        <w:t xml:space="preserve">Entrepreneurship has been typically referred to as a creative, risky and innovative idea, activity or process that is converted into new products, processes and organisational forms </w:t>
      </w:r>
      <w:r>
        <w:t>that</w:t>
      </w:r>
      <w:r w:rsidRPr="00660104">
        <w:t xml:space="preserve"> </w:t>
      </w:r>
      <w:r w:rsidRPr="001729A3">
        <w:t>enhance economic development and growth. Despite definitional differences</w:t>
      </w:r>
      <w:r>
        <w:t>,</w:t>
      </w:r>
      <w:r w:rsidRPr="001729A3">
        <w:t xml:space="preserve"> it is generally agreed that entrepreneurship is both a driving force of</w:t>
      </w:r>
      <w:r>
        <w:t>,</w:t>
      </w:r>
      <w:r w:rsidRPr="001729A3">
        <w:t xml:space="preserve"> and a challenge for</w:t>
      </w:r>
      <w:r>
        <w:t>,</w:t>
      </w:r>
      <w:r w:rsidRPr="001729A3">
        <w:t xml:space="preserve"> young start-ups that lack funds, human capital and relevant experience.</w:t>
      </w:r>
    </w:p>
    <w:p w14:paraId="7418C56A" w14:textId="77777777" w:rsidR="00D471AD" w:rsidRPr="001729A3" w:rsidRDefault="00D471AD" w:rsidP="00D471AD">
      <w:pPr>
        <w:pStyle w:val="glossaryheading"/>
        <w:rPr>
          <w:lang w:val="en-AU"/>
        </w:rPr>
      </w:pPr>
      <w:r w:rsidRPr="001729A3">
        <w:rPr>
          <w:lang w:val="en-AU"/>
        </w:rPr>
        <w:t>Export and import of goods and services</w:t>
      </w:r>
    </w:p>
    <w:p w14:paraId="7418C56B" w14:textId="77777777" w:rsidR="00D471AD" w:rsidRPr="001729A3" w:rsidRDefault="00D471AD" w:rsidP="00D471AD">
      <w:pPr>
        <w:pStyle w:val="BodyText"/>
      </w:pPr>
      <w:r w:rsidRPr="001729A3">
        <w:t>Exports of goods and services consist of sales, barter, or gifts or grants, of goods and services from resident to non-residents, while imports consist of purchases, barter, or receipts of gifts or grants, of goods and services by residents from non-residents. International transactions in services differ in many respects from those in goods. The production and the delivery of a service is usually a single operation carried out by mutual agreement between producer and consumer, which requires some kind of prior contact between them.</w:t>
      </w:r>
    </w:p>
    <w:p w14:paraId="7418C56C" w14:textId="77777777" w:rsidR="00D471AD" w:rsidRPr="001729A3" w:rsidRDefault="00D471AD" w:rsidP="00D471AD">
      <w:pPr>
        <w:pStyle w:val="BodyText"/>
      </w:pPr>
      <w:r w:rsidRPr="001729A3">
        <w:t>Goods covers general merchandise, goods for processing, repairs on goods, goods procured in ports by carriers, and non</w:t>
      </w:r>
      <w:r>
        <w:t>-</w:t>
      </w:r>
      <w:r w:rsidRPr="001729A3">
        <w:t>monetary gold. In accordance with general balance of payments principles, change of ownership is the principle determining the coverage and time of recording of international transactions in goods. Exports and imports of goods are recorded at market values at points of uniform valuation</w:t>
      </w:r>
      <w:r>
        <w:t>;</w:t>
      </w:r>
      <w:r w:rsidRPr="001729A3">
        <w:t xml:space="preserve"> that is, the customs frontiers of exporting economies.</w:t>
      </w:r>
    </w:p>
    <w:p w14:paraId="7418C56D" w14:textId="77777777" w:rsidR="00D471AD" w:rsidRPr="001729A3" w:rsidRDefault="00D471AD" w:rsidP="00D471AD">
      <w:pPr>
        <w:pStyle w:val="glossaryheading"/>
        <w:rPr>
          <w:lang w:val="en-AU"/>
        </w:rPr>
      </w:pPr>
      <w:r w:rsidRPr="001729A3">
        <w:rPr>
          <w:lang w:val="en-AU"/>
        </w:rPr>
        <w:t xml:space="preserve">Forward participation </w:t>
      </w:r>
    </w:p>
    <w:p w14:paraId="7418C56E" w14:textId="77777777" w:rsidR="00D471AD" w:rsidRPr="001729A3" w:rsidRDefault="00D471AD" w:rsidP="00D471AD">
      <w:pPr>
        <w:pStyle w:val="BodyText"/>
      </w:pPr>
      <w:r w:rsidRPr="001729A3">
        <w:t>Forward participation is the share of exported goods and services used as imported inputs to produce other countries' exports. This indicator gives an indication of the contribution of domestically produced intermediates to exports in third countries.</w:t>
      </w:r>
    </w:p>
    <w:p w14:paraId="7418C56F" w14:textId="77777777" w:rsidR="00D471AD" w:rsidRPr="001729A3" w:rsidRDefault="00D471AD" w:rsidP="00D471AD">
      <w:pPr>
        <w:pStyle w:val="glossaryheading"/>
        <w:rPr>
          <w:lang w:val="en-AU"/>
        </w:rPr>
      </w:pPr>
      <w:r w:rsidRPr="001729A3">
        <w:rPr>
          <w:lang w:val="en-AU"/>
        </w:rPr>
        <w:t>Framework conditions</w:t>
      </w:r>
    </w:p>
    <w:p w14:paraId="7418C570" w14:textId="77777777" w:rsidR="00D471AD" w:rsidRPr="001729A3" w:rsidRDefault="00D471AD" w:rsidP="00D471AD">
      <w:pPr>
        <w:pStyle w:val="BodyText"/>
      </w:pPr>
      <w:r w:rsidRPr="001729A3">
        <w:t xml:space="preserve">The efficacy of an innovation system often hinges upon the quality of framework conditions, namely the capacity to ensure an innovation-friendly environment. This is shaped not only by R&amp;D, but also by the interplay of factors </w:t>
      </w:r>
      <w:r>
        <w:t>that</w:t>
      </w:r>
      <w:r w:rsidRPr="00660104">
        <w:t xml:space="preserve"> </w:t>
      </w:r>
      <w:r w:rsidRPr="001729A3">
        <w:t>enable knowledge to be converted into new products, processes and organisational forms</w:t>
      </w:r>
      <w:r>
        <w:t>,</w:t>
      </w:r>
      <w:r w:rsidRPr="001729A3">
        <w:t xml:space="preserve"> which in turn enhances economic development and growth. Framework conditions encompass the quality and reach of governance in a country, an effective banking and financial system, an honest and functioning judiciary, and working educational and health systems. </w:t>
      </w:r>
    </w:p>
    <w:p w14:paraId="7418C571" w14:textId="77777777" w:rsidR="00D471AD" w:rsidRPr="001729A3" w:rsidRDefault="00D471AD" w:rsidP="00D471AD">
      <w:pPr>
        <w:pStyle w:val="glossaryheading"/>
        <w:rPr>
          <w:lang w:val="en-AU"/>
        </w:rPr>
      </w:pPr>
      <w:r w:rsidRPr="001729A3">
        <w:rPr>
          <w:lang w:val="en-AU"/>
        </w:rPr>
        <w:t>Full-time equivalent (FTE)</w:t>
      </w:r>
    </w:p>
    <w:p w14:paraId="7418C572" w14:textId="77777777" w:rsidR="00D471AD" w:rsidRPr="001729A3" w:rsidRDefault="00D471AD" w:rsidP="00D471AD">
      <w:pPr>
        <w:pStyle w:val="BodyText"/>
      </w:pPr>
      <w:r w:rsidRPr="001729A3">
        <w:t>A measure of the total level of staff resources used. The FTE of a full-time staff member is equal to 1.0. The calculation of FTE for part-time staff is based on the proportion of time worked compared to that worked by full-time staff performing similar duties.</w:t>
      </w:r>
    </w:p>
    <w:p w14:paraId="7418C573" w14:textId="77777777" w:rsidR="00D471AD" w:rsidRPr="001729A3" w:rsidRDefault="00D471AD" w:rsidP="00D471AD">
      <w:pPr>
        <w:pStyle w:val="glossaryheading"/>
        <w:rPr>
          <w:lang w:val="en-AU"/>
        </w:rPr>
      </w:pPr>
      <w:r w:rsidRPr="001729A3">
        <w:rPr>
          <w:lang w:val="en-AU"/>
        </w:rPr>
        <w:t>Global Financial Crisis (GFC)</w:t>
      </w:r>
    </w:p>
    <w:p w14:paraId="7418C574" w14:textId="77777777" w:rsidR="00D471AD" w:rsidRPr="001729A3" w:rsidRDefault="00D471AD" w:rsidP="00D471AD">
      <w:pPr>
        <w:pStyle w:val="BodyText"/>
      </w:pPr>
      <w:r w:rsidRPr="001729A3">
        <w:t xml:space="preserve">The economic downturn of 2007-08. It was a global phenomenon of economic difficulty experienced by markets and consumers. The downturn was cause by a multitude of complex economic factors including unnecessary risk taking by the financial sector, macroeconomic conditions and speculative behaviour. </w:t>
      </w:r>
    </w:p>
    <w:p w14:paraId="7418C575" w14:textId="77777777" w:rsidR="00D471AD" w:rsidRPr="001729A3" w:rsidRDefault="00D471AD" w:rsidP="00D471AD">
      <w:pPr>
        <w:pStyle w:val="glossaryheading"/>
        <w:rPr>
          <w:lang w:val="en-AU"/>
        </w:rPr>
      </w:pPr>
      <w:r w:rsidRPr="001729A3">
        <w:rPr>
          <w:lang w:val="en-AU"/>
        </w:rPr>
        <w:t>Global Value Chains (GVC)</w:t>
      </w:r>
    </w:p>
    <w:p w14:paraId="7418C576" w14:textId="77777777" w:rsidR="00D471AD" w:rsidRPr="001729A3" w:rsidRDefault="00D471AD" w:rsidP="00D471AD">
      <w:pPr>
        <w:pStyle w:val="BodyText"/>
      </w:pPr>
      <w:r w:rsidRPr="001729A3">
        <w:t xml:space="preserve">Global Value Chains are the embodiment of global collaboration on innovation fuelled by growing international trade, global competition, and greater fragmentation of production processes. </w:t>
      </w:r>
    </w:p>
    <w:p w14:paraId="7418C577" w14:textId="77777777" w:rsidR="00D471AD" w:rsidRPr="001729A3" w:rsidRDefault="00D471AD" w:rsidP="00D471AD">
      <w:pPr>
        <w:pStyle w:val="glossaryheading"/>
        <w:rPr>
          <w:lang w:val="en-AU"/>
        </w:rPr>
      </w:pPr>
      <w:r w:rsidRPr="001729A3">
        <w:rPr>
          <w:lang w:val="en-AU"/>
        </w:rPr>
        <w:t xml:space="preserve">Gross Domestic Product (GDP) </w:t>
      </w:r>
    </w:p>
    <w:p w14:paraId="7418C578" w14:textId="77777777" w:rsidR="00D471AD" w:rsidRPr="001729A3" w:rsidRDefault="00D471AD" w:rsidP="00D471AD">
      <w:pPr>
        <w:pStyle w:val="BodyText"/>
      </w:pPr>
      <w:r w:rsidRPr="001729A3">
        <w:t>GDP can be defined according to three different methods:</w:t>
      </w:r>
    </w:p>
    <w:p w14:paraId="7418C579" w14:textId="77777777" w:rsidR="00D471AD" w:rsidRPr="001729A3" w:rsidRDefault="00D471AD" w:rsidP="00D471AD">
      <w:pPr>
        <w:pStyle w:val="BodyText"/>
        <w:numPr>
          <w:ilvl w:val="0"/>
          <w:numId w:val="20"/>
        </w:numPr>
      </w:pPr>
      <w:r w:rsidRPr="001729A3">
        <w:t>Output</w:t>
      </w:r>
      <w:r>
        <w:t>-</w:t>
      </w:r>
      <w:r w:rsidRPr="001729A3">
        <w:t>based definition: Gross domestic product is an aggregate measure of production equal to the sum of the gross values added of all resident institutional units engaged in production (plus any taxes, and minus any subsidies, on products not included in the value of their outputs). The sum of the final uses of goods and services (all uses except intermediate consumption) measured in purchasers’ prices, less the value of imports of goods and services, or the sum of primary incomes distributed by resident producer units.</w:t>
      </w:r>
    </w:p>
    <w:p w14:paraId="7418C57A" w14:textId="77777777" w:rsidR="00D471AD" w:rsidRPr="001729A3" w:rsidRDefault="00D471AD" w:rsidP="00D471AD">
      <w:pPr>
        <w:pStyle w:val="ListBullet2"/>
        <w:numPr>
          <w:ilvl w:val="0"/>
          <w:numId w:val="19"/>
        </w:numPr>
      </w:pPr>
      <w:r w:rsidRPr="001729A3">
        <w:t>Expenditure</w:t>
      </w:r>
      <w:r>
        <w:t>-</w:t>
      </w:r>
      <w:r w:rsidRPr="001729A3">
        <w:t>based definition: Expenditure-based gross domestic product is total final expenditures at purchasers’ prices (including the f.o.b. value of exports of goods and services), less the f.o.b. value of imports of goods and services.</w:t>
      </w:r>
    </w:p>
    <w:p w14:paraId="7418C57B" w14:textId="77777777" w:rsidR="00D471AD" w:rsidRPr="001729A3" w:rsidRDefault="00D471AD" w:rsidP="00D471AD">
      <w:pPr>
        <w:pStyle w:val="ListBullet2"/>
        <w:numPr>
          <w:ilvl w:val="0"/>
          <w:numId w:val="19"/>
        </w:numPr>
      </w:pPr>
      <w:r w:rsidRPr="001729A3">
        <w:t>Income</w:t>
      </w:r>
      <w:r>
        <w:t>-</w:t>
      </w:r>
      <w:r w:rsidRPr="001729A3">
        <w:t>based definition: Income-based gross domestic product is compensation of employees, plus taxes less subsidies on production and imports, plus gross mixed income, plus gross operating surplus.</w:t>
      </w:r>
    </w:p>
    <w:p w14:paraId="7418C57C" w14:textId="77777777" w:rsidR="00D471AD" w:rsidRPr="001729A3" w:rsidRDefault="00D471AD" w:rsidP="00D471AD">
      <w:pPr>
        <w:pStyle w:val="glossaryheading"/>
        <w:rPr>
          <w:lang w:val="en-AU"/>
        </w:rPr>
      </w:pPr>
      <w:r w:rsidRPr="001729A3">
        <w:rPr>
          <w:lang w:val="en-AU"/>
        </w:rPr>
        <w:t>Gross expenditure on R&amp;D (GERD)</w:t>
      </w:r>
    </w:p>
    <w:p w14:paraId="7418C57D" w14:textId="77777777" w:rsidR="00D471AD" w:rsidRPr="001729A3" w:rsidRDefault="00D471AD" w:rsidP="00D471AD">
      <w:pPr>
        <w:pStyle w:val="BodyText"/>
      </w:pPr>
      <w:r w:rsidRPr="001729A3">
        <w:t>Gross expenditure of R&amp;D represents the total expenditure devoted to R&amp;D by the business, government, private non-profit and higher education sectors.</w:t>
      </w:r>
    </w:p>
    <w:p w14:paraId="7418C57E" w14:textId="77777777" w:rsidR="00D471AD" w:rsidRPr="001729A3" w:rsidRDefault="00D471AD" w:rsidP="00D471AD">
      <w:pPr>
        <w:pStyle w:val="glossaryheading"/>
        <w:rPr>
          <w:lang w:val="en-AU"/>
        </w:rPr>
      </w:pPr>
      <w:r w:rsidRPr="001729A3">
        <w:rPr>
          <w:lang w:val="en-AU"/>
        </w:rPr>
        <w:t>Gross output (GO)</w:t>
      </w:r>
    </w:p>
    <w:p w14:paraId="7418C57F" w14:textId="77777777" w:rsidR="00D471AD" w:rsidRPr="001729A3" w:rsidRDefault="00D471AD" w:rsidP="00D471AD">
      <w:pPr>
        <w:pStyle w:val="BodyText"/>
      </w:pPr>
      <w:r w:rsidRPr="001729A3">
        <w:t>Gross output is an economic concept used to measure total economic activity in the production of new goods and services in an accounting period. It is a much broader measure of the economy than GDP. It is equal to the value GDP plus intermediate consumption.</w:t>
      </w:r>
    </w:p>
    <w:p w14:paraId="7418C580" w14:textId="77777777" w:rsidR="00D471AD" w:rsidRPr="001729A3" w:rsidRDefault="00D471AD" w:rsidP="00D471AD">
      <w:pPr>
        <w:pStyle w:val="glossaryheading"/>
        <w:rPr>
          <w:lang w:val="en-AU"/>
        </w:rPr>
      </w:pPr>
      <w:r w:rsidRPr="001729A3">
        <w:rPr>
          <w:lang w:val="en-AU"/>
        </w:rPr>
        <w:t>Gross value added (GVA)</w:t>
      </w:r>
    </w:p>
    <w:p w14:paraId="7418C581" w14:textId="77777777" w:rsidR="00D471AD" w:rsidRPr="001729A3" w:rsidRDefault="00D471AD" w:rsidP="00D471AD">
      <w:pPr>
        <w:pStyle w:val="BodyText"/>
      </w:pPr>
      <w:r w:rsidRPr="001729A3">
        <w:t xml:space="preserve">GVA is a measure in economics of the value of goods and services produced in an area, industry or sector of an economy. In national accounts GVA is output minus intermediate consumption; it is a balancing item of the national accounts' production account </w:t>
      </w:r>
    </w:p>
    <w:p w14:paraId="7418C582" w14:textId="77777777" w:rsidR="00D471AD" w:rsidRPr="001729A3" w:rsidRDefault="00D471AD" w:rsidP="00D471AD">
      <w:pPr>
        <w:pStyle w:val="BodyText"/>
      </w:pPr>
      <w:r w:rsidRPr="001729A3">
        <w:t>GVA = GDP + subsidies - (direct sales taxes</w:t>
      </w:r>
      <w:r>
        <w:t>)</w:t>
      </w:r>
    </w:p>
    <w:p w14:paraId="7418C583" w14:textId="77777777" w:rsidR="00D471AD" w:rsidRPr="001729A3" w:rsidRDefault="00D471AD" w:rsidP="00D471AD">
      <w:pPr>
        <w:pStyle w:val="glossaryheading"/>
        <w:rPr>
          <w:lang w:val="en-AU"/>
        </w:rPr>
      </w:pPr>
      <w:r w:rsidRPr="00660104">
        <w:rPr>
          <w:lang w:val="en-AU"/>
        </w:rPr>
        <w:t>High</w:t>
      </w:r>
      <w:r>
        <w:rPr>
          <w:lang w:val="en-AU"/>
        </w:rPr>
        <w:t>-</w:t>
      </w:r>
      <w:r w:rsidRPr="001729A3">
        <w:rPr>
          <w:lang w:val="en-AU"/>
        </w:rPr>
        <w:t>growth businesses (HGFs)</w:t>
      </w:r>
    </w:p>
    <w:p w14:paraId="7418C584" w14:textId="77777777" w:rsidR="00D471AD" w:rsidRPr="001729A3" w:rsidRDefault="00D471AD" w:rsidP="00D471AD">
      <w:pPr>
        <w:pStyle w:val="BodyText"/>
      </w:pPr>
      <w:r w:rsidRPr="001729A3">
        <w:t xml:space="preserve">For the purpose of this document, we have followed the OECD definition of </w:t>
      </w:r>
      <w:r w:rsidRPr="00660104">
        <w:t>high</w:t>
      </w:r>
      <w:r>
        <w:t>-</w:t>
      </w:r>
      <w:r w:rsidRPr="001729A3">
        <w:t xml:space="preserve">growth businesses. The OECD defines HGFs as those with more than 20 per cent annualised growth over a </w:t>
      </w:r>
      <w:r>
        <w:t>three</w:t>
      </w:r>
      <w:r w:rsidRPr="001729A3">
        <w:t>-year period, with at least 10 employees, where growth can be measured by the number of employees or by turnover.</w:t>
      </w:r>
    </w:p>
    <w:p w14:paraId="7418C585" w14:textId="77777777" w:rsidR="00D471AD" w:rsidRPr="001729A3" w:rsidRDefault="00D471AD" w:rsidP="00D471AD">
      <w:pPr>
        <w:pStyle w:val="glossaryheading"/>
        <w:rPr>
          <w:lang w:val="en-AU"/>
        </w:rPr>
      </w:pPr>
      <w:r w:rsidRPr="001729A3">
        <w:rPr>
          <w:lang w:val="en-AU"/>
        </w:rPr>
        <w:t>Higher education expenditure on R&amp;D (HERD)</w:t>
      </w:r>
    </w:p>
    <w:p w14:paraId="7418C586" w14:textId="77777777" w:rsidR="00D471AD" w:rsidRDefault="00D471AD" w:rsidP="00D471AD">
      <w:pPr>
        <w:pStyle w:val="BodyText"/>
      </w:pPr>
      <w:r w:rsidRPr="001729A3">
        <w:t xml:space="preserve">R&amp;D undertaken by universities and other research institutions. </w:t>
      </w:r>
    </w:p>
    <w:p w14:paraId="7418C587" w14:textId="77777777" w:rsidR="00D471AD" w:rsidRPr="00F35920" w:rsidRDefault="00D471AD" w:rsidP="00D471AD">
      <w:pPr>
        <w:pStyle w:val="ListBullet2"/>
        <w:numPr>
          <w:ilvl w:val="0"/>
          <w:numId w:val="0"/>
        </w:numPr>
        <w:rPr>
          <w:b/>
        </w:rPr>
      </w:pPr>
      <w:r w:rsidRPr="00F35920">
        <w:rPr>
          <w:b/>
        </w:rPr>
        <w:t>Industry sector definitions</w:t>
      </w:r>
    </w:p>
    <w:p w14:paraId="7418C588" w14:textId="77777777" w:rsidR="00D471AD" w:rsidRPr="001729A3" w:rsidRDefault="00D471AD" w:rsidP="00D471AD">
      <w:pPr>
        <w:pStyle w:val="BodyText"/>
      </w:pPr>
      <w:r w:rsidRPr="001729A3">
        <w:t>For indicators for which internationally comparable data exists, the industry sectors have been defined in accordance with the International Standard Industrial Classification of All Economic Activities (ISIC), Rev.3.</w:t>
      </w:r>
    </w:p>
    <w:p w14:paraId="7418C589" w14:textId="77777777" w:rsidR="00D471AD" w:rsidRPr="001729A3" w:rsidRDefault="00D471AD" w:rsidP="00D471AD">
      <w:pPr>
        <w:pStyle w:val="BodyText"/>
      </w:pPr>
      <w:r w:rsidRPr="001729A3">
        <w:t xml:space="preserve">For national data, industry sectors are defined according to the 2006 Australian and New Zealand Standard Industrial Classification (ANZSIC). </w:t>
      </w:r>
    </w:p>
    <w:p w14:paraId="7418C58A" w14:textId="77777777" w:rsidR="00D471AD" w:rsidRPr="001729A3" w:rsidRDefault="00D471AD" w:rsidP="00D471AD">
      <w:pPr>
        <w:pStyle w:val="glossaryheading"/>
        <w:rPr>
          <w:lang w:val="en-AU"/>
        </w:rPr>
      </w:pPr>
      <w:r w:rsidRPr="001729A3">
        <w:rPr>
          <w:lang w:val="en-AU"/>
        </w:rPr>
        <w:t xml:space="preserve">Innovation </w:t>
      </w:r>
    </w:p>
    <w:p w14:paraId="7418C58B" w14:textId="77777777" w:rsidR="00D471AD" w:rsidRDefault="00D471AD" w:rsidP="00D471AD">
      <w:pPr>
        <w:pStyle w:val="BodyText"/>
      </w:pPr>
      <w:r w:rsidRPr="001729A3">
        <w:t>An innovation is the implementation of a new or significantly improved product (good or service), or process, a new marketing method, or a new organisational method in business practices, workplace organisation or external relations.</w:t>
      </w:r>
    </w:p>
    <w:p w14:paraId="7418C58C" w14:textId="77777777" w:rsidR="00D471AD" w:rsidRPr="001729A3" w:rsidRDefault="00D471AD" w:rsidP="00D471AD">
      <w:pPr>
        <w:pStyle w:val="BodyText"/>
      </w:pPr>
      <w:r w:rsidRPr="001729A3">
        <w:t>Four types of innovation are distinguished: product innovations, process innovations, marketing innovations and organisational innovations.</w:t>
      </w:r>
    </w:p>
    <w:p w14:paraId="7418C58D" w14:textId="77777777" w:rsidR="00D471AD" w:rsidRPr="001729A3" w:rsidRDefault="00D471AD" w:rsidP="00D471AD">
      <w:pPr>
        <w:pStyle w:val="BodyText"/>
        <w:numPr>
          <w:ilvl w:val="1"/>
          <w:numId w:val="23"/>
        </w:numPr>
      </w:pPr>
      <w:r w:rsidRPr="001729A3">
        <w:t>Product innovation</w:t>
      </w:r>
    </w:p>
    <w:p w14:paraId="7418C58E" w14:textId="77777777" w:rsidR="00D471AD" w:rsidRPr="001729A3" w:rsidRDefault="00D471AD" w:rsidP="00D471AD">
      <w:pPr>
        <w:pStyle w:val="BodyText"/>
      </w:pPr>
      <w:r w:rsidRPr="001729A3">
        <w:t>A product innovation is the introduction of a good or service that is new or significantly improved with respect to its characteristics or intended uses. This includes significant improvements in technical specifications, components and materials, incorporated software, user friendliness or other functional characteristics.</w:t>
      </w:r>
    </w:p>
    <w:p w14:paraId="7418C58F" w14:textId="77777777" w:rsidR="00D471AD" w:rsidRPr="001729A3" w:rsidRDefault="00D471AD" w:rsidP="00D471AD">
      <w:pPr>
        <w:pStyle w:val="BodyText"/>
        <w:numPr>
          <w:ilvl w:val="1"/>
          <w:numId w:val="23"/>
        </w:numPr>
      </w:pPr>
      <w:r w:rsidRPr="001729A3">
        <w:t>Process innovation</w:t>
      </w:r>
    </w:p>
    <w:p w14:paraId="7418C590" w14:textId="77777777" w:rsidR="00D471AD" w:rsidRPr="001729A3" w:rsidRDefault="00D471AD" w:rsidP="00D471AD">
      <w:pPr>
        <w:pStyle w:val="BodyText"/>
      </w:pPr>
      <w:r w:rsidRPr="001729A3">
        <w:t>A process innovation is the implementation of a new or significantly improved production or delivery method. This includes significant changes in techniques, equipment and/or software.</w:t>
      </w:r>
    </w:p>
    <w:p w14:paraId="7418C591" w14:textId="77777777" w:rsidR="00D471AD" w:rsidRPr="001729A3" w:rsidRDefault="00D471AD" w:rsidP="00D471AD">
      <w:pPr>
        <w:pStyle w:val="BodyText"/>
        <w:numPr>
          <w:ilvl w:val="1"/>
          <w:numId w:val="23"/>
        </w:numPr>
      </w:pPr>
      <w:r w:rsidRPr="001729A3">
        <w:t>Marketing innovation</w:t>
      </w:r>
    </w:p>
    <w:p w14:paraId="7418C592" w14:textId="77777777" w:rsidR="00D471AD" w:rsidRPr="001729A3" w:rsidRDefault="00D471AD" w:rsidP="00D471AD">
      <w:pPr>
        <w:pStyle w:val="BodyText"/>
      </w:pPr>
      <w:r w:rsidRPr="001729A3">
        <w:t>A marketing innovation is the implementation of a new marketing method involving significant changes in product design or packaging, product placement, product promotion or pricing.</w:t>
      </w:r>
    </w:p>
    <w:p w14:paraId="7418C593" w14:textId="77777777" w:rsidR="00D471AD" w:rsidRPr="001729A3" w:rsidRDefault="00D471AD" w:rsidP="00D471AD">
      <w:pPr>
        <w:pStyle w:val="BodyText"/>
        <w:keepNext/>
        <w:numPr>
          <w:ilvl w:val="1"/>
          <w:numId w:val="23"/>
        </w:numPr>
      </w:pPr>
      <w:r w:rsidRPr="001729A3">
        <w:t>Organisational innovation</w:t>
      </w:r>
    </w:p>
    <w:p w14:paraId="7418C594" w14:textId="77777777" w:rsidR="00D471AD" w:rsidRPr="001729A3" w:rsidRDefault="00D471AD" w:rsidP="00D471AD">
      <w:pPr>
        <w:pStyle w:val="BodyText"/>
      </w:pPr>
      <w:r w:rsidRPr="001729A3">
        <w:t>An organisational innovation is the implementation of a new organisational method in the business’ business practices, workplace organisation or external relations.</w:t>
      </w:r>
    </w:p>
    <w:p w14:paraId="7418C595" w14:textId="77777777" w:rsidR="00D471AD" w:rsidRPr="001729A3" w:rsidRDefault="00D471AD" w:rsidP="00D471AD">
      <w:pPr>
        <w:pStyle w:val="glossaryheading"/>
        <w:rPr>
          <w:lang w:val="en-AU"/>
        </w:rPr>
      </w:pPr>
      <w:r w:rsidRPr="001729A3">
        <w:rPr>
          <w:lang w:val="en-AU"/>
        </w:rPr>
        <w:t>Innovation activity</w:t>
      </w:r>
    </w:p>
    <w:p w14:paraId="7418C596" w14:textId="77777777" w:rsidR="00D471AD" w:rsidRPr="001729A3" w:rsidRDefault="00D471AD" w:rsidP="00D471AD">
      <w:pPr>
        <w:pStyle w:val="BodyText"/>
      </w:pPr>
      <w:r w:rsidRPr="001729A3">
        <w:t xml:space="preserve">Innovation activities are all scientific, technological, organisational, financial and commercial steps </w:t>
      </w:r>
      <w:r>
        <w:t>that</w:t>
      </w:r>
      <w:r w:rsidRPr="00660104">
        <w:t xml:space="preserve"> </w:t>
      </w:r>
      <w:r w:rsidRPr="001729A3">
        <w:t>actually, or are intended to, lead to the implementation of innovations. Some innovation activities are themselves innovative; others are not novel activities but are necessary for the implementation of innovations. Innovation activities also include R&amp;D that is not directly related to the development of a specific innovation.</w:t>
      </w:r>
    </w:p>
    <w:p w14:paraId="7418C597" w14:textId="77777777" w:rsidR="00D471AD" w:rsidRPr="001729A3" w:rsidRDefault="00D471AD" w:rsidP="00D471AD">
      <w:pPr>
        <w:pStyle w:val="glossaryheading"/>
        <w:rPr>
          <w:lang w:val="en-AU"/>
        </w:rPr>
      </w:pPr>
      <w:r w:rsidRPr="001729A3">
        <w:rPr>
          <w:lang w:val="en-AU"/>
        </w:rPr>
        <w:t>Innovation system</w:t>
      </w:r>
    </w:p>
    <w:p w14:paraId="7418C598" w14:textId="77777777" w:rsidR="00D471AD" w:rsidRPr="001729A3" w:rsidRDefault="00D471AD" w:rsidP="00D471AD">
      <w:pPr>
        <w:pStyle w:val="BodyText"/>
      </w:pPr>
      <w:r w:rsidRPr="001729A3">
        <w:t>In this document</w:t>
      </w:r>
      <w:r>
        <w:t>,</w:t>
      </w:r>
      <w:r w:rsidRPr="001729A3">
        <w:t xml:space="preserve"> innovation system is defined as an open network of organisations both interacting with each other and operating within framework conditions that regulate their activities and interactions. Three components of the innovation system</w:t>
      </w:r>
      <w:r>
        <w:t xml:space="preserve"> (</w:t>
      </w:r>
      <w:r w:rsidRPr="001729A3">
        <w:t>networks</w:t>
      </w:r>
      <w:r>
        <w:t>,</w:t>
      </w:r>
      <w:r w:rsidRPr="001729A3">
        <w:t xml:space="preserve"> innovation activities and framework conditions</w:t>
      </w:r>
      <w:r>
        <w:t>)</w:t>
      </w:r>
      <w:r w:rsidRPr="001729A3">
        <w:t xml:space="preserve"> collectively function to produce and diffuse innovations that have, in aggregate, economic, social and/or environmental value.</w:t>
      </w:r>
    </w:p>
    <w:p w14:paraId="7418C599" w14:textId="77777777" w:rsidR="00D471AD" w:rsidRPr="001729A3" w:rsidRDefault="00D471AD" w:rsidP="00D471AD">
      <w:pPr>
        <w:pStyle w:val="glossaryheading"/>
        <w:rPr>
          <w:lang w:val="en-AU"/>
        </w:rPr>
      </w:pPr>
      <w:r w:rsidRPr="001729A3">
        <w:rPr>
          <w:lang w:val="en-AU"/>
        </w:rPr>
        <w:t>Innovation-active businesses</w:t>
      </w:r>
    </w:p>
    <w:p w14:paraId="7418C59A" w14:textId="77777777" w:rsidR="00D471AD" w:rsidRPr="001729A3" w:rsidRDefault="00D471AD" w:rsidP="00D471AD">
      <w:pPr>
        <w:pStyle w:val="BodyText"/>
      </w:pPr>
      <w:r w:rsidRPr="001729A3">
        <w:t xml:space="preserve">An innovation-active business is one that has </w:t>
      </w:r>
      <w:r w:rsidRPr="00660104">
        <w:t>undert</w:t>
      </w:r>
      <w:r>
        <w:t>aken</w:t>
      </w:r>
      <w:r w:rsidRPr="001729A3">
        <w:t xml:space="preserve"> any innovative activity irrespective of whether the innovation was introduced, still in development or abandoned during the reference period.</w:t>
      </w:r>
    </w:p>
    <w:p w14:paraId="7418C59B" w14:textId="77777777" w:rsidR="00D471AD" w:rsidRPr="001729A3" w:rsidRDefault="00D471AD" w:rsidP="00D471AD">
      <w:pPr>
        <w:pStyle w:val="glossaryheading"/>
        <w:rPr>
          <w:lang w:val="en-AU"/>
        </w:rPr>
      </w:pPr>
      <w:r w:rsidRPr="001729A3">
        <w:rPr>
          <w:lang w:val="en-AU"/>
        </w:rPr>
        <w:t>Innovati</w:t>
      </w:r>
      <w:r>
        <w:rPr>
          <w:lang w:val="en-AU"/>
        </w:rPr>
        <w:t xml:space="preserve">ve </w:t>
      </w:r>
      <w:r w:rsidRPr="001729A3">
        <w:rPr>
          <w:lang w:val="en-AU"/>
        </w:rPr>
        <w:t>businesses</w:t>
      </w:r>
      <w:r>
        <w:rPr>
          <w:lang w:val="en-AU"/>
        </w:rPr>
        <w:t xml:space="preserve"> (also innovating businesses)</w:t>
      </w:r>
    </w:p>
    <w:p w14:paraId="7418C59C" w14:textId="77777777" w:rsidR="00D471AD" w:rsidRPr="001729A3" w:rsidRDefault="00D471AD" w:rsidP="00D471AD">
      <w:pPr>
        <w:pStyle w:val="BodyText"/>
      </w:pPr>
      <w:r w:rsidRPr="001729A3">
        <w:t>This category includes businesses that introduced at least one type of innovation during the reference period.</w:t>
      </w:r>
    </w:p>
    <w:p w14:paraId="7418C59D" w14:textId="77777777" w:rsidR="00D471AD" w:rsidRPr="001729A3" w:rsidRDefault="00D471AD" w:rsidP="00D471AD">
      <w:pPr>
        <w:pStyle w:val="glossaryheading"/>
        <w:rPr>
          <w:lang w:val="en-AU"/>
        </w:rPr>
      </w:pPr>
      <w:r w:rsidRPr="001729A3">
        <w:rPr>
          <w:lang w:val="en-AU"/>
        </w:rPr>
        <w:t>Intangible capital</w:t>
      </w:r>
    </w:p>
    <w:p w14:paraId="7418C59E" w14:textId="77777777" w:rsidR="00D471AD" w:rsidRPr="001729A3" w:rsidRDefault="00D471AD" w:rsidP="00D471AD">
      <w:pPr>
        <w:pStyle w:val="BodyText"/>
      </w:pPr>
      <w:r w:rsidRPr="001729A3">
        <w:t>Intangible capital includes assets such as data, software, designs, new organisational processes, management quality, R&amp;D, patented technology, reputation (brand equity) and business-specific skills</w:t>
      </w:r>
      <w:r>
        <w:t>.</w:t>
      </w:r>
      <w:r w:rsidRPr="001729A3">
        <w:t xml:space="preserve"> </w:t>
      </w:r>
    </w:p>
    <w:p w14:paraId="7418C59F" w14:textId="77777777" w:rsidR="00D471AD" w:rsidRPr="001729A3" w:rsidRDefault="00D471AD" w:rsidP="00D471AD">
      <w:pPr>
        <w:pStyle w:val="glossaryheading"/>
        <w:rPr>
          <w:lang w:val="en-AU"/>
        </w:rPr>
      </w:pPr>
      <w:r w:rsidRPr="001729A3">
        <w:rPr>
          <w:lang w:val="en-AU"/>
        </w:rPr>
        <w:t xml:space="preserve">Intellectual property rights </w:t>
      </w:r>
    </w:p>
    <w:p w14:paraId="7418C5A0" w14:textId="77777777" w:rsidR="00D471AD" w:rsidRPr="001729A3" w:rsidRDefault="00D471AD" w:rsidP="00D471AD">
      <w:pPr>
        <w:pStyle w:val="BodyText"/>
      </w:pPr>
      <w:r w:rsidRPr="001729A3">
        <w:t>Clear intellectual property rights are vital for improving incentives to innovate in some industries, particularly high-technology sectors where R&amp;D plays a central role in innovation. Laws and regulations are part of the framework in which businesses operate. Well-designed regulations and standards can provide a strong signal to support and guide innovative activities. They affect access to information, property rights, tax and administrative burdens (</w:t>
      </w:r>
      <w:r w:rsidRPr="00660104">
        <w:t>particular</w:t>
      </w:r>
      <w:r>
        <w:t>ly</w:t>
      </w:r>
      <w:r w:rsidRPr="001729A3">
        <w:t xml:space="preserve"> for small businesses). Some enterprises may even avoid some types of highly complex links if they have concerns about the loss of intellectual property. A number of methods are used for protection of intellectual property:</w:t>
      </w:r>
    </w:p>
    <w:p w14:paraId="7418C5A1" w14:textId="77777777" w:rsidR="00D471AD" w:rsidRPr="001729A3" w:rsidRDefault="00D471AD" w:rsidP="00D471AD">
      <w:pPr>
        <w:pStyle w:val="BodyText"/>
        <w:numPr>
          <w:ilvl w:val="0"/>
          <w:numId w:val="21"/>
        </w:numPr>
      </w:pPr>
      <w:r w:rsidRPr="00660104">
        <w:t>patents</w:t>
      </w:r>
    </w:p>
    <w:p w14:paraId="7418C5A2" w14:textId="77777777" w:rsidR="00D471AD" w:rsidRPr="001729A3" w:rsidRDefault="00D471AD" w:rsidP="00D471AD">
      <w:pPr>
        <w:pStyle w:val="BodyText"/>
        <w:numPr>
          <w:ilvl w:val="0"/>
          <w:numId w:val="21"/>
        </w:numPr>
      </w:pPr>
      <w:r w:rsidRPr="00660104">
        <w:t>registration</w:t>
      </w:r>
      <w:r w:rsidRPr="001729A3">
        <w:t xml:space="preserve"> of design</w:t>
      </w:r>
    </w:p>
    <w:p w14:paraId="7418C5A3" w14:textId="77777777" w:rsidR="00D471AD" w:rsidRPr="001729A3" w:rsidRDefault="00D471AD" w:rsidP="00D471AD">
      <w:pPr>
        <w:pStyle w:val="BodyText"/>
        <w:numPr>
          <w:ilvl w:val="0"/>
          <w:numId w:val="21"/>
        </w:numPr>
      </w:pPr>
      <w:r w:rsidRPr="00660104">
        <w:t>trademarks</w:t>
      </w:r>
    </w:p>
    <w:p w14:paraId="7418C5A4" w14:textId="77777777" w:rsidR="00D471AD" w:rsidRPr="001729A3" w:rsidRDefault="00D471AD" w:rsidP="00D471AD">
      <w:pPr>
        <w:pStyle w:val="BodyText"/>
        <w:numPr>
          <w:ilvl w:val="0"/>
          <w:numId w:val="21"/>
        </w:numPr>
      </w:pPr>
      <w:r w:rsidRPr="00660104">
        <w:t>copyrights</w:t>
      </w:r>
    </w:p>
    <w:p w14:paraId="7418C5A5" w14:textId="77777777" w:rsidR="00D471AD" w:rsidRPr="001729A3" w:rsidRDefault="00D471AD" w:rsidP="00D471AD">
      <w:pPr>
        <w:pStyle w:val="BodyText"/>
        <w:numPr>
          <w:ilvl w:val="0"/>
          <w:numId w:val="21"/>
        </w:numPr>
      </w:pPr>
      <w:r w:rsidRPr="00660104">
        <w:t>confidentiality</w:t>
      </w:r>
      <w:r w:rsidRPr="001729A3">
        <w:t xml:space="preserve"> agreements and trade secrecy</w:t>
      </w:r>
    </w:p>
    <w:p w14:paraId="7418C5A6" w14:textId="77777777" w:rsidR="00D471AD" w:rsidRPr="001729A3" w:rsidRDefault="00D471AD" w:rsidP="00D471AD">
      <w:pPr>
        <w:pStyle w:val="BodyText"/>
        <w:numPr>
          <w:ilvl w:val="0"/>
          <w:numId w:val="21"/>
        </w:numPr>
      </w:pPr>
      <w:r w:rsidRPr="00660104">
        <w:t>secrecy</w:t>
      </w:r>
      <w:r w:rsidRPr="001729A3">
        <w:t xml:space="preserve"> that is not covered by legal agreements</w:t>
      </w:r>
    </w:p>
    <w:p w14:paraId="7418C5A7" w14:textId="77777777" w:rsidR="00D471AD" w:rsidRPr="001729A3" w:rsidRDefault="00D471AD" w:rsidP="00D471AD">
      <w:pPr>
        <w:pStyle w:val="BodyText"/>
        <w:numPr>
          <w:ilvl w:val="0"/>
          <w:numId w:val="21"/>
        </w:numPr>
      </w:pPr>
      <w:r w:rsidRPr="00660104">
        <w:t>complexity</w:t>
      </w:r>
      <w:r w:rsidRPr="001729A3">
        <w:t xml:space="preserve"> of product design</w:t>
      </w:r>
    </w:p>
    <w:p w14:paraId="7418C5A8" w14:textId="77777777" w:rsidR="00D471AD" w:rsidRPr="001729A3" w:rsidRDefault="00D471AD" w:rsidP="00D471AD">
      <w:pPr>
        <w:pStyle w:val="BodyText"/>
        <w:numPr>
          <w:ilvl w:val="0"/>
          <w:numId w:val="21"/>
        </w:numPr>
      </w:pPr>
      <w:r w:rsidRPr="00660104">
        <w:t>lead</w:t>
      </w:r>
      <w:r w:rsidRPr="001729A3">
        <w:t xml:space="preserve"> time advantage over competitors.</w:t>
      </w:r>
    </w:p>
    <w:p w14:paraId="7418C5A9" w14:textId="77777777" w:rsidR="00D471AD" w:rsidRPr="001729A3" w:rsidRDefault="00D471AD" w:rsidP="00D471AD">
      <w:pPr>
        <w:pStyle w:val="glossaryheading"/>
        <w:rPr>
          <w:lang w:val="en-AU"/>
        </w:rPr>
      </w:pPr>
      <w:r w:rsidRPr="001729A3">
        <w:rPr>
          <w:lang w:val="en-AU"/>
        </w:rPr>
        <w:t>Knowledge diffusion</w:t>
      </w:r>
    </w:p>
    <w:p w14:paraId="7418C5AA" w14:textId="77777777" w:rsidR="00D471AD" w:rsidRPr="001729A3" w:rsidRDefault="00D471AD" w:rsidP="00D471AD">
      <w:pPr>
        <w:pStyle w:val="BodyText"/>
      </w:pPr>
      <w:r w:rsidRPr="001729A3">
        <w:t>The flow of knowledge and technology is at the core of what is often referred to as knowledge diffusion. Knowledge diffusion is relevant both for identifying the economic effects of innovation</w:t>
      </w:r>
      <w:r>
        <w:t>,</w:t>
      </w:r>
      <w:r w:rsidRPr="001729A3">
        <w:t xml:space="preserve"> and for establishing the shape of an enterprise’s network. As with highly interactive linkages, knowledge diffusion is influenced by concerns over knowledge leakages and the methods enterprises use to protect their intellectual property. </w:t>
      </w:r>
    </w:p>
    <w:p w14:paraId="7418C5AB" w14:textId="77777777" w:rsidR="00D471AD" w:rsidRPr="001729A3" w:rsidRDefault="00D471AD" w:rsidP="00D471AD">
      <w:pPr>
        <w:pStyle w:val="glossaryheading"/>
        <w:rPr>
          <w:lang w:val="en-AU"/>
        </w:rPr>
      </w:pPr>
      <w:r w:rsidRPr="001729A3">
        <w:rPr>
          <w:lang w:val="en-AU"/>
        </w:rPr>
        <w:t xml:space="preserve">Knowledge management </w:t>
      </w:r>
    </w:p>
    <w:p w14:paraId="7418C5AC" w14:textId="77777777" w:rsidR="00D471AD" w:rsidRPr="001729A3" w:rsidRDefault="00D471AD" w:rsidP="00D471AD">
      <w:pPr>
        <w:pStyle w:val="BodyText"/>
      </w:pPr>
      <w:r w:rsidRPr="001729A3">
        <w:t xml:space="preserve">Knowledge management involves practices for gaining external knowledge and interacting with other organisations, and for sharing and utilising knowledge within the enterprise. </w:t>
      </w:r>
    </w:p>
    <w:p w14:paraId="7418C5AD" w14:textId="77777777" w:rsidR="00D471AD" w:rsidRPr="001729A3" w:rsidRDefault="00D471AD" w:rsidP="00D471AD">
      <w:pPr>
        <w:pStyle w:val="glossaryheading"/>
        <w:rPr>
          <w:lang w:val="en-AU"/>
        </w:rPr>
      </w:pPr>
      <w:r w:rsidRPr="001729A3">
        <w:rPr>
          <w:lang w:val="en-AU"/>
        </w:rPr>
        <w:t xml:space="preserve">Knowledge networks </w:t>
      </w:r>
    </w:p>
    <w:p w14:paraId="7418C5AE" w14:textId="77777777" w:rsidR="00D471AD" w:rsidRDefault="00D471AD" w:rsidP="00D471AD">
      <w:pPr>
        <w:pStyle w:val="BodyText"/>
      </w:pPr>
      <w:r w:rsidRPr="001729A3">
        <w:t>Knowledge networks facilitate the exchange of technology and commercial information. Informal networks tend to be based on personal contacts or “communities of practice</w:t>
      </w:r>
      <w:r w:rsidRPr="00660104">
        <w:t>”</w:t>
      </w:r>
      <w:r>
        <w:t>,</w:t>
      </w:r>
      <w:r w:rsidRPr="001729A3">
        <w:t xml:space="preserve"> or simply arise in the normal course of business. Formal or managed networks can be organised by business organisations such as chambers of commerce, research associations, technology services companies, consultants, universities or public research organisations</w:t>
      </w:r>
      <w:r>
        <w:t>,</w:t>
      </w:r>
      <w:r w:rsidRPr="001729A3">
        <w:t xml:space="preserve"> or sponsored by local, regional or central governments. </w:t>
      </w:r>
    </w:p>
    <w:p w14:paraId="7418C5AF" w14:textId="77777777" w:rsidR="00D471AD" w:rsidRPr="001E726D" w:rsidRDefault="00D471AD" w:rsidP="00D471AD">
      <w:pPr>
        <w:pStyle w:val="glossaryheading"/>
      </w:pPr>
      <w:r w:rsidRPr="008A59D4">
        <w:rPr>
          <w:lang w:val="en-AU"/>
        </w:rPr>
        <w:t>Large Business</w:t>
      </w:r>
    </w:p>
    <w:p w14:paraId="7418C5B0" w14:textId="77777777" w:rsidR="00D471AD" w:rsidRPr="001729A3" w:rsidRDefault="00D471AD" w:rsidP="00D471AD">
      <w:pPr>
        <w:pStyle w:val="BodyText"/>
      </w:pPr>
      <w:r>
        <w:t xml:space="preserve">See </w:t>
      </w:r>
      <w:r>
        <w:rPr>
          <w:i/>
        </w:rPr>
        <w:t>Business size.</w:t>
      </w:r>
    </w:p>
    <w:p w14:paraId="7418C5B1" w14:textId="77777777" w:rsidR="00D471AD" w:rsidRPr="001729A3" w:rsidRDefault="00D471AD" w:rsidP="00D471AD">
      <w:pPr>
        <w:pStyle w:val="glossaryheading"/>
        <w:rPr>
          <w:lang w:val="en-AU"/>
        </w:rPr>
      </w:pPr>
      <w:r w:rsidRPr="001729A3">
        <w:rPr>
          <w:lang w:val="en-AU"/>
        </w:rPr>
        <w:t>Linked Employee Employer Data (LEED)</w:t>
      </w:r>
    </w:p>
    <w:p w14:paraId="7418C5B2" w14:textId="77777777" w:rsidR="00D471AD" w:rsidRPr="001729A3" w:rsidRDefault="00D471AD" w:rsidP="00D471AD">
      <w:pPr>
        <w:pStyle w:val="BodyText"/>
      </w:pPr>
      <w:r w:rsidRPr="001729A3">
        <w:t xml:space="preserve">The ABS has developed an experimental Employee Earnings and Jobs (EEJ) dataset containing </w:t>
      </w:r>
      <w:r>
        <w:t>p</w:t>
      </w:r>
      <w:r w:rsidRPr="00660104">
        <w:t xml:space="preserve">ersonal </w:t>
      </w:r>
      <w:r>
        <w:t>i</w:t>
      </w:r>
      <w:r w:rsidRPr="00660104">
        <w:t xml:space="preserve">ncome </w:t>
      </w:r>
      <w:r>
        <w:t>t</w:t>
      </w:r>
      <w:r w:rsidRPr="001729A3">
        <w:t xml:space="preserve">ax and </w:t>
      </w:r>
      <w:r>
        <w:t>b</w:t>
      </w:r>
      <w:r w:rsidRPr="00660104">
        <w:t xml:space="preserve">usiness </w:t>
      </w:r>
      <w:r>
        <w:t>t</w:t>
      </w:r>
      <w:r w:rsidRPr="001729A3">
        <w:t>ax data from the Australian Tax Office for 2011</w:t>
      </w:r>
      <w:r>
        <w:t>–</w:t>
      </w:r>
      <w:r w:rsidRPr="001729A3">
        <w:t>12. This dataset can provide detailed and accurate information on employees such as earnings and its components, occupation levels</w:t>
      </w:r>
      <w:r>
        <w:t>,</w:t>
      </w:r>
      <w:r w:rsidRPr="001729A3">
        <w:t xml:space="preserve"> and the dynamics of jobs in regions and by industries. It also contains limited business financial information. The dataset is part of the ABS’ move towards developing a longitudinal Linked Employer-Employee Database (LEED).</w:t>
      </w:r>
    </w:p>
    <w:p w14:paraId="7418C5B3" w14:textId="77777777" w:rsidR="00D471AD" w:rsidRPr="001729A3" w:rsidRDefault="00D471AD" w:rsidP="00D471AD">
      <w:pPr>
        <w:pStyle w:val="BodyText"/>
      </w:pPr>
      <w:r w:rsidRPr="001729A3">
        <w:t>With a longitudinal aspect, the LEED would assist industry policy development by helping us understand the impact of organic versus acquisitive entrepreneurship on aggregate employment and economic growth. Further integrating the LEED with the BLADE will provide rich data about employers as well as employees.</w:t>
      </w:r>
    </w:p>
    <w:p w14:paraId="7418C5B4" w14:textId="77777777" w:rsidR="00D471AD" w:rsidRPr="001729A3" w:rsidRDefault="00D471AD" w:rsidP="00D471AD">
      <w:pPr>
        <w:pStyle w:val="glossaryheading"/>
        <w:rPr>
          <w:lang w:val="en-AU"/>
        </w:rPr>
      </w:pPr>
      <w:r w:rsidRPr="001729A3">
        <w:rPr>
          <w:lang w:val="en-AU"/>
        </w:rPr>
        <w:t>MCS</w:t>
      </w:r>
    </w:p>
    <w:p w14:paraId="7418C5B5" w14:textId="77777777" w:rsidR="00D471AD" w:rsidRPr="00A409E9" w:rsidRDefault="00D471AD" w:rsidP="00D471AD">
      <w:pPr>
        <w:pStyle w:val="glossaryheading"/>
        <w:keepNext w:val="0"/>
        <w:rPr>
          <w:b w:val="0"/>
          <w:i/>
          <w:lang w:val="en-AU"/>
        </w:rPr>
      </w:pPr>
      <w:r w:rsidRPr="00A409E9">
        <w:rPr>
          <w:b w:val="0"/>
          <w:lang w:val="en-AU"/>
        </w:rPr>
        <w:t>The Management Capability Survey</w:t>
      </w:r>
      <w:r>
        <w:rPr>
          <w:b w:val="0"/>
          <w:lang w:val="en-AU"/>
        </w:rPr>
        <w:t xml:space="preserve"> </w:t>
      </w:r>
      <w:r w:rsidRPr="00A409E9">
        <w:rPr>
          <w:b w:val="0"/>
          <w:lang w:val="en-AU"/>
        </w:rPr>
        <w:t xml:space="preserve">is an ambitious project that aims to expand understanding of Australia’s business management performance. The </w:t>
      </w:r>
      <w:r>
        <w:rPr>
          <w:b w:val="0"/>
          <w:lang w:val="en-AU"/>
        </w:rPr>
        <w:t>MCS</w:t>
      </w:r>
      <w:r w:rsidRPr="00A409E9">
        <w:rPr>
          <w:b w:val="0"/>
          <w:lang w:val="en-AU"/>
        </w:rPr>
        <w:t xml:space="preserve"> is a collaboration between the OCE, the ABS, </w:t>
      </w:r>
      <w:r>
        <w:rPr>
          <w:b w:val="0"/>
          <w:lang w:val="en-AU"/>
        </w:rPr>
        <w:t xml:space="preserve">UTS </w:t>
      </w:r>
      <w:r w:rsidRPr="00A409E9">
        <w:rPr>
          <w:b w:val="0"/>
          <w:lang w:val="en-AU"/>
        </w:rPr>
        <w:t xml:space="preserve">and Stanford University (USA). </w:t>
      </w:r>
    </w:p>
    <w:p w14:paraId="7418C5B6" w14:textId="77777777" w:rsidR="00D471AD" w:rsidRPr="001729A3" w:rsidRDefault="00D471AD" w:rsidP="00D471AD">
      <w:pPr>
        <w:pStyle w:val="glossaryheading"/>
        <w:rPr>
          <w:lang w:val="en-AU"/>
        </w:rPr>
      </w:pPr>
      <w:r w:rsidRPr="001729A3">
        <w:rPr>
          <w:lang w:val="en-AU"/>
        </w:rPr>
        <w:t>New-to-market innovation</w:t>
      </w:r>
    </w:p>
    <w:p w14:paraId="7418C5B7" w14:textId="77777777" w:rsidR="00D471AD" w:rsidRPr="001729A3" w:rsidRDefault="00D471AD" w:rsidP="00D471AD">
      <w:pPr>
        <w:pStyle w:val="BodyText"/>
      </w:pPr>
      <w:r w:rsidRPr="001729A3">
        <w:t>New to the market innovations include innovations that were any of the following:</w:t>
      </w:r>
    </w:p>
    <w:p w14:paraId="7418C5B8" w14:textId="77777777" w:rsidR="00D471AD" w:rsidRPr="001729A3" w:rsidRDefault="00D471AD" w:rsidP="00D471AD">
      <w:pPr>
        <w:pStyle w:val="BodyText"/>
        <w:numPr>
          <w:ilvl w:val="0"/>
          <w:numId w:val="21"/>
        </w:numPr>
      </w:pPr>
      <w:r w:rsidRPr="00660104">
        <w:t>new</w:t>
      </w:r>
      <w:r w:rsidRPr="001729A3">
        <w:t xml:space="preserve"> to the world</w:t>
      </w:r>
    </w:p>
    <w:p w14:paraId="7418C5B9" w14:textId="77777777" w:rsidR="00D471AD" w:rsidRPr="001729A3" w:rsidRDefault="00D471AD" w:rsidP="00D471AD">
      <w:pPr>
        <w:pStyle w:val="BodyText"/>
        <w:numPr>
          <w:ilvl w:val="0"/>
          <w:numId w:val="21"/>
        </w:numPr>
      </w:pPr>
      <w:r w:rsidRPr="00660104">
        <w:t>new</w:t>
      </w:r>
      <w:r w:rsidRPr="001729A3">
        <w:t xml:space="preserve"> to Australia but not new to the world</w:t>
      </w:r>
    </w:p>
    <w:p w14:paraId="7418C5BA" w14:textId="77777777" w:rsidR="00D471AD" w:rsidRPr="001729A3" w:rsidRDefault="00D471AD" w:rsidP="00D471AD">
      <w:pPr>
        <w:pStyle w:val="BodyText"/>
        <w:numPr>
          <w:ilvl w:val="0"/>
          <w:numId w:val="21"/>
        </w:numPr>
      </w:pPr>
      <w:r w:rsidRPr="00660104">
        <w:t>new</w:t>
      </w:r>
      <w:r w:rsidRPr="001729A3">
        <w:t xml:space="preserve"> to the industry within Australia, but not new to Australia or the world. </w:t>
      </w:r>
    </w:p>
    <w:p w14:paraId="7418C5BB" w14:textId="77777777" w:rsidR="00D471AD" w:rsidRPr="001729A3" w:rsidRDefault="00D471AD" w:rsidP="00D471AD">
      <w:pPr>
        <w:pStyle w:val="BodyText"/>
      </w:pPr>
      <w:r w:rsidRPr="001729A3">
        <w:t xml:space="preserve">For more information, see novelty. </w:t>
      </w:r>
    </w:p>
    <w:p w14:paraId="7418C5BC" w14:textId="77777777" w:rsidR="00D471AD" w:rsidRPr="001729A3" w:rsidRDefault="00D471AD" w:rsidP="00D471AD">
      <w:pPr>
        <w:pStyle w:val="glossaryheading"/>
        <w:rPr>
          <w:lang w:val="en-AU"/>
        </w:rPr>
      </w:pPr>
      <w:r w:rsidRPr="001729A3">
        <w:rPr>
          <w:lang w:val="en-AU"/>
        </w:rPr>
        <w:t>Non-technological innovation</w:t>
      </w:r>
    </w:p>
    <w:p w14:paraId="7418C5BD" w14:textId="77777777" w:rsidR="00D471AD" w:rsidRPr="001729A3" w:rsidRDefault="00D471AD" w:rsidP="00D471AD">
      <w:pPr>
        <w:pStyle w:val="BodyText"/>
      </w:pPr>
      <w:r w:rsidRPr="001729A3">
        <w:t xml:space="preserve">Non-technological innovation covers all innovation activities </w:t>
      </w:r>
      <w:r>
        <w:t>that</w:t>
      </w:r>
      <w:r w:rsidRPr="00660104">
        <w:t xml:space="preserve"> </w:t>
      </w:r>
      <w:r w:rsidRPr="001729A3">
        <w:t xml:space="preserve">are excluded from technological innovation. This means it includes all the innovation activities of businesses </w:t>
      </w:r>
      <w:r>
        <w:t>that</w:t>
      </w:r>
      <w:r w:rsidRPr="00660104">
        <w:t xml:space="preserve"> </w:t>
      </w:r>
      <w:r w:rsidRPr="001729A3">
        <w:t>do not relate to the introduction of a technologically new or substantially changed good or service</w:t>
      </w:r>
      <w:r>
        <w:t>,</w:t>
      </w:r>
      <w:r w:rsidRPr="001729A3">
        <w:t xml:space="preserve"> or to the use of a technologically new or substantially changed process.</w:t>
      </w:r>
    </w:p>
    <w:p w14:paraId="7418C5BE" w14:textId="77777777" w:rsidR="00D471AD" w:rsidRPr="001729A3" w:rsidRDefault="00D471AD" w:rsidP="00D471AD">
      <w:pPr>
        <w:pStyle w:val="glossaryheading"/>
        <w:rPr>
          <w:lang w:val="en-AU"/>
        </w:rPr>
      </w:pPr>
      <w:r w:rsidRPr="001729A3">
        <w:rPr>
          <w:lang w:val="en-AU"/>
        </w:rPr>
        <w:t>Novelty</w:t>
      </w:r>
    </w:p>
    <w:p w14:paraId="7418C5BF" w14:textId="77777777" w:rsidR="00D471AD" w:rsidRPr="001729A3" w:rsidRDefault="00D471AD" w:rsidP="00D471AD">
      <w:pPr>
        <w:pStyle w:val="BodyText"/>
      </w:pPr>
      <w:r w:rsidRPr="001729A3">
        <w:t>All innovations must contain a degree of novelty. Three concepts of the degree of novelty of innovations are: new to the business, new to the market and new to the world.</w:t>
      </w:r>
    </w:p>
    <w:p w14:paraId="7418C5C0" w14:textId="77777777" w:rsidR="00D471AD" w:rsidRPr="001729A3" w:rsidRDefault="00D471AD" w:rsidP="00D471AD">
      <w:pPr>
        <w:pStyle w:val="BodyText"/>
        <w:numPr>
          <w:ilvl w:val="0"/>
          <w:numId w:val="22"/>
        </w:numPr>
      </w:pPr>
      <w:r w:rsidRPr="001729A3">
        <w:t>New</w:t>
      </w:r>
      <w:r>
        <w:t>-</w:t>
      </w:r>
      <w:r w:rsidRPr="001729A3">
        <w:t>to</w:t>
      </w:r>
      <w:r>
        <w:t>-</w:t>
      </w:r>
      <w:r w:rsidRPr="001729A3">
        <w:t>the</w:t>
      </w:r>
      <w:r>
        <w:t>-</w:t>
      </w:r>
      <w:r w:rsidRPr="001729A3">
        <w:t>business innovation</w:t>
      </w:r>
    </w:p>
    <w:p w14:paraId="7418C5C1" w14:textId="77777777" w:rsidR="00D471AD" w:rsidRPr="001729A3" w:rsidRDefault="00D471AD" w:rsidP="00D471AD">
      <w:pPr>
        <w:pStyle w:val="BodyText"/>
      </w:pPr>
      <w:r w:rsidRPr="001729A3">
        <w:t>The minimum entry level for an innovation is that it must be new to the business. A product, process, marketing or organisational method may already have been implemented by other businesses, but if it is new to a given business, then it is an innovation to that business</w:t>
      </w:r>
      <w:r>
        <w:t>.</w:t>
      </w:r>
    </w:p>
    <w:p w14:paraId="7418C5C2" w14:textId="77777777" w:rsidR="00D471AD" w:rsidRPr="001729A3" w:rsidRDefault="00D471AD" w:rsidP="00D471AD">
      <w:pPr>
        <w:pStyle w:val="BodyText"/>
        <w:numPr>
          <w:ilvl w:val="0"/>
          <w:numId w:val="22"/>
        </w:numPr>
      </w:pPr>
      <w:r w:rsidRPr="001729A3">
        <w:t>New</w:t>
      </w:r>
      <w:r>
        <w:t>-</w:t>
      </w:r>
      <w:r w:rsidRPr="001729A3">
        <w:t>to</w:t>
      </w:r>
      <w:r>
        <w:t>-</w:t>
      </w:r>
      <w:r w:rsidRPr="001729A3">
        <w:t>market innovation</w:t>
      </w:r>
    </w:p>
    <w:p w14:paraId="7418C5C3" w14:textId="77777777" w:rsidR="00D471AD" w:rsidRPr="001729A3" w:rsidRDefault="00D471AD" w:rsidP="00D471AD">
      <w:pPr>
        <w:pStyle w:val="BodyText"/>
      </w:pPr>
      <w:r w:rsidRPr="001729A3">
        <w:t xml:space="preserve">Innovations are new to the market when the business is the first to introduce the innovation </w:t>
      </w:r>
      <w:r>
        <w:t>to</w:t>
      </w:r>
      <w:r w:rsidRPr="001729A3">
        <w:t xml:space="preserve"> its market. The market is simply defined as the business and its competitors</w:t>
      </w:r>
      <w:r>
        <w:t>,</w:t>
      </w:r>
      <w:r w:rsidRPr="001729A3">
        <w:t xml:space="preserve"> and it can include a geographic region or product line.</w:t>
      </w:r>
    </w:p>
    <w:p w14:paraId="7418C5C4" w14:textId="77777777" w:rsidR="00D471AD" w:rsidRPr="001729A3" w:rsidRDefault="00D471AD" w:rsidP="00D471AD">
      <w:pPr>
        <w:pStyle w:val="BodyText"/>
        <w:numPr>
          <w:ilvl w:val="0"/>
          <w:numId w:val="22"/>
        </w:numPr>
      </w:pPr>
      <w:r w:rsidRPr="001729A3">
        <w:t>New</w:t>
      </w:r>
      <w:r>
        <w:t>-</w:t>
      </w:r>
      <w:r w:rsidRPr="001729A3">
        <w:t>to</w:t>
      </w:r>
      <w:r>
        <w:t>-</w:t>
      </w:r>
      <w:r w:rsidRPr="001729A3">
        <w:t>the</w:t>
      </w:r>
      <w:r>
        <w:t>-</w:t>
      </w:r>
      <w:r w:rsidRPr="001729A3">
        <w:t>world innovation</w:t>
      </w:r>
    </w:p>
    <w:p w14:paraId="7418C5C5" w14:textId="77777777" w:rsidR="00D471AD" w:rsidRPr="001729A3" w:rsidRDefault="00D471AD" w:rsidP="00D471AD">
      <w:pPr>
        <w:pStyle w:val="BodyText"/>
      </w:pPr>
      <w:r w:rsidRPr="001729A3">
        <w:t>An innovation is new to the world when the business is the first to introduce the innovation for all markets and industries, domestic and international. New to the world therefore implies a qualitatively greater degree of novelty than new to the market.</w:t>
      </w:r>
    </w:p>
    <w:p w14:paraId="7418C5C6" w14:textId="77777777" w:rsidR="00D471AD" w:rsidRPr="001729A3" w:rsidRDefault="00D471AD" w:rsidP="00D471AD">
      <w:pPr>
        <w:pStyle w:val="glossaryheading"/>
        <w:rPr>
          <w:lang w:val="en-AU"/>
        </w:rPr>
      </w:pPr>
      <w:r w:rsidRPr="001729A3">
        <w:rPr>
          <w:lang w:val="en-AU"/>
        </w:rPr>
        <w:t xml:space="preserve">OECD </w:t>
      </w:r>
      <w:r>
        <w:rPr>
          <w:lang w:val="en-AU"/>
        </w:rPr>
        <w:t>+</w:t>
      </w:r>
    </w:p>
    <w:p w14:paraId="7418C5C7" w14:textId="77777777" w:rsidR="00D471AD" w:rsidRPr="001729A3" w:rsidRDefault="00D471AD" w:rsidP="00D471AD">
      <w:pPr>
        <w:pStyle w:val="BodyText"/>
      </w:pPr>
      <w:r w:rsidRPr="001729A3">
        <w:t>OECD plus includes China, Taiwan and Singapore in addition to the</w:t>
      </w:r>
      <w:r>
        <w:t xml:space="preserve"> 35 </w:t>
      </w:r>
      <w:r w:rsidRPr="001729A3">
        <w:t xml:space="preserve">OECD </w:t>
      </w:r>
      <w:r>
        <w:t xml:space="preserve">member </w:t>
      </w:r>
      <w:r w:rsidRPr="001729A3">
        <w:t xml:space="preserve">countries. </w:t>
      </w:r>
    </w:p>
    <w:p w14:paraId="7418C5C8" w14:textId="77777777" w:rsidR="00D471AD" w:rsidRPr="001729A3" w:rsidRDefault="00D471AD" w:rsidP="00D471AD">
      <w:pPr>
        <w:pStyle w:val="glossaryheading"/>
        <w:rPr>
          <w:lang w:val="en-AU"/>
        </w:rPr>
      </w:pPr>
      <w:r w:rsidRPr="001729A3">
        <w:rPr>
          <w:lang w:val="en-AU"/>
        </w:rPr>
        <w:t>Opportunity cost</w:t>
      </w:r>
    </w:p>
    <w:p w14:paraId="7418C5C9" w14:textId="77777777" w:rsidR="00D471AD" w:rsidRPr="001729A3" w:rsidRDefault="00D471AD" w:rsidP="00D471AD">
      <w:pPr>
        <w:pStyle w:val="BodyText"/>
      </w:pPr>
      <w:r w:rsidRPr="001729A3">
        <w:t>An opportunity cost refers to a benefit that a person could have received, but gave up, to take another course of action.</w:t>
      </w:r>
    </w:p>
    <w:p w14:paraId="7418C5CA" w14:textId="77777777" w:rsidR="00D471AD" w:rsidRPr="001729A3" w:rsidRDefault="00D471AD" w:rsidP="00D471AD">
      <w:pPr>
        <w:pStyle w:val="glossaryheading"/>
        <w:rPr>
          <w:lang w:val="en-AU"/>
        </w:rPr>
      </w:pPr>
      <w:r w:rsidRPr="001729A3">
        <w:rPr>
          <w:lang w:val="en-AU"/>
        </w:rPr>
        <w:t>Organisation for Economic Co-operation and Development (OECD)</w:t>
      </w:r>
    </w:p>
    <w:p w14:paraId="7418C5CB" w14:textId="77777777" w:rsidR="00D471AD" w:rsidRPr="001729A3" w:rsidRDefault="00D471AD" w:rsidP="00D471AD">
      <w:pPr>
        <w:pStyle w:val="BodyText"/>
      </w:pPr>
      <w:r w:rsidRPr="001729A3">
        <w:t xml:space="preserve">A group of countries working towards common problems of increasing economic growth, welfare and social problems. The list is comprised of Australia, Austria, Belgium, Canada, Chile, Czech Republic, Denmark, Estonia, Finland, France, Germany, Greece, Hungary, Iceland, Ireland, Israel, Italy, Japan, Korea, Latvia, Luxembourg, Mexico, Netherlands, New Zealand, Norway, Poland, Portugal, Slovak Republic, Slovenia, Spain, Sweden, Switzerland, Turkey, United Kingdom and United States. </w:t>
      </w:r>
    </w:p>
    <w:p w14:paraId="7418C5CC" w14:textId="77777777" w:rsidR="00D471AD" w:rsidRPr="001729A3" w:rsidRDefault="00D471AD" w:rsidP="00D471AD">
      <w:pPr>
        <w:pStyle w:val="glossaryheading"/>
        <w:rPr>
          <w:rStyle w:val="tgc"/>
          <w:color w:val="222222"/>
          <w:lang w:val="en-AU"/>
        </w:rPr>
      </w:pPr>
      <w:r w:rsidRPr="001729A3">
        <w:rPr>
          <w:lang w:val="en-AU"/>
        </w:rPr>
        <w:t>Product market regulation (PMR)</w:t>
      </w:r>
      <w:r w:rsidRPr="001729A3">
        <w:rPr>
          <w:rStyle w:val="tgc"/>
          <w:color w:val="222222"/>
          <w:lang w:val="en-AU"/>
        </w:rPr>
        <w:t xml:space="preserve"> </w:t>
      </w:r>
    </w:p>
    <w:p w14:paraId="7418C5CD" w14:textId="77777777" w:rsidR="00D471AD" w:rsidRPr="001729A3" w:rsidRDefault="00D471AD" w:rsidP="00D471AD">
      <w:pPr>
        <w:pStyle w:val="BodyText"/>
      </w:pPr>
      <w:r w:rsidRPr="001729A3">
        <w:t>PMR is the degree to which policies promote or inhibit competition in areas of the product market where competition is viable.</w:t>
      </w:r>
    </w:p>
    <w:p w14:paraId="7418C5CE" w14:textId="77777777" w:rsidR="00D471AD" w:rsidRPr="001729A3" w:rsidRDefault="00D471AD" w:rsidP="00D471AD">
      <w:pPr>
        <w:pStyle w:val="glossaryheading"/>
        <w:rPr>
          <w:lang w:val="en-AU"/>
        </w:rPr>
      </w:pPr>
      <w:r w:rsidRPr="001729A3">
        <w:rPr>
          <w:lang w:val="en-AU"/>
        </w:rPr>
        <w:t>Productivity</w:t>
      </w:r>
    </w:p>
    <w:p w14:paraId="7418C5CF" w14:textId="77777777" w:rsidR="00D471AD" w:rsidRPr="001729A3" w:rsidRDefault="00D471AD" w:rsidP="00D471AD">
      <w:pPr>
        <w:pStyle w:val="BodyText"/>
      </w:pPr>
      <w:r w:rsidRPr="001729A3">
        <w:t xml:space="preserve">Productivity is the ratio of a business’ </w:t>
      </w:r>
      <w:r w:rsidRPr="00660104">
        <w:t>sector</w:t>
      </w:r>
      <w:r>
        <w:t>’</w:t>
      </w:r>
      <w:r w:rsidRPr="00660104">
        <w:t>s</w:t>
      </w:r>
      <w:r w:rsidRPr="001729A3">
        <w:t>, or economy’s outputs to inputs. There are a number of ways to measure productivity. Labour productivity is where the only input being considered is labour costs. Multifactor productivity uses labour and capital costs</w:t>
      </w:r>
      <w:r>
        <w:t>,</w:t>
      </w:r>
      <w:r w:rsidRPr="001729A3">
        <w:t xml:space="preserve"> and Total factor productivity uses capital, labour, energy, material and services costs as inputs. Productivity growth occurs when growth in industry outputs exceeds growth in inputs.</w:t>
      </w:r>
    </w:p>
    <w:p w14:paraId="7418C5D0" w14:textId="77777777" w:rsidR="00D471AD" w:rsidRPr="001729A3" w:rsidRDefault="00D471AD" w:rsidP="00D471AD">
      <w:pPr>
        <w:pStyle w:val="glossaryheading"/>
        <w:rPr>
          <w:lang w:val="en-AU"/>
        </w:rPr>
      </w:pPr>
      <w:r w:rsidRPr="001729A3">
        <w:rPr>
          <w:lang w:val="en-AU"/>
        </w:rPr>
        <w:t>Real value</w:t>
      </w:r>
    </w:p>
    <w:p w14:paraId="7418C5D1" w14:textId="77777777" w:rsidR="00D471AD" w:rsidRPr="001729A3" w:rsidRDefault="00D471AD" w:rsidP="00D471AD">
      <w:pPr>
        <w:pStyle w:val="BodyText"/>
      </w:pPr>
      <w:r w:rsidRPr="001729A3">
        <w:t xml:space="preserve">Real values are also known as constant values. The real value is </w:t>
      </w:r>
      <w:r>
        <w:t xml:space="preserve">a </w:t>
      </w:r>
      <w:r w:rsidRPr="001729A3">
        <w:t xml:space="preserve">nominal value adjusted for inflation. Real values </w:t>
      </w:r>
      <w:r>
        <w:t>are</w:t>
      </w:r>
      <w:r w:rsidRPr="00660104">
        <w:t xml:space="preserve"> </w:t>
      </w:r>
      <w:r w:rsidRPr="001729A3">
        <w:t xml:space="preserve">obtained by removing the effect of </w:t>
      </w:r>
      <w:r w:rsidRPr="00660104">
        <w:t>price</w:t>
      </w:r>
      <w:r>
        <w:t>-</w:t>
      </w:r>
      <w:r w:rsidRPr="001729A3">
        <w:t>level changes from the nominal value of time-series data</w:t>
      </w:r>
    </w:p>
    <w:p w14:paraId="7418C5D2" w14:textId="77777777" w:rsidR="00D471AD" w:rsidRPr="001729A3" w:rsidRDefault="00D471AD" w:rsidP="00D471AD">
      <w:pPr>
        <w:pStyle w:val="BodyText"/>
      </w:pPr>
      <w:r w:rsidRPr="001729A3">
        <w:t>Values that are adjusted for inflation enable comparison of quantities over time.</w:t>
      </w:r>
    </w:p>
    <w:p w14:paraId="7418C5D3" w14:textId="77777777" w:rsidR="00D471AD" w:rsidRPr="001729A3" w:rsidRDefault="00D471AD" w:rsidP="00D471AD">
      <w:pPr>
        <w:pStyle w:val="glossaryheading"/>
        <w:rPr>
          <w:lang w:val="en-AU"/>
        </w:rPr>
      </w:pPr>
      <w:r w:rsidRPr="001729A3">
        <w:rPr>
          <w:lang w:val="en-AU"/>
        </w:rPr>
        <w:t xml:space="preserve">Relative citation impact </w:t>
      </w:r>
    </w:p>
    <w:p w14:paraId="7418C5D4" w14:textId="77777777" w:rsidR="00D471AD" w:rsidRPr="001729A3" w:rsidRDefault="00D471AD" w:rsidP="00D471AD">
      <w:pPr>
        <w:pStyle w:val="BodyText"/>
      </w:pPr>
      <w:r w:rsidRPr="001729A3">
        <w:t>Relative citation impact is defined as the number of citations for Australian research in a specific field of research as a ratio to the world average citations in that field of research.</w:t>
      </w:r>
    </w:p>
    <w:p w14:paraId="7418C5D5" w14:textId="77777777" w:rsidR="00D471AD" w:rsidRPr="001729A3" w:rsidRDefault="00D471AD" w:rsidP="00D471AD">
      <w:pPr>
        <w:pStyle w:val="glossaryheading"/>
        <w:rPr>
          <w:lang w:val="en-AU"/>
        </w:rPr>
      </w:pPr>
      <w:r w:rsidRPr="001729A3">
        <w:rPr>
          <w:lang w:val="en-AU"/>
        </w:rPr>
        <w:t>Research and Development (R&amp;D)</w:t>
      </w:r>
    </w:p>
    <w:p w14:paraId="7418C5D6" w14:textId="77777777" w:rsidR="00D471AD" w:rsidRPr="001729A3" w:rsidRDefault="00D471AD" w:rsidP="00D471AD">
      <w:pPr>
        <w:pStyle w:val="BodyText"/>
      </w:pPr>
      <w:r w:rsidRPr="001729A3">
        <w:t xml:space="preserve">Research and development (R&amp;D) </w:t>
      </w:r>
      <w:r w:rsidRPr="00660104">
        <w:t>comprise</w:t>
      </w:r>
      <w:r>
        <w:t>s</w:t>
      </w:r>
      <w:r w:rsidRPr="001729A3">
        <w:t xml:space="preserve"> creative work undertaken on a systematic basis in order to increase the stock of knowledge</w:t>
      </w:r>
      <w:r>
        <w:t xml:space="preserve"> (</w:t>
      </w:r>
      <w:r w:rsidRPr="001729A3">
        <w:t>including knowledge of man, culture and society</w:t>
      </w:r>
      <w:r>
        <w:t>)</w:t>
      </w:r>
      <w:r w:rsidRPr="00660104">
        <w:t>,</w:t>
      </w:r>
      <w:r w:rsidRPr="001729A3">
        <w:t xml:space="preserve"> and the use of this stock of knowledge to devise new applications.</w:t>
      </w:r>
    </w:p>
    <w:p w14:paraId="7418C5D7" w14:textId="77777777" w:rsidR="00D471AD" w:rsidRPr="001729A3" w:rsidRDefault="00D471AD" w:rsidP="00D471AD">
      <w:pPr>
        <w:pStyle w:val="BodyText"/>
      </w:pPr>
      <w:r w:rsidRPr="001729A3">
        <w:t>The term R&amp;D covers three activities: basic research, applied research and experimental development. Basic research is experimental or theoretical work undertaken primarily to acquire new knowledge of the underlying foundation of phenomena and observable facts, without any particular application or use in view. Applied research is also original investigation undertaken in order to acquire new knowledge. It is, however, directed primarily towards a specific practical aim or objective. Experimental development is systematic work, drawing on existing knowledge gained from research and/or practical experience, which is directed to producing new materials, products or devices</w:t>
      </w:r>
      <w:r>
        <w:t>;</w:t>
      </w:r>
      <w:r w:rsidRPr="001729A3">
        <w:t xml:space="preserve"> to installing new processes, systems and services</w:t>
      </w:r>
      <w:r>
        <w:t>;</w:t>
      </w:r>
      <w:r w:rsidRPr="001729A3">
        <w:t xml:space="preserve"> or to improving substantially those already produced or installed.</w:t>
      </w:r>
    </w:p>
    <w:p w14:paraId="7418C5D8" w14:textId="77777777" w:rsidR="00D471AD" w:rsidRPr="001729A3" w:rsidRDefault="00D471AD" w:rsidP="00D471AD">
      <w:pPr>
        <w:pStyle w:val="glossaryheading"/>
        <w:rPr>
          <w:lang w:val="en-AU"/>
        </w:rPr>
      </w:pPr>
      <w:r w:rsidRPr="001729A3">
        <w:rPr>
          <w:lang w:val="en-AU"/>
        </w:rPr>
        <w:t xml:space="preserve">Research specialisation </w:t>
      </w:r>
    </w:p>
    <w:p w14:paraId="7418C5D9" w14:textId="77777777" w:rsidR="00D471AD" w:rsidRPr="001729A3" w:rsidRDefault="00D471AD" w:rsidP="00D471AD">
      <w:pPr>
        <w:pStyle w:val="BodyText"/>
      </w:pPr>
      <w:r w:rsidRPr="001729A3">
        <w:t xml:space="preserve">Research </w:t>
      </w:r>
      <w:r>
        <w:t>s</w:t>
      </w:r>
      <w:r w:rsidRPr="00660104">
        <w:t>pecialisation</w:t>
      </w:r>
      <w:r w:rsidRPr="001729A3">
        <w:t xml:space="preserve"> is the ratio of the proportion of a country’s research publications that are in a particular field to the proportion of the world’s research publications that are in that field. A specialisation value of 1.00 would indicate that the field comprises the same proportion of that country’s output as it does of world output, while 2.00 would indicate that it comprises twice as high a proportion in the country as in the world. It is important to note that it is quite possible - and even common - to have high specialisations in fields that are only a small proportion of publications.</w:t>
      </w:r>
    </w:p>
    <w:p w14:paraId="7418C5DA" w14:textId="77777777" w:rsidR="00D471AD" w:rsidRPr="001729A3" w:rsidRDefault="00D471AD" w:rsidP="00D471AD">
      <w:pPr>
        <w:pStyle w:val="glossaryheading"/>
        <w:rPr>
          <w:lang w:val="en-AU"/>
        </w:rPr>
      </w:pPr>
      <w:r w:rsidRPr="001729A3">
        <w:rPr>
          <w:lang w:val="en-AU"/>
        </w:rPr>
        <w:t xml:space="preserve">Researchers </w:t>
      </w:r>
    </w:p>
    <w:p w14:paraId="7418C5DB" w14:textId="77777777" w:rsidR="00D471AD" w:rsidRPr="001729A3" w:rsidRDefault="00D471AD" w:rsidP="00D471AD">
      <w:pPr>
        <w:pStyle w:val="BodyText"/>
      </w:pPr>
      <w:r w:rsidRPr="001729A3">
        <w:t>Researchers are defined as professionals engaged in the conception or creation of new knowledge, products, processes, methods and systems, as well as in the management of these projects.</w:t>
      </w:r>
    </w:p>
    <w:p w14:paraId="7418C5DC" w14:textId="77777777" w:rsidR="00D471AD" w:rsidRPr="001729A3" w:rsidRDefault="00D471AD" w:rsidP="00D471AD">
      <w:pPr>
        <w:pStyle w:val="glossaryheading"/>
        <w:rPr>
          <w:lang w:val="en-AU"/>
        </w:rPr>
      </w:pPr>
      <w:r w:rsidRPr="001729A3">
        <w:rPr>
          <w:lang w:val="en-AU"/>
        </w:rPr>
        <w:t xml:space="preserve">Revealed comparative advantage </w:t>
      </w:r>
    </w:p>
    <w:p w14:paraId="7418C5DD" w14:textId="77777777" w:rsidR="00D471AD" w:rsidRPr="001729A3" w:rsidRDefault="00D471AD" w:rsidP="00D471AD">
      <w:pPr>
        <w:pStyle w:val="BodyText"/>
      </w:pPr>
      <w:r w:rsidRPr="001729A3">
        <w:t>Revealed comparative advantage (RCA) is an index calculated using exports, providing a measure of relative specialisation of a country’s export activities in an industry. The RCA is calculated as the proportion of a country's exports in that industry divided by the proportion of world exports in that industry. If the RCA is greater than one, a comparative advantage is “revealed</w:t>
      </w:r>
      <w:r>
        <w:t>”</w:t>
      </w:r>
      <w:r w:rsidRPr="00660104">
        <w:t>.</w:t>
      </w:r>
      <w:r w:rsidRPr="001729A3">
        <w:t xml:space="preserve"> If the RCA is less than one, the country has a comparative disadvantage in that industry.</w:t>
      </w:r>
    </w:p>
    <w:p w14:paraId="7418C5DE" w14:textId="77777777" w:rsidR="00D471AD" w:rsidRPr="001729A3" w:rsidRDefault="00D471AD" w:rsidP="00D471AD">
      <w:pPr>
        <w:pStyle w:val="glossaryheading"/>
        <w:rPr>
          <w:lang w:val="en-AU"/>
        </w:rPr>
      </w:pPr>
      <w:r w:rsidRPr="001729A3">
        <w:rPr>
          <w:lang w:val="en-AU"/>
        </w:rPr>
        <w:t>Schumpeterian growth</w:t>
      </w:r>
    </w:p>
    <w:p w14:paraId="7418C5DF" w14:textId="77777777" w:rsidR="00D471AD" w:rsidRPr="001729A3" w:rsidRDefault="00D471AD" w:rsidP="00D471AD">
      <w:pPr>
        <w:pStyle w:val="BodyText"/>
      </w:pPr>
      <w:r w:rsidRPr="001729A3">
        <w:t>Schumpeterian growth theory features quality-improving innovations that displace previous technologies, and are motivated by prospective monopoly rents. It predicts that a higher rate of growth should be associated with a higher rate of business entry and exit, and that exit can enhance productivity growth.</w:t>
      </w:r>
    </w:p>
    <w:p w14:paraId="7418C5E0" w14:textId="77777777" w:rsidR="00D471AD" w:rsidRPr="001729A3" w:rsidRDefault="00D471AD" w:rsidP="00D471AD">
      <w:pPr>
        <w:pStyle w:val="glossaryheading"/>
        <w:rPr>
          <w:lang w:val="en-AU"/>
        </w:rPr>
      </w:pPr>
      <w:r w:rsidRPr="001729A3">
        <w:rPr>
          <w:lang w:val="en-AU"/>
        </w:rPr>
        <w:t>Science and engineering degrees</w:t>
      </w:r>
    </w:p>
    <w:p w14:paraId="7418C5E1" w14:textId="77777777" w:rsidR="00D471AD" w:rsidRDefault="00D471AD" w:rsidP="00D471AD">
      <w:pPr>
        <w:pStyle w:val="BodyText"/>
      </w:pPr>
      <w:r w:rsidRPr="001729A3">
        <w:t>Science degrees include: life sciences; physical sciences; mathematics and statistics; and computing. Engineering degrees comprise: engineering and engineering trades; manufacturing and processing; and architecture and building.</w:t>
      </w:r>
    </w:p>
    <w:p w14:paraId="7418C5E2" w14:textId="77777777" w:rsidR="00D471AD" w:rsidRPr="00F35920" w:rsidRDefault="00D471AD" w:rsidP="00D471AD">
      <w:pPr>
        <w:pStyle w:val="glossaryheading"/>
        <w:rPr>
          <w:b w:val="0"/>
          <w:lang w:val="en-AU"/>
        </w:rPr>
      </w:pPr>
      <w:r w:rsidRPr="008A59D4">
        <w:rPr>
          <w:lang w:val="en-AU"/>
        </w:rPr>
        <w:t>SME</w:t>
      </w:r>
      <w:r>
        <w:rPr>
          <w:lang w:val="en-AU"/>
        </w:rPr>
        <w:t>s</w:t>
      </w:r>
      <w:r w:rsidRPr="008A59D4">
        <w:rPr>
          <w:lang w:val="en-AU"/>
        </w:rPr>
        <w:t xml:space="preserve"> (Small- and Medium-Sized Enterprises)</w:t>
      </w:r>
    </w:p>
    <w:p w14:paraId="7418C5E3" w14:textId="77777777" w:rsidR="00D471AD" w:rsidRPr="001729A3" w:rsidRDefault="00D471AD" w:rsidP="00D471AD">
      <w:pPr>
        <w:pStyle w:val="BodyText"/>
      </w:pPr>
      <w:r w:rsidRPr="00F35920">
        <w:t xml:space="preserve">See </w:t>
      </w:r>
      <w:r w:rsidRPr="00F35920">
        <w:rPr>
          <w:i/>
        </w:rPr>
        <w:t>Business size</w:t>
      </w:r>
      <w:r w:rsidRPr="00F35920">
        <w:t>.</w:t>
      </w:r>
    </w:p>
    <w:p w14:paraId="7418C5E4" w14:textId="77777777" w:rsidR="00D471AD" w:rsidRPr="001729A3" w:rsidRDefault="00D471AD" w:rsidP="00D471AD">
      <w:pPr>
        <w:pStyle w:val="glossaryheading"/>
        <w:rPr>
          <w:lang w:val="en-AU"/>
        </w:rPr>
      </w:pPr>
      <w:r w:rsidRPr="001729A3">
        <w:rPr>
          <w:lang w:val="en-AU"/>
        </w:rPr>
        <w:t>Spillover</w:t>
      </w:r>
    </w:p>
    <w:p w14:paraId="7418C5E5" w14:textId="77777777" w:rsidR="00D471AD" w:rsidRPr="001729A3" w:rsidRDefault="00D471AD" w:rsidP="00D471AD">
      <w:pPr>
        <w:pStyle w:val="BodyText"/>
      </w:pPr>
      <w:r w:rsidRPr="001729A3">
        <w:t xml:space="preserve">The situation in which the costs of producing or the benefits of consuming a good spill over onto those who are not producing or consuming it. Spillover effects are also known as externalities. </w:t>
      </w:r>
    </w:p>
    <w:p w14:paraId="7418C5E6" w14:textId="77777777" w:rsidR="00D471AD" w:rsidRPr="001729A3" w:rsidRDefault="00D471AD" w:rsidP="00D471AD">
      <w:pPr>
        <w:pStyle w:val="glossaryheading"/>
        <w:rPr>
          <w:lang w:val="en-AU"/>
        </w:rPr>
      </w:pPr>
      <w:r w:rsidRPr="001729A3">
        <w:rPr>
          <w:lang w:val="en-AU"/>
        </w:rPr>
        <w:t>Statistical Area Level 3</w:t>
      </w:r>
    </w:p>
    <w:p w14:paraId="7418C5E7" w14:textId="77777777" w:rsidR="00D471AD" w:rsidRPr="001729A3" w:rsidRDefault="00D471AD" w:rsidP="00D471AD">
      <w:pPr>
        <w:pStyle w:val="BodyText"/>
      </w:pPr>
      <w:r w:rsidRPr="001729A3">
        <w:t>Statistical Areas Level 3 (SA3s) are geographical areas that are used for the output of regional data, including census data. The aim of SA3s is to create a standard framework for the analysis of ABS data at the regional level. SA3s are designed to provide a regional breakdown of Australia. They generally have a population of between 30 000 and 130 000 people. In the major cities, they represent the area serviced by a major transport and commercial hub. They often closely align to large urban local government areas</w:t>
      </w:r>
      <w:r>
        <w:t xml:space="preserve"> (e</w:t>
      </w:r>
      <w:r w:rsidRPr="001729A3">
        <w:t>.g. Parramatta, Geelong</w:t>
      </w:r>
      <w:r>
        <w:t>)</w:t>
      </w:r>
      <w:r w:rsidRPr="00660104">
        <w:t>.</w:t>
      </w:r>
      <w:r w:rsidRPr="001729A3">
        <w:t xml:space="preserve"> In regional areas, they represent the area serviced by regional cities with a population </w:t>
      </w:r>
      <w:r>
        <w:t xml:space="preserve">of </w:t>
      </w:r>
      <w:r w:rsidRPr="001729A3">
        <w:t xml:space="preserve">over 20 000 people. In outer regional and remote areas, they represent areas </w:t>
      </w:r>
      <w:r>
        <w:t>that</w:t>
      </w:r>
      <w:r w:rsidRPr="00660104">
        <w:t xml:space="preserve"> </w:t>
      </w:r>
      <w:r w:rsidRPr="001729A3">
        <w:t>are widely recognised as having a distinct identity and have similar social and economic characteristics.</w:t>
      </w:r>
    </w:p>
    <w:p w14:paraId="7418C5E8" w14:textId="77777777" w:rsidR="00D471AD" w:rsidRPr="001729A3" w:rsidRDefault="00D471AD" w:rsidP="00D471AD">
      <w:pPr>
        <w:pStyle w:val="glossaryheading"/>
        <w:rPr>
          <w:lang w:val="en-AU"/>
        </w:rPr>
      </w:pPr>
      <w:r w:rsidRPr="001729A3">
        <w:rPr>
          <w:lang w:val="en-AU"/>
        </w:rPr>
        <w:t xml:space="preserve">Trade in Value-Added </w:t>
      </w:r>
    </w:p>
    <w:p w14:paraId="7418C5E9" w14:textId="77777777" w:rsidR="00D471AD" w:rsidRPr="001729A3" w:rsidRDefault="00D471AD" w:rsidP="00D471AD">
      <w:pPr>
        <w:pStyle w:val="BodyText"/>
      </w:pPr>
      <w:r w:rsidRPr="001729A3">
        <w:t>Traded-exposed goods and services are composed of inputs from various countries around the world. However, the flows of goods and services within global production chains are not always reflected in conventional measures of international trade. The joint OECD–WTO Trade in Value-Added initiative addresses this issue by considering the value added by each country in the production of goods and services that are consumed worldwide.</w:t>
      </w:r>
    </w:p>
    <w:p w14:paraId="7418C5EA" w14:textId="77777777" w:rsidR="00D471AD" w:rsidRPr="001729A3" w:rsidRDefault="00D471AD" w:rsidP="00D471AD">
      <w:pPr>
        <w:pStyle w:val="glossaryheading"/>
        <w:rPr>
          <w:lang w:val="en-AU"/>
        </w:rPr>
      </w:pPr>
      <w:r w:rsidRPr="001729A3">
        <w:rPr>
          <w:lang w:val="en-AU"/>
        </w:rPr>
        <w:t xml:space="preserve">Trademarks </w:t>
      </w:r>
    </w:p>
    <w:p w14:paraId="7418C5EB" w14:textId="77777777" w:rsidR="00D471AD" w:rsidRPr="001729A3" w:rsidRDefault="00D471AD" w:rsidP="00D471AD">
      <w:pPr>
        <w:pStyle w:val="BodyText"/>
      </w:pPr>
      <w:r w:rsidRPr="001729A3">
        <w:t xml:space="preserve">Trademarks are the outcome of establishing recognisable designations and symbols for goods and services, as well as business’ identities. They play a crucial role in the process </w:t>
      </w:r>
      <w:r>
        <w:t>o</w:t>
      </w:r>
      <w:r w:rsidRPr="00660104">
        <w:t>f</w:t>
      </w:r>
      <w:r w:rsidRPr="001729A3">
        <w:t xml:space="preserve"> marketing innovations, being instrumental in differentiating the attributes of goods and services in the marketplace. Trademark data is considered a useful complementary measure of innovation activity in business compared with patents because of its broader applicability to service industries.</w:t>
      </w:r>
    </w:p>
    <w:p w14:paraId="7418C5EC" w14:textId="77777777" w:rsidR="00D471AD" w:rsidRPr="001729A3" w:rsidRDefault="00D471AD" w:rsidP="00D471AD">
      <w:pPr>
        <w:pStyle w:val="glossaryheading"/>
        <w:rPr>
          <w:lang w:val="en-AU"/>
        </w:rPr>
      </w:pPr>
      <w:r w:rsidRPr="001729A3">
        <w:rPr>
          <w:lang w:val="en-AU"/>
        </w:rPr>
        <w:t>UTS</w:t>
      </w:r>
    </w:p>
    <w:p w14:paraId="7418C5ED" w14:textId="77777777" w:rsidR="00D471AD" w:rsidRPr="001729A3" w:rsidRDefault="00D471AD" w:rsidP="00D471AD">
      <w:pPr>
        <w:pStyle w:val="BodyText"/>
      </w:pPr>
      <w:r w:rsidRPr="001729A3">
        <w:t>University of Technology Sydney</w:t>
      </w:r>
    </w:p>
    <w:p w14:paraId="7418C5EE" w14:textId="77777777" w:rsidR="00D471AD" w:rsidRPr="001729A3" w:rsidRDefault="00D471AD" w:rsidP="00D471AD">
      <w:pPr>
        <w:pStyle w:val="glossaryheading"/>
        <w:rPr>
          <w:lang w:val="en-AU"/>
        </w:rPr>
      </w:pPr>
      <w:r w:rsidRPr="001729A3">
        <w:rPr>
          <w:lang w:val="en-AU"/>
        </w:rPr>
        <w:t>Value added</w:t>
      </w:r>
    </w:p>
    <w:p w14:paraId="7418C5EF" w14:textId="77777777" w:rsidR="00D471AD" w:rsidRPr="001729A3" w:rsidRDefault="00D471AD" w:rsidP="00D471AD">
      <w:pPr>
        <w:pStyle w:val="BodyText"/>
      </w:pPr>
      <w:r w:rsidRPr="001729A3">
        <w:t>The amount by which the value of an article is increased at each stage of its production, exclusive of initial costs. In national accounts, value added is often obtained by deducting intermediate consumption from gross output.</w:t>
      </w:r>
    </w:p>
    <w:p w14:paraId="7418C5F0" w14:textId="77777777" w:rsidR="00D471AD" w:rsidRPr="001729A3" w:rsidRDefault="00D471AD" w:rsidP="00D471AD">
      <w:pPr>
        <w:pStyle w:val="glossaryheading"/>
        <w:rPr>
          <w:lang w:val="en-AU"/>
        </w:rPr>
      </w:pPr>
      <w:r w:rsidRPr="001729A3">
        <w:rPr>
          <w:lang w:val="en-AU"/>
        </w:rPr>
        <w:t xml:space="preserve">Venture capital </w:t>
      </w:r>
    </w:p>
    <w:p w14:paraId="7418C5F1" w14:textId="77777777" w:rsidR="00D471AD" w:rsidRPr="001729A3" w:rsidRDefault="00D471AD" w:rsidP="00D471AD">
      <w:pPr>
        <w:pStyle w:val="BodyText"/>
        <w:spacing w:before="108"/>
      </w:pPr>
      <w:r w:rsidRPr="001729A3">
        <w:t xml:space="preserve">Venture capital is defined as </w:t>
      </w:r>
      <w:r w:rsidRPr="00660104">
        <w:t>high</w:t>
      </w:r>
      <w:r>
        <w:t>-</w:t>
      </w:r>
      <w:r w:rsidRPr="001729A3">
        <w:t xml:space="preserve">risk private equity capital for typically new, innovative or </w:t>
      </w:r>
      <w:r w:rsidRPr="00660104">
        <w:t>fast</w:t>
      </w:r>
      <w:r>
        <w:t>-</w:t>
      </w:r>
      <w:r w:rsidRPr="001729A3">
        <w:t>growing unlisted companies. A venture capital investment is usually a short</w:t>
      </w:r>
      <w:r>
        <w:t>-</w:t>
      </w:r>
      <w:r w:rsidRPr="001729A3">
        <w:t xml:space="preserve"> to medium-term investment with a divestment strategy</w:t>
      </w:r>
      <w:r>
        <w:t>,</w:t>
      </w:r>
      <w:r w:rsidRPr="001729A3">
        <w:t xml:space="preserve"> with the intended return on investment mainly in the form of capital gains (rather than long-term investment involving regular income streams).</w:t>
      </w:r>
    </w:p>
    <w:p w14:paraId="7418C5F2" w14:textId="77777777" w:rsidR="00D471AD" w:rsidRPr="001729A3" w:rsidRDefault="00D471AD" w:rsidP="00D471AD">
      <w:pPr>
        <w:pStyle w:val="BodyText"/>
        <w:spacing w:before="108"/>
      </w:pPr>
      <w:r w:rsidRPr="001729A3">
        <w:t>The following describes various stages at which a venture capital vehicle may make investments:</w:t>
      </w:r>
    </w:p>
    <w:p w14:paraId="7418C5F3" w14:textId="77777777" w:rsidR="00D471AD" w:rsidRPr="001729A3" w:rsidRDefault="00D471AD" w:rsidP="00D471AD">
      <w:pPr>
        <w:pStyle w:val="BodyText"/>
        <w:numPr>
          <w:ilvl w:val="0"/>
          <w:numId w:val="22"/>
        </w:numPr>
        <w:spacing w:before="100"/>
        <w:ind w:left="357" w:hanging="357"/>
      </w:pPr>
      <w:r w:rsidRPr="001729A3">
        <w:t>Earlier stages (includes pre-seed, seed, start-up or early): products are in development, testing or pilot production. Investee companies may not be fully operational</w:t>
      </w:r>
      <w:r>
        <w:t>,</w:t>
      </w:r>
      <w:r w:rsidRPr="001729A3">
        <w:t xml:space="preserve"> and may not yet be generating revenue.</w:t>
      </w:r>
    </w:p>
    <w:p w14:paraId="7418C5F4" w14:textId="77777777" w:rsidR="00D471AD" w:rsidRPr="001729A3" w:rsidRDefault="00D471AD" w:rsidP="00D471AD">
      <w:pPr>
        <w:pStyle w:val="BodyText"/>
        <w:numPr>
          <w:ilvl w:val="0"/>
          <w:numId w:val="22"/>
        </w:numPr>
        <w:spacing w:before="100"/>
        <w:ind w:left="357" w:hanging="357"/>
      </w:pPr>
      <w:r w:rsidRPr="001729A3">
        <w:t>Expansion (includes early expansion, expansion or late expansion): developed products are in the market</w:t>
      </w:r>
      <w:r>
        <w:t>,</w:t>
      </w:r>
      <w:r w:rsidRPr="001729A3">
        <w:t xml:space="preserve"> and the investee company has significant revenue growth and may be approaching, or at, profitable operating levels.</w:t>
      </w:r>
    </w:p>
    <w:p w14:paraId="7418C5F5" w14:textId="77777777" w:rsidR="00D471AD" w:rsidRPr="001729A3" w:rsidRDefault="00D471AD" w:rsidP="00D471AD">
      <w:pPr>
        <w:pStyle w:val="BodyText"/>
        <w:numPr>
          <w:ilvl w:val="0"/>
          <w:numId w:val="22"/>
        </w:numPr>
        <w:spacing w:before="100"/>
        <w:ind w:left="357" w:hanging="357"/>
      </w:pPr>
      <w:r w:rsidRPr="001729A3">
        <w:t>Later stages (includes turnaround, late, buyout or sale): a mature investee company that may require financing for turnarounds (because of flat or declining revenue), consolidation and selling of the business.</w:t>
      </w:r>
    </w:p>
    <w:p w14:paraId="7418C5F6" w14:textId="77777777" w:rsidR="00D471AD" w:rsidRPr="001729A3" w:rsidRDefault="00D471AD" w:rsidP="00D471AD">
      <w:pPr>
        <w:pStyle w:val="BodyText"/>
        <w:sectPr w:rsidR="00D471AD" w:rsidRPr="001729A3" w:rsidSect="00D471AD">
          <w:headerReference w:type="even" r:id="rId196"/>
          <w:headerReference w:type="default" r:id="rId197"/>
          <w:footerReference w:type="even" r:id="rId198"/>
          <w:footerReference w:type="default" r:id="rId199"/>
          <w:headerReference w:type="first" r:id="rId200"/>
          <w:footnotePr>
            <w:numFmt w:val="upperRoman"/>
          </w:footnotePr>
          <w:endnotePr>
            <w:numFmt w:val="decimal"/>
          </w:endnotePr>
          <w:pgSz w:w="11906" w:h="16838" w:code="9"/>
          <w:pgMar w:top="1440" w:right="992" w:bottom="1440" w:left="992" w:header="709" w:footer="709" w:gutter="0"/>
          <w:cols w:num="2" w:space="708"/>
          <w:docGrid w:linePitch="360"/>
        </w:sectPr>
      </w:pPr>
    </w:p>
    <w:p w14:paraId="7418C5F9" w14:textId="26457C77" w:rsidR="00D471AD" w:rsidRDefault="00D471AD" w:rsidP="00875D8B">
      <w:pPr>
        <w:pStyle w:val="Glossary"/>
      </w:pPr>
      <w:bookmarkStart w:id="3174" w:name="_Toc461624511"/>
      <w:bookmarkStart w:id="3175" w:name="_Toc461629735"/>
      <w:bookmarkStart w:id="3176" w:name="_Toc461633065"/>
      <w:bookmarkStart w:id="3177" w:name="_Toc461634335"/>
      <w:bookmarkStart w:id="3178" w:name="_Toc465862849"/>
      <w:r w:rsidRPr="001729A3">
        <w:rPr>
          <w:lang w:val="en-AU"/>
        </w:rPr>
        <w:t>References</w:t>
      </w:r>
      <w:bookmarkEnd w:id="3174"/>
      <w:bookmarkEnd w:id="3175"/>
      <w:bookmarkEnd w:id="3176"/>
      <w:bookmarkEnd w:id="3177"/>
      <w:bookmarkEnd w:id="3178"/>
    </w:p>
    <w:p w14:paraId="7418C5FA" w14:textId="77777777" w:rsidR="00D471AD" w:rsidRDefault="00D471AD"/>
    <w:sectPr w:rsidR="00D471A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8C691" w14:textId="77777777" w:rsidR="004A31A9" w:rsidRDefault="004A31A9" w:rsidP="00D471AD">
      <w:pPr>
        <w:spacing w:after="0" w:line="240" w:lineRule="auto"/>
      </w:pPr>
      <w:r>
        <w:separator/>
      </w:r>
    </w:p>
  </w:endnote>
  <w:endnote w:type="continuationSeparator" w:id="0">
    <w:p w14:paraId="7418C692" w14:textId="77777777" w:rsidR="004A31A9" w:rsidRDefault="004A31A9" w:rsidP="00D471AD">
      <w:pPr>
        <w:spacing w:after="0" w:line="240" w:lineRule="auto"/>
      </w:pPr>
      <w:r>
        <w:continuationSeparator/>
      </w:r>
    </w:p>
  </w:endnote>
  <w:endnote w:id="1">
    <w:p w14:paraId="7418C6E7" w14:textId="77777777" w:rsidR="004A31A9" w:rsidRPr="00755C20" w:rsidRDefault="004A31A9" w:rsidP="00D471AD">
      <w:pPr>
        <w:pStyle w:val="citationheading"/>
        <w:spacing w:after="114"/>
      </w:pPr>
      <w:r w:rsidRPr="00755C20">
        <w:t>Introduction</w:t>
      </w:r>
    </w:p>
    <w:p w14:paraId="7418C6E8" w14:textId="77777777" w:rsidR="004A31A9" w:rsidRPr="00755C20" w:rsidRDefault="004A31A9" w:rsidP="00D471AD">
      <w:pPr>
        <w:pStyle w:val="EndnoteText"/>
        <w:spacing w:after="96"/>
        <w:rPr>
          <w:lang w:val="en-US"/>
        </w:rPr>
      </w:pPr>
      <w:r w:rsidRPr="00755C20">
        <w:rPr>
          <w:rStyle w:val="EndnoteReference"/>
        </w:rPr>
        <w:endnoteRef/>
      </w:r>
      <w:r w:rsidRPr="00755C20">
        <w:t xml:space="preserve"> </w:t>
      </w:r>
      <w:r>
        <w:t xml:space="preserve">Australian Government (2016) </w:t>
      </w:r>
      <w:r w:rsidRPr="000D4158">
        <w:rPr>
          <w:i/>
        </w:rPr>
        <w:t>Australian Innovation System Report</w:t>
      </w:r>
      <w:r>
        <w:t xml:space="preserve">, Office of the Chief Economist, viewed 28 October 2016, </w:t>
      </w:r>
      <w:hyperlink r:id="rId1" w:tooltip="www.industry.gov.au/innovationreport" w:history="1">
        <w:r w:rsidRPr="00755C20">
          <w:rPr>
            <w:rStyle w:val="Hyperlink"/>
          </w:rPr>
          <w:t>www.industry.gov.au/innovationreport</w:t>
        </w:r>
      </w:hyperlink>
    </w:p>
  </w:endnote>
  <w:endnote w:id="2">
    <w:p w14:paraId="7418C6E9" w14:textId="77777777" w:rsidR="004A31A9" w:rsidRPr="00755C20" w:rsidRDefault="004A31A9" w:rsidP="00D471AD">
      <w:pPr>
        <w:pStyle w:val="Definitionboxtext"/>
        <w:keepNext w:val="0"/>
        <w:keepLines w:val="0"/>
        <w:spacing w:before="0" w:afterLines="40" w:after="96"/>
        <w:ind w:left="0"/>
        <w:rPr>
          <w:rFonts w:eastAsiaTheme="minorHAnsi" w:cstheme="minorHAnsi"/>
          <w:i w:val="0"/>
          <w:sz w:val="16"/>
          <w:szCs w:val="16"/>
          <w:lang w:val="en-AU"/>
        </w:rPr>
      </w:pPr>
      <w:r w:rsidRPr="00755C20">
        <w:rPr>
          <w:rStyle w:val="EndnoteReference"/>
          <w:rFonts w:eastAsiaTheme="minorHAnsi" w:cstheme="minorHAnsi"/>
          <w:i w:val="0"/>
          <w:sz w:val="16"/>
          <w:szCs w:val="16"/>
          <w:lang w:val="en-AU"/>
        </w:rPr>
        <w:endnoteRef/>
      </w:r>
      <w:r w:rsidRPr="00755C20">
        <w:rPr>
          <w:rStyle w:val="EndnoteReference"/>
          <w:rFonts w:eastAsiaTheme="minorHAnsi" w:cstheme="minorHAnsi"/>
          <w:i w:val="0"/>
          <w:sz w:val="16"/>
          <w:szCs w:val="16"/>
          <w:lang w:val="en-AU"/>
        </w:rPr>
        <w:t xml:space="preserve"> </w:t>
      </w:r>
      <w:r w:rsidRPr="00755C20">
        <w:rPr>
          <w:rFonts w:eastAsiaTheme="minorHAnsi" w:cstheme="minorHAnsi"/>
          <w:i w:val="0"/>
          <w:sz w:val="16"/>
          <w:szCs w:val="16"/>
          <w:lang w:val="en-AU"/>
        </w:rPr>
        <w:t xml:space="preserve">OECD (2005) </w:t>
      </w:r>
      <w:r w:rsidRPr="00755C20">
        <w:rPr>
          <w:rFonts w:eastAsiaTheme="minorHAnsi" w:cstheme="minorHAnsi"/>
          <w:sz w:val="16"/>
          <w:szCs w:val="16"/>
          <w:lang w:val="en-AU"/>
        </w:rPr>
        <w:t>Oslo manual: guidelines for collecting and interpreting innovation data</w:t>
      </w:r>
      <w:r w:rsidRPr="00755C20">
        <w:rPr>
          <w:rFonts w:eastAsiaTheme="minorHAnsi" w:cstheme="minorHAnsi"/>
          <w:i w:val="0"/>
          <w:sz w:val="16"/>
          <w:szCs w:val="16"/>
          <w:lang w:val="en-AU"/>
        </w:rPr>
        <w:t>, 3rd edition, OECD and European Commission.</w:t>
      </w:r>
    </w:p>
  </w:endnote>
  <w:endnote w:id="3">
    <w:p w14:paraId="7418C6EA" w14:textId="77777777" w:rsidR="004A31A9" w:rsidRPr="00755C20" w:rsidRDefault="004A31A9" w:rsidP="00D471AD">
      <w:pPr>
        <w:pStyle w:val="EndnoteText"/>
        <w:spacing w:after="96"/>
        <w:rPr>
          <w:rFonts w:cstheme="minorHAnsi"/>
          <w:szCs w:val="16"/>
          <w:lang w:val="en-US"/>
        </w:rPr>
      </w:pPr>
      <w:r w:rsidRPr="00755C20">
        <w:rPr>
          <w:rStyle w:val="EndnoteReference"/>
          <w:rFonts w:cstheme="minorHAnsi"/>
          <w:szCs w:val="16"/>
        </w:rPr>
        <w:endnoteRef/>
      </w:r>
      <w:r w:rsidRPr="00755C20">
        <w:rPr>
          <w:rFonts w:cstheme="minorHAnsi"/>
          <w:szCs w:val="16"/>
        </w:rPr>
        <w:t xml:space="preserve"> </w:t>
      </w:r>
      <w:r w:rsidRPr="00755C20">
        <w:rPr>
          <w:rFonts w:cstheme="minorHAnsi"/>
          <w:szCs w:val="16"/>
          <w:lang w:val="en-US"/>
        </w:rPr>
        <w:t xml:space="preserve">See a review of innovation systems definitions in Deloitte Access Economics and Business Council of Australia (2014) </w:t>
      </w:r>
      <w:r w:rsidRPr="00755C20">
        <w:rPr>
          <w:rFonts w:cstheme="minorHAnsi"/>
          <w:i/>
          <w:szCs w:val="16"/>
          <w:lang w:val="en-US"/>
        </w:rPr>
        <w:t>Australia’s innovation imperative</w:t>
      </w:r>
      <w:r w:rsidRPr="00755C20">
        <w:rPr>
          <w:rFonts w:cstheme="minorHAnsi"/>
          <w:szCs w:val="16"/>
          <w:lang w:val="en-US"/>
        </w:rPr>
        <w:t xml:space="preserve">, </w:t>
      </w:r>
      <w:r w:rsidRPr="00755C20">
        <w:rPr>
          <w:rFonts w:cstheme="minorHAnsi"/>
          <w:szCs w:val="16"/>
        </w:rPr>
        <w:t>pp. 7–8</w:t>
      </w:r>
      <w:r w:rsidRPr="00755C20">
        <w:rPr>
          <w:rFonts w:cstheme="minorHAnsi"/>
          <w:szCs w:val="16"/>
          <w:lang w:val="en-US"/>
        </w:rPr>
        <w:t xml:space="preserve"> and the appendix.</w:t>
      </w:r>
    </w:p>
    <w:p w14:paraId="7418C6EB" w14:textId="77777777" w:rsidR="004A31A9" w:rsidRPr="00755C20" w:rsidRDefault="004A31A9" w:rsidP="00D471AD">
      <w:pPr>
        <w:pStyle w:val="citationheading"/>
        <w:spacing w:after="114"/>
      </w:pPr>
      <w:r w:rsidRPr="00755C20">
        <w:t>Chapter 1</w:t>
      </w:r>
    </w:p>
  </w:endnote>
  <w:endnote w:id="4">
    <w:p w14:paraId="7418C6EC" w14:textId="77777777" w:rsidR="004A31A9" w:rsidRPr="00755C20" w:rsidRDefault="004A31A9" w:rsidP="00D471AD">
      <w:pPr>
        <w:pStyle w:val="EndnoteText"/>
        <w:spacing w:after="96"/>
        <w:rPr>
          <w:szCs w:val="16"/>
        </w:rPr>
      </w:pPr>
      <w:r w:rsidRPr="00755C20">
        <w:rPr>
          <w:rStyle w:val="EndnoteReference"/>
          <w:szCs w:val="16"/>
        </w:rPr>
        <w:endnoteRef/>
      </w:r>
      <w:r w:rsidRPr="00755C20">
        <w:rPr>
          <w:szCs w:val="16"/>
        </w:rPr>
        <w:t xml:space="preserve"> OECD (2016) Oslo Manual: Guidelines for Collecting and Interpreting Innovation Data, 3rd Edition, </w:t>
      </w:r>
      <w:r w:rsidRPr="00755C20">
        <w:rPr>
          <w:i/>
          <w:szCs w:val="16"/>
        </w:rPr>
        <w:t>OECD</w:t>
      </w:r>
      <w:r w:rsidRPr="00755C20">
        <w:rPr>
          <w:szCs w:val="16"/>
        </w:rPr>
        <w:t xml:space="preserve">, viewed 14 September 2016, </w:t>
      </w:r>
      <w:hyperlink r:id="rId2" w:tooltip="http://www.oecd.org/innovation/inno/oslomanualguidelinesforcollectingandinterpretinginnovationdata3rdedition.htm" w:history="1">
        <w:r w:rsidRPr="00235700">
          <w:rPr>
            <w:rStyle w:val="Hyperlink"/>
            <w:szCs w:val="16"/>
          </w:rPr>
          <w:t>http://www.oecd.org/innovation/inno/oslomanualguidelinesforcollectingandinterpretinginnovationdata3rdedition.htm</w:t>
        </w:r>
      </w:hyperlink>
      <w:r w:rsidRPr="00755C20">
        <w:rPr>
          <w:szCs w:val="16"/>
        </w:rPr>
        <w:t xml:space="preserve"> </w:t>
      </w:r>
    </w:p>
  </w:endnote>
  <w:endnote w:id="5">
    <w:p w14:paraId="7418C6ED"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OECD (2015) </w:t>
      </w:r>
      <w:r w:rsidRPr="00755C20">
        <w:rPr>
          <w:rFonts w:cstheme="minorHAnsi"/>
          <w:i/>
          <w:szCs w:val="16"/>
        </w:rPr>
        <w:t>Frascati Manual 2015: Guidelines for Collecting and Reporting Data on Research and Experimental Development</w:t>
      </w:r>
      <w:r w:rsidRPr="00755C20">
        <w:rPr>
          <w:rFonts w:cstheme="minorHAnsi"/>
          <w:szCs w:val="16"/>
        </w:rPr>
        <w:t>, OECD Publishing</w:t>
      </w:r>
    </w:p>
  </w:endnote>
  <w:endnote w:id="6">
    <w:p w14:paraId="7418C6EE" w14:textId="77777777" w:rsidR="004A31A9" w:rsidRPr="00755C20" w:rsidRDefault="004A31A9" w:rsidP="00D471AD">
      <w:pPr>
        <w:pStyle w:val="EndnoteText"/>
        <w:spacing w:after="96"/>
        <w:rPr>
          <w:rFonts w:cstheme="minorHAnsi"/>
          <w:szCs w:val="16"/>
        </w:rPr>
      </w:pPr>
      <w:r w:rsidRPr="00755C20">
        <w:rPr>
          <w:rStyle w:val="EndnoteReference"/>
          <w:rFonts w:cstheme="minorHAnsi"/>
          <w:szCs w:val="16"/>
        </w:rPr>
        <w:endnoteRef/>
      </w:r>
      <w:r w:rsidRPr="00755C20">
        <w:rPr>
          <w:rFonts w:cstheme="minorHAnsi"/>
          <w:szCs w:val="16"/>
        </w:rPr>
        <w:t xml:space="preserve"> OECD (2009) </w:t>
      </w:r>
      <w:r w:rsidRPr="00755C20">
        <w:rPr>
          <w:rFonts w:cstheme="minorHAnsi"/>
          <w:i/>
          <w:szCs w:val="16"/>
        </w:rPr>
        <w:t>Innovation in Firms: A Microeconomic Perspective</w:t>
      </w:r>
      <w:r w:rsidRPr="00755C20">
        <w:rPr>
          <w:rFonts w:cstheme="minorHAnsi"/>
          <w:szCs w:val="16"/>
        </w:rPr>
        <w:t>, OECD Publishing</w:t>
      </w:r>
    </w:p>
  </w:endnote>
  <w:endnote w:id="7">
    <w:p w14:paraId="7418C6EF" w14:textId="77777777" w:rsidR="004A31A9" w:rsidRPr="00755C20" w:rsidRDefault="004A31A9" w:rsidP="00D471AD">
      <w:pPr>
        <w:pStyle w:val="EndnoteText"/>
        <w:spacing w:after="96"/>
        <w:ind w:right="341"/>
        <w:rPr>
          <w:szCs w:val="16"/>
        </w:rPr>
      </w:pPr>
      <w:r w:rsidRPr="00755C20">
        <w:rPr>
          <w:rStyle w:val="EndnoteReference"/>
          <w:szCs w:val="16"/>
        </w:rPr>
        <w:endnoteRef/>
      </w:r>
      <w:r w:rsidRPr="00755C20">
        <w:rPr>
          <w:szCs w:val="16"/>
        </w:rPr>
        <w:t xml:space="preserve"> University of Tasmania (2016) New Evidence on the Frequency, Impacts and Costs of Activities to Develop Innovations in Australian Businesses, </w:t>
      </w:r>
      <w:r w:rsidRPr="00755C20">
        <w:rPr>
          <w:i/>
          <w:szCs w:val="16"/>
        </w:rPr>
        <w:t>Australian Innovation Research Centre</w:t>
      </w:r>
      <w:r w:rsidRPr="00755C20">
        <w:rPr>
          <w:szCs w:val="16"/>
        </w:rPr>
        <w:t xml:space="preserve">, viewed 14 September 2016, </w:t>
      </w:r>
      <w:hyperlink r:id="rId3" w:tooltip="http://www.utas.edu.au/australian-innovation-research-centre/research/business-sector-innovation/innovation-impacts" w:history="1">
        <w:r w:rsidRPr="00755C20">
          <w:rPr>
            <w:rStyle w:val="Hyperlink"/>
            <w:szCs w:val="16"/>
          </w:rPr>
          <w:t>http://www.utas.edu.au/australian-innovation-research-centre/research/business-sector-innovation/innovation-impacts</w:t>
        </w:r>
      </w:hyperlink>
      <w:r w:rsidRPr="00755C20">
        <w:rPr>
          <w:szCs w:val="16"/>
        </w:rPr>
        <w:t xml:space="preserve"> </w:t>
      </w:r>
    </w:p>
  </w:endnote>
  <w:endnote w:id="8">
    <w:p w14:paraId="7418C6F0" w14:textId="77777777" w:rsidR="004A31A9" w:rsidRPr="00755C20" w:rsidRDefault="004A31A9" w:rsidP="00D471AD">
      <w:pPr>
        <w:pStyle w:val="EndnoteText"/>
        <w:spacing w:after="96"/>
      </w:pPr>
      <w:r w:rsidRPr="00755C20">
        <w:rPr>
          <w:rStyle w:val="EndnoteReference"/>
        </w:rPr>
        <w:endnoteRef/>
      </w:r>
      <w:r w:rsidRPr="00755C20">
        <w:t xml:space="preserve"> </w:t>
      </w:r>
      <w:r w:rsidRPr="00755C20">
        <w:rPr>
          <w:rFonts w:cstheme="minorHAnsi"/>
          <w:szCs w:val="16"/>
        </w:rPr>
        <w:t xml:space="preserve">Bloom, N. et al. (2014) </w:t>
      </w:r>
      <w:r w:rsidRPr="00755C20">
        <w:rPr>
          <w:rFonts w:cstheme="minorHAnsi"/>
          <w:i/>
          <w:szCs w:val="16"/>
        </w:rPr>
        <w:t>The new empirical economics of management</w:t>
      </w:r>
      <w:r w:rsidRPr="00755C20">
        <w:rPr>
          <w:rFonts w:cstheme="minorHAnsi"/>
          <w:szCs w:val="16"/>
        </w:rPr>
        <w:t xml:space="preserve">, NBER Working Paper 20102 </w:t>
      </w:r>
    </w:p>
  </w:endnote>
  <w:endnote w:id="9">
    <w:p w14:paraId="7418C6F1" w14:textId="77777777" w:rsidR="004A31A9" w:rsidRPr="00755C20" w:rsidRDefault="004A31A9" w:rsidP="00D471AD">
      <w:pPr>
        <w:pStyle w:val="EndnoteText"/>
        <w:spacing w:after="96"/>
      </w:pPr>
      <w:r w:rsidRPr="00755C20">
        <w:rPr>
          <w:rStyle w:val="EndnoteReference"/>
          <w:rFonts w:cstheme="minorHAnsi"/>
          <w:szCs w:val="16"/>
        </w:rPr>
        <w:endnoteRef/>
      </w:r>
      <w:r w:rsidRPr="00755C20">
        <w:t xml:space="preserve"> Mason C &amp; Brown R (2014) Entrepreneurial Ecosystems and Growth Oriented Entrepreneurship. OECD &amp; LEED Publishing; World Economic Forum (2013) Entrepreneurial Ecosystems around the Globe and Company Growth Dynamics, World Economic Forum</w:t>
      </w:r>
    </w:p>
  </w:endnote>
  <w:endnote w:id="10">
    <w:p w14:paraId="7418C6F2" w14:textId="77777777" w:rsidR="004A31A9" w:rsidRPr="00755C20" w:rsidRDefault="004A31A9" w:rsidP="00D471AD">
      <w:pPr>
        <w:pStyle w:val="EndnoteText"/>
        <w:spacing w:after="96"/>
        <w:rPr>
          <w:rFonts w:cstheme="minorHAnsi"/>
          <w:szCs w:val="16"/>
        </w:rPr>
      </w:pPr>
      <w:r w:rsidRPr="00755C20">
        <w:rPr>
          <w:rStyle w:val="EndnoteReference"/>
          <w:rFonts w:cstheme="minorHAnsi"/>
          <w:szCs w:val="16"/>
        </w:rPr>
        <w:endnoteRef/>
      </w:r>
      <w:r w:rsidRPr="00755C20">
        <w:rPr>
          <w:rFonts w:cstheme="minorHAnsi"/>
          <w:szCs w:val="16"/>
        </w:rPr>
        <w:t xml:space="preserve"> Markley DM, Lyons TS &amp; Macke DW (2015) Creating Entrepreneurial Communities: Building Community Capacity for Ecosystem Development, </w:t>
      </w:r>
      <w:r w:rsidRPr="00755C20">
        <w:rPr>
          <w:rFonts w:cstheme="minorHAnsi"/>
          <w:i/>
          <w:szCs w:val="16"/>
        </w:rPr>
        <w:t>Community Development</w:t>
      </w:r>
      <w:r w:rsidRPr="00755C20">
        <w:rPr>
          <w:rFonts w:cstheme="minorHAnsi"/>
          <w:szCs w:val="16"/>
        </w:rPr>
        <w:t>, 46(5), pp. 580–598</w:t>
      </w:r>
    </w:p>
  </w:endnote>
  <w:endnote w:id="11">
    <w:p w14:paraId="7418C6F3" w14:textId="77777777" w:rsidR="004A31A9" w:rsidRPr="00755C20" w:rsidRDefault="004A31A9" w:rsidP="00D471AD">
      <w:pPr>
        <w:pStyle w:val="EndnoteText"/>
        <w:spacing w:after="96"/>
      </w:pPr>
      <w:r w:rsidRPr="00755C20">
        <w:rPr>
          <w:rStyle w:val="EndnoteReference"/>
        </w:rPr>
        <w:endnoteRef/>
      </w:r>
      <w:r w:rsidRPr="00755C20">
        <w:t xml:space="preserve"> theSPACE (2016) theSPACE is Far North Queensland’s Innovation &amp; Startup Hub, </w:t>
      </w:r>
      <w:r w:rsidRPr="00755C20">
        <w:rPr>
          <w:i/>
        </w:rPr>
        <w:t>theSPACE</w:t>
      </w:r>
      <w:r w:rsidRPr="00755C20">
        <w:t xml:space="preserve">, viewed 14 September 2016, </w:t>
      </w:r>
      <w:hyperlink r:id="rId4" w:tooltip="https://thespacecairns.com/" w:history="1">
        <w:r w:rsidRPr="00755C20">
          <w:rPr>
            <w:rStyle w:val="Hyperlink"/>
          </w:rPr>
          <w:t>https://thespacecairns.com/</w:t>
        </w:r>
      </w:hyperlink>
      <w:r w:rsidRPr="00755C20">
        <w:t xml:space="preserve"> </w:t>
      </w:r>
    </w:p>
  </w:endnote>
  <w:endnote w:id="12">
    <w:p w14:paraId="7418C6F4" w14:textId="77777777" w:rsidR="004A31A9" w:rsidRPr="00755C20" w:rsidRDefault="004A31A9" w:rsidP="00D471AD">
      <w:pPr>
        <w:pStyle w:val="EndnoteText"/>
        <w:spacing w:after="96"/>
      </w:pPr>
      <w:r w:rsidRPr="00755C20">
        <w:rPr>
          <w:rStyle w:val="EndnoteReference"/>
        </w:rPr>
        <w:endnoteRef/>
      </w:r>
      <w:r w:rsidRPr="00755C20">
        <w:t xml:space="preserve"> Fagerberg J (2013) </w:t>
      </w:r>
      <w:r w:rsidRPr="00755C20">
        <w:rPr>
          <w:i/>
        </w:rPr>
        <w:t>Innovation: a new guide</w:t>
      </w:r>
      <w:r w:rsidRPr="00755C20">
        <w:t xml:space="preserve">, </w:t>
      </w:r>
      <w:hyperlink r:id="rId5" w:history="1">
        <w:r w:rsidRPr="00755C20">
          <w:rPr>
            <w:rStyle w:val="Hyperlink"/>
          </w:rPr>
          <w:t>Working Papers on Innovation Studies</w:t>
        </w:r>
      </w:hyperlink>
      <w:r w:rsidRPr="00755C20">
        <w:t xml:space="preserve"> 20131119, Centre for Technology, Innovation and Culture, University of Oslo</w:t>
      </w:r>
    </w:p>
    <w:p w14:paraId="7418C6F5" w14:textId="77777777" w:rsidR="004A31A9" w:rsidRDefault="004A31A9" w:rsidP="00D471AD">
      <w:pPr>
        <w:pStyle w:val="EndnoteText"/>
        <w:spacing w:after="96"/>
      </w:pPr>
    </w:p>
    <w:p w14:paraId="7418C6F6" w14:textId="77777777" w:rsidR="004A31A9" w:rsidRDefault="004A31A9" w:rsidP="00D471AD">
      <w:pPr>
        <w:pStyle w:val="EndnoteText"/>
        <w:spacing w:after="96"/>
      </w:pPr>
    </w:p>
    <w:p w14:paraId="7418C6F7" w14:textId="77777777" w:rsidR="004A31A9" w:rsidRPr="00755C20" w:rsidRDefault="004A31A9" w:rsidP="00D471AD">
      <w:pPr>
        <w:pStyle w:val="EndnoteText"/>
        <w:spacing w:after="96"/>
      </w:pPr>
    </w:p>
    <w:p w14:paraId="7418C6F8" w14:textId="77777777" w:rsidR="004A31A9" w:rsidRPr="00755C20" w:rsidRDefault="004A31A9" w:rsidP="00D471AD">
      <w:pPr>
        <w:pStyle w:val="EndnoteText"/>
        <w:spacing w:after="96"/>
      </w:pPr>
    </w:p>
  </w:endnote>
  <w:endnote w:id="13">
    <w:p w14:paraId="7418C6F9" w14:textId="77777777" w:rsidR="004A31A9" w:rsidRPr="00755C20" w:rsidRDefault="004A31A9" w:rsidP="00D471AD">
      <w:pPr>
        <w:pStyle w:val="citationheading"/>
        <w:spacing w:after="114"/>
      </w:pPr>
      <w:r w:rsidRPr="00755C20">
        <w:t>Chapter 2</w:t>
      </w:r>
    </w:p>
    <w:p w14:paraId="7418C6FA" w14:textId="77777777" w:rsidR="004A31A9" w:rsidRPr="00755C20" w:rsidRDefault="004A31A9" w:rsidP="00D471AD">
      <w:pPr>
        <w:pStyle w:val="EndnoteText"/>
        <w:spacing w:after="96"/>
        <w:rPr>
          <w:rFonts w:cstheme="minorHAnsi"/>
          <w:szCs w:val="16"/>
        </w:rPr>
      </w:pPr>
      <w:r w:rsidRPr="00755C20">
        <w:rPr>
          <w:rStyle w:val="EndnoteReference"/>
          <w:rFonts w:cstheme="minorHAnsi"/>
          <w:szCs w:val="16"/>
        </w:rPr>
        <w:endnoteRef/>
      </w:r>
      <w:r w:rsidRPr="00755C20">
        <w:rPr>
          <w:rFonts w:cstheme="minorHAnsi"/>
          <w:szCs w:val="16"/>
        </w:rPr>
        <w:t xml:space="preserve"> UN Economic Commission for Europe (2007) </w:t>
      </w:r>
      <w:r w:rsidRPr="00755C20">
        <w:rPr>
          <w:rFonts w:cstheme="minorHAnsi"/>
          <w:i/>
          <w:szCs w:val="16"/>
        </w:rPr>
        <w:t>Creating a conducive environment for higher competitiveness and effective national innovation systems: lessons learned from the experiences of UNECE countries</w:t>
      </w:r>
      <w:r w:rsidRPr="00755C20">
        <w:rPr>
          <w:rFonts w:cstheme="minorHAnsi"/>
          <w:szCs w:val="16"/>
        </w:rPr>
        <w:t xml:space="preserve">, United Nations, New York &amp; Geneva, pp. 9–37; Urbancová H (2013) Competitive advantage achievement through innovation and knowledge, </w:t>
      </w:r>
      <w:r w:rsidRPr="00755C20">
        <w:rPr>
          <w:rFonts w:cstheme="minorHAnsi"/>
          <w:i/>
          <w:szCs w:val="16"/>
        </w:rPr>
        <w:t>Journal of Competitiveness</w:t>
      </w:r>
      <w:r w:rsidRPr="00755C20">
        <w:rPr>
          <w:rFonts w:cstheme="minorHAnsi"/>
          <w:szCs w:val="16"/>
        </w:rPr>
        <w:t xml:space="preserve"> 5(1), pp. 82–96; and OECD (2015) </w:t>
      </w:r>
      <w:r w:rsidRPr="00755C20">
        <w:rPr>
          <w:rFonts w:cstheme="minorHAnsi"/>
          <w:i/>
          <w:szCs w:val="16"/>
        </w:rPr>
        <w:t>Science, technology and industry scoreboard 2015</w:t>
      </w:r>
      <w:r w:rsidRPr="00755C20">
        <w:rPr>
          <w:rFonts w:cstheme="minorHAnsi"/>
          <w:szCs w:val="16"/>
        </w:rPr>
        <w:t xml:space="preserve">, OECD Publishing; Solow RM (1957) Technical change and the aggregate production function, </w:t>
      </w:r>
      <w:r w:rsidRPr="00755C20">
        <w:rPr>
          <w:rFonts w:cstheme="minorHAnsi"/>
          <w:i/>
          <w:szCs w:val="16"/>
        </w:rPr>
        <w:t>Review of Economics and Statistics</w:t>
      </w:r>
      <w:r w:rsidRPr="00755C20">
        <w:rPr>
          <w:rFonts w:cstheme="minorHAnsi"/>
          <w:szCs w:val="16"/>
        </w:rPr>
        <w:t xml:space="preserve"> 39(3), pp. 312–320; McCloskey D (2012) Bourgeois Dignity: Some Schumpeterian Themes, keynote speech at 14th Joseph Schumpeter Conference, Brisbane, July 2012; Rosenberg N et al. (1992) </w:t>
      </w:r>
      <w:r w:rsidRPr="00755C20">
        <w:rPr>
          <w:rFonts w:cstheme="minorHAnsi"/>
          <w:i/>
          <w:szCs w:val="16"/>
        </w:rPr>
        <w:t>Technology and the wealth of nations</w:t>
      </w:r>
      <w:r w:rsidRPr="00755C20">
        <w:rPr>
          <w:rFonts w:cstheme="minorHAnsi"/>
          <w:szCs w:val="16"/>
        </w:rPr>
        <w:t xml:space="preserve">, Stanford University Press; and Verspagen B 2005, Innovation and economic growth, In Fagerberg J, Mowery DC &amp; Nelson RR (eds.), </w:t>
      </w:r>
      <w:r w:rsidRPr="00755C20">
        <w:rPr>
          <w:rFonts w:cstheme="minorHAnsi"/>
          <w:i/>
          <w:szCs w:val="16"/>
        </w:rPr>
        <w:t>The Oxford handbook of innovation</w:t>
      </w:r>
      <w:r w:rsidRPr="00755C20">
        <w:rPr>
          <w:rFonts w:cstheme="minorHAnsi"/>
          <w:szCs w:val="16"/>
        </w:rPr>
        <w:t>, Oxford University Press</w:t>
      </w:r>
    </w:p>
  </w:endnote>
  <w:endnote w:id="14">
    <w:p w14:paraId="7418C6FB"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w:t>
      </w:r>
      <w:r w:rsidRPr="00755C20">
        <w:rPr>
          <w:rStyle w:val="Strong"/>
          <w:rFonts w:cstheme="minorHAnsi"/>
          <w:b w:val="0"/>
          <w:szCs w:val="16"/>
        </w:rPr>
        <w:t xml:space="preserve">OECD (2015) </w:t>
      </w:r>
      <w:r w:rsidRPr="00755C20">
        <w:rPr>
          <w:rStyle w:val="Strong"/>
          <w:rFonts w:cstheme="minorHAnsi"/>
          <w:b w:val="0"/>
          <w:i/>
          <w:szCs w:val="16"/>
        </w:rPr>
        <w:t>The OECD Innovation Strategy 2015</w:t>
      </w:r>
      <w:r w:rsidRPr="00755C20">
        <w:rPr>
          <w:rStyle w:val="Strong"/>
          <w:rFonts w:cstheme="minorHAnsi"/>
          <w:b w:val="0"/>
          <w:szCs w:val="16"/>
        </w:rPr>
        <w:t>, OECD Publishing</w:t>
      </w:r>
    </w:p>
  </w:endnote>
  <w:endnote w:id="15">
    <w:p w14:paraId="7418C6FC" w14:textId="77777777" w:rsidR="004A31A9" w:rsidRPr="00755C20" w:rsidRDefault="004A31A9" w:rsidP="00D471AD">
      <w:pPr>
        <w:pStyle w:val="EndnoteText"/>
        <w:spacing w:after="96"/>
        <w:rPr>
          <w:rFonts w:cstheme="minorHAnsi"/>
          <w:szCs w:val="16"/>
        </w:rPr>
      </w:pPr>
      <w:r w:rsidRPr="00755C20">
        <w:rPr>
          <w:rStyle w:val="EndnoteReference"/>
          <w:rFonts w:cstheme="minorHAnsi"/>
          <w:szCs w:val="16"/>
        </w:rPr>
        <w:endnoteRef/>
      </w:r>
      <w:r w:rsidRPr="00755C20">
        <w:rPr>
          <w:rFonts w:cstheme="minorHAnsi"/>
          <w:szCs w:val="16"/>
        </w:rPr>
        <w:t xml:space="preserve"> Hall BH (2011) </w:t>
      </w:r>
      <w:r w:rsidRPr="00755C20">
        <w:rPr>
          <w:rFonts w:cstheme="minorHAnsi"/>
          <w:i/>
          <w:szCs w:val="16"/>
        </w:rPr>
        <w:t>Innovation and productivity</w:t>
      </w:r>
      <w:r w:rsidRPr="00755C20">
        <w:rPr>
          <w:rFonts w:cstheme="minorHAnsi"/>
          <w:szCs w:val="16"/>
        </w:rPr>
        <w:t xml:space="preserve">, Nordic Economic Policy Conference on Productivity and Competitiveness; Soames L et al. (2011) </w:t>
      </w:r>
      <w:r w:rsidRPr="00755C20">
        <w:rPr>
          <w:rFonts w:cstheme="minorHAnsi"/>
          <w:i/>
          <w:szCs w:val="16"/>
        </w:rPr>
        <w:t>Competition, innovation and productivity in Australian businesses</w:t>
      </w:r>
      <w:r w:rsidRPr="00755C20">
        <w:rPr>
          <w:rFonts w:cstheme="minorHAnsi"/>
          <w:szCs w:val="16"/>
        </w:rPr>
        <w:t xml:space="preserve">, Productivity Commission and Australian Bureau of Statistics Research Paper, ABS catalogue no. 1351.0.55.035, Canberra; and Hashi I &amp; Stojčić N (2013) The impact of innovation activities on business performance using a multi-stage model: evidence from the Community Innovation Survey 4, </w:t>
      </w:r>
      <w:r w:rsidRPr="00755C20">
        <w:rPr>
          <w:rFonts w:cstheme="minorHAnsi"/>
          <w:i/>
          <w:szCs w:val="16"/>
        </w:rPr>
        <w:t>Research Policy</w:t>
      </w:r>
      <w:r w:rsidRPr="00755C20">
        <w:rPr>
          <w:rFonts w:cstheme="minorHAnsi"/>
          <w:szCs w:val="16"/>
        </w:rPr>
        <w:t xml:space="preserve"> 42, pp. 353–366; Fagerberg J (2013) </w:t>
      </w:r>
      <w:r w:rsidRPr="00755C20">
        <w:rPr>
          <w:rFonts w:cstheme="minorHAnsi"/>
          <w:i/>
          <w:szCs w:val="16"/>
        </w:rPr>
        <w:t>Innovation: a new guide</w:t>
      </w:r>
      <w:r w:rsidRPr="00755C20">
        <w:rPr>
          <w:rFonts w:cstheme="minorHAnsi"/>
          <w:szCs w:val="16"/>
        </w:rPr>
        <w:t>, Working Papers on Innovation Studies 20131119, Centre for Technology, Innovation and Culture, University of Oslo.</w:t>
      </w:r>
    </w:p>
  </w:endnote>
  <w:endnote w:id="16">
    <w:p w14:paraId="7418C6FD"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Business Council of Australia (2014) </w:t>
      </w:r>
      <w:r w:rsidRPr="00755C20">
        <w:rPr>
          <w:rFonts w:cstheme="minorHAnsi"/>
          <w:i/>
          <w:szCs w:val="16"/>
        </w:rPr>
        <w:t>Building Australia’s innovation system</w:t>
      </w:r>
      <w:r w:rsidRPr="00755C20">
        <w:rPr>
          <w:rFonts w:cstheme="minorHAnsi"/>
          <w:szCs w:val="16"/>
        </w:rPr>
        <w:t>, submission to the Senate Economics Committee Inquiry into the Australia Innovation System</w:t>
      </w:r>
    </w:p>
  </w:endnote>
  <w:endnote w:id="17">
    <w:p w14:paraId="7418C6FE"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Bloom N, Draca M &amp; Van Reenen J (2012) </w:t>
      </w:r>
      <w:r w:rsidRPr="00755C20">
        <w:rPr>
          <w:rFonts w:cstheme="minorHAnsi"/>
          <w:i/>
          <w:szCs w:val="16"/>
        </w:rPr>
        <w:t>Trade-induced technological change? The impact of Chinese imports on innovation, diffusion of IT and productivity</w:t>
      </w:r>
      <w:r w:rsidRPr="00755C20">
        <w:rPr>
          <w:rFonts w:cstheme="minorHAnsi"/>
          <w:szCs w:val="16"/>
        </w:rPr>
        <w:t>, National Bureau of Economic Research working paper 16717</w:t>
      </w:r>
    </w:p>
  </w:endnote>
  <w:endnote w:id="18">
    <w:p w14:paraId="7418C6FF" w14:textId="77777777" w:rsidR="004A31A9" w:rsidRPr="00755C20" w:rsidRDefault="004A31A9" w:rsidP="00D471AD">
      <w:pPr>
        <w:spacing w:afterLines="40" w:after="96"/>
        <w:jc w:val="both"/>
        <w:rPr>
          <w:rFonts w:cstheme="minorHAnsi"/>
          <w:sz w:val="16"/>
          <w:szCs w:val="16"/>
        </w:rPr>
      </w:pPr>
      <w:r w:rsidRPr="00755C20">
        <w:rPr>
          <w:rStyle w:val="EndnoteReference"/>
          <w:rFonts w:cstheme="minorHAnsi"/>
          <w:sz w:val="16"/>
          <w:szCs w:val="16"/>
        </w:rPr>
        <w:endnoteRef/>
      </w:r>
      <w:r w:rsidRPr="00755C20">
        <w:rPr>
          <w:rFonts w:cstheme="minorHAnsi"/>
          <w:sz w:val="16"/>
          <w:szCs w:val="16"/>
        </w:rPr>
        <w:t xml:space="preserve"> This argument is based on many evolutionary economics studies. Nelson R &amp; Winter S (1982) </w:t>
      </w:r>
      <w:r w:rsidRPr="00755C20">
        <w:rPr>
          <w:rFonts w:cstheme="minorHAnsi"/>
          <w:i/>
          <w:sz w:val="16"/>
          <w:szCs w:val="16"/>
        </w:rPr>
        <w:t>An evolutionary theory of economic change</w:t>
      </w:r>
      <w:r w:rsidRPr="00755C20">
        <w:rPr>
          <w:rFonts w:cstheme="minorHAnsi"/>
          <w:sz w:val="16"/>
          <w:szCs w:val="16"/>
        </w:rPr>
        <w:t xml:space="preserve">, Belknap Press, Cambridge, MA; and the works of Joseph Schumpeter (1934, 1942). Australian evidence comes from Parham D (2002) </w:t>
      </w:r>
      <w:r w:rsidRPr="00755C20">
        <w:rPr>
          <w:rFonts w:cstheme="minorHAnsi"/>
          <w:i/>
          <w:sz w:val="16"/>
          <w:szCs w:val="16"/>
        </w:rPr>
        <w:t>The role of exit and entry in Australian productivity growth</w:t>
      </w:r>
      <w:r w:rsidRPr="00755C20">
        <w:rPr>
          <w:rFonts w:cstheme="minorHAnsi"/>
          <w:sz w:val="16"/>
          <w:szCs w:val="16"/>
        </w:rPr>
        <w:t>, OECD Science, Technology and Industry Working Papers 2002/06, OECD Publishing; Foster</w:t>
      </w:r>
      <w:r w:rsidRPr="00755C20">
        <w:rPr>
          <w:rFonts w:cstheme="minorHAnsi"/>
          <w:i/>
          <w:sz w:val="16"/>
          <w:szCs w:val="16"/>
        </w:rPr>
        <w:t xml:space="preserve"> </w:t>
      </w:r>
      <w:r w:rsidRPr="00755C20">
        <w:rPr>
          <w:rFonts w:cstheme="minorHAnsi"/>
          <w:sz w:val="16"/>
          <w:szCs w:val="16"/>
        </w:rPr>
        <w:t>et al.</w:t>
      </w:r>
      <w:r w:rsidRPr="00755C20">
        <w:rPr>
          <w:rFonts w:cstheme="minorHAnsi"/>
          <w:i/>
          <w:sz w:val="16"/>
          <w:szCs w:val="16"/>
        </w:rPr>
        <w:t xml:space="preserve"> </w:t>
      </w:r>
      <w:r w:rsidRPr="00755C20">
        <w:rPr>
          <w:rFonts w:cstheme="minorHAnsi"/>
          <w:sz w:val="16"/>
          <w:szCs w:val="16"/>
        </w:rPr>
        <w:t xml:space="preserve">(2005) </w:t>
      </w:r>
      <w:r w:rsidRPr="00755C20">
        <w:rPr>
          <w:rFonts w:cstheme="minorHAnsi"/>
          <w:i/>
          <w:sz w:val="16"/>
          <w:szCs w:val="16"/>
        </w:rPr>
        <w:t>Reallocation, business turnover and efficiency: selection on productivity or profitability?</w:t>
      </w:r>
      <w:r w:rsidRPr="00755C20">
        <w:rPr>
          <w:rFonts w:cstheme="minorHAnsi"/>
          <w:sz w:val="16"/>
          <w:szCs w:val="16"/>
        </w:rPr>
        <w:t xml:space="preserve"> NBER Working Papers 11555; and, Hendrickson L, Bucifal S, Balaguer A and Hansell D (2015) </w:t>
      </w:r>
      <w:r w:rsidRPr="00755C20">
        <w:rPr>
          <w:rFonts w:cstheme="minorHAnsi"/>
          <w:i/>
          <w:sz w:val="16"/>
          <w:szCs w:val="16"/>
        </w:rPr>
        <w:t>The employment dynamics of Australian entrepreneurship</w:t>
      </w:r>
      <w:r w:rsidRPr="00755C20">
        <w:rPr>
          <w:rFonts w:cstheme="minorHAnsi"/>
          <w:sz w:val="16"/>
          <w:szCs w:val="16"/>
        </w:rPr>
        <w:t>, Office of the Chief Economist Research Paper, Department of Industry and Science</w:t>
      </w:r>
    </w:p>
  </w:endnote>
  <w:endnote w:id="19">
    <w:p w14:paraId="7418C700"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Lydon J et al. (2014) </w:t>
      </w:r>
      <w:r w:rsidRPr="00755C20">
        <w:rPr>
          <w:rFonts w:cstheme="minorHAnsi"/>
          <w:i/>
          <w:szCs w:val="16"/>
        </w:rPr>
        <w:t>Compete to prosper: improving Australia’s global competitiveness</w:t>
      </w:r>
      <w:r w:rsidRPr="00755C20">
        <w:rPr>
          <w:rFonts w:cstheme="minorHAnsi"/>
          <w:szCs w:val="16"/>
        </w:rPr>
        <w:t>, McKinsey Australia.</w:t>
      </w:r>
    </w:p>
  </w:endnote>
  <w:endnote w:id="20">
    <w:p w14:paraId="7418C701" w14:textId="77777777" w:rsidR="004A31A9" w:rsidRDefault="004A31A9" w:rsidP="00D471AD">
      <w:pPr>
        <w:pStyle w:val="EndnoteText"/>
        <w:spacing w:after="96"/>
      </w:pPr>
      <w:r>
        <w:rPr>
          <w:rStyle w:val="EndnoteReference"/>
        </w:rPr>
        <w:endnoteRef/>
      </w:r>
      <w:r>
        <w:t xml:space="preserve"> </w:t>
      </w:r>
      <w:r w:rsidRPr="00D22556">
        <w:t>Center for International Development at Harvard University (2016) Atlas of Economic Complexity, 2016, URL: http://atlas.cid.harvard.edu/</w:t>
      </w:r>
    </w:p>
  </w:endnote>
  <w:endnote w:id="21">
    <w:p w14:paraId="7418C702"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Department of Industry (2014) </w:t>
      </w:r>
      <w:r w:rsidRPr="00755C20">
        <w:rPr>
          <w:rFonts w:cstheme="minorHAnsi"/>
          <w:i/>
          <w:szCs w:val="16"/>
        </w:rPr>
        <w:t>Australian Innovation System Report - 2014</w:t>
      </w:r>
    </w:p>
  </w:endnote>
  <w:endnote w:id="22">
    <w:p w14:paraId="7418C703"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OECD (2015) </w:t>
      </w:r>
      <w:r w:rsidRPr="00755C20">
        <w:rPr>
          <w:rFonts w:cstheme="minorHAnsi"/>
          <w:i/>
          <w:szCs w:val="16"/>
        </w:rPr>
        <w:t>The Future of Productivity</w:t>
      </w:r>
      <w:r w:rsidRPr="00755C20">
        <w:rPr>
          <w:rFonts w:cstheme="minorHAnsi"/>
          <w:szCs w:val="16"/>
        </w:rPr>
        <w:t>, 2015, OECD Publishing</w:t>
      </w:r>
    </w:p>
  </w:endnote>
  <w:endnote w:id="23">
    <w:p w14:paraId="7418C704"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van Reenen J (1996) The creation and capture of rents: Wages and innovation in a panel of UK companies, </w:t>
      </w:r>
      <w:r w:rsidRPr="00755C20">
        <w:rPr>
          <w:rFonts w:cstheme="minorHAnsi"/>
          <w:i/>
          <w:szCs w:val="16"/>
        </w:rPr>
        <w:t>Quarterly Journal of Economics,</w:t>
      </w:r>
      <w:r w:rsidRPr="00755C20">
        <w:rPr>
          <w:rFonts w:cstheme="minorHAnsi"/>
          <w:szCs w:val="16"/>
        </w:rPr>
        <w:t xml:space="preserve"> 11, pp. 195–226</w:t>
      </w:r>
    </w:p>
  </w:endnote>
  <w:endnote w:id="24">
    <w:p w14:paraId="7418C705" w14:textId="77777777" w:rsidR="004A31A9" w:rsidRPr="00755C20" w:rsidRDefault="004A31A9" w:rsidP="00D471AD">
      <w:pPr>
        <w:spacing w:afterLines="40" w:after="96"/>
        <w:jc w:val="both"/>
        <w:rPr>
          <w:rFonts w:cstheme="minorHAnsi"/>
          <w:sz w:val="16"/>
          <w:szCs w:val="16"/>
        </w:rPr>
      </w:pPr>
      <w:r w:rsidRPr="00755C20">
        <w:rPr>
          <w:rStyle w:val="EndnoteReference"/>
          <w:rFonts w:cstheme="minorHAnsi"/>
          <w:sz w:val="16"/>
          <w:szCs w:val="16"/>
        </w:rPr>
        <w:endnoteRef/>
      </w:r>
      <w:r w:rsidRPr="00755C20">
        <w:rPr>
          <w:rFonts w:cstheme="minorHAnsi"/>
          <w:sz w:val="16"/>
          <w:szCs w:val="16"/>
        </w:rPr>
        <w:t xml:space="preserve"> Moreno F and Coad A (2015) High-growth firms: Stylized facts and conflicting results, </w:t>
      </w:r>
      <w:r w:rsidRPr="00755C20">
        <w:rPr>
          <w:rFonts w:cstheme="minorHAnsi"/>
          <w:i/>
          <w:iCs/>
          <w:sz w:val="16"/>
          <w:szCs w:val="16"/>
        </w:rPr>
        <w:t>Entrepreneurship Growth: Individual, Firm, and Region</w:t>
      </w:r>
      <w:r w:rsidRPr="00755C20">
        <w:rPr>
          <w:rFonts w:cstheme="minorHAnsi"/>
          <w:sz w:val="16"/>
          <w:szCs w:val="16"/>
        </w:rPr>
        <w:t>, pp 187-230</w:t>
      </w:r>
      <w:r w:rsidRPr="00755C20" w:rsidDel="00010FC5">
        <w:rPr>
          <w:rFonts w:cstheme="minorHAnsi"/>
          <w:sz w:val="16"/>
          <w:szCs w:val="16"/>
        </w:rPr>
        <w:t xml:space="preserve"> </w:t>
      </w:r>
    </w:p>
  </w:endnote>
  <w:endnote w:id="25">
    <w:p w14:paraId="7418C706"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Hendrickson L, Bucifal S, Balaguer A, et al. (2016) Employment Dynamics of Australian Entrepreneurship: A Management Perspective, </w:t>
      </w:r>
      <w:r w:rsidRPr="00755C20">
        <w:rPr>
          <w:rFonts w:cstheme="minorHAnsi"/>
          <w:i/>
          <w:iCs/>
          <w:szCs w:val="16"/>
        </w:rPr>
        <w:t>Technology Innovation Management Review,</w:t>
      </w:r>
      <w:r w:rsidRPr="00755C20">
        <w:rPr>
          <w:rFonts w:cstheme="minorHAnsi"/>
          <w:szCs w:val="16"/>
        </w:rPr>
        <w:t xml:space="preserve"> 6(6) pp. 33–40</w:t>
      </w:r>
    </w:p>
  </w:endnote>
  <w:endnote w:id="26">
    <w:p w14:paraId="7418C707" w14:textId="77777777" w:rsidR="004A31A9" w:rsidRPr="00755C20" w:rsidRDefault="004A31A9" w:rsidP="00D471AD">
      <w:pPr>
        <w:pStyle w:val="EndnoteText"/>
        <w:spacing w:after="96"/>
        <w:rPr>
          <w:rFonts w:cstheme="minorHAnsi"/>
          <w:szCs w:val="16"/>
        </w:rPr>
      </w:pPr>
      <w:r w:rsidRPr="00755C20">
        <w:rPr>
          <w:rStyle w:val="EndnoteReference"/>
          <w:rFonts w:cstheme="minorHAnsi"/>
          <w:szCs w:val="16"/>
        </w:rPr>
        <w:endnoteRef/>
      </w:r>
      <w:r w:rsidRPr="00755C20">
        <w:rPr>
          <w:rFonts w:cstheme="minorHAnsi"/>
          <w:szCs w:val="16"/>
        </w:rPr>
        <w:t xml:space="preserve"> Hendrickson L, Bucifal S, Balaguer A, et al. (2016) Employment Dynamics of Australian Entrepreneurship: A Management Perspective, </w:t>
      </w:r>
      <w:r w:rsidRPr="00755C20">
        <w:rPr>
          <w:rFonts w:cstheme="minorHAnsi"/>
          <w:i/>
          <w:iCs/>
          <w:szCs w:val="16"/>
        </w:rPr>
        <w:t>Technology Innovation Management Review,</w:t>
      </w:r>
      <w:r w:rsidRPr="00755C20">
        <w:rPr>
          <w:rFonts w:cstheme="minorHAnsi"/>
          <w:szCs w:val="16"/>
        </w:rPr>
        <w:t xml:space="preserve"> 6(6) pp. 33–40</w:t>
      </w:r>
    </w:p>
  </w:endnote>
  <w:endnote w:id="27">
    <w:p w14:paraId="7418C708" w14:textId="77777777" w:rsidR="004A31A9" w:rsidRPr="00755C20" w:rsidRDefault="004A31A9" w:rsidP="00D471AD">
      <w:pPr>
        <w:pStyle w:val="EndnoteText"/>
        <w:spacing w:after="96"/>
      </w:pPr>
      <w:r w:rsidRPr="00755C20">
        <w:rPr>
          <w:rStyle w:val="EndnoteReference"/>
        </w:rPr>
        <w:endnoteRef/>
      </w:r>
      <w:r w:rsidRPr="00755C20">
        <w:t xml:space="preserve"> ABS (2013) </w:t>
      </w:r>
      <w:r w:rsidRPr="00755C20">
        <w:rPr>
          <w:lang w:val="en"/>
        </w:rPr>
        <w:t xml:space="preserve">1218.0 - Standard Economic Sector Classifications of Australia (SESCA), 2008 (Version 1.1), </w:t>
      </w:r>
      <w:r w:rsidRPr="00755C20">
        <w:rPr>
          <w:i/>
          <w:lang w:val="en"/>
        </w:rPr>
        <w:t>Australian Bureau of Statistics</w:t>
      </w:r>
      <w:r w:rsidRPr="00755C20">
        <w:rPr>
          <w:lang w:val="en"/>
        </w:rPr>
        <w:t xml:space="preserve">, 11 September 2013, viewed 16 September 2016, </w:t>
      </w:r>
      <w:hyperlink r:id="rId6" w:tooltip="http://www.abs.gov.au/ausstats/abs@.nsf/Lookup/40F31FE6397B8AA3CA257BDD001163AC?opendocument" w:history="1">
        <w:r w:rsidRPr="00755C20">
          <w:rPr>
            <w:rStyle w:val="Hyperlink"/>
            <w:lang w:val="en"/>
          </w:rPr>
          <w:t>http://www.abs.gov.au/ausstats/abs@.nsf/Lookup/40F31FE6397B8AA3CA257BDD001163AC?opendocument</w:t>
        </w:r>
      </w:hyperlink>
    </w:p>
  </w:endnote>
  <w:endnote w:id="28">
    <w:p w14:paraId="7418C709"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ABS (2014) </w:t>
      </w:r>
      <w:r w:rsidRPr="00755C20">
        <w:rPr>
          <w:rFonts w:cstheme="minorHAnsi"/>
          <w:i/>
          <w:szCs w:val="16"/>
        </w:rPr>
        <w:t>Customised report based on the Business Characteristics Survey data commissioned by the Australian Government Department of Industry</w:t>
      </w:r>
      <w:r w:rsidRPr="00755C20">
        <w:rPr>
          <w:rFonts w:cstheme="minorHAnsi"/>
          <w:szCs w:val="16"/>
        </w:rPr>
        <w:t>. These relationships are statistically significant. Analysis of variance tests show the correlation between innovation and jobs growth, innovation and productivity growth, and innovation and growth in the range of goods and services being offered is highly significant (</w:t>
      </w:r>
      <w:r w:rsidRPr="00755C20">
        <w:rPr>
          <w:rFonts w:cstheme="minorHAnsi"/>
          <w:i/>
          <w:szCs w:val="16"/>
        </w:rPr>
        <w:t>P</w:t>
      </w:r>
      <w:r w:rsidRPr="00755C20">
        <w:rPr>
          <w:rFonts w:cstheme="minorHAnsi"/>
          <w:szCs w:val="16"/>
        </w:rPr>
        <w:t> &lt; 0.0001).</w:t>
      </w:r>
    </w:p>
  </w:endnote>
  <w:endnote w:id="29">
    <w:p w14:paraId="7418C70A"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Department of Industry (2013) </w:t>
      </w:r>
      <w:r w:rsidRPr="00755C20">
        <w:rPr>
          <w:rFonts w:cstheme="minorHAnsi"/>
          <w:i/>
          <w:szCs w:val="16"/>
        </w:rPr>
        <w:t>Australian Innovation System Report - 2013</w:t>
      </w:r>
      <w:r w:rsidRPr="00755C20">
        <w:rPr>
          <w:rFonts w:cstheme="minorHAnsi"/>
          <w:szCs w:val="16"/>
        </w:rPr>
        <w:t>, pp. 4–56</w:t>
      </w:r>
    </w:p>
  </w:endnote>
  <w:endnote w:id="30">
    <w:p w14:paraId="7418C70B"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Hall BH (2011) </w:t>
      </w:r>
      <w:r w:rsidRPr="00755C20">
        <w:rPr>
          <w:rFonts w:cstheme="minorHAnsi"/>
          <w:i/>
          <w:szCs w:val="16"/>
        </w:rPr>
        <w:t>Innovation and productivity</w:t>
      </w:r>
      <w:r w:rsidRPr="00755C20">
        <w:rPr>
          <w:rFonts w:cstheme="minorHAnsi"/>
          <w:szCs w:val="16"/>
        </w:rPr>
        <w:t xml:space="preserve">, Nordic Economic Policy Conference on productivity and competitiveness; Hashi I &amp; Stojčić N (2013) The impact of innovation activities on business performance using a multi-stage model: evidence from the Community Innovation Survey 4, </w:t>
      </w:r>
      <w:r w:rsidRPr="00755C20">
        <w:rPr>
          <w:rFonts w:cstheme="minorHAnsi"/>
          <w:i/>
          <w:szCs w:val="16"/>
        </w:rPr>
        <w:t>Research Policy,</w:t>
      </w:r>
      <w:r w:rsidRPr="00755C20">
        <w:rPr>
          <w:rFonts w:cstheme="minorHAnsi"/>
          <w:szCs w:val="16"/>
        </w:rPr>
        <w:t xml:space="preserve"> 42, pp. 353–366</w:t>
      </w:r>
    </w:p>
  </w:endnote>
  <w:endnote w:id="31">
    <w:p w14:paraId="7418C70C"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Balasubramanian N &amp; Sivadasan J (2011) What happens when businesses patent? New evidence from US manufacturing census data, </w:t>
      </w:r>
      <w:r w:rsidRPr="00755C20">
        <w:rPr>
          <w:rFonts w:cstheme="minorHAnsi"/>
          <w:i/>
          <w:szCs w:val="16"/>
        </w:rPr>
        <w:t>Review of Economics and Statistics,</w:t>
      </w:r>
      <w:r w:rsidRPr="00755C20">
        <w:rPr>
          <w:rFonts w:cstheme="minorHAnsi"/>
          <w:szCs w:val="16"/>
        </w:rPr>
        <w:t xml:space="preserve"> 93, pp. 126–46</w:t>
      </w:r>
    </w:p>
  </w:endnote>
  <w:endnote w:id="32">
    <w:p w14:paraId="7418C70D"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CSIRO (2015) </w:t>
      </w:r>
      <w:r w:rsidRPr="00755C20">
        <w:rPr>
          <w:rFonts w:cstheme="minorHAnsi"/>
          <w:i/>
          <w:szCs w:val="16"/>
        </w:rPr>
        <w:t>Australian National Outlook 2015: Living standards, resource use, environmental performance and economic activity, 1970–2050,</w:t>
      </w:r>
      <w:r w:rsidRPr="00755C20">
        <w:rPr>
          <w:rFonts w:cstheme="minorHAnsi"/>
          <w:szCs w:val="16"/>
        </w:rPr>
        <w:t xml:space="preserve"> CSIRO</w:t>
      </w:r>
    </w:p>
  </w:endnote>
  <w:endnote w:id="33">
    <w:p w14:paraId="7418C70E"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OECD (2015) </w:t>
      </w:r>
      <w:r w:rsidRPr="00755C20">
        <w:rPr>
          <w:rFonts w:cstheme="minorHAnsi"/>
          <w:i/>
          <w:szCs w:val="16"/>
        </w:rPr>
        <w:t>OECD Innovation Strategy 2015 – An agenda for policy action</w:t>
      </w:r>
      <w:r w:rsidRPr="00755C20">
        <w:rPr>
          <w:rFonts w:cstheme="minorHAnsi"/>
          <w:szCs w:val="16"/>
        </w:rPr>
        <w:t>, Meeting of the OECD Council at Ministerial Level Paris, 3-4 June 2015</w:t>
      </w:r>
    </w:p>
  </w:endnote>
  <w:endnote w:id="34">
    <w:p w14:paraId="7418C70F" w14:textId="77777777" w:rsidR="004A31A9" w:rsidRDefault="004A31A9" w:rsidP="00D471AD">
      <w:pPr>
        <w:pStyle w:val="EndnoteText"/>
        <w:spacing w:after="96"/>
        <w:jc w:val="both"/>
        <w:rPr>
          <w:rStyle w:val="Hyperlink"/>
          <w:rFonts w:cstheme="minorHAnsi"/>
          <w:szCs w:val="16"/>
        </w:rPr>
      </w:pPr>
      <w:r w:rsidRPr="00755C20">
        <w:rPr>
          <w:rStyle w:val="EndnoteReference"/>
          <w:rFonts w:cstheme="minorHAnsi"/>
          <w:szCs w:val="16"/>
        </w:rPr>
        <w:endnoteRef/>
      </w:r>
      <w:r w:rsidRPr="00755C20">
        <w:rPr>
          <w:rFonts w:cstheme="minorHAnsi"/>
          <w:szCs w:val="16"/>
        </w:rPr>
        <w:t xml:space="preserve"> The Conference Board (2016) </w:t>
      </w:r>
      <w:r w:rsidRPr="00755C20">
        <w:rPr>
          <w:rFonts w:cstheme="minorHAnsi"/>
          <w:i/>
          <w:szCs w:val="16"/>
        </w:rPr>
        <w:t>The Conference Board Total Economy Database™</w:t>
      </w:r>
      <w:r w:rsidRPr="00755C20">
        <w:rPr>
          <w:rFonts w:cstheme="minorHAnsi"/>
          <w:szCs w:val="16"/>
        </w:rPr>
        <w:t>, May 2016, viewed September 2016</w:t>
      </w:r>
      <w:r w:rsidRPr="00755C20">
        <w:t xml:space="preserve">, </w:t>
      </w:r>
      <w:hyperlink r:id="rId7" w:tooltip="http://www.conference-board.org/data/economydatabase/" w:history="1">
        <w:r w:rsidRPr="00755C20">
          <w:rPr>
            <w:rStyle w:val="Hyperlink"/>
            <w:rFonts w:cstheme="minorHAnsi"/>
            <w:szCs w:val="16"/>
          </w:rPr>
          <w:t>http://www.conference-board.org/data/economydatabase/</w:t>
        </w:r>
      </w:hyperlink>
      <w:r w:rsidRPr="00755C20">
        <w:rPr>
          <w:rStyle w:val="Hyperlink"/>
          <w:rFonts w:cstheme="minorHAnsi"/>
          <w:szCs w:val="16"/>
        </w:rPr>
        <w:t xml:space="preserve"> </w:t>
      </w:r>
    </w:p>
    <w:p w14:paraId="7418C710" w14:textId="77777777" w:rsidR="004A31A9" w:rsidRDefault="004A31A9" w:rsidP="00D471AD">
      <w:pPr>
        <w:pStyle w:val="EndnoteText"/>
        <w:spacing w:after="96"/>
        <w:jc w:val="both"/>
        <w:rPr>
          <w:rStyle w:val="Hyperlink"/>
          <w:rFonts w:cstheme="minorHAnsi"/>
          <w:szCs w:val="16"/>
        </w:rPr>
      </w:pPr>
    </w:p>
    <w:p w14:paraId="7418C711" w14:textId="77777777" w:rsidR="004A31A9" w:rsidRDefault="004A31A9" w:rsidP="00D471AD">
      <w:pPr>
        <w:pStyle w:val="EndnoteText"/>
        <w:spacing w:after="96"/>
        <w:jc w:val="both"/>
        <w:rPr>
          <w:rStyle w:val="Hyperlink"/>
          <w:rFonts w:cstheme="minorHAnsi"/>
          <w:szCs w:val="16"/>
        </w:rPr>
      </w:pPr>
    </w:p>
    <w:p w14:paraId="7418C712" w14:textId="77777777" w:rsidR="004A31A9" w:rsidRPr="00755C20" w:rsidRDefault="004A31A9" w:rsidP="00D471AD">
      <w:pPr>
        <w:pStyle w:val="EndnoteText"/>
        <w:spacing w:after="96"/>
        <w:jc w:val="both"/>
        <w:rPr>
          <w:rStyle w:val="Hyperlink"/>
          <w:rFonts w:cstheme="minorHAnsi"/>
          <w:sz w:val="20"/>
          <w:szCs w:val="16"/>
        </w:rPr>
      </w:pPr>
    </w:p>
    <w:p w14:paraId="7418C713" w14:textId="77777777" w:rsidR="004A31A9" w:rsidRPr="00755C20" w:rsidRDefault="004A31A9" w:rsidP="00D471AD">
      <w:pPr>
        <w:pStyle w:val="citationheading"/>
        <w:spacing w:after="114"/>
      </w:pPr>
      <w:r w:rsidRPr="00755C20">
        <w:t>Chapter 3</w:t>
      </w:r>
    </w:p>
  </w:endnote>
  <w:endnote w:id="35">
    <w:p w14:paraId="7418C714" w14:textId="77777777" w:rsidR="004A31A9" w:rsidRPr="00755C20" w:rsidRDefault="004A31A9" w:rsidP="00D471AD">
      <w:pPr>
        <w:pStyle w:val="EndnoteText"/>
        <w:spacing w:after="96"/>
      </w:pPr>
      <w:r w:rsidRPr="00755C20">
        <w:rPr>
          <w:rStyle w:val="EndnoteReference"/>
        </w:rPr>
        <w:endnoteRef/>
      </w:r>
      <w:r w:rsidRPr="00755C20">
        <w:t xml:space="preserve"> CISRO (2016) CSIRO Futures, </w:t>
      </w:r>
      <w:r w:rsidRPr="00755C20">
        <w:rPr>
          <w:i/>
        </w:rPr>
        <w:t>CSIRO</w:t>
      </w:r>
      <w:r w:rsidRPr="00755C20">
        <w:t xml:space="preserve">, viewed 14 September 2016, </w:t>
      </w:r>
      <w:hyperlink r:id="rId8" w:tooltip="https://www.csiro.au/en/Do-business/Futures" w:history="1">
        <w:r w:rsidRPr="00755C20">
          <w:rPr>
            <w:rStyle w:val="Hyperlink"/>
          </w:rPr>
          <w:t>https://www.csiro.au/en/Do-business/Futures</w:t>
        </w:r>
      </w:hyperlink>
      <w:r w:rsidRPr="00755C20">
        <w:t xml:space="preserve"> </w:t>
      </w:r>
    </w:p>
  </w:endnote>
  <w:endnote w:id="36">
    <w:p w14:paraId="7418C715" w14:textId="77777777" w:rsidR="004A31A9" w:rsidRPr="00755C20" w:rsidRDefault="004A31A9" w:rsidP="00D471AD">
      <w:pPr>
        <w:pStyle w:val="EndnoteText"/>
        <w:spacing w:after="96"/>
      </w:pPr>
      <w:r w:rsidRPr="00755C20">
        <w:rPr>
          <w:rStyle w:val="EndnoteReference"/>
        </w:rPr>
        <w:endnoteRef/>
      </w:r>
      <w:r w:rsidRPr="00755C20">
        <w:t xml:space="preserve"> Department of Industry, Innovation and Science (2016) </w:t>
      </w:r>
      <w:r w:rsidRPr="00755C20">
        <w:rPr>
          <w:i/>
        </w:rPr>
        <w:t>Science, Research and Innovation Budget Tables 2016–17</w:t>
      </w:r>
      <w:r w:rsidRPr="00755C20">
        <w:t>, http://www.industry.gov.au/innovation/reportsandstudies/Pages/SRIBudget.aspx</w:t>
      </w:r>
    </w:p>
  </w:endnote>
  <w:endnote w:id="37">
    <w:p w14:paraId="7418C716" w14:textId="77777777" w:rsidR="004A31A9" w:rsidRPr="00755C20" w:rsidRDefault="004A31A9" w:rsidP="00D471AD">
      <w:pPr>
        <w:pStyle w:val="EndnoteText"/>
        <w:spacing w:after="96"/>
        <w:jc w:val="both"/>
        <w:rPr>
          <w:rFonts w:cstheme="minorHAnsi"/>
          <w:szCs w:val="16"/>
        </w:rPr>
      </w:pPr>
      <w:r w:rsidRPr="00755C20">
        <w:rPr>
          <w:rFonts w:cstheme="minorHAnsi"/>
          <w:szCs w:val="16"/>
          <w:vertAlign w:val="superscript"/>
        </w:rPr>
        <w:endnoteRef/>
      </w:r>
      <w:r w:rsidRPr="00755C20">
        <w:rPr>
          <w:rFonts w:cstheme="minorHAnsi"/>
          <w:szCs w:val="16"/>
        </w:rPr>
        <w:t xml:space="preserve"> Department of Industry (2014) </w:t>
      </w:r>
      <w:r w:rsidRPr="00755C20">
        <w:rPr>
          <w:rFonts w:cstheme="minorHAnsi"/>
          <w:i/>
          <w:szCs w:val="16"/>
        </w:rPr>
        <w:t>Australian Innovation System Report - 2014</w:t>
      </w:r>
    </w:p>
  </w:endnote>
  <w:endnote w:id="38">
    <w:p w14:paraId="7418C717" w14:textId="77777777" w:rsidR="004A31A9" w:rsidRPr="00755C20" w:rsidRDefault="004A31A9" w:rsidP="00D471AD">
      <w:pPr>
        <w:pStyle w:val="EndnoteText"/>
        <w:spacing w:after="96"/>
        <w:jc w:val="both"/>
        <w:rPr>
          <w:rFonts w:cstheme="minorHAnsi"/>
          <w:szCs w:val="16"/>
        </w:rPr>
      </w:pPr>
      <w:r w:rsidRPr="00755C20">
        <w:rPr>
          <w:rFonts w:cstheme="minorHAnsi"/>
          <w:szCs w:val="16"/>
          <w:vertAlign w:val="superscript"/>
        </w:rPr>
        <w:endnoteRef/>
      </w:r>
      <w:r w:rsidRPr="00755C20">
        <w:rPr>
          <w:rFonts w:cstheme="minorHAnsi"/>
          <w:szCs w:val="16"/>
        </w:rPr>
        <w:t xml:space="preserve"> Department of Industry (2014) </w:t>
      </w:r>
      <w:r w:rsidRPr="00755C20">
        <w:rPr>
          <w:rFonts w:cstheme="minorHAnsi"/>
          <w:i/>
          <w:szCs w:val="16"/>
        </w:rPr>
        <w:t>Australian Innovation System Report - 2014</w:t>
      </w:r>
      <w:r w:rsidRPr="00755C20">
        <w:rPr>
          <w:rFonts w:cstheme="minorHAnsi"/>
          <w:szCs w:val="16"/>
        </w:rPr>
        <w:t xml:space="preserve">; Soames L, Brunker D and Talgaswatta T (2011) </w:t>
      </w:r>
      <w:r w:rsidRPr="00755C20">
        <w:rPr>
          <w:rFonts w:cstheme="minorHAnsi"/>
          <w:i/>
          <w:szCs w:val="16"/>
        </w:rPr>
        <w:t>Competition, Innovation and Productivity in Australian Businesses</w:t>
      </w:r>
      <w:r w:rsidRPr="00755C20">
        <w:rPr>
          <w:rFonts w:cstheme="minorHAnsi"/>
          <w:szCs w:val="16"/>
        </w:rPr>
        <w:t>, Productivity Commission Australian Bureau of Statistics, Research Paper, cat. no. 1351.0.55.035, ABS</w:t>
      </w:r>
    </w:p>
  </w:endnote>
  <w:endnote w:id="39">
    <w:p w14:paraId="7418C718" w14:textId="77777777" w:rsidR="004A31A9" w:rsidRPr="00755C20" w:rsidRDefault="004A31A9" w:rsidP="00D471AD">
      <w:pPr>
        <w:pStyle w:val="EndnoteText"/>
        <w:spacing w:after="96"/>
        <w:jc w:val="both"/>
        <w:rPr>
          <w:rFonts w:cstheme="minorHAnsi"/>
          <w:szCs w:val="16"/>
        </w:rPr>
      </w:pPr>
      <w:r w:rsidRPr="00755C20">
        <w:rPr>
          <w:rFonts w:cstheme="minorHAnsi"/>
          <w:szCs w:val="16"/>
          <w:vertAlign w:val="superscript"/>
        </w:rPr>
        <w:endnoteRef/>
      </w:r>
      <w:r w:rsidRPr="00755C20">
        <w:rPr>
          <w:rFonts w:cstheme="minorHAnsi"/>
          <w:szCs w:val="16"/>
        </w:rPr>
        <w:t xml:space="preserve"> Australian Bureau of Statistics (ABS) (2016) </w:t>
      </w:r>
      <w:r w:rsidRPr="00755C20">
        <w:rPr>
          <w:rFonts w:cstheme="minorHAnsi"/>
          <w:i/>
          <w:szCs w:val="16"/>
        </w:rPr>
        <w:t>Innovation in Australian Businesses, 2014-15</w:t>
      </w:r>
      <w:r w:rsidRPr="00755C20">
        <w:rPr>
          <w:rFonts w:cstheme="minorHAnsi"/>
          <w:szCs w:val="16"/>
        </w:rPr>
        <w:t xml:space="preserve">, cat. no. 8158.0 </w:t>
      </w:r>
      <w:hyperlink r:id="rId9" w:tooltip="http://www.abs.gov.au/ausstats/abs@.nsf/mf/8158.0" w:history="1">
        <w:r w:rsidRPr="00755C20">
          <w:rPr>
            <w:rStyle w:val="Hyperlink"/>
            <w:rFonts w:cstheme="minorHAnsi"/>
            <w:szCs w:val="16"/>
          </w:rPr>
          <w:t>http://www.abs.gov.au/ausstats/abs@.nsf/mf/8158.0</w:t>
        </w:r>
      </w:hyperlink>
    </w:p>
  </w:endnote>
  <w:endnote w:id="40">
    <w:p w14:paraId="7418C719" w14:textId="77777777" w:rsidR="004A31A9"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Griliches Z (1995) R&amp;D and Productivity: Econometric Results and Measurement Issues, In Stoneman P (ed.) </w:t>
      </w:r>
      <w:r w:rsidRPr="00755C20">
        <w:rPr>
          <w:rFonts w:cstheme="minorHAnsi"/>
          <w:i/>
          <w:szCs w:val="16"/>
        </w:rPr>
        <w:t>Handbook of the Economics of Innovation and Technological Change</w:t>
      </w:r>
      <w:r w:rsidRPr="00755C20">
        <w:rPr>
          <w:rFonts w:cstheme="minorHAnsi"/>
          <w:szCs w:val="16"/>
        </w:rPr>
        <w:t>, Blackwell</w:t>
      </w:r>
    </w:p>
    <w:p w14:paraId="7418C71A" w14:textId="77777777" w:rsidR="004A31A9" w:rsidRPr="00755C20" w:rsidRDefault="004A31A9" w:rsidP="00D471AD">
      <w:pPr>
        <w:pStyle w:val="EndnoteText"/>
        <w:spacing w:after="96"/>
        <w:jc w:val="both"/>
        <w:rPr>
          <w:rFonts w:cstheme="minorHAnsi"/>
          <w:szCs w:val="16"/>
        </w:rPr>
      </w:pPr>
    </w:p>
  </w:endnote>
  <w:endnote w:id="41">
    <w:p w14:paraId="7418C71B"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Audretsch DB (2012) </w:t>
      </w:r>
      <w:r w:rsidRPr="00755C20">
        <w:rPr>
          <w:rFonts w:cstheme="minorHAnsi"/>
          <w:i/>
          <w:szCs w:val="16"/>
        </w:rPr>
        <w:t>Determinants of high-growth entrepreneurship</w:t>
      </w:r>
      <w:r w:rsidRPr="00755C20">
        <w:rPr>
          <w:rFonts w:cstheme="minorHAnsi"/>
          <w:szCs w:val="16"/>
        </w:rPr>
        <w:t>, OECD Publishing</w:t>
      </w:r>
    </w:p>
  </w:endnote>
  <w:endnote w:id="42">
    <w:p w14:paraId="7418C71C"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OECD (2013) </w:t>
      </w:r>
      <w:r w:rsidRPr="00755C20">
        <w:rPr>
          <w:rFonts w:cstheme="minorHAnsi"/>
          <w:i/>
          <w:szCs w:val="16"/>
        </w:rPr>
        <w:t>New Sources of Growth: Knowledge-Based Capital - Key Analyses and Policy Conclusions</w:t>
      </w:r>
      <w:r w:rsidRPr="00755C20">
        <w:rPr>
          <w:rFonts w:cstheme="minorHAnsi"/>
          <w:szCs w:val="16"/>
        </w:rPr>
        <w:t>, OECD Publishing</w:t>
      </w:r>
    </w:p>
  </w:endnote>
  <w:endnote w:id="43">
    <w:p w14:paraId="7418C71D"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OECD (2015) </w:t>
      </w:r>
      <w:r w:rsidRPr="00755C20">
        <w:rPr>
          <w:rFonts w:cstheme="minorHAnsi"/>
          <w:i/>
          <w:szCs w:val="16"/>
        </w:rPr>
        <w:t>Frascati Manual 2015: Guidelines for Collecting and Reporting Data on Research and Experimental Development</w:t>
      </w:r>
      <w:r w:rsidRPr="00755C20">
        <w:rPr>
          <w:rFonts w:cstheme="minorHAnsi"/>
          <w:szCs w:val="16"/>
        </w:rPr>
        <w:t>, OECD Publishing</w:t>
      </w:r>
    </w:p>
  </w:endnote>
  <w:endnote w:id="44">
    <w:p w14:paraId="7418C71E"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Galindo-Rueda F and Verger F (2016) </w:t>
      </w:r>
      <w:r w:rsidRPr="00755C20">
        <w:rPr>
          <w:rFonts w:cstheme="minorHAnsi"/>
          <w:i/>
          <w:szCs w:val="16"/>
        </w:rPr>
        <w:t>OECD Taxonomy of Economic Activities Based on R&amp;D Intensity</w:t>
      </w:r>
      <w:r w:rsidRPr="00755C20">
        <w:rPr>
          <w:rFonts w:cstheme="minorHAnsi"/>
          <w:szCs w:val="16"/>
        </w:rPr>
        <w:t>, OECD Science, Technology and Industry Working Papers, 2016/04, OECD Publishing</w:t>
      </w:r>
    </w:p>
  </w:endnote>
  <w:endnote w:id="45">
    <w:p w14:paraId="7418C71F" w14:textId="77777777" w:rsidR="004A31A9" w:rsidRPr="00755C20" w:rsidRDefault="004A31A9" w:rsidP="00D471AD">
      <w:pPr>
        <w:pStyle w:val="EndnoteText"/>
        <w:spacing w:after="96"/>
      </w:pPr>
      <w:r w:rsidRPr="00755C20">
        <w:rPr>
          <w:rStyle w:val="EndnoteReference"/>
        </w:rPr>
        <w:endnoteRef/>
      </w:r>
      <w:r w:rsidRPr="00755C20">
        <w:t xml:space="preserve"> Department of Industry, Innovation and Science, (2016) National Innovation Map, </w:t>
      </w:r>
      <w:r w:rsidRPr="00755C20">
        <w:rPr>
          <w:i/>
        </w:rPr>
        <w:t>Australian Government</w:t>
      </w:r>
      <w:r w:rsidRPr="00755C20">
        <w:t xml:space="preserve">, viewed 14 September 2016, </w:t>
      </w:r>
      <w:hyperlink r:id="rId10" w:tooltip="http://www.industry.gov.au/Office-of-the-Chief-Economist/Publications/Pages/Nat-Innovation-Map.aspx" w:history="1">
        <w:r w:rsidRPr="00755C20">
          <w:rPr>
            <w:rStyle w:val="Hyperlink"/>
          </w:rPr>
          <w:t>http://www.industry.gov.au/Office-of-the-Chief-Economist/Publications/Pages/Nat-Innovation-Map.aspx</w:t>
        </w:r>
      </w:hyperlink>
      <w:r w:rsidRPr="00755C20">
        <w:t xml:space="preserve"> </w:t>
      </w:r>
    </w:p>
    <w:p w14:paraId="7418C720" w14:textId="77777777" w:rsidR="004A31A9" w:rsidRPr="00755C20" w:rsidRDefault="004A31A9" w:rsidP="00D471AD">
      <w:pPr>
        <w:pStyle w:val="citationheading"/>
        <w:spacing w:after="114"/>
      </w:pPr>
    </w:p>
    <w:p w14:paraId="7418C721" w14:textId="77777777" w:rsidR="004A31A9" w:rsidRDefault="004A31A9" w:rsidP="00D471AD">
      <w:pPr>
        <w:pStyle w:val="citationheading"/>
        <w:spacing w:after="114"/>
      </w:pPr>
    </w:p>
    <w:p w14:paraId="7418C722" w14:textId="77777777" w:rsidR="004A31A9" w:rsidRPr="00755C20" w:rsidRDefault="004A31A9" w:rsidP="00D471AD">
      <w:pPr>
        <w:pStyle w:val="citationheading"/>
        <w:spacing w:after="114"/>
      </w:pPr>
    </w:p>
    <w:p w14:paraId="7418C723" w14:textId="77777777" w:rsidR="004A31A9" w:rsidRPr="00755C20" w:rsidRDefault="004A31A9" w:rsidP="00D471AD">
      <w:pPr>
        <w:pStyle w:val="citationheading"/>
        <w:spacing w:after="114"/>
      </w:pPr>
      <w:r w:rsidRPr="00755C20">
        <w:t>Chapter 4</w:t>
      </w:r>
    </w:p>
  </w:endnote>
  <w:endnote w:id="46">
    <w:p w14:paraId="7418C724" w14:textId="77777777" w:rsidR="004A31A9" w:rsidRPr="00755C20" w:rsidRDefault="004A31A9" w:rsidP="00D471AD">
      <w:pPr>
        <w:pStyle w:val="EndnoteText"/>
        <w:spacing w:after="96"/>
        <w:rPr>
          <w:rFonts w:cstheme="minorHAnsi"/>
          <w:szCs w:val="16"/>
        </w:rPr>
      </w:pPr>
      <w:r w:rsidRPr="00755C20">
        <w:rPr>
          <w:rStyle w:val="EndnoteReference"/>
          <w:rFonts w:cstheme="minorHAnsi"/>
          <w:szCs w:val="16"/>
        </w:rPr>
        <w:endnoteRef/>
      </w:r>
      <w:r w:rsidRPr="00755C20">
        <w:rPr>
          <w:rFonts w:cstheme="minorHAnsi"/>
          <w:szCs w:val="16"/>
        </w:rPr>
        <w:t xml:space="preserve"> OECD (2010) </w:t>
      </w:r>
      <w:r w:rsidRPr="00755C20">
        <w:rPr>
          <w:rFonts w:cstheme="minorHAnsi"/>
          <w:i/>
          <w:szCs w:val="16"/>
        </w:rPr>
        <w:t>The OECD innovation strategy: getting a head start on tomorrow</w:t>
      </w:r>
      <w:r w:rsidRPr="00755C20">
        <w:rPr>
          <w:rFonts w:cstheme="minorHAnsi"/>
          <w:szCs w:val="16"/>
        </w:rPr>
        <w:t xml:space="preserve">, OECD Publishing; </w:t>
      </w:r>
      <w:r w:rsidRPr="00755C20">
        <w:rPr>
          <w:rStyle w:val="FootnoteChar"/>
          <w:rFonts w:asciiTheme="minorHAnsi" w:eastAsiaTheme="minorHAnsi" w:hAnsiTheme="minorHAnsi"/>
          <w:color w:val="595A5B"/>
          <w:sz w:val="16"/>
          <w:szCs w:val="16"/>
        </w:rPr>
        <w:t xml:space="preserve">ACOLA (2014) </w:t>
      </w:r>
      <w:r w:rsidRPr="00755C20">
        <w:rPr>
          <w:rStyle w:val="FootnoteChar"/>
          <w:rFonts w:asciiTheme="minorHAnsi" w:eastAsiaTheme="minorHAnsi" w:hAnsiTheme="minorHAnsi"/>
          <w:i/>
          <w:color w:val="595A5B"/>
          <w:sz w:val="16"/>
          <w:szCs w:val="16"/>
        </w:rPr>
        <w:t>The role of science, research and technology in lifting Australian productivity</w:t>
      </w:r>
      <w:r w:rsidRPr="00755C20">
        <w:rPr>
          <w:rStyle w:val="FootnoteChar"/>
          <w:rFonts w:asciiTheme="minorHAnsi" w:eastAsiaTheme="minorHAnsi" w:hAnsiTheme="minorHAnsi"/>
          <w:color w:val="595A5B"/>
          <w:sz w:val="16"/>
          <w:szCs w:val="16"/>
        </w:rPr>
        <w:t xml:space="preserve">, Securing Australia’s future Project 4 final report, </w:t>
      </w:r>
      <w:hyperlink r:id="rId11" w:tooltip="www.acola.org.au" w:history="1">
        <w:r w:rsidRPr="00755C20">
          <w:rPr>
            <w:rStyle w:val="Hyperlink"/>
            <w:rFonts w:cstheme="minorHAnsi"/>
            <w:szCs w:val="16"/>
          </w:rPr>
          <w:t>www.acola.org.au</w:t>
        </w:r>
      </w:hyperlink>
      <w:r w:rsidRPr="00755C20">
        <w:rPr>
          <w:rStyle w:val="FootnoteChar"/>
          <w:rFonts w:asciiTheme="minorHAnsi" w:eastAsiaTheme="minorHAnsi" w:hAnsiTheme="minorHAnsi"/>
          <w:color w:val="595A5B"/>
          <w:sz w:val="16"/>
          <w:szCs w:val="16"/>
        </w:rPr>
        <w:t xml:space="preserve">; </w:t>
      </w:r>
      <w:r w:rsidRPr="00755C20">
        <w:rPr>
          <w:rFonts w:cstheme="minorHAnsi"/>
          <w:szCs w:val="16"/>
        </w:rPr>
        <w:t xml:space="preserve">Microsoft Australia (2014) </w:t>
      </w:r>
      <w:r w:rsidRPr="00755C20">
        <w:rPr>
          <w:rFonts w:cstheme="minorHAnsi"/>
          <w:i/>
          <w:szCs w:val="16"/>
        </w:rPr>
        <w:t>Joined-up innovation</w:t>
      </w:r>
      <w:r w:rsidRPr="00755C20">
        <w:rPr>
          <w:rFonts w:cstheme="minorHAnsi"/>
          <w:szCs w:val="16"/>
        </w:rPr>
        <w:t xml:space="preserve">, discussion paper, </w:t>
      </w:r>
      <w:hyperlink r:id="rId12" w:tooltip="www.microsoft.com/enterprise/en-au/business-leaders/joined-up-innovation/default.aspx" w:history="1">
        <w:r w:rsidRPr="00755C20">
          <w:rPr>
            <w:rStyle w:val="Hyperlink"/>
            <w:rFonts w:cstheme="minorHAnsi"/>
            <w:szCs w:val="16"/>
          </w:rPr>
          <w:t>www.microsoft.com/enterprise/en-au/business-leaders/joined-up-innovation/default.aspx</w:t>
        </w:r>
      </w:hyperlink>
      <w:r w:rsidRPr="00755C20">
        <w:rPr>
          <w:rStyle w:val="Hyperlink"/>
          <w:rFonts w:cstheme="minorHAnsi"/>
          <w:szCs w:val="16"/>
        </w:rPr>
        <w:t>.</w:t>
      </w:r>
    </w:p>
  </w:endnote>
  <w:endnote w:id="47">
    <w:p w14:paraId="7418C725" w14:textId="77777777" w:rsidR="004A31A9" w:rsidRPr="00755C20" w:rsidRDefault="004A31A9" w:rsidP="00D471AD">
      <w:pPr>
        <w:pStyle w:val="EndnoteText"/>
        <w:spacing w:after="96"/>
        <w:rPr>
          <w:rFonts w:cstheme="minorHAnsi"/>
          <w:szCs w:val="16"/>
          <w:lang w:val="en-US"/>
        </w:rPr>
      </w:pPr>
      <w:r w:rsidRPr="00755C20">
        <w:rPr>
          <w:rStyle w:val="EndnoteReference"/>
          <w:rFonts w:cstheme="minorHAnsi"/>
          <w:szCs w:val="16"/>
        </w:rPr>
        <w:endnoteRef/>
      </w:r>
      <w:r w:rsidRPr="00755C20">
        <w:rPr>
          <w:rFonts w:cstheme="minorHAnsi"/>
          <w:szCs w:val="16"/>
        </w:rPr>
        <w:t xml:space="preserve"> Department of Industry (2014</w:t>
      </w:r>
      <w:r w:rsidRPr="00755C20">
        <w:rPr>
          <w:rFonts w:cstheme="minorHAnsi"/>
          <w:i/>
          <w:szCs w:val="16"/>
        </w:rPr>
        <w:t>) Australian Innovation System Report - 2014</w:t>
      </w:r>
      <w:r w:rsidRPr="00755C20">
        <w:rPr>
          <w:rFonts w:cstheme="minorHAnsi"/>
          <w:szCs w:val="16"/>
        </w:rPr>
        <w:t>, p.126</w:t>
      </w:r>
    </w:p>
  </w:endnote>
  <w:endnote w:id="48">
    <w:p w14:paraId="7418C726" w14:textId="77777777" w:rsidR="004A31A9" w:rsidRPr="00755C20" w:rsidRDefault="004A31A9" w:rsidP="00D471AD">
      <w:pPr>
        <w:pStyle w:val="EndnoteText"/>
        <w:spacing w:after="96"/>
        <w:rPr>
          <w:rFonts w:cstheme="minorHAnsi"/>
          <w:szCs w:val="16"/>
        </w:rPr>
      </w:pPr>
      <w:r w:rsidRPr="00755C20">
        <w:rPr>
          <w:rStyle w:val="EndnoteReference"/>
          <w:rFonts w:cstheme="minorHAnsi"/>
          <w:szCs w:val="16"/>
        </w:rPr>
        <w:endnoteRef/>
      </w:r>
      <w:r w:rsidRPr="00755C20">
        <w:rPr>
          <w:rFonts w:cstheme="minorHAnsi"/>
          <w:szCs w:val="16"/>
        </w:rPr>
        <w:t xml:space="preserve"> </w:t>
      </w:r>
      <w:r w:rsidRPr="00755C20">
        <w:rPr>
          <w:rFonts w:cstheme="minorHAnsi"/>
          <w:szCs w:val="16"/>
          <w:lang w:val="en-US"/>
        </w:rPr>
        <w:t xml:space="preserve">Vinding AL (2006) Absorptive capacity and innovative performance: a human capital approach, </w:t>
      </w:r>
      <w:r w:rsidRPr="00755C20">
        <w:rPr>
          <w:rFonts w:cstheme="minorHAnsi"/>
          <w:i/>
          <w:szCs w:val="16"/>
          <w:lang w:val="en-US"/>
        </w:rPr>
        <w:t>Economics of Innovation and New Technology</w:t>
      </w:r>
      <w:r w:rsidRPr="00755C20">
        <w:rPr>
          <w:rFonts w:cstheme="minorHAnsi"/>
          <w:szCs w:val="16"/>
          <w:lang w:val="en-US"/>
        </w:rPr>
        <w:t xml:space="preserve"> 15, pp. 507–517</w:t>
      </w:r>
    </w:p>
  </w:endnote>
  <w:endnote w:id="49">
    <w:p w14:paraId="7418C727" w14:textId="77777777" w:rsidR="004A31A9" w:rsidRPr="00755C20" w:rsidRDefault="004A31A9" w:rsidP="00D471AD">
      <w:pPr>
        <w:pStyle w:val="EndnoteText"/>
        <w:spacing w:after="96"/>
        <w:rPr>
          <w:rFonts w:cstheme="minorHAnsi"/>
          <w:szCs w:val="16"/>
          <w:lang w:val="en-US"/>
        </w:rPr>
      </w:pPr>
      <w:r w:rsidRPr="00755C20">
        <w:rPr>
          <w:rStyle w:val="EndnoteReference"/>
          <w:rFonts w:cstheme="minorHAnsi"/>
          <w:szCs w:val="16"/>
        </w:rPr>
        <w:endnoteRef/>
      </w:r>
      <w:r w:rsidRPr="00755C20">
        <w:rPr>
          <w:rFonts w:cstheme="minorHAnsi"/>
          <w:szCs w:val="16"/>
        </w:rPr>
        <w:t xml:space="preserve"> Lane PJ, Salk JE and Lyles MA (2001) Absorptive capacity, learning, and performance in international joint ventures, </w:t>
      </w:r>
      <w:r w:rsidRPr="00755C20">
        <w:rPr>
          <w:rFonts w:cstheme="minorHAnsi"/>
          <w:i/>
          <w:iCs/>
          <w:szCs w:val="16"/>
        </w:rPr>
        <w:t>Strategic management journal,</w:t>
      </w:r>
      <w:r w:rsidRPr="00755C20">
        <w:rPr>
          <w:rFonts w:cstheme="minorHAnsi"/>
          <w:szCs w:val="16"/>
        </w:rPr>
        <w:t xml:space="preserve"> 22(12), pp 1139-1161</w:t>
      </w:r>
    </w:p>
  </w:endnote>
  <w:endnote w:id="50">
    <w:p w14:paraId="7418C728" w14:textId="77777777" w:rsidR="004A31A9" w:rsidRPr="00755C20" w:rsidRDefault="004A31A9" w:rsidP="00D471AD">
      <w:pPr>
        <w:pStyle w:val="EndnoteText"/>
        <w:spacing w:after="96"/>
      </w:pPr>
      <w:r w:rsidRPr="00755C20">
        <w:rPr>
          <w:rStyle w:val="EndnoteReference"/>
        </w:rPr>
        <w:endnoteRef/>
      </w:r>
      <w:r w:rsidRPr="00755C20">
        <w:t xml:space="preserve"> </w:t>
      </w:r>
      <w:r>
        <w:t xml:space="preserve">Australian Government (2016) National Science and Research commercialisation, viewed 28 October 2016, </w:t>
      </w:r>
      <w:hyperlink r:id="rId13" w:tooltip="http://www.industry.gov.au/innovation/NSRC/Pages/default.aspx" w:history="1">
        <w:r w:rsidRPr="00755C20">
          <w:rPr>
            <w:rStyle w:val="Hyperlink"/>
          </w:rPr>
          <w:t>http://www.industry.gov.au/innovation/NSRC/Pages/default.aspx</w:t>
        </w:r>
      </w:hyperlink>
    </w:p>
  </w:endnote>
  <w:endnote w:id="51">
    <w:p w14:paraId="7418C729" w14:textId="77777777" w:rsidR="004A31A9" w:rsidRPr="00755C20" w:rsidRDefault="004A31A9" w:rsidP="00D471AD">
      <w:pPr>
        <w:pStyle w:val="EndnoteText"/>
        <w:spacing w:after="96"/>
        <w:rPr>
          <w:rFonts w:cstheme="minorHAnsi"/>
          <w:szCs w:val="16"/>
          <w:lang w:val="en-US"/>
        </w:rPr>
      </w:pPr>
      <w:r w:rsidRPr="00755C20">
        <w:rPr>
          <w:rStyle w:val="EndnoteReference"/>
          <w:rFonts w:cstheme="minorHAnsi"/>
          <w:szCs w:val="16"/>
        </w:rPr>
        <w:endnoteRef/>
      </w:r>
      <w:r w:rsidRPr="00755C20">
        <w:rPr>
          <w:rFonts w:cstheme="minorHAnsi"/>
          <w:szCs w:val="16"/>
        </w:rPr>
        <w:t xml:space="preserve"> Lane P, &amp; Lubatkin M (1998) Relative absorptive capacity and interorganizational learning</w:t>
      </w:r>
      <w:r w:rsidRPr="00755C20">
        <w:rPr>
          <w:rFonts w:cstheme="minorHAnsi"/>
          <w:i/>
          <w:szCs w:val="16"/>
        </w:rPr>
        <w:t>. Strategic Management Journal</w:t>
      </w:r>
      <w:r w:rsidRPr="00755C20">
        <w:rPr>
          <w:rFonts w:cstheme="minorHAnsi"/>
          <w:szCs w:val="16"/>
        </w:rPr>
        <w:t xml:space="preserve">, 19(5), pp. 461–477; Lane PJ, Salk JE and Lyles MA (2001) Absorptive capacity, learning, and performance in international joint ventures, </w:t>
      </w:r>
      <w:r w:rsidRPr="00755C20">
        <w:rPr>
          <w:rFonts w:cstheme="minorHAnsi"/>
          <w:i/>
          <w:iCs/>
          <w:szCs w:val="16"/>
        </w:rPr>
        <w:t>Strategic management journal,</w:t>
      </w:r>
      <w:r w:rsidRPr="00755C20">
        <w:rPr>
          <w:rFonts w:cstheme="minorHAnsi"/>
          <w:szCs w:val="16"/>
        </w:rPr>
        <w:t xml:space="preserve"> 22(12), pp 1139-1161</w:t>
      </w:r>
    </w:p>
  </w:endnote>
  <w:endnote w:id="52">
    <w:p w14:paraId="7418C72A" w14:textId="77777777" w:rsidR="004A31A9" w:rsidRPr="00755C20" w:rsidRDefault="004A31A9" w:rsidP="00D471AD">
      <w:pPr>
        <w:pStyle w:val="EndnoteText"/>
        <w:spacing w:after="96"/>
        <w:rPr>
          <w:rFonts w:cstheme="minorHAnsi"/>
          <w:szCs w:val="16"/>
          <w:lang w:val="en-US"/>
        </w:rPr>
      </w:pPr>
      <w:r w:rsidRPr="00755C20">
        <w:rPr>
          <w:rStyle w:val="EndnoteReference"/>
          <w:rFonts w:cstheme="minorHAnsi"/>
          <w:szCs w:val="16"/>
        </w:rPr>
        <w:endnoteRef/>
      </w:r>
      <w:r w:rsidRPr="00755C20">
        <w:rPr>
          <w:rFonts w:cstheme="minorHAnsi"/>
          <w:szCs w:val="16"/>
        </w:rPr>
        <w:t xml:space="preserve"> Yiu D &amp; Lau CM (2008). Corporate entrepreneurship as resource capital configuration in emerging market firms, </w:t>
      </w:r>
      <w:r w:rsidRPr="00755C20">
        <w:rPr>
          <w:rFonts w:cstheme="minorHAnsi"/>
          <w:i/>
          <w:szCs w:val="16"/>
        </w:rPr>
        <w:t>Entrepreneurship Theory and Practice</w:t>
      </w:r>
      <w:r w:rsidRPr="00755C20">
        <w:rPr>
          <w:rFonts w:cstheme="minorHAnsi"/>
          <w:szCs w:val="16"/>
        </w:rPr>
        <w:t xml:space="preserve">, 32, pp. 37–58; Zahra S (2007) Contextualizing theory building in entrepreneurship research. </w:t>
      </w:r>
      <w:r w:rsidRPr="00755C20">
        <w:rPr>
          <w:rFonts w:cstheme="minorHAnsi"/>
          <w:i/>
          <w:szCs w:val="16"/>
        </w:rPr>
        <w:t>Journal of Business Venturing</w:t>
      </w:r>
      <w:r w:rsidRPr="00755C20">
        <w:rPr>
          <w:rFonts w:cstheme="minorHAnsi"/>
          <w:szCs w:val="16"/>
        </w:rPr>
        <w:t>, 22(3), pp. 433–452</w:t>
      </w:r>
    </w:p>
  </w:endnote>
  <w:endnote w:id="53">
    <w:p w14:paraId="7418C72B" w14:textId="77777777" w:rsidR="004A31A9" w:rsidRPr="00755C20" w:rsidRDefault="004A31A9" w:rsidP="00D471AD">
      <w:pPr>
        <w:pStyle w:val="EndnoteText"/>
        <w:spacing w:after="96"/>
        <w:rPr>
          <w:rFonts w:cstheme="minorHAnsi"/>
          <w:szCs w:val="16"/>
          <w:lang w:val="en-US"/>
        </w:rPr>
      </w:pPr>
      <w:r w:rsidRPr="00755C20">
        <w:rPr>
          <w:rStyle w:val="EndnoteReference"/>
          <w:rFonts w:cstheme="minorHAnsi"/>
          <w:szCs w:val="16"/>
        </w:rPr>
        <w:endnoteRef/>
      </w:r>
      <w:r w:rsidRPr="00755C20">
        <w:rPr>
          <w:rFonts w:cstheme="minorHAnsi"/>
          <w:szCs w:val="16"/>
        </w:rPr>
        <w:t xml:space="preserve"> Zahra SA &amp; George G (2002) Absorptive capacity: a review, reconceptualization, and extension, </w:t>
      </w:r>
      <w:r w:rsidRPr="00755C20">
        <w:rPr>
          <w:rFonts w:cstheme="minorHAnsi"/>
          <w:i/>
          <w:szCs w:val="16"/>
        </w:rPr>
        <w:t>Academy of Management Review</w:t>
      </w:r>
      <w:r w:rsidRPr="00755C20">
        <w:rPr>
          <w:rFonts w:cstheme="minorHAnsi"/>
          <w:szCs w:val="16"/>
        </w:rPr>
        <w:t xml:space="preserve"> 27(2), pp. 185–203; Cohen WM, Levinthal DA. Absorptive capacity: a new perspective on learning and innovation, </w:t>
      </w:r>
      <w:r w:rsidRPr="00755C20">
        <w:rPr>
          <w:rFonts w:cstheme="minorHAnsi"/>
          <w:i/>
          <w:szCs w:val="16"/>
        </w:rPr>
        <w:t>Administrative Science Quarterly,</w:t>
      </w:r>
      <w:r w:rsidRPr="00755C20">
        <w:rPr>
          <w:rFonts w:cstheme="minorHAnsi"/>
          <w:szCs w:val="16"/>
        </w:rPr>
        <w:t xml:space="preserve"> 35, pp. 128–152</w:t>
      </w:r>
    </w:p>
  </w:endnote>
  <w:endnote w:id="54">
    <w:p w14:paraId="7418C72C" w14:textId="77777777" w:rsidR="004A31A9" w:rsidRPr="00755C20" w:rsidRDefault="004A31A9" w:rsidP="00D471AD">
      <w:pPr>
        <w:pStyle w:val="EndnoteText"/>
        <w:spacing w:after="96"/>
        <w:rPr>
          <w:rFonts w:cstheme="minorHAnsi"/>
          <w:szCs w:val="16"/>
        </w:rPr>
      </w:pPr>
      <w:r w:rsidRPr="00755C20">
        <w:rPr>
          <w:rStyle w:val="EndnoteReference"/>
          <w:rFonts w:cstheme="minorHAnsi"/>
          <w:szCs w:val="16"/>
        </w:rPr>
        <w:endnoteRef/>
      </w:r>
      <w:r w:rsidRPr="00755C20">
        <w:rPr>
          <w:rFonts w:cstheme="minorHAnsi"/>
          <w:szCs w:val="16"/>
        </w:rPr>
        <w:t xml:space="preserve"> </w:t>
      </w:r>
      <w:r w:rsidRPr="00755C20">
        <w:rPr>
          <w:rFonts w:cstheme="minorHAnsi"/>
          <w:szCs w:val="16"/>
          <w:lang w:val="en-US"/>
        </w:rPr>
        <w:t xml:space="preserve">Vinding AL (2006) Absorptive capacity and innovative performance: a human capital approach, </w:t>
      </w:r>
      <w:r w:rsidRPr="00755C20">
        <w:rPr>
          <w:rFonts w:cstheme="minorHAnsi"/>
          <w:i/>
          <w:szCs w:val="16"/>
          <w:lang w:val="en-US"/>
        </w:rPr>
        <w:t>Economics of Innovation and New Technology</w:t>
      </w:r>
      <w:r w:rsidRPr="00755C20">
        <w:rPr>
          <w:rFonts w:cstheme="minorHAnsi"/>
          <w:szCs w:val="16"/>
          <w:lang w:val="en-US"/>
        </w:rPr>
        <w:t xml:space="preserve"> 15, pp. 507–517; Department of Industry (2013) </w:t>
      </w:r>
      <w:r w:rsidRPr="00755C20">
        <w:rPr>
          <w:rFonts w:cstheme="minorHAnsi"/>
          <w:i/>
          <w:szCs w:val="16"/>
          <w:lang w:val="en-US"/>
        </w:rPr>
        <w:t>Australian Innovation System Report - 2013</w:t>
      </w:r>
      <w:r w:rsidRPr="00755C20">
        <w:rPr>
          <w:rFonts w:cstheme="minorHAnsi"/>
          <w:szCs w:val="16"/>
          <w:lang w:val="en-US"/>
        </w:rPr>
        <w:t>, DoI, pp. 54–55</w:t>
      </w:r>
    </w:p>
  </w:endnote>
  <w:endnote w:id="55">
    <w:p w14:paraId="7418C72D"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OECD (2015) </w:t>
      </w:r>
      <w:r w:rsidRPr="00755C20">
        <w:rPr>
          <w:rFonts w:cstheme="minorHAnsi"/>
          <w:i/>
          <w:szCs w:val="16"/>
        </w:rPr>
        <w:t>OECD Science, Technology and Industry Scoreboard 2015</w:t>
      </w:r>
      <w:r w:rsidRPr="00755C20">
        <w:rPr>
          <w:rFonts w:cstheme="minorHAnsi"/>
          <w:szCs w:val="16"/>
        </w:rPr>
        <w:t>, OECD Publishing, pp. 142.</w:t>
      </w:r>
    </w:p>
  </w:endnote>
  <w:endnote w:id="56">
    <w:p w14:paraId="7418C72E" w14:textId="77777777" w:rsidR="004A31A9" w:rsidRPr="00755C20" w:rsidRDefault="004A31A9" w:rsidP="00D471AD">
      <w:pPr>
        <w:pStyle w:val="EndnoteText"/>
        <w:spacing w:after="96"/>
        <w:jc w:val="both"/>
        <w:rPr>
          <w:rFonts w:cstheme="minorHAnsi"/>
          <w:szCs w:val="16"/>
          <w:lang w:val="en-US"/>
        </w:rPr>
      </w:pPr>
      <w:r w:rsidRPr="00755C20">
        <w:rPr>
          <w:rStyle w:val="EndnoteReference"/>
          <w:rFonts w:cstheme="minorHAnsi"/>
          <w:szCs w:val="16"/>
        </w:rPr>
        <w:endnoteRef/>
      </w:r>
      <w:r w:rsidRPr="00755C20">
        <w:rPr>
          <w:rFonts w:cstheme="minorHAnsi"/>
          <w:szCs w:val="16"/>
        </w:rPr>
        <w:t xml:space="preserve"> OECD (2014) </w:t>
      </w:r>
      <w:r w:rsidRPr="00755C20">
        <w:rPr>
          <w:rFonts w:cstheme="minorHAnsi"/>
          <w:i/>
          <w:szCs w:val="16"/>
        </w:rPr>
        <w:t>Main science and technology indicators</w:t>
      </w:r>
      <w:r w:rsidRPr="00755C20">
        <w:rPr>
          <w:rFonts w:cstheme="minorHAnsi"/>
          <w:szCs w:val="16"/>
        </w:rPr>
        <w:t>, OECD Publishing</w:t>
      </w:r>
    </w:p>
  </w:endnote>
  <w:endnote w:id="57">
    <w:p w14:paraId="7418C72F"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OECD (2014) </w:t>
      </w:r>
      <w:r w:rsidRPr="00755C20">
        <w:rPr>
          <w:rFonts w:cstheme="minorHAnsi"/>
          <w:i/>
          <w:szCs w:val="16"/>
        </w:rPr>
        <w:t>Main science and technology indicators</w:t>
      </w:r>
      <w:r w:rsidRPr="00755C20">
        <w:rPr>
          <w:rFonts w:cstheme="minorHAnsi"/>
          <w:szCs w:val="16"/>
        </w:rPr>
        <w:t>, OECD Publishing</w:t>
      </w:r>
      <w:r w:rsidRPr="00755C20" w:rsidDel="00C10251">
        <w:rPr>
          <w:rFonts w:cstheme="minorHAnsi"/>
          <w:szCs w:val="16"/>
        </w:rPr>
        <w:t xml:space="preserve"> </w:t>
      </w:r>
    </w:p>
    <w:p w14:paraId="7418C730" w14:textId="77777777" w:rsidR="004A31A9" w:rsidRPr="00755C20" w:rsidRDefault="004A31A9" w:rsidP="00D471AD">
      <w:pPr>
        <w:pStyle w:val="citationheading"/>
        <w:spacing w:after="114"/>
        <w:rPr>
          <w:rFonts w:cstheme="minorHAnsi"/>
          <w:b w:val="0"/>
          <w:lang w:val="en-US"/>
        </w:rPr>
      </w:pPr>
      <w:r w:rsidRPr="00755C20">
        <w:t>Chapter 5</w:t>
      </w:r>
    </w:p>
  </w:endnote>
  <w:endnote w:id="58">
    <w:p w14:paraId="7418C731"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OECD (2016) </w:t>
      </w:r>
      <w:r w:rsidRPr="00755C20">
        <w:rPr>
          <w:rFonts w:cstheme="minorHAnsi"/>
          <w:i/>
          <w:szCs w:val="16"/>
        </w:rPr>
        <w:t>Back to Work: Australia: Improving the Re-employment Prospects of Displaced Workers</w:t>
      </w:r>
      <w:r w:rsidRPr="00755C20">
        <w:rPr>
          <w:rFonts w:cstheme="minorHAnsi"/>
          <w:szCs w:val="16"/>
        </w:rPr>
        <w:t>, OECD Publishing</w:t>
      </w:r>
    </w:p>
  </w:endnote>
  <w:endnote w:id="59">
    <w:p w14:paraId="7418C732"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NAB Group Economics (2016) </w:t>
      </w:r>
      <w:r w:rsidRPr="00755C20">
        <w:rPr>
          <w:rFonts w:cstheme="minorHAnsi"/>
          <w:i/>
          <w:szCs w:val="16"/>
        </w:rPr>
        <w:t>NAB</w:t>
      </w:r>
      <w:r w:rsidRPr="00755C20">
        <w:rPr>
          <w:rFonts w:cstheme="minorHAnsi"/>
          <w:szCs w:val="16"/>
        </w:rPr>
        <w:t xml:space="preserve"> </w:t>
      </w:r>
      <w:r w:rsidRPr="00755C20">
        <w:rPr>
          <w:rFonts w:cstheme="minorHAnsi"/>
          <w:i/>
          <w:szCs w:val="16"/>
        </w:rPr>
        <w:t>Quarterly Business Survey – June Quarter 2016</w:t>
      </w:r>
      <w:r w:rsidRPr="00755C20">
        <w:rPr>
          <w:rFonts w:cstheme="minorHAnsi"/>
          <w:szCs w:val="16"/>
        </w:rPr>
        <w:t>, National Australia Bank</w:t>
      </w:r>
    </w:p>
  </w:endnote>
  <w:endnote w:id="60">
    <w:p w14:paraId="7418C733"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Singer S, Amorós JE, Arreola DM and Global Entrepreneurship Research Association (2015) </w:t>
      </w:r>
      <w:r w:rsidRPr="00755C20">
        <w:rPr>
          <w:rFonts w:cstheme="minorHAnsi"/>
          <w:i/>
          <w:szCs w:val="16"/>
        </w:rPr>
        <w:t>Global Entrepreneurship Monitor 2014 Global Report</w:t>
      </w:r>
      <w:r w:rsidRPr="00755C20">
        <w:rPr>
          <w:rFonts w:cstheme="minorHAnsi"/>
          <w:szCs w:val="16"/>
        </w:rPr>
        <w:t xml:space="preserve">, Babson College, Universidad del Desarrollo, Universiti Tun Abdul Razak, Tecnológico de Monterrey, p. 80 </w:t>
      </w:r>
    </w:p>
  </w:endnote>
  <w:endnote w:id="61">
    <w:p w14:paraId="7418C734"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Shane S (2009) Why encouraging more people to become entrepreneurs is bad public policy, </w:t>
      </w:r>
      <w:r w:rsidRPr="00755C20">
        <w:rPr>
          <w:rFonts w:cstheme="minorHAnsi"/>
          <w:i/>
          <w:iCs/>
          <w:szCs w:val="16"/>
        </w:rPr>
        <w:t>Small business economics,</w:t>
      </w:r>
      <w:r w:rsidRPr="00755C20">
        <w:rPr>
          <w:rFonts w:cstheme="minorHAnsi"/>
          <w:szCs w:val="16"/>
        </w:rPr>
        <w:t xml:space="preserve"> 33(2), pp 141-149, 143</w:t>
      </w:r>
    </w:p>
  </w:endnote>
  <w:endnote w:id="62">
    <w:p w14:paraId="7418C735"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Department of Industry (2014) </w:t>
      </w:r>
      <w:r w:rsidRPr="00755C20">
        <w:rPr>
          <w:rFonts w:cstheme="minorHAnsi"/>
          <w:i/>
          <w:szCs w:val="16"/>
        </w:rPr>
        <w:t>Australian Innovation System Report - 2014</w:t>
      </w:r>
      <w:r w:rsidRPr="00755C20">
        <w:rPr>
          <w:rFonts w:cstheme="minorHAnsi"/>
          <w:szCs w:val="16"/>
        </w:rPr>
        <w:t>, DoI</w:t>
      </w:r>
    </w:p>
  </w:endnote>
  <w:endnote w:id="63">
    <w:p w14:paraId="7418C736"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Soames L, Brunker D and Talgaswatta T (2011) Competition, innovation and productivity in Australian businesses, </w:t>
      </w:r>
      <w:r w:rsidRPr="00755C20">
        <w:rPr>
          <w:rFonts w:cstheme="minorHAnsi"/>
          <w:i/>
          <w:szCs w:val="16"/>
        </w:rPr>
        <w:t>Productivity Commission and Australian Bureau of Statistics joint research paper</w:t>
      </w:r>
    </w:p>
  </w:endnote>
  <w:endnote w:id="64">
    <w:p w14:paraId="7418C737"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Falvey R, Foster N and Greenaway D (2006) Trade, imitative ability and intellectual property rights, research paper, </w:t>
      </w:r>
      <w:r w:rsidRPr="00755C20">
        <w:rPr>
          <w:rFonts w:cstheme="minorHAnsi"/>
          <w:i/>
          <w:szCs w:val="16"/>
        </w:rPr>
        <w:t>Nottingham: The University of Nottingham</w:t>
      </w:r>
    </w:p>
  </w:endnote>
  <w:endnote w:id="65">
    <w:p w14:paraId="7418C738"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McDaniel C (2014) </w:t>
      </w:r>
      <w:r w:rsidRPr="00755C20">
        <w:rPr>
          <w:rFonts w:cstheme="minorHAnsi"/>
          <w:i/>
          <w:szCs w:val="16"/>
        </w:rPr>
        <w:t>The relationship between international trade and patent rights: evidence for Australia’s exports</w:t>
      </w:r>
      <w:r w:rsidRPr="00755C20">
        <w:rPr>
          <w:rFonts w:cstheme="minorHAnsi"/>
          <w:szCs w:val="16"/>
        </w:rPr>
        <w:t>, Office of the Chief Economist, IP Australia.</w:t>
      </w:r>
    </w:p>
  </w:endnote>
  <w:endnote w:id="66">
    <w:p w14:paraId="7418C739"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IP Australia (2016) </w:t>
      </w:r>
      <w:r w:rsidRPr="00755C20">
        <w:rPr>
          <w:rFonts w:cstheme="minorHAnsi"/>
          <w:i/>
          <w:szCs w:val="16"/>
        </w:rPr>
        <w:t>Australian Intellectual Property Report 2016</w:t>
      </w:r>
      <w:r w:rsidRPr="00755C20">
        <w:rPr>
          <w:rFonts w:cstheme="minorHAnsi"/>
          <w:szCs w:val="16"/>
        </w:rPr>
        <w:t>, Australian Government</w:t>
      </w:r>
    </w:p>
  </w:endnote>
  <w:endnote w:id="67">
    <w:p w14:paraId="7418C73A" w14:textId="77777777" w:rsidR="004A31A9" w:rsidRPr="00755C20" w:rsidRDefault="004A31A9" w:rsidP="00D471AD">
      <w:pPr>
        <w:pStyle w:val="BodyText"/>
        <w:spacing w:before="0" w:afterLines="40" w:after="96"/>
        <w:rPr>
          <w:sz w:val="16"/>
        </w:rPr>
      </w:pPr>
      <w:r w:rsidRPr="00755C20">
        <w:rPr>
          <w:rStyle w:val="EndnoteReference"/>
          <w:sz w:val="16"/>
        </w:rPr>
        <w:endnoteRef/>
      </w:r>
      <w:r w:rsidRPr="00755C20">
        <w:rPr>
          <w:sz w:val="16"/>
        </w:rPr>
        <w:t xml:space="preserve"> Productivity Commission (2015) </w:t>
      </w:r>
      <w:r w:rsidRPr="00755C20">
        <w:rPr>
          <w:i/>
          <w:sz w:val="16"/>
        </w:rPr>
        <w:t>Business Set-up, Transfer and Closure</w:t>
      </w:r>
      <w:r w:rsidRPr="00755C20">
        <w:rPr>
          <w:sz w:val="16"/>
        </w:rPr>
        <w:t xml:space="preserve">, </w:t>
      </w:r>
      <w:r w:rsidRPr="00755C20">
        <w:rPr>
          <w:rFonts w:cstheme="minorHAnsi"/>
          <w:sz w:val="16"/>
          <w:szCs w:val="16"/>
        </w:rPr>
        <w:t>Australian Government</w:t>
      </w:r>
      <w:r w:rsidRPr="00755C20" w:rsidDel="00286CF2">
        <w:rPr>
          <w:sz w:val="16"/>
        </w:rPr>
        <w:t xml:space="preserve"> </w:t>
      </w:r>
    </w:p>
  </w:endnote>
  <w:endnote w:id="68">
    <w:p w14:paraId="7418C73B" w14:textId="77777777" w:rsidR="004A31A9" w:rsidRPr="00755C20" w:rsidRDefault="004A31A9" w:rsidP="00D471AD">
      <w:pPr>
        <w:pStyle w:val="BodyText"/>
        <w:spacing w:before="0" w:afterLines="40" w:after="96"/>
        <w:rPr>
          <w:sz w:val="16"/>
        </w:rPr>
      </w:pPr>
      <w:r w:rsidRPr="00755C20">
        <w:rPr>
          <w:rStyle w:val="EndnoteReference"/>
          <w:sz w:val="16"/>
        </w:rPr>
        <w:endnoteRef/>
      </w:r>
      <w:r w:rsidRPr="00755C20">
        <w:rPr>
          <w:sz w:val="16"/>
        </w:rPr>
        <w:t xml:space="preserve"> The Treasury (2014), </w:t>
      </w:r>
      <w:r w:rsidRPr="00755C20">
        <w:rPr>
          <w:i/>
          <w:sz w:val="16"/>
        </w:rPr>
        <w:t xml:space="preserve">Financial System Inquiry </w:t>
      </w:r>
      <w:r w:rsidRPr="00755C20">
        <w:rPr>
          <w:rFonts w:cstheme="minorHAnsi"/>
          <w:i/>
          <w:sz w:val="16"/>
          <w:szCs w:val="16"/>
        </w:rPr>
        <w:t>Final</w:t>
      </w:r>
      <w:r w:rsidRPr="00755C20">
        <w:rPr>
          <w:i/>
          <w:sz w:val="16"/>
        </w:rPr>
        <w:t xml:space="preserve"> Report</w:t>
      </w:r>
      <w:r w:rsidRPr="00755C20">
        <w:rPr>
          <w:rFonts w:cstheme="minorHAnsi"/>
          <w:sz w:val="16"/>
          <w:szCs w:val="16"/>
        </w:rPr>
        <w:t>, Australian Government</w:t>
      </w:r>
    </w:p>
  </w:endnote>
  <w:endnote w:id="69">
    <w:p w14:paraId="7418C73C" w14:textId="77777777" w:rsidR="004A31A9" w:rsidRPr="00755C20" w:rsidRDefault="004A31A9" w:rsidP="00D471AD">
      <w:pPr>
        <w:pStyle w:val="BodyText"/>
        <w:spacing w:before="0" w:afterLines="40" w:after="96"/>
        <w:rPr>
          <w:rFonts w:cstheme="minorHAnsi"/>
          <w:sz w:val="16"/>
          <w:szCs w:val="16"/>
        </w:rPr>
      </w:pPr>
      <w:r w:rsidRPr="00755C20">
        <w:rPr>
          <w:rStyle w:val="EndnoteReference"/>
          <w:sz w:val="16"/>
        </w:rPr>
        <w:endnoteRef/>
      </w:r>
      <w:r w:rsidRPr="00755C20">
        <w:rPr>
          <w:sz w:val="16"/>
        </w:rPr>
        <w:t xml:space="preserve"> OECD (2015) </w:t>
      </w:r>
      <w:r w:rsidRPr="00755C20">
        <w:rPr>
          <w:i/>
          <w:sz w:val="16"/>
        </w:rPr>
        <w:t>New Approaches to SME and entrepreneurship finance: Broadening the range of instruments-Final Synthesis Report</w:t>
      </w:r>
      <w:r w:rsidRPr="00755C20">
        <w:rPr>
          <w:sz w:val="16"/>
        </w:rPr>
        <w:t>, Working Party on SMEs and Entrepreneurship (WPSMEE)</w:t>
      </w:r>
    </w:p>
  </w:endnote>
  <w:endnote w:id="70">
    <w:p w14:paraId="7418C73D" w14:textId="77777777" w:rsidR="004A31A9" w:rsidRPr="00755C20" w:rsidRDefault="004A31A9" w:rsidP="00D471AD">
      <w:pPr>
        <w:pStyle w:val="EndnoteText"/>
        <w:spacing w:after="96"/>
        <w:jc w:val="both"/>
      </w:pPr>
      <w:r w:rsidRPr="00755C20">
        <w:rPr>
          <w:rStyle w:val="EndnoteReference"/>
        </w:rPr>
        <w:endnoteRef/>
      </w:r>
      <w:r w:rsidRPr="00755C20">
        <w:t xml:space="preserve"> ABS (2016), </w:t>
      </w:r>
      <w:r w:rsidRPr="00755C20">
        <w:rPr>
          <w:i/>
        </w:rPr>
        <w:t>Venture Capital and Later Stage Private Equity, Australia, 2014-15</w:t>
      </w:r>
      <w:r w:rsidRPr="00755C20">
        <w:t>, cat. no. 5678.0</w:t>
      </w:r>
    </w:p>
  </w:endnote>
  <w:endnote w:id="71">
    <w:p w14:paraId="7418C73E"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OECD (2015) </w:t>
      </w:r>
      <w:r w:rsidRPr="00755C20">
        <w:rPr>
          <w:rFonts w:cstheme="minorHAnsi"/>
          <w:i/>
          <w:szCs w:val="16"/>
        </w:rPr>
        <w:t>Entrepreneurship at a Glance 2015</w:t>
      </w:r>
      <w:r w:rsidRPr="00755C20">
        <w:rPr>
          <w:rFonts w:cstheme="minorHAnsi"/>
          <w:szCs w:val="16"/>
        </w:rPr>
        <w:t>, OECD Publishing</w:t>
      </w:r>
    </w:p>
  </w:endnote>
  <w:endnote w:id="72">
    <w:p w14:paraId="7418C73F" w14:textId="77777777" w:rsidR="004A31A9" w:rsidRPr="00755C20" w:rsidRDefault="004A31A9" w:rsidP="00D471AD">
      <w:pPr>
        <w:autoSpaceDE w:val="0"/>
        <w:autoSpaceDN w:val="0"/>
        <w:adjustRightInd w:val="0"/>
        <w:spacing w:afterLines="40" w:after="96"/>
        <w:jc w:val="both"/>
        <w:rPr>
          <w:sz w:val="16"/>
          <w:szCs w:val="16"/>
        </w:rPr>
      </w:pPr>
      <w:r w:rsidRPr="00755C20">
        <w:rPr>
          <w:rStyle w:val="EndnoteReference"/>
          <w:rFonts w:cstheme="minorHAnsi"/>
          <w:sz w:val="16"/>
          <w:szCs w:val="16"/>
        </w:rPr>
        <w:endnoteRef/>
      </w:r>
      <w:r w:rsidRPr="00755C20">
        <w:rPr>
          <w:rFonts w:cstheme="minorHAnsi"/>
          <w:sz w:val="16"/>
          <w:szCs w:val="16"/>
        </w:rPr>
        <w:t xml:space="preserve"> Koske I </w:t>
      </w:r>
      <w:r w:rsidRPr="00755C20">
        <w:rPr>
          <w:rFonts w:cstheme="minorHAnsi"/>
          <w:i/>
          <w:sz w:val="16"/>
          <w:szCs w:val="16"/>
        </w:rPr>
        <w:t xml:space="preserve">et al. </w:t>
      </w:r>
      <w:r w:rsidRPr="00755C20">
        <w:rPr>
          <w:rFonts w:cstheme="minorHAnsi"/>
          <w:sz w:val="16"/>
          <w:szCs w:val="16"/>
        </w:rPr>
        <w:t xml:space="preserve">(2015) The 2013 update of the OECD's database on product market regulation: Policy insights for OECD and non-OECD countries, </w:t>
      </w:r>
      <w:r w:rsidRPr="00755C20">
        <w:rPr>
          <w:rFonts w:cstheme="minorHAnsi"/>
          <w:i/>
          <w:sz w:val="16"/>
          <w:szCs w:val="16"/>
        </w:rPr>
        <w:t>OECD Economics Department Working Papers</w:t>
      </w:r>
      <w:r w:rsidRPr="00755C20">
        <w:rPr>
          <w:rFonts w:cstheme="minorHAnsi"/>
          <w:sz w:val="16"/>
          <w:szCs w:val="16"/>
        </w:rPr>
        <w:t>, No. 1200, OECD Publishing</w:t>
      </w:r>
    </w:p>
  </w:endnote>
  <w:endnote w:id="73">
    <w:p w14:paraId="7418C740" w14:textId="77777777" w:rsidR="004A31A9" w:rsidRPr="00755C20" w:rsidRDefault="004A31A9" w:rsidP="00D471AD">
      <w:pPr>
        <w:pStyle w:val="EndnoteText"/>
        <w:spacing w:after="96"/>
        <w:jc w:val="both"/>
      </w:pPr>
      <w:r w:rsidRPr="00755C20">
        <w:rPr>
          <w:rStyle w:val="EndnoteReference"/>
        </w:rPr>
        <w:endnoteRef/>
      </w:r>
      <w:r w:rsidRPr="00755C20">
        <w:t xml:space="preserve"> Department of Industry, Innovation and Science (2015) Australian Industry Report - 2015</w:t>
      </w:r>
    </w:p>
  </w:endnote>
  <w:endnote w:id="74">
    <w:p w14:paraId="7418C741" w14:textId="77777777" w:rsidR="004A31A9" w:rsidRPr="00755C20" w:rsidRDefault="004A31A9" w:rsidP="00D471AD">
      <w:pPr>
        <w:pStyle w:val="EndnoteText"/>
        <w:spacing w:after="96"/>
        <w:jc w:val="both"/>
        <w:rPr>
          <w:rFonts w:cstheme="minorHAnsi"/>
          <w:i/>
          <w:szCs w:val="16"/>
        </w:rPr>
      </w:pPr>
      <w:r w:rsidRPr="00755C20">
        <w:rPr>
          <w:rFonts w:cstheme="minorHAnsi"/>
          <w:szCs w:val="16"/>
          <w:vertAlign w:val="superscript"/>
        </w:rPr>
        <w:endnoteRef/>
      </w:r>
      <w:r w:rsidRPr="00755C20">
        <w:rPr>
          <w:rFonts w:cstheme="minorHAnsi"/>
          <w:szCs w:val="16"/>
        </w:rPr>
        <w:t xml:space="preserve"> Landau I, O’Connell A and Ramsay I (2013), </w:t>
      </w:r>
      <w:r w:rsidRPr="00755C20">
        <w:rPr>
          <w:rFonts w:cstheme="minorHAnsi"/>
          <w:i/>
          <w:szCs w:val="16"/>
        </w:rPr>
        <w:t>Incentivising Employees: The theory, policy and practice of employee share ownership plans in Australia</w:t>
      </w:r>
      <w:r w:rsidRPr="00755C20">
        <w:rPr>
          <w:rFonts w:cstheme="minorHAnsi"/>
          <w:szCs w:val="16"/>
        </w:rPr>
        <w:t>, Melbourne University Press</w:t>
      </w:r>
    </w:p>
  </w:endnote>
  <w:endnote w:id="75">
    <w:p w14:paraId="7418C742" w14:textId="77777777" w:rsidR="004A31A9" w:rsidRPr="00755C20" w:rsidRDefault="004A31A9" w:rsidP="00D471AD">
      <w:pPr>
        <w:pStyle w:val="BodyText"/>
        <w:spacing w:before="0" w:afterLines="40" w:after="96"/>
        <w:rPr>
          <w:sz w:val="16"/>
        </w:rPr>
      </w:pPr>
      <w:r w:rsidRPr="00755C20">
        <w:rPr>
          <w:rStyle w:val="EndnoteReference"/>
          <w:sz w:val="16"/>
        </w:rPr>
        <w:endnoteRef/>
      </w:r>
      <w:r w:rsidRPr="00755C20">
        <w:rPr>
          <w:sz w:val="16"/>
        </w:rPr>
        <w:t xml:space="preserve"> Sesil JC, Kroumova MK &amp; Kruse DL; Blasi J (2004) </w:t>
      </w:r>
      <w:r w:rsidRPr="00755C20">
        <w:rPr>
          <w:i/>
          <w:sz w:val="16"/>
        </w:rPr>
        <w:t>Broad-based Employee Stock Options in the US: Company Performance and Characteristics</w:t>
      </w:r>
      <w:r w:rsidRPr="00755C20">
        <w:rPr>
          <w:sz w:val="16"/>
        </w:rPr>
        <w:t xml:space="preserve">; Sesil JC &amp; Lin YP (2011) The Impact of Employee Stock Option Adoption and Incidence on Productivity: Evidence from U.S. Panel Data, </w:t>
      </w:r>
      <w:r w:rsidRPr="00755C20">
        <w:rPr>
          <w:i/>
          <w:sz w:val="16"/>
        </w:rPr>
        <w:t>Industrial Relations: A Journal of Economy and Society</w:t>
      </w:r>
      <w:r w:rsidRPr="00755C20">
        <w:rPr>
          <w:sz w:val="16"/>
        </w:rPr>
        <w:t xml:space="preserve"> 50(3)</w:t>
      </w:r>
      <w:r w:rsidRPr="00755C20">
        <w:rPr>
          <w:rFonts w:cstheme="minorHAnsi"/>
          <w:sz w:val="16"/>
          <w:szCs w:val="16"/>
        </w:rPr>
        <w:t>, pp. 514–</w:t>
      </w:r>
      <w:r w:rsidRPr="00755C20">
        <w:rPr>
          <w:sz w:val="16"/>
        </w:rPr>
        <w:t xml:space="preserve">534; </w:t>
      </w:r>
      <w:hyperlink r:id="rId14" w:history="1">
        <w:r w:rsidRPr="00755C20">
          <w:rPr>
            <w:sz w:val="16"/>
          </w:rPr>
          <w:t>Chang</w:t>
        </w:r>
      </w:hyperlink>
      <w:r w:rsidRPr="00755C20">
        <w:rPr>
          <w:sz w:val="16"/>
        </w:rPr>
        <w:t xml:space="preserve"> X, Fu K, </w:t>
      </w:r>
      <w:hyperlink r:id="rId15" w:history="1">
        <w:r w:rsidRPr="00755C20">
          <w:rPr>
            <w:sz w:val="16"/>
          </w:rPr>
          <w:t>Low</w:t>
        </w:r>
      </w:hyperlink>
      <w:r w:rsidRPr="00755C20">
        <w:rPr>
          <w:sz w:val="16"/>
        </w:rPr>
        <w:t xml:space="preserve"> A, </w:t>
      </w:r>
      <w:hyperlink r:id="rId16" w:history="1">
        <w:r w:rsidRPr="00755C20">
          <w:rPr>
            <w:sz w:val="16"/>
          </w:rPr>
          <w:t>Zhang</w:t>
        </w:r>
      </w:hyperlink>
      <w:r w:rsidRPr="00755C20">
        <w:rPr>
          <w:sz w:val="16"/>
        </w:rPr>
        <w:t xml:space="preserve"> W (2015) Non-executive employee stock options and corporate innovation, </w:t>
      </w:r>
      <w:r w:rsidRPr="00755C20">
        <w:rPr>
          <w:i/>
          <w:sz w:val="16"/>
        </w:rPr>
        <w:t>Journal of Financial Economics</w:t>
      </w:r>
      <w:r w:rsidRPr="00755C20">
        <w:rPr>
          <w:sz w:val="16"/>
        </w:rPr>
        <w:t xml:space="preserve"> 115(1)</w:t>
      </w:r>
      <w:r w:rsidRPr="00755C20">
        <w:rPr>
          <w:rFonts w:cstheme="minorHAnsi"/>
          <w:sz w:val="16"/>
          <w:szCs w:val="16"/>
        </w:rPr>
        <w:t>, pp. </w:t>
      </w:r>
      <w:r w:rsidRPr="00755C20">
        <w:rPr>
          <w:sz w:val="16"/>
        </w:rPr>
        <w:t>168</w:t>
      </w:r>
      <w:r w:rsidRPr="00755C20">
        <w:rPr>
          <w:rFonts w:cstheme="minorHAnsi"/>
          <w:sz w:val="16"/>
          <w:szCs w:val="16"/>
        </w:rPr>
        <w:t>–</w:t>
      </w:r>
      <w:r w:rsidRPr="00755C20">
        <w:rPr>
          <w:sz w:val="16"/>
        </w:rPr>
        <w:t>188</w:t>
      </w:r>
    </w:p>
  </w:endnote>
  <w:endnote w:id="76">
    <w:p w14:paraId="7418C743"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Senate Standing Committees on Economics (2009) </w:t>
      </w:r>
      <w:r w:rsidRPr="00755C20">
        <w:rPr>
          <w:rFonts w:cstheme="minorHAnsi"/>
          <w:i/>
          <w:szCs w:val="16"/>
        </w:rPr>
        <w:t>Inquiry into the Employee Share Schemes</w:t>
      </w:r>
      <w:r w:rsidRPr="00755C20">
        <w:rPr>
          <w:rFonts w:cstheme="minorHAnsi"/>
          <w:szCs w:val="16"/>
        </w:rPr>
        <w:t>, Parliament of Australia; House of Representatives Standing Committee on Employment, Education and Workplace Relations (2000) S</w:t>
      </w:r>
      <w:r w:rsidRPr="00755C20">
        <w:rPr>
          <w:rFonts w:cstheme="minorHAnsi"/>
          <w:i/>
          <w:szCs w:val="16"/>
        </w:rPr>
        <w:t>hared Endeavours: Employee share ownership in Australia</w:t>
      </w:r>
      <w:r w:rsidRPr="00755C20">
        <w:rPr>
          <w:rFonts w:cstheme="minorHAnsi"/>
          <w:szCs w:val="16"/>
        </w:rPr>
        <w:t>, Parliament of Australia</w:t>
      </w:r>
    </w:p>
  </w:endnote>
  <w:endnote w:id="77">
    <w:p w14:paraId="7418C744"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House of Representatives Standing Committee on Employment, Education and Workplace Relations (2000) S</w:t>
      </w:r>
      <w:r w:rsidRPr="00755C20">
        <w:rPr>
          <w:rFonts w:cstheme="minorHAnsi"/>
          <w:i/>
          <w:szCs w:val="16"/>
        </w:rPr>
        <w:t>hared Endeavours: Employee share ownership in Australia</w:t>
      </w:r>
      <w:r w:rsidRPr="00755C20">
        <w:rPr>
          <w:rFonts w:cstheme="minorHAnsi"/>
          <w:szCs w:val="16"/>
        </w:rPr>
        <w:t>, Parliament of Australia</w:t>
      </w:r>
    </w:p>
  </w:endnote>
  <w:endnote w:id="78">
    <w:p w14:paraId="7418C745"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Landau I, O’Connell A and Ramsay I (2013), </w:t>
      </w:r>
      <w:r w:rsidRPr="00755C20">
        <w:rPr>
          <w:rFonts w:cstheme="minorHAnsi"/>
          <w:i/>
          <w:szCs w:val="16"/>
        </w:rPr>
        <w:t>Incentivising Employees: The theory, policy and practice of employee share ownership plans in Australia</w:t>
      </w:r>
      <w:r w:rsidRPr="00755C20">
        <w:rPr>
          <w:rFonts w:cstheme="minorHAnsi"/>
          <w:szCs w:val="16"/>
        </w:rPr>
        <w:t xml:space="preserve">, Melbourne University Press </w:t>
      </w:r>
    </w:p>
  </w:endnote>
  <w:endnote w:id="79">
    <w:p w14:paraId="7418C746" w14:textId="77777777" w:rsidR="004A31A9" w:rsidRPr="00755C20" w:rsidRDefault="004A31A9" w:rsidP="00D471AD">
      <w:pPr>
        <w:pStyle w:val="EndnoteText"/>
        <w:spacing w:after="96"/>
        <w:jc w:val="both"/>
      </w:pPr>
      <w:r w:rsidRPr="00755C20">
        <w:rPr>
          <w:rStyle w:val="EndnoteReference"/>
        </w:rPr>
        <w:endnoteRef/>
      </w:r>
      <w:r w:rsidRPr="00755C20">
        <w:t xml:space="preserve"> </w:t>
      </w:r>
      <w:r>
        <w:t>Australian Government</w:t>
      </w:r>
      <w:r w:rsidRPr="00755C20">
        <w:t xml:space="preserve"> (2016) </w:t>
      </w:r>
      <w:r w:rsidRPr="00943E09">
        <w:rPr>
          <w:i/>
        </w:rPr>
        <w:t>Australian Innovation System Report</w:t>
      </w:r>
      <w:r w:rsidRPr="00755C20">
        <w:t xml:space="preserve">, </w:t>
      </w:r>
      <w:r>
        <w:t>Office of the Chief Economist</w:t>
      </w:r>
      <w:r w:rsidRPr="00755C20">
        <w:t xml:space="preserve">, viewed 14 September 2016, </w:t>
      </w:r>
      <w:hyperlink r:id="rId17" w:tooltip="http://www.industry.gov.au/Office-of-the-Chief-Economist/Publications/Pages/Australian-Innovation-System.aspx" w:history="1">
        <w:r w:rsidRPr="00755C20">
          <w:rPr>
            <w:rStyle w:val="Hyperlink"/>
          </w:rPr>
          <w:t>http://www.industry.gov.au/Office-of-the-Chief-Economist/Publications/Pages/Australian-Innovation-System.aspx</w:t>
        </w:r>
      </w:hyperlink>
      <w:r w:rsidRPr="00755C20">
        <w:t xml:space="preserve"> </w:t>
      </w:r>
    </w:p>
  </w:endnote>
  <w:endnote w:id="80">
    <w:p w14:paraId="7418C747" w14:textId="77777777" w:rsidR="004A31A9" w:rsidRPr="00755C20" w:rsidRDefault="004A31A9" w:rsidP="00D471AD">
      <w:pPr>
        <w:pStyle w:val="BodyText"/>
        <w:spacing w:before="0" w:afterLines="40" w:after="96"/>
        <w:rPr>
          <w:rFonts w:cstheme="minorHAnsi"/>
          <w:sz w:val="16"/>
          <w:szCs w:val="16"/>
        </w:rPr>
      </w:pPr>
      <w:r w:rsidRPr="00755C20">
        <w:rPr>
          <w:rStyle w:val="EndnoteReference"/>
          <w:sz w:val="16"/>
        </w:rPr>
        <w:endnoteRef/>
      </w:r>
      <w:r w:rsidRPr="00755C20">
        <w:rPr>
          <w:sz w:val="16"/>
        </w:rPr>
        <w:t xml:space="preserve"> McGowan MA &amp; Andrews D (2015) Skills Labour Market mismatch and labour productivity: Evidence from PIAAC data, </w:t>
      </w:r>
      <w:r w:rsidRPr="00755C20">
        <w:rPr>
          <w:i/>
          <w:sz w:val="16"/>
        </w:rPr>
        <w:t>OECD Economics Department Working Papers</w:t>
      </w:r>
      <w:r w:rsidRPr="00755C20">
        <w:rPr>
          <w:sz w:val="16"/>
        </w:rPr>
        <w:t xml:space="preserve"> No.</w:t>
      </w:r>
      <w:r w:rsidRPr="00755C20">
        <w:rPr>
          <w:rFonts w:cstheme="minorHAnsi"/>
          <w:sz w:val="16"/>
          <w:szCs w:val="16"/>
        </w:rPr>
        <w:t> </w:t>
      </w:r>
      <w:r w:rsidRPr="00755C20">
        <w:rPr>
          <w:sz w:val="16"/>
        </w:rPr>
        <w:t>1209, OECD P</w:t>
      </w:r>
      <w:r w:rsidRPr="00755C20">
        <w:rPr>
          <w:rFonts w:cstheme="minorHAnsi"/>
          <w:sz w:val="16"/>
          <w:szCs w:val="16"/>
        </w:rPr>
        <w:t>ublishing</w:t>
      </w:r>
    </w:p>
  </w:endnote>
  <w:endnote w:id="81">
    <w:p w14:paraId="7418C748"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Ghemawat P &amp; Altman SA (2014), </w:t>
      </w:r>
      <w:r w:rsidRPr="00755C20">
        <w:rPr>
          <w:rFonts w:cstheme="minorHAnsi"/>
          <w:i/>
          <w:szCs w:val="16"/>
        </w:rPr>
        <w:t>DHL Global Connectedness Index 2014</w:t>
      </w:r>
      <w:r w:rsidRPr="00755C20">
        <w:rPr>
          <w:rFonts w:cstheme="minorHAnsi"/>
          <w:szCs w:val="16"/>
        </w:rPr>
        <w:t>, DHL, p. 12</w:t>
      </w:r>
    </w:p>
  </w:endnote>
  <w:endnote w:id="82">
    <w:p w14:paraId="7418C749"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Munro K (2016) Investment in research driving improvements in Australian universities' QS World University Rankings, </w:t>
      </w:r>
      <w:r w:rsidRPr="00755C20">
        <w:rPr>
          <w:rFonts w:cstheme="minorHAnsi"/>
          <w:i/>
          <w:szCs w:val="16"/>
        </w:rPr>
        <w:t>The Canberra Times</w:t>
      </w:r>
      <w:r w:rsidRPr="00755C20">
        <w:rPr>
          <w:rFonts w:cstheme="minorHAnsi"/>
          <w:szCs w:val="16"/>
        </w:rPr>
        <w:t xml:space="preserve">, 6 September 2016, viewed 7 September 2016, </w:t>
      </w:r>
      <w:hyperlink r:id="rId18" w:tooltip="http://www.canberratimes.com.au/national/education/investment-in-research-driving-improvements-in-australian-universities-global-rankings-20160902-gr7hbd.html" w:history="1">
        <w:r w:rsidRPr="00755C20">
          <w:rPr>
            <w:rStyle w:val="Hyperlink"/>
            <w:rFonts w:cstheme="minorHAnsi"/>
            <w:szCs w:val="16"/>
          </w:rPr>
          <w:t>http://www.canberratimes.com.au/national/education/investment-in-research-driving-improvements-in-australian-universities-global-rankings-20160902-gr7hbd.html</w:t>
        </w:r>
      </w:hyperlink>
      <w:r w:rsidRPr="00755C20">
        <w:rPr>
          <w:rFonts w:cstheme="minorHAnsi"/>
          <w:szCs w:val="16"/>
        </w:rPr>
        <w:t xml:space="preserve"> </w:t>
      </w:r>
    </w:p>
  </w:endnote>
  <w:endnote w:id="83">
    <w:p w14:paraId="7418C74A"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OECD (2015) </w:t>
      </w:r>
      <w:r w:rsidRPr="001B4199">
        <w:rPr>
          <w:i/>
          <w:szCs w:val="16"/>
        </w:rPr>
        <w:t>Science, Technology and Industry Scoreboard 2015</w:t>
      </w:r>
      <w:r w:rsidRPr="00755C20">
        <w:rPr>
          <w:rFonts w:cstheme="minorHAnsi"/>
          <w:szCs w:val="16"/>
        </w:rPr>
        <w:t>, OECD Publishing</w:t>
      </w:r>
    </w:p>
  </w:endnote>
  <w:endnote w:id="84">
    <w:p w14:paraId="7418C74B"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Australian Government (2016) Welcome to the ideas boom, </w:t>
      </w:r>
      <w:r w:rsidRPr="00755C20">
        <w:rPr>
          <w:rFonts w:cstheme="minorHAnsi"/>
          <w:i/>
          <w:szCs w:val="16"/>
        </w:rPr>
        <w:t>National Innovation and Science Agenda</w:t>
      </w:r>
      <w:r w:rsidRPr="00755C20">
        <w:rPr>
          <w:rFonts w:cstheme="minorHAnsi"/>
          <w:szCs w:val="16"/>
        </w:rPr>
        <w:t xml:space="preserve">, viewed 13 September 2016, </w:t>
      </w:r>
      <w:hyperlink r:id="rId19" w:tooltip="http://www.innovation.gov.au/" w:history="1">
        <w:r w:rsidRPr="00755C20">
          <w:rPr>
            <w:rStyle w:val="Hyperlink"/>
            <w:rFonts w:cstheme="minorHAnsi"/>
            <w:szCs w:val="16"/>
          </w:rPr>
          <w:t>http://www.innovation.gov.au/</w:t>
        </w:r>
      </w:hyperlink>
    </w:p>
  </w:endnote>
  <w:endnote w:id="85">
    <w:p w14:paraId="7418C74C"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Department of Innovation, Industry, Science and Research (2011) </w:t>
      </w:r>
      <w:r w:rsidRPr="00755C20">
        <w:rPr>
          <w:rFonts w:cstheme="minorHAnsi"/>
          <w:i/>
          <w:szCs w:val="16"/>
        </w:rPr>
        <w:t>Australian Innovation System Report – 2011</w:t>
      </w:r>
      <w:r w:rsidRPr="00755C20">
        <w:rPr>
          <w:rFonts w:cstheme="minorHAnsi"/>
          <w:szCs w:val="16"/>
        </w:rPr>
        <w:t xml:space="preserve">, DIISR; Department of Industry, Innovation, Science, Research and Tertiary Education (2012) </w:t>
      </w:r>
      <w:r w:rsidRPr="00755C20">
        <w:rPr>
          <w:rFonts w:cstheme="minorHAnsi"/>
          <w:i/>
          <w:szCs w:val="16"/>
        </w:rPr>
        <w:t>Australian Innovation System Report – 2012</w:t>
      </w:r>
    </w:p>
  </w:endnote>
  <w:endnote w:id="86">
    <w:p w14:paraId="7418C74D"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Soriano F, Rotaru C &amp; Dzhumasheva, S (2012) </w:t>
      </w:r>
      <w:r w:rsidRPr="00755C20">
        <w:rPr>
          <w:rFonts w:cstheme="minorHAnsi"/>
          <w:i/>
          <w:szCs w:val="16"/>
        </w:rPr>
        <w:t>Propensity Score Matching: An Application Using the ABS Business Characteristics Survey</w:t>
      </w:r>
      <w:r w:rsidRPr="00755C20">
        <w:rPr>
          <w:rFonts w:cstheme="minorHAnsi"/>
          <w:szCs w:val="16"/>
        </w:rPr>
        <w:t>, ABS</w:t>
      </w:r>
    </w:p>
  </w:endnote>
  <w:endnote w:id="87">
    <w:p w14:paraId="7418C74E"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Griliches Z (1984) </w:t>
      </w:r>
      <w:r w:rsidRPr="00755C20">
        <w:rPr>
          <w:rFonts w:cstheme="minorHAnsi"/>
          <w:i/>
          <w:szCs w:val="16"/>
        </w:rPr>
        <w:t>Introduction to R&amp;D, Patents, and Productivity</w:t>
      </w:r>
      <w:r w:rsidRPr="00755C20">
        <w:rPr>
          <w:rFonts w:cstheme="minorHAnsi"/>
          <w:szCs w:val="16"/>
        </w:rPr>
        <w:t xml:space="preserve">, University of Chicago Press; Goto A and Suzuki K (1989) R&amp;D capital, rate of return on R&amp;D investment and spillover of R&amp;D in Japanese manufacturing industries, </w:t>
      </w:r>
      <w:r w:rsidRPr="00755C20">
        <w:rPr>
          <w:rFonts w:cstheme="minorHAnsi"/>
          <w:i/>
          <w:szCs w:val="16"/>
        </w:rPr>
        <w:t>The Review of Economics and Statistics</w:t>
      </w:r>
      <w:r w:rsidRPr="00755C20">
        <w:rPr>
          <w:rFonts w:cstheme="minorHAnsi"/>
          <w:szCs w:val="16"/>
        </w:rPr>
        <w:t xml:space="preserve">, pp 555–564; Terleckyj NE (1980) What Do R&amp;D Numbers Tell Us about Technological Change?, </w:t>
      </w:r>
      <w:r w:rsidRPr="00755C20">
        <w:rPr>
          <w:rFonts w:cstheme="minorHAnsi"/>
          <w:i/>
          <w:szCs w:val="16"/>
        </w:rPr>
        <w:t>The American Economic Review,</w:t>
      </w:r>
      <w:r w:rsidRPr="00755C20">
        <w:rPr>
          <w:rFonts w:cstheme="minorHAnsi"/>
          <w:szCs w:val="16"/>
        </w:rPr>
        <w:t xml:space="preserve"> 70(2), pp 55–61; Scherer FM (1982) Inter-industry technology flows and productivity growth, </w:t>
      </w:r>
      <w:r w:rsidRPr="00755C20">
        <w:rPr>
          <w:rFonts w:cstheme="minorHAnsi"/>
          <w:i/>
          <w:szCs w:val="16"/>
        </w:rPr>
        <w:t>The Review of Economics and Statistics</w:t>
      </w:r>
      <w:r w:rsidRPr="00755C20">
        <w:rPr>
          <w:rFonts w:cstheme="minorHAnsi"/>
          <w:szCs w:val="16"/>
        </w:rPr>
        <w:t xml:space="preserve">,  pp 627–634; Griliches Z and Lichtenberg F (1984) Inter-industry technology flows and productivity growth: A re-examination, </w:t>
      </w:r>
      <w:r w:rsidRPr="00755C20">
        <w:rPr>
          <w:rFonts w:cstheme="minorHAnsi"/>
          <w:i/>
          <w:szCs w:val="16"/>
        </w:rPr>
        <w:t>The Review of Economics and Statistics</w:t>
      </w:r>
      <w:r w:rsidRPr="00755C20">
        <w:rPr>
          <w:rFonts w:cstheme="minorHAnsi"/>
          <w:szCs w:val="16"/>
        </w:rPr>
        <w:t>, pp 324–329</w:t>
      </w:r>
    </w:p>
  </w:endnote>
  <w:endnote w:id="88">
    <w:p w14:paraId="7418C74F"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Elnasri A and K. Fox (2014) </w:t>
      </w:r>
      <w:r w:rsidRPr="00755C20">
        <w:rPr>
          <w:rFonts w:cstheme="minorHAnsi"/>
          <w:i/>
          <w:szCs w:val="16"/>
        </w:rPr>
        <w:t>The Contribution of Research and Innovation to Productivity and Economic Growth,</w:t>
      </w:r>
      <w:r w:rsidRPr="00755C20">
        <w:rPr>
          <w:rFonts w:cstheme="minorHAnsi"/>
          <w:szCs w:val="16"/>
        </w:rPr>
        <w:t xml:space="preserve"> UNSW Australian School of Business Research Paper No 8, 2014.</w:t>
      </w:r>
    </w:p>
  </w:endnote>
  <w:endnote w:id="89">
    <w:p w14:paraId="7418C750" w14:textId="77777777" w:rsidR="004A31A9" w:rsidRPr="00755C20" w:rsidRDefault="004A31A9" w:rsidP="00D471AD">
      <w:pPr>
        <w:pStyle w:val="EndnoteText"/>
        <w:spacing w:after="96"/>
        <w:jc w:val="both"/>
        <w:rPr>
          <w:rFonts w:cstheme="minorHAnsi"/>
          <w:szCs w:val="16"/>
        </w:rPr>
      </w:pPr>
      <w:r w:rsidRPr="00755C20">
        <w:rPr>
          <w:rStyle w:val="EndnoteReference"/>
          <w:rFonts w:cstheme="minorHAnsi"/>
          <w:szCs w:val="16"/>
        </w:rPr>
        <w:endnoteRef/>
      </w:r>
      <w:r w:rsidRPr="00755C20">
        <w:rPr>
          <w:rFonts w:cstheme="minorHAnsi"/>
          <w:szCs w:val="16"/>
        </w:rPr>
        <w:t xml:space="preserve"> Bloom N, Griffith R and Van Reenen J (2002) Do R&amp;D tax credits work? Evidence from a panel of countries  1979–1997, </w:t>
      </w:r>
      <w:r w:rsidRPr="00755C20">
        <w:rPr>
          <w:rFonts w:cstheme="minorHAnsi"/>
          <w:i/>
          <w:szCs w:val="16"/>
        </w:rPr>
        <w:t>Journal of Public Economics,</w:t>
      </w:r>
      <w:r w:rsidRPr="00755C20">
        <w:rPr>
          <w:rFonts w:cstheme="minorHAnsi"/>
          <w:szCs w:val="16"/>
        </w:rPr>
        <w:t xml:space="preserve"> 85(1), pp 1–31 </w:t>
      </w:r>
      <w:r w:rsidRPr="00755C20">
        <w:rPr>
          <w:rFonts w:cstheme="minorHAnsi"/>
          <w:szCs w:val="16"/>
        </w:rPr>
        <w:fldChar w:fldCharType="begin"/>
      </w:r>
      <w:r w:rsidRPr="00755C20">
        <w:rPr>
          <w:rFonts w:cstheme="minorHAnsi"/>
          <w:szCs w:val="16"/>
        </w:rPr>
        <w:instrText xml:space="preserve"> ADDIN EN.CITE &lt;EndNote&gt;&lt;Cite&gt;&lt;Author&gt;Bloom&lt;/Author&gt;&lt;Year&gt;2002&lt;/Year&gt;&lt;RecNum&gt;17&lt;/RecNum&gt;&lt;DisplayText&gt;BLOOM, N., GRIFFITH, R. &amp;amp; VAN REENEN, J. 2002. Do R&amp;amp;D tax credits work? Evidence from a panel of countries 1979–1997. &lt;style face="italic"&gt;Journal of Public Economics,&lt;/style&gt; 85&lt;style face="bold"&gt;,&lt;/style&gt; 1-31.&lt;/DisplayText&gt;&lt;record&gt;&lt;rec-number&gt;17&lt;/rec-number&gt;&lt;foreign-keys&gt;&lt;key app="EN" db-id="9xevsfzs6p5sfzer50c5ratu2fat95efsvez" timestamp="1470363005"&gt;17&lt;/key&gt;&lt;/foreign-keys&gt;&lt;ref-type name="Journal Article"&gt;17&lt;/ref-type&gt;&lt;contributors&gt;&lt;authors&gt;&lt;author&gt;Bloom, Nick&lt;/author&gt;&lt;author&gt;Griffith, Rachel&lt;/author&gt;&lt;author&gt;Van Reenen, John&lt;/author&gt;&lt;/authors&gt;&lt;/contributors&gt;&lt;titles&gt;&lt;title&gt;Do R&amp;amp;D tax credits work? Evidence from a panel of countries 1979–1997&lt;/title&gt;&lt;secondary-title&gt;Journal of Public Economics&lt;/secondary-title&gt;&lt;/titles&gt;&lt;periodical&gt;&lt;full-title&gt;Journal of Public Economics&lt;/full-title&gt;&lt;/periodical&gt;&lt;pages&gt;1-31&lt;/pages&gt;&lt;volume&gt;85&lt;/volume&gt;&lt;number&gt;1&lt;/number&gt;&lt;dates&gt;&lt;year&gt;2002&lt;/year&gt;&lt;/dates&gt;&lt;isbn&gt;0047-2727&lt;/isbn&gt;&lt;urls&gt;&lt;/urls&gt;&lt;/record&gt;&lt;/Cite&gt;&lt;/EndNote&gt;</w:instrText>
      </w:r>
      <w:r w:rsidRPr="00755C20">
        <w:rPr>
          <w:rFonts w:cstheme="minorHAnsi"/>
          <w:szCs w:val="16"/>
        </w:rPr>
        <w:fldChar w:fldCharType="end"/>
      </w:r>
    </w:p>
  </w:endnote>
  <w:endnote w:id="90">
    <w:p w14:paraId="7418C751" w14:textId="77777777" w:rsidR="004A31A9" w:rsidRPr="00EB4201" w:rsidRDefault="004A31A9" w:rsidP="00D471AD">
      <w:pPr>
        <w:pStyle w:val="EndnoteText"/>
        <w:spacing w:after="96"/>
        <w:jc w:val="both"/>
        <w:rPr>
          <w:rFonts w:cstheme="minorHAnsi"/>
          <w:b/>
        </w:rPr>
      </w:pPr>
      <w:r w:rsidRPr="00755C20">
        <w:rPr>
          <w:rStyle w:val="EndnoteReference"/>
          <w:rFonts w:cstheme="minorHAnsi"/>
          <w:szCs w:val="16"/>
        </w:rPr>
        <w:endnoteRef/>
      </w:r>
      <w:r w:rsidRPr="00755C20">
        <w:rPr>
          <w:rFonts w:cstheme="minorHAnsi"/>
          <w:szCs w:val="16"/>
        </w:rPr>
        <w:t xml:space="preserve"> Alvarez R, Bravo-Ortega C &amp; Poniachik D (2015) </w:t>
      </w:r>
      <w:r w:rsidRPr="00755C20">
        <w:rPr>
          <w:rFonts w:cstheme="minorHAnsi"/>
          <w:i/>
          <w:szCs w:val="16"/>
        </w:rPr>
        <w:t>Empirical Evidence on R&amp;D Targeting and Transitions</w:t>
      </w:r>
      <w:r w:rsidRPr="00755C20">
        <w:rPr>
          <w:rFonts w:cstheme="minorHAnsi"/>
          <w:szCs w:val="16"/>
        </w:rPr>
        <w:t>, Faculty of Business and Economics Working Paper Series SDT 402, University of Chile</w:t>
      </w:r>
    </w:p>
  </w:endnote>
  <w:endnote w:id="91">
    <w:p w14:paraId="7418C752" w14:textId="77777777" w:rsidR="004A31A9" w:rsidRDefault="004A31A9" w:rsidP="00D471AD">
      <w:pPr>
        <w:pStyle w:val="EndnoteText"/>
        <w:spacing w:after="96"/>
      </w:pPr>
      <w:r>
        <w:rPr>
          <w:rStyle w:val="EndnoteReference"/>
        </w:rPr>
        <w:endnoteRef/>
      </w:r>
      <w:r>
        <w:t xml:space="preserve"> Department of Industry, Innovation and Science (2016) Business Longitudinal Analysis Data Environment (BLADE), Department of Industry, Innovation and Science, viewed 16 September 2016, </w:t>
      </w:r>
      <w:hyperlink r:id="rId20" w:tooltip="http://www.industry.gov.au/Office-ofthe-Chief-Economist/Data/Pages/Business-Longitudinal-Analytical-Data-Environment.aspx" w:history="1">
        <w:r w:rsidRPr="005A0D52">
          <w:rPr>
            <w:rStyle w:val="Hyperlink"/>
          </w:rPr>
          <w:t>http://www.industry.gov.au/Office-ofthe-Chief-Economist/Data/Pages/Business-Longitudinal-Analytical-Data-Environment.aspx</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95" w14:textId="77777777" w:rsidR="004A31A9" w:rsidRDefault="004A31A9" w:rsidP="004A31A9">
    <w:pPr>
      <w:pStyle w:val="Footer"/>
      <w:tabs>
        <w:tab w:val="clear" w:pos="9680"/>
        <w:tab w:val="left" w:pos="720"/>
        <w:tab w:val="left" w:pos="1440"/>
        <w:tab w:val="left" w:pos="2160"/>
        <w:tab w:val="left" w:pos="3433"/>
      </w:tabs>
      <w:rPr>
        <w:noProof/>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AD" w14:textId="77777777" w:rsidR="004A31A9" w:rsidRPr="001C2E57" w:rsidRDefault="004A31A9" w:rsidP="004A31A9">
    <w:pPr>
      <w:pStyle w:val="Footer"/>
      <w:tabs>
        <w:tab w:val="clear" w:pos="9680"/>
      </w:tabs>
      <w:jc w:val="right"/>
    </w:pPr>
    <w:fldSimple w:instr=" STYLEREF  &quot;Heading 1&quot;  \* MERGEFORMAT ">
      <w:r w:rsidR="0071046F">
        <w:rPr>
          <w:noProof/>
        </w:rPr>
        <w:t>Why is innovation important?</w:t>
      </w:r>
    </w:fldSimple>
    <w:r>
      <w:t>|</w:t>
    </w:r>
    <w:r w:rsidRPr="001C2E57">
      <w:fldChar w:fldCharType="begin"/>
    </w:r>
    <w:r w:rsidRPr="001C2E57">
      <w:instrText xml:space="preserve"> PAGE   \* MERGEFORMAT </w:instrText>
    </w:r>
    <w:r w:rsidRPr="001C2E57">
      <w:fldChar w:fldCharType="separate"/>
    </w:r>
    <w:r w:rsidR="0071046F">
      <w:rPr>
        <w:noProof/>
      </w:rPr>
      <w:t>36</w:t>
    </w:r>
    <w:r w:rsidRPr="001C2E57">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AF" w14:textId="77777777" w:rsidR="004A31A9" w:rsidRDefault="004A31A9">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fldSimple w:instr=" STYLEREF &quot;Title Heading&quot; \* Charformat ">
      <w:r>
        <w:rPr>
          <w:noProof/>
        </w:rPr>
        <w:instrText>Appendix A</w:instrText>
      </w:r>
    </w:fldSimple>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B2" w14:textId="77777777" w:rsidR="004A31A9" w:rsidRPr="001C2E57" w:rsidRDefault="004A31A9" w:rsidP="004A31A9">
    <w:pPr>
      <w:pStyle w:val="Footer"/>
      <w:tabs>
        <w:tab w:val="clear" w:pos="9680"/>
      </w:tabs>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fldSimple w:instr=" STYLEREF &quot;Title Heading&quot; \* Charformat ">
      <w:r>
        <w:rPr>
          <w:noProof/>
        </w:rPr>
        <w:instrText>Appendix A</w:instrText>
      </w:r>
    </w:fldSimple>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29</w:t>
    </w:r>
    <w:r w:rsidRPr="001C2E57">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B4" w14:textId="77777777" w:rsidR="004A31A9" w:rsidRPr="001C2E57" w:rsidRDefault="004A31A9" w:rsidP="004A31A9">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fldSimple w:instr=" STYLEREF &quot;Title Heading&quot; \* Charformat ">
      <w:r>
        <w:rPr>
          <w:noProof/>
        </w:rPr>
        <w:instrText>Appendix A</w:instrText>
      </w:r>
    </w:fldSimple>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B7" w14:textId="77777777" w:rsidR="004A31A9" w:rsidRPr="001C2E57" w:rsidRDefault="004A31A9" w:rsidP="004A31A9">
    <w:pPr>
      <w:pStyle w:val="Footer"/>
      <w:tabs>
        <w:tab w:val="clear" w:pos="9680"/>
      </w:tabs>
      <w:jc w:val="right"/>
    </w:pPr>
    <w:fldSimple w:instr=" STYLEREF  &quot;Heading 1&quot;  \* MERGEFORMAT ">
      <w:r w:rsidR="0071046F">
        <w:rPr>
          <w:noProof/>
        </w:rPr>
        <w:t>Why is innovation important?</w:t>
      </w:r>
    </w:fldSimple>
    <w:r>
      <w:t>|</w:t>
    </w:r>
    <w:r w:rsidRPr="001C2E57">
      <w:fldChar w:fldCharType="begin"/>
    </w:r>
    <w:r w:rsidRPr="001C2E57">
      <w:instrText xml:space="preserve"> PAGE   \* MERGEFORMAT </w:instrText>
    </w:r>
    <w:r w:rsidRPr="001C2E57">
      <w:fldChar w:fldCharType="separate"/>
    </w:r>
    <w:r w:rsidR="0071046F">
      <w:rPr>
        <w:noProof/>
      </w:rPr>
      <w:t>37</w:t>
    </w:r>
    <w:r w:rsidRPr="001C2E57">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B9" w14:textId="77777777" w:rsidR="004A31A9" w:rsidRDefault="004A31A9">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fldSimple w:instr=" STYLEREF &quot;Title Heading&quot; \* Charformat ">
      <w:r>
        <w:rPr>
          <w:noProof/>
        </w:rPr>
        <w:instrText>Appendix A</w:instrText>
      </w:r>
    </w:fldSimple>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BC" w14:textId="77777777" w:rsidR="004A31A9" w:rsidRPr="001C2E57" w:rsidRDefault="004A31A9" w:rsidP="004A31A9">
    <w:pPr>
      <w:pStyle w:val="Footer"/>
      <w:tabs>
        <w:tab w:val="clear" w:pos="9680"/>
      </w:tabs>
      <w:jc w:val="right"/>
    </w:pPr>
    <w:fldSimple w:instr=" STYLEREF  &quot;Heading 1&quot;  \* MERGEFORMAT ">
      <w:r w:rsidR="0071046F">
        <w:rPr>
          <w:noProof/>
        </w:rPr>
        <w:t>Why is innovation important?</w:t>
      </w:r>
    </w:fldSimple>
    <w:r>
      <w:t>|</w:t>
    </w:r>
    <w:r w:rsidRPr="001C2E57">
      <w:fldChar w:fldCharType="begin"/>
    </w:r>
    <w:r w:rsidRPr="001C2E57">
      <w:instrText xml:space="preserve"> PAGE   \* MERGEFORMAT </w:instrText>
    </w:r>
    <w:r w:rsidRPr="001C2E57">
      <w:fldChar w:fldCharType="separate"/>
    </w:r>
    <w:r w:rsidR="0071046F">
      <w:rPr>
        <w:noProof/>
      </w:rPr>
      <w:t>40</w:t>
    </w:r>
    <w:r w:rsidRPr="001C2E57">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BE" w14:textId="77777777" w:rsidR="004A31A9" w:rsidRDefault="004A31A9">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fldSimple w:instr=" STYLEREF &quot;Title Heading&quot; \* Charformat ">
      <w:r>
        <w:rPr>
          <w:noProof/>
        </w:rPr>
        <w:instrText>Appendix A</w:instrText>
      </w:r>
    </w:fldSimple>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C1" w14:textId="77777777" w:rsidR="004A31A9" w:rsidRPr="001C2E57" w:rsidRDefault="004A31A9" w:rsidP="004A31A9">
    <w:pPr>
      <w:pStyle w:val="Footer"/>
      <w:tabs>
        <w:tab w:val="clear" w:pos="9680"/>
      </w:tabs>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fldSimple w:instr=" STYLEREF &quot;Title Heading&quot; \* Charformat ">
      <w:r>
        <w:rPr>
          <w:noProof/>
        </w:rPr>
        <w:instrText>Appendix A</w:instrText>
      </w:r>
    </w:fldSimple>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39</w:t>
    </w:r>
    <w:r w:rsidRPr="001C2E57">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C3" w14:textId="77777777" w:rsidR="004A31A9" w:rsidRPr="001C2E57" w:rsidRDefault="004A31A9" w:rsidP="004A31A9">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fldSimple w:instr=" STYLEREF &quot;Title Heading&quot; \* Charformat ">
      <w:r>
        <w:rPr>
          <w:noProof/>
        </w:rPr>
        <w:instrText>Appendix A</w:instrText>
      </w:r>
    </w:fldSimple>
    <w:r w:rsidRPr="001C2E57">
      <w:instrText xml:space="preserve"> </w:instrText>
    </w:r>
    <w:r w:rsidRPr="001C2E57">
      <w:fldChar w:fldCharType="end"/>
    </w:r>
    <w:r>
      <w:ptab w:relativeTo="margin" w:alignment="right" w:leader="none"/>
    </w: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fldSimple w:instr=" STYLEREF &quot;Title Heading&quot; \* Charformat ">
      <w:r>
        <w:rPr>
          <w:noProof/>
        </w:rPr>
        <w:instrText>Appendix A</w:instrText>
      </w:r>
    </w:fldSimple>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fldSimple w:instr=" STYLEREF &quot;Title Heading&quot; \* Charformat ">
      <w:r>
        <w:rPr>
          <w:noProof/>
        </w:rPr>
        <w:instrText>Appendix A</w:instrText>
      </w:r>
    </w:fldSimple>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96" w14:textId="77777777" w:rsidR="004A31A9" w:rsidRPr="001C2E57" w:rsidRDefault="004A31A9" w:rsidP="004A31A9">
    <w:pPr>
      <w:pStyle w:val="Footer"/>
      <w:tabs>
        <w:tab w:val="clear" w:pos="9680"/>
        <w:tab w:val="left" w:pos="1134"/>
      </w:tabs>
      <w:jc w:val="right"/>
    </w:pPr>
    <w:fldSimple w:instr=" STYLEREF  Glossary  \* MERGEFORMAT ">
      <w:r w:rsidR="00693CD6">
        <w:rPr>
          <w:noProof/>
        </w:rPr>
        <w:t>List of figures</w:t>
      </w:r>
    </w:fldSimple>
    <w:r>
      <w:rPr>
        <w:noProof/>
      </w:rPr>
      <w:t>|</w:t>
    </w:r>
    <w:r w:rsidRPr="001C2E57">
      <w:fldChar w:fldCharType="begin"/>
    </w:r>
    <w:r w:rsidRPr="001C2E57">
      <w:instrText xml:space="preserve"> PAGE   \* MERGEFORMAT </w:instrText>
    </w:r>
    <w:r w:rsidRPr="001C2E57">
      <w:fldChar w:fldCharType="separate"/>
    </w:r>
    <w:r w:rsidR="00693CD6">
      <w:rPr>
        <w:noProof/>
      </w:rPr>
      <w:t>10</w:t>
    </w:r>
    <w:r w:rsidRPr="001C2E57">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C6" w14:textId="77777777" w:rsidR="004A31A9" w:rsidRDefault="004A31A9" w:rsidP="004A31A9">
    <w:pPr>
      <w:pStyle w:val="Footer"/>
      <w:tabs>
        <w:tab w:val="clear" w:pos="9680"/>
      </w:tabs>
      <w:jc w:val="right"/>
    </w:pPr>
    <w:fldSimple w:instr=" STYLEREF  &quot;Heading 1&quot;  \* MERGEFORMAT ">
      <w:r w:rsidR="0071046F">
        <w:rPr>
          <w:noProof/>
        </w:rPr>
        <w:t>Activities in the innovation system</w:t>
      </w:r>
    </w:fldSimple>
    <w:r>
      <w:t>|</w:t>
    </w:r>
    <w:r w:rsidRPr="001C2E57">
      <w:fldChar w:fldCharType="begin"/>
    </w:r>
    <w:r w:rsidRPr="001C2E57">
      <w:instrText xml:space="preserve"> PAGE   \* MERGEFORMAT </w:instrText>
    </w:r>
    <w:r w:rsidRPr="001C2E57">
      <w:fldChar w:fldCharType="separate"/>
    </w:r>
    <w:r w:rsidR="0071046F">
      <w:rPr>
        <w:noProof/>
      </w:rPr>
      <w:t>47</w:t>
    </w:r>
    <w:r w:rsidRPr="001C2E57">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C8" w14:textId="77777777" w:rsidR="004A31A9" w:rsidRDefault="004A31A9">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fldSimple w:instr=" STYLEREF &quot;Title Heading&quot; \* Charformat ">
      <w:r>
        <w:rPr>
          <w:noProof/>
        </w:rPr>
        <w:instrText>Appendix A</w:instrText>
      </w:r>
    </w:fldSimple>
    <w:r w:rsidRPr="001C2E57">
      <w:instrText xml:space="preserve"> </w:instrText>
    </w:r>
    <w:r w:rsidRPr="001C2E57">
      <w:fldChar w:fldCharType="end"/>
    </w:r>
    <w:r>
      <w:ptab w:relativeTo="margin" w:alignment="right" w:leader="none"/>
    </w: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fldSimple w:instr=" STYLEREF &quot;Title Heading&quot; \* Charformat ">
      <w:r>
        <w:rPr>
          <w:noProof/>
        </w:rPr>
        <w:instrText>Appendix A</w:instrText>
      </w:r>
    </w:fldSimple>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fldSimple w:instr=" STYLEREF &quot;Title Heading&quot; \* Charformat ">
      <w:r>
        <w:rPr>
          <w:noProof/>
        </w:rPr>
        <w:instrText>Appendix A</w:instrText>
      </w:r>
    </w:fldSimple>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CB" w14:textId="77777777" w:rsidR="004A31A9" w:rsidRPr="001C2E57" w:rsidRDefault="004A31A9" w:rsidP="004A31A9">
    <w:pPr>
      <w:pStyle w:val="Footer"/>
      <w:tabs>
        <w:tab w:val="clear" w:pos="9680"/>
      </w:tabs>
      <w:jc w:val="right"/>
    </w:pPr>
    <w:fldSimple w:instr=" STYLEREF  &quot;Heading 1&quot;  \* MERGEFORMAT ">
      <w:r w:rsidR="0071046F">
        <w:rPr>
          <w:noProof/>
        </w:rPr>
        <w:t>Activities in the innovation system</w:t>
      </w:r>
    </w:fldSimple>
    <w:r>
      <w:t>|</w:t>
    </w:r>
    <w:r w:rsidRPr="001C2E57">
      <w:fldChar w:fldCharType="begin"/>
    </w:r>
    <w:r w:rsidRPr="001C2E57">
      <w:instrText xml:space="preserve"> PAGE   \* MERGEFORMAT </w:instrText>
    </w:r>
    <w:r w:rsidRPr="001C2E57">
      <w:fldChar w:fldCharType="separate"/>
    </w:r>
    <w:r w:rsidR="0071046F">
      <w:rPr>
        <w:noProof/>
      </w:rPr>
      <w:t>59</w:t>
    </w:r>
    <w:r w:rsidRPr="001C2E57">
      <w:rPr>
        <w:noProo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CF" w14:textId="77777777" w:rsidR="004A31A9" w:rsidRPr="001C2E57" w:rsidRDefault="004A31A9" w:rsidP="004A31A9">
    <w:pPr>
      <w:pStyle w:val="Footer"/>
      <w:tabs>
        <w:tab w:val="clear" w:pos="9680"/>
      </w:tabs>
      <w:jc w:val="right"/>
    </w:pPr>
    <w:fldSimple w:instr=" STYLEREF  &quot;Heading 1&quot;  \* MERGEFORMAT ">
      <w:r w:rsidR="0071046F">
        <w:rPr>
          <w:noProof/>
        </w:rPr>
        <w:t>Framework conditions</w:t>
      </w:r>
    </w:fldSimple>
    <w:r>
      <w:t>|</w:t>
    </w:r>
    <w:r w:rsidRPr="001C2E57">
      <w:fldChar w:fldCharType="begin"/>
    </w:r>
    <w:r w:rsidRPr="001C2E57">
      <w:instrText xml:space="preserve"> PAGE   \* MERGEFORMAT </w:instrText>
    </w:r>
    <w:r w:rsidRPr="001C2E57">
      <w:fldChar w:fldCharType="separate"/>
    </w:r>
    <w:r w:rsidR="0071046F">
      <w:rPr>
        <w:noProof/>
      </w:rPr>
      <w:t>83</w:t>
    </w:r>
    <w:r w:rsidRPr="001C2E57">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D3" w14:textId="77777777" w:rsidR="004A31A9" w:rsidRPr="00755C20" w:rsidRDefault="004A31A9" w:rsidP="004A31A9">
    <w:pPr>
      <w:pStyle w:val="Footer"/>
    </w:pPr>
    <w:r>
      <w:fldChar w:fldCharType="begin"/>
    </w:r>
    <w:r>
      <w:instrText xml:space="preserve"> PAGE   \* MERGEFORMAT </w:instrText>
    </w:r>
    <w:r>
      <w:fldChar w:fldCharType="separate"/>
    </w:r>
    <w:r>
      <w:rPr>
        <w:noProof/>
      </w:rPr>
      <w:t>112</w:t>
    </w:r>
    <w:r>
      <w:rPr>
        <w:noProof/>
      </w:rPr>
      <w:fldChar w:fldCharType="end"/>
    </w:r>
    <w:r>
      <w:rPr>
        <w:noProof/>
      </w:rPr>
      <w:t xml:space="preserve">     </w:t>
    </w:r>
    <w:fldSimple w:instr=" STYLEREF  &quot;Heading 1&quot;  \* MERGEFORMAT ">
      <w:r>
        <w:rPr>
          <w:noProof/>
        </w:rPr>
        <w:t>Framework conditions</w:t>
      </w:r>
    </w:fldSimple>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D4" w14:textId="77777777" w:rsidR="004A31A9" w:rsidRPr="001C2E57" w:rsidRDefault="004A31A9" w:rsidP="004A31A9">
    <w:pPr>
      <w:pStyle w:val="Footer"/>
      <w:tabs>
        <w:tab w:val="clear" w:pos="9680"/>
      </w:tabs>
      <w:jc w:val="right"/>
    </w:pPr>
    <w:fldSimple w:instr=" STYLEREF  &quot;Heading 1&quot;  \* MERGEFORMAT ">
      <w:r w:rsidR="0071046F">
        <w:rPr>
          <w:noProof/>
        </w:rPr>
        <w:t>Appendix A Data tables</w:t>
      </w:r>
    </w:fldSimple>
    <w:r>
      <w:t>|</w:t>
    </w:r>
    <w:r w:rsidRPr="001C2E57">
      <w:fldChar w:fldCharType="begin"/>
    </w:r>
    <w:r w:rsidRPr="001C2E57">
      <w:instrText xml:space="preserve"> PAGE   \* MERGEFORMAT </w:instrText>
    </w:r>
    <w:r w:rsidRPr="001C2E57">
      <w:fldChar w:fldCharType="separate"/>
    </w:r>
    <w:r w:rsidR="0071046F">
      <w:rPr>
        <w:noProof/>
      </w:rPr>
      <w:t>110</w:t>
    </w:r>
    <w:r w:rsidRPr="001C2E57">
      <w:rPr>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363626"/>
      <w:docPartObj>
        <w:docPartGallery w:val="Page Numbers (Bottom of Page)"/>
        <w:docPartUnique/>
      </w:docPartObj>
    </w:sdtPr>
    <w:sdtEndPr>
      <w:rPr>
        <w:noProof/>
      </w:rPr>
    </w:sdtEndPr>
    <w:sdtContent>
      <w:p w14:paraId="7418C6D8" w14:textId="77777777" w:rsidR="004A31A9" w:rsidRDefault="004A31A9" w:rsidP="004A31A9">
        <w:pPr>
          <w:pStyle w:val="Footer"/>
        </w:pPr>
        <w:r>
          <w:fldChar w:fldCharType="begin"/>
        </w:r>
        <w:r>
          <w:instrText xml:space="preserve"> PAGE   \* MERGEFORMAT </w:instrText>
        </w:r>
        <w:r>
          <w:fldChar w:fldCharType="separate"/>
        </w:r>
        <w:r>
          <w:rPr>
            <w:noProof/>
          </w:rPr>
          <w:t>120</w:t>
        </w:r>
        <w:r>
          <w:rPr>
            <w:noProof/>
          </w:rPr>
          <w:fldChar w:fldCharType="end"/>
        </w:r>
        <w:r>
          <w:rPr>
            <w:noProof/>
          </w:rPr>
          <w:fldChar w:fldCharType="begin"/>
        </w:r>
        <w:r>
          <w:rPr>
            <w:noProof/>
          </w:rPr>
          <w:instrText xml:space="preserve"> STYLEREF  Glossary  \* MERGEFORMAT </w:instrText>
        </w:r>
        <w:r>
          <w:rPr>
            <w:noProof/>
          </w:rPr>
          <w:fldChar w:fldCharType="separate"/>
        </w:r>
        <w:r>
          <w:rPr>
            <w:noProof/>
          </w:rPr>
          <w:t>Introduction: the evolution of innovation indicators</w:t>
        </w:r>
        <w:r>
          <w:rPr>
            <w:noProof/>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D9" w14:textId="77777777" w:rsidR="004A31A9" w:rsidRPr="001C2E57" w:rsidRDefault="004A31A9" w:rsidP="004A31A9">
    <w:pPr>
      <w:pStyle w:val="Footer"/>
      <w:tabs>
        <w:tab w:val="clear" w:pos="9680"/>
      </w:tabs>
      <w:jc w:val="right"/>
    </w:pPr>
    <w:fldSimple w:instr=" STYLEREF  Glossary  \* MERGEFORMAT ">
      <w:r w:rsidR="00457CC7">
        <w:rPr>
          <w:noProof/>
        </w:rPr>
        <w:t>References</w:t>
      </w:r>
    </w:fldSimple>
    <w:r>
      <w:t>|</w:t>
    </w:r>
    <w:r w:rsidRPr="001C2E57">
      <w:fldChar w:fldCharType="begin"/>
    </w:r>
    <w:r w:rsidRPr="001C2E57">
      <w:instrText xml:space="preserve"> PAGE   \* MERGEFORMAT </w:instrText>
    </w:r>
    <w:r w:rsidRPr="001C2E57">
      <w:fldChar w:fldCharType="separate"/>
    </w:r>
    <w:r w:rsidR="00457CC7">
      <w:rPr>
        <w:noProof/>
      </w:rPr>
      <w:t>121</w:t>
    </w:r>
    <w:r w:rsidRPr="001C2E57">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98" w14:textId="77777777" w:rsidR="004A31A9" w:rsidRPr="001C2E57" w:rsidRDefault="004A31A9" w:rsidP="004A31A9">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693CD6">
      <w:rPr>
        <w:b/>
        <w:bCs/>
        <w:noProof/>
        <w:lang w:val="en-US"/>
      </w:rPr>
      <w:instrText>Error! No text of specified style in document.</w:instrText>
    </w:r>
    <w:r>
      <w:rPr>
        <w:noProof/>
      </w:rPr>
      <w:fldChar w:fldCharType="end"/>
    </w:r>
    <w:r w:rsidRPr="001C2E57">
      <w:instrText xml:space="preserve"> &lt;&gt; "Error*" </w:instrText>
    </w:r>
    <w:fldSimple w:instr=" STYLEREF &quot;Title Heading&quot; \* Charformat ">
      <w:r>
        <w:rPr>
          <w:noProof/>
        </w:rPr>
        <w:instrText>Appendix A Data tables</w:instrText>
      </w:r>
    </w:fldSimple>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sidR="00693CD6">
      <w:rPr>
        <w:noProof/>
      </w:rPr>
      <w:t>2</w:t>
    </w:r>
    <w:r w:rsidRPr="001C2E57">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9B" w14:textId="77777777" w:rsidR="004A31A9" w:rsidRDefault="004A31A9" w:rsidP="004A31A9">
    <w:pPr>
      <w:pStyle w:val="Footer"/>
      <w:tabs>
        <w:tab w:val="clear" w:pos="9680"/>
      </w:tabs>
    </w:pPr>
    <w:sdt>
      <w:sdtPr>
        <w:id w:val="-9814712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16</w:t>
        </w:r>
        <w:r>
          <w:rPr>
            <w:noProof/>
          </w:rPr>
          <w:fldChar w:fldCharType="end"/>
        </w:r>
        <w:r>
          <w:rPr>
            <w:noProof/>
          </w:rPr>
          <w:tab/>
        </w:r>
        <w:r>
          <w:rPr>
            <w:noProof/>
          </w:rPr>
          <w:fldChar w:fldCharType="begin"/>
        </w:r>
        <w:r>
          <w:rPr>
            <w:noProof/>
          </w:rPr>
          <w:instrText xml:space="preserve"> STYLEREF  Glossary  \* MERGEFORMAT </w:instrText>
        </w:r>
        <w:r>
          <w:rPr>
            <w:noProof/>
          </w:rPr>
          <w:fldChar w:fldCharType="separate"/>
        </w:r>
        <w:r>
          <w:rPr>
            <w:noProof/>
          </w:rPr>
          <w:t>Foreword</w:t>
        </w:r>
        <w:r>
          <w:rPr>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9D" w14:textId="77777777" w:rsidR="004A31A9" w:rsidRPr="001C2E57" w:rsidRDefault="004A31A9" w:rsidP="004A31A9">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sidR="00693CD6">
      <w:rPr>
        <w:b/>
        <w:bCs/>
        <w:noProof/>
        <w:lang w:val="en-US"/>
      </w:rPr>
      <w:instrText>Error! No text of specified style in document.</w:instrText>
    </w:r>
    <w:r>
      <w:rPr>
        <w:noProof/>
      </w:rPr>
      <w:fldChar w:fldCharType="end"/>
    </w:r>
    <w:r w:rsidRPr="001C2E57">
      <w:instrText xml:space="preserve"> &lt;&gt; "Error*" </w:instrText>
    </w:r>
    <w:fldSimple w:instr=" STYLEREF &quot;Title Heading&quot; \* Charformat ">
      <w:r>
        <w:rPr>
          <w:noProof/>
        </w:rPr>
        <w:instrText>Appendix A Data tables</w:instrText>
      </w:r>
    </w:fldSimple>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sidR="00693CD6">
      <w:rPr>
        <w:noProof/>
      </w:rPr>
      <w:t>5</w:t>
    </w:r>
    <w:r w:rsidRPr="001C2E57">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9E" w14:textId="77777777" w:rsidR="004A31A9" w:rsidRPr="001C2E57" w:rsidRDefault="004A31A9" w:rsidP="004A31A9">
    <w:pPr>
      <w:pStyle w:val="Footer"/>
    </w:pPr>
    <w:r w:rsidRPr="001C2E57">
      <w:fldChar w:fldCharType="begin"/>
    </w:r>
    <w:r w:rsidRPr="001C2E57">
      <w:instrText xml:space="preserve"> PAGE   \* MERGEFORMAT </w:instrText>
    </w:r>
    <w:r w:rsidRPr="001C2E57">
      <w:fldChar w:fldCharType="separate"/>
    </w:r>
    <w:r>
      <w:rPr>
        <w:noProof/>
      </w:rPr>
      <w:t>6</w:t>
    </w:r>
    <w:r w:rsidRPr="001C2E57">
      <w:rPr>
        <w:noProof/>
      </w:rPr>
      <w:fldChar w:fldCharType="end"/>
    </w:r>
    <w:r>
      <w:rPr>
        <w:noProof/>
      </w:rPr>
      <w:t xml:space="preserve">   </w:t>
    </w:r>
    <w:r>
      <w:rPr>
        <w:noProof/>
      </w:rPr>
      <w:fldChar w:fldCharType="begin"/>
    </w:r>
    <w:r>
      <w:rPr>
        <w:noProof/>
      </w:rPr>
      <w:instrText xml:space="preserve"> STYLEREF  Glossary  \* MERGEFORMAT </w:instrText>
    </w:r>
    <w:r>
      <w:rPr>
        <w:noProof/>
      </w:rPr>
      <w:fldChar w:fldCharType="separate"/>
    </w:r>
    <w:r>
      <w:rPr>
        <w:noProof/>
      </w:rPr>
      <w:t>Foreword</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A1" w14:textId="77777777" w:rsidR="004A31A9" w:rsidRPr="001C2E57" w:rsidRDefault="004A31A9" w:rsidP="004A31A9">
    <w:pPr>
      <w:pStyle w:val="Footer"/>
      <w:tabs>
        <w:tab w:val="clear" w:pos="9680"/>
      </w:tabs>
      <w:jc w:val="right"/>
    </w:pPr>
    <w:fldSimple w:instr=" STYLEREF  Glossary  \* MERGEFORMAT ">
      <w:r w:rsidR="00693CD6">
        <w:rPr>
          <w:noProof/>
        </w:rPr>
        <w:t>Introduction: the evolution of innovation indicators</w:t>
      </w:r>
    </w:fldSimple>
    <w:r>
      <w:t>|</w:t>
    </w:r>
    <w:r w:rsidRPr="001C2E57">
      <w:fldChar w:fldCharType="begin"/>
    </w:r>
    <w:r w:rsidRPr="001C2E57">
      <w:instrText xml:space="preserve"> PAGE   \* MERGEFORMAT </w:instrText>
    </w:r>
    <w:r w:rsidRPr="001C2E57">
      <w:fldChar w:fldCharType="separate"/>
    </w:r>
    <w:r w:rsidR="00693CD6">
      <w:rPr>
        <w:noProof/>
      </w:rPr>
      <w:t>17</w:t>
    </w:r>
    <w:r w:rsidRPr="001C2E57">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A5" w14:textId="77777777" w:rsidR="004A31A9" w:rsidRPr="00755C20" w:rsidRDefault="004A31A9" w:rsidP="004A31A9">
    <w:pPr>
      <w:pStyle w:val="Footer"/>
    </w:pPr>
    <w:r>
      <w:fldChar w:fldCharType="begin"/>
    </w:r>
    <w:r>
      <w:instrText xml:space="preserve"> PAGE   \* MERGEFORMAT </w:instrText>
    </w:r>
    <w:r>
      <w:fldChar w:fldCharType="separate"/>
    </w:r>
    <w:r>
      <w:rPr>
        <w:noProof/>
      </w:rPr>
      <w:t>84</w:t>
    </w:r>
    <w:r>
      <w:rPr>
        <w:noProof/>
      </w:rPr>
      <w:fldChar w:fldCharType="end"/>
    </w:r>
    <w:r>
      <w:rPr>
        <w:noProof/>
      </w:rPr>
      <w:t xml:space="preserve">     </w:t>
    </w:r>
    <w:fldSimple w:instr=" STYLEREF  &quot;Heading 1&quot;  \* MERGEFORMAT ">
      <w:r>
        <w:rPr>
          <w:noProof/>
        </w:rPr>
        <w:t>Key innovation concepts</w:t>
      </w:r>
    </w:fldSimple>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A9" w14:textId="77777777" w:rsidR="004A31A9" w:rsidRPr="001C2E57" w:rsidRDefault="004A31A9" w:rsidP="004A31A9">
    <w:pPr>
      <w:pStyle w:val="Footer"/>
      <w:tabs>
        <w:tab w:val="clear" w:pos="9680"/>
      </w:tabs>
      <w:jc w:val="right"/>
    </w:pPr>
    <w:fldSimple w:instr=" STYLEREF  &quot;Heading 1&quot;  \* MERGEFORMAT ">
      <w:r w:rsidR="00693CD6">
        <w:rPr>
          <w:noProof/>
        </w:rPr>
        <w:t>Key innovation concepts</w:t>
      </w:r>
    </w:fldSimple>
    <w:r>
      <w:t>|</w:t>
    </w:r>
    <w:r w:rsidRPr="001C2E57">
      <w:fldChar w:fldCharType="begin"/>
    </w:r>
    <w:r w:rsidRPr="001C2E57">
      <w:instrText xml:space="preserve"> PAGE   \* MERGEFORMAT </w:instrText>
    </w:r>
    <w:r w:rsidRPr="001C2E57">
      <w:fldChar w:fldCharType="separate"/>
    </w:r>
    <w:r w:rsidR="00693CD6">
      <w:rPr>
        <w:noProof/>
      </w:rPr>
      <w:t>21</w:t>
    </w:r>
    <w:r w:rsidRPr="001C2E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8C68F" w14:textId="77777777" w:rsidR="004A31A9" w:rsidRDefault="004A31A9" w:rsidP="00D471AD">
      <w:pPr>
        <w:spacing w:after="0" w:line="240" w:lineRule="auto"/>
      </w:pPr>
      <w:r>
        <w:separator/>
      </w:r>
    </w:p>
  </w:footnote>
  <w:footnote w:type="continuationSeparator" w:id="0">
    <w:p w14:paraId="7418C690" w14:textId="77777777" w:rsidR="004A31A9" w:rsidRDefault="004A31A9" w:rsidP="00D471AD">
      <w:pPr>
        <w:spacing w:after="0" w:line="240" w:lineRule="auto"/>
      </w:pPr>
      <w:r>
        <w:continuationSeparator/>
      </w:r>
    </w:p>
  </w:footnote>
  <w:footnote w:id="1">
    <w:p w14:paraId="7418C6DB" w14:textId="77777777" w:rsidR="004A31A9" w:rsidRPr="00DD0201" w:rsidRDefault="004A31A9" w:rsidP="00D471AD">
      <w:pPr>
        <w:pStyle w:val="FootnoteText"/>
        <w:ind w:left="108"/>
        <w:rPr>
          <w:rFonts w:cstheme="minorHAnsi"/>
          <w:szCs w:val="16"/>
        </w:rPr>
      </w:pPr>
      <w:r w:rsidRPr="00662DD1">
        <w:rPr>
          <w:rStyle w:val="FootnoteReference"/>
          <w:rFonts w:cstheme="minorHAnsi"/>
          <w:szCs w:val="16"/>
        </w:rPr>
        <w:footnoteRef/>
      </w:r>
      <w:r w:rsidRPr="00662DD1">
        <w:rPr>
          <w:rFonts w:cstheme="minorHAnsi"/>
          <w:szCs w:val="16"/>
        </w:rPr>
        <w:t xml:space="preserve"> </w:t>
      </w:r>
      <w:r w:rsidRPr="0014374C">
        <w:rPr>
          <w:rFonts w:cstheme="minorHAnsi"/>
          <w:szCs w:val="16"/>
        </w:rPr>
        <w:t>A person-month is the share of a full-time employee’s time spent on development or introduction activities. For example, two employees working half-time for one month would equal one person-month.</w:t>
      </w:r>
    </w:p>
  </w:footnote>
  <w:footnote w:id="2">
    <w:p w14:paraId="7418C6DC" w14:textId="77777777" w:rsidR="004A31A9" w:rsidRPr="009D7514" w:rsidRDefault="004A31A9" w:rsidP="00D471AD">
      <w:pPr>
        <w:pStyle w:val="FootnoteText"/>
        <w:spacing w:afterLines="40" w:after="96"/>
        <w:ind w:left="108"/>
        <w:rPr>
          <w:rFonts w:cstheme="minorHAnsi"/>
          <w:szCs w:val="16"/>
        </w:rPr>
      </w:pPr>
      <w:r w:rsidRPr="00DD0201">
        <w:rPr>
          <w:rStyle w:val="FootnoteReference"/>
          <w:rFonts w:cstheme="minorHAnsi"/>
          <w:szCs w:val="16"/>
        </w:rPr>
        <w:footnoteRef/>
      </w:r>
      <w:r w:rsidRPr="00DD0201">
        <w:rPr>
          <w:rFonts w:cstheme="minorHAnsi"/>
          <w:szCs w:val="16"/>
        </w:rPr>
        <w:t xml:space="preserve"> </w:t>
      </w:r>
      <w:r w:rsidRPr="009D7514">
        <w:rPr>
          <w:rFonts w:cstheme="minorHAnsi"/>
          <w:szCs w:val="16"/>
        </w:rPr>
        <w:t>Depending on the elasticity of demand.</w:t>
      </w:r>
    </w:p>
  </w:footnote>
  <w:footnote w:id="3">
    <w:p w14:paraId="7418C6DD" w14:textId="77777777" w:rsidR="004A31A9" w:rsidRDefault="004A31A9" w:rsidP="00D471AD">
      <w:pPr>
        <w:pStyle w:val="FootnoteText"/>
        <w:ind w:left="0" w:firstLine="0"/>
      </w:pPr>
      <w:r>
        <w:rPr>
          <w:rStyle w:val="FootnoteReference"/>
        </w:rPr>
        <w:footnoteRef/>
      </w:r>
      <w:r>
        <w:t xml:space="preserve"> </w:t>
      </w:r>
      <w:r w:rsidRPr="009D7514">
        <w:rPr>
          <w:rFonts w:cstheme="minorHAnsi"/>
          <w:szCs w:val="16"/>
        </w:rPr>
        <w:t>OECD+ includes all countries in the OECD, as well as China, Taiwan and Singapore (where data is available).</w:t>
      </w:r>
    </w:p>
  </w:footnote>
  <w:footnote w:id="4">
    <w:p w14:paraId="7418C6DE" w14:textId="77777777" w:rsidR="004A31A9" w:rsidRPr="009D7514" w:rsidRDefault="004A31A9" w:rsidP="00D471AD">
      <w:pPr>
        <w:pStyle w:val="FootnoteText"/>
        <w:spacing w:afterLines="40" w:after="96"/>
        <w:ind w:left="108"/>
        <w:rPr>
          <w:rFonts w:cstheme="minorHAnsi"/>
          <w:szCs w:val="16"/>
        </w:rPr>
      </w:pPr>
      <w:r w:rsidRPr="00DD0201">
        <w:rPr>
          <w:rStyle w:val="FootnoteReference"/>
          <w:rFonts w:cstheme="minorHAnsi"/>
          <w:szCs w:val="16"/>
        </w:rPr>
        <w:footnoteRef/>
      </w:r>
      <w:r w:rsidRPr="00DD0201">
        <w:rPr>
          <w:rFonts w:cstheme="minorHAnsi"/>
          <w:szCs w:val="16"/>
        </w:rPr>
        <w:t xml:space="preserve"> </w:t>
      </w:r>
      <w:r w:rsidRPr="009D7514">
        <w:rPr>
          <w:rFonts w:cstheme="minorHAnsi"/>
          <w:szCs w:val="16"/>
        </w:rPr>
        <w:t>See Chapter 3 for a detailed discussion of new to market innovation.</w:t>
      </w:r>
    </w:p>
  </w:footnote>
  <w:footnote w:id="5">
    <w:p w14:paraId="7418C6DF" w14:textId="77777777" w:rsidR="004A31A9" w:rsidRPr="009D7514" w:rsidRDefault="004A31A9" w:rsidP="00D471AD">
      <w:pPr>
        <w:pStyle w:val="FootnoteText"/>
        <w:ind w:left="108"/>
        <w:rPr>
          <w:rFonts w:cstheme="minorHAnsi"/>
          <w:szCs w:val="16"/>
        </w:rPr>
      </w:pPr>
      <w:r>
        <w:rPr>
          <w:rStyle w:val="FootnoteReference"/>
        </w:rPr>
        <w:footnoteRef/>
      </w:r>
      <w:r>
        <w:t xml:space="preserve"> </w:t>
      </w:r>
      <w:r w:rsidRPr="009D7514">
        <w:rPr>
          <w:rFonts w:cstheme="minorHAnsi"/>
          <w:szCs w:val="16"/>
        </w:rPr>
        <w:t xml:space="preserve">The source data defines ’innovative’ as ‘new or significantly improved’. </w:t>
      </w:r>
    </w:p>
  </w:footnote>
  <w:footnote w:id="6">
    <w:p w14:paraId="7418C6E0" w14:textId="77777777" w:rsidR="004A31A9" w:rsidRPr="009D7514" w:rsidRDefault="004A31A9" w:rsidP="00D471AD">
      <w:pPr>
        <w:pStyle w:val="FootnoteText"/>
        <w:spacing w:afterLines="40" w:after="96"/>
        <w:ind w:left="108"/>
        <w:jc w:val="both"/>
        <w:rPr>
          <w:rFonts w:cstheme="minorHAnsi"/>
          <w:szCs w:val="16"/>
        </w:rPr>
      </w:pPr>
      <w:r w:rsidRPr="00DD0201">
        <w:rPr>
          <w:rFonts w:cstheme="minorHAnsi"/>
          <w:szCs w:val="16"/>
          <w:vertAlign w:val="superscript"/>
        </w:rPr>
        <w:footnoteRef/>
      </w:r>
      <w:r w:rsidRPr="00DD0201">
        <w:rPr>
          <w:rFonts w:cstheme="minorHAnsi"/>
          <w:szCs w:val="16"/>
        </w:rPr>
        <w:t xml:space="preserve"> </w:t>
      </w:r>
      <w:r w:rsidRPr="009D7514">
        <w:rPr>
          <w:rFonts w:cstheme="minorHAnsi"/>
          <w:szCs w:val="16"/>
        </w:rPr>
        <w:t>We are currently working with the ABS to investigate the source of this sawtooth wave</w:t>
      </w:r>
      <w:r w:rsidRPr="009D7514" w:rsidDel="00F96BD2">
        <w:rPr>
          <w:rFonts w:cstheme="minorHAnsi"/>
          <w:szCs w:val="16"/>
        </w:rPr>
        <w:t xml:space="preserve"> </w:t>
      </w:r>
      <w:r w:rsidRPr="009D7514">
        <w:rPr>
          <w:rFonts w:cstheme="minorHAnsi"/>
          <w:szCs w:val="16"/>
        </w:rPr>
        <w:t>pattern.</w:t>
      </w:r>
    </w:p>
  </w:footnote>
  <w:footnote w:id="7">
    <w:p w14:paraId="7418C6E1" w14:textId="77777777" w:rsidR="004A31A9" w:rsidRDefault="004A31A9" w:rsidP="00D471AD">
      <w:pPr>
        <w:pStyle w:val="ListNumber"/>
        <w:ind w:left="108"/>
        <w:jc w:val="both"/>
      </w:pPr>
      <w:r>
        <w:rPr>
          <w:rStyle w:val="FootnoteReference"/>
        </w:rPr>
        <w:footnoteRef/>
      </w:r>
      <w:r>
        <w:t xml:space="preserve"> </w:t>
      </w:r>
      <w:r w:rsidRPr="009D7514">
        <w:rPr>
          <w:sz w:val="18"/>
          <w:szCs w:val="18"/>
        </w:rPr>
        <w:t>Businesses that undertook R&amp;D but did not introduce any innovation are not classified as innovative.</w:t>
      </w:r>
      <w:r>
        <w:t xml:space="preserve"> </w:t>
      </w:r>
    </w:p>
  </w:footnote>
  <w:footnote w:id="8">
    <w:p w14:paraId="7418C6E2" w14:textId="77777777" w:rsidR="004A31A9" w:rsidRDefault="004A31A9" w:rsidP="00D471AD">
      <w:pPr>
        <w:pStyle w:val="FootnoteText"/>
        <w:ind w:left="108"/>
      </w:pPr>
      <w:r>
        <w:rPr>
          <w:rStyle w:val="FootnoteReference"/>
        </w:rPr>
        <w:footnoteRef/>
      </w:r>
      <w:r>
        <w:t xml:space="preserve"> </w:t>
      </w:r>
      <w:r w:rsidRPr="00894F3F">
        <w:rPr>
          <w:rFonts w:cstheme="minorHAnsi"/>
          <w:szCs w:val="16"/>
        </w:rPr>
        <w:t>This investment is mostly in the Mining and Quarrying sector.</w:t>
      </w:r>
      <w:r>
        <w:t xml:space="preserve"> </w:t>
      </w:r>
    </w:p>
  </w:footnote>
  <w:footnote w:id="9">
    <w:p w14:paraId="7418C6E3" w14:textId="77777777" w:rsidR="004A31A9" w:rsidRPr="00DD0201" w:rsidRDefault="004A31A9" w:rsidP="00D471AD">
      <w:pPr>
        <w:pStyle w:val="FootnoteText"/>
        <w:spacing w:afterLines="40" w:after="96"/>
        <w:ind w:left="108"/>
        <w:rPr>
          <w:rFonts w:cstheme="minorHAnsi"/>
          <w:szCs w:val="16"/>
        </w:rPr>
      </w:pPr>
      <w:r w:rsidRPr="0061710B">
        <w:rPr>
          <w:rStyle w:val="FootnoteReference"/>
          <w:rFonts w:cstheme="minorHAnsi"/>
          <w:szCs w:val="16"/>
        </w:rPr>
        <w:footnoteRef/>
      </w:r>
      <w:r w:rsidRPr="0061710B">
        <w:rPr>
          <w:rFonts w:cstheme="minorHAnsi"/>
          <w:szCs w:val="16"/>
        </w:rPr>
        <w:t xml:space="preserve"> Rankings are based on OECD+ countries.</w:t>
      </w:r>
      <w:r w:rsidRPr="00DD0201">
        <w:rPr>
          <w:rFonts w:cstheme="minorHAnsi"/>
          <w:szCs w:val="16"/>
        </w:rPr>
        <w:t xml:space="preserve"> </w:t>
      </w:r>
    </w:p>
  </w:footnote>
  <w:footnote w:id="10">
    <w:p w14:paraId="7418C6E4" w14:textId="77777777" w:rsidR="004A31A9" w:rsidRDefault="004A31A9" w:rsidP="00D471AD">
      <w:pPr>
        <w:pStyle w:val="FootnoteText"/>
        <w:ind w:left="0" w:firstLine="0"/>
      </w:pPr>
      <w:r>
        <w:rPr>
          <w:rStyle w:val="FootnoteReference"/>
        </w:rPr>
        <w:footnoteRef/>
      </w:r>
      <w:r>
        <w:t xml:space="preserve"> </w:t>
      </w:r>
      <w:r w:rsidRPr="00894F3F">
        <w:rPr>
          <w:rFonts w:cstheme="minorHAnsi"/>
          <w:szCs w:val="16"/>
        </w:rPr>
        <w:t>Based on customised ABS data commissioned by the Department of Industry, Innovation and Science.</w:t>
      </w:r>
      <w:r>
        <w:t xml:space="preserve"> </w:t>
      </w:r>
    </w:p>
  </w:footnote>
  <w:footnote w:id="11">
    <w:p w14:paraId="7418C6E5" w14:textId="77777777" w:rsidR="004A31A9" w:rsidRPr="00DD0201" w:rsidRDefault="004A31A9" w:rsidP="00D471AD">
      <w:pPr>
        <w:spacing w:afterLines="40" w:after="96"/>
        <w:rPr>
          <w:rFonts w:cstheme="minorHAnsi"/>
          <w:color w:val="4472C4" w:themeColor="accent5"/>
          <w:sz w:val="16"/>
          <w:szCs w:val="16"/>
        </w:rPr>
      </w:pPr>
      <w:r w:rsidRPr="001729A3">
        <w:rPr>
          <w:rStyle w:val="FootnoteReference"/>
          <w:sz w:val="16"/>
        </w:rPr>
        <w:footnoteRef/>
      </w:r>
      <w:r w:rsidRPr="001729A3">
        <w:rPr>
          <w:sz w:val="16"/>
        </w:rPr>
        <w:t xml:space="preserve"> </w:t>
      </w:r>
      <w:r w:rsidRPr="00894F3F">
        <w:rPr>
          <w:rFonts w:eastAsia="Times New Roman" w:cstheme="minorHAnsi"/>
          <w:sz w:val="16"/>
          <w:szCs w:val="16"/>
        </w:rPr>
        <w:t>The ABS reports that Australia’s venture capital investment is 0.11 per cent of GDP in Venture Capital and Later Stage Private Equity, Australia, 2013–14, catalogue 5678.0. This is different from the 0.0071 per cent of GDP reported by the OECD in Entrepreneurship at a Glance 2014. The difference between these two figures is due to differences in their respective definitions and terminologies. The ABS definition of venture capital includes pre-seed, seed, start-up and early expansion investments. The OECD includes as venture capital investment pre-launch, launch and early-stage development.</w:t>
      </w:r>
      <w:r>
        <w:rPr>
          <w:sz w:val="16"/>
        </w:rPr>
        <w:t xml:space="preserve"> </w:t>
      </w:r>
    </w:p>
  </w:footnote>
  <w:footnote w:id="12">
    <w:p w14:paraId="7418C6E6" w14:textId="77777777" w:rsidR="004A31A9" w:rsidRDefault="004A31A9" w:rsidP="00D471AD">
      <w:pPr>
        <w:pStyle w:val="FootnoteText"/>
        <w:ind w:left="108"/>
      </w:pPr>
      <w:r>
        <w:rPr>
          <w:rStyle w:val="FootnoteReference"/>
        </w:rPr>
        <w:footnoteRef/>
      </w:r>
      <w:r>
        <w:t xml:space="preserve"> </w:t>
      </w:r>
      <w:r w:rsidRPr="00864F0E">
        <w:t>This figure of public expenditure as a percentage of GDP is a calculation of HERD as a percentage of GDP plus GOVERD as a percentage of GDP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93" w14:textId="77777777" w:rsidR="004A31A9" w:rsidRDefault="004A31A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A3" w14:textId="77777777" w:rsidR="004A31A9" w:rsidRDefault="004A31A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A4" w14:textId="77777777" w:rsidR="004A31A9" w:rsidRDefault="004A31A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A6" w14:textId="77777777" w:rsidR="004A31A9" w:rsidRDefault="004A31A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A7" w14:textId="77777777" w:rsidR="004A31A9" w:rsidRDefault="004A31A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A8" w14:textId="77777777" w:rsidR="004A31A9" w:rsidRDefault="004A31A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AA" w14:textId="77777777" w:rsidR="004A31A9" w:rsidRDefault="004A31A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AB" w14:textId="77777777" w:rsidR="004A31A9" w:rsidRDefault="004A31A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AC" w14:textId="77777777" w:rsidR="004A31A9" w:rsidRDefault="004A31A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AE" w14:textId="77777777" w:rsidR="004A31A9" w:rsidRDefault="004A31A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B0" w14:textId="77777777" w:rsidR="004A31A9" w:rsidRDefault="004A31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94" w14:textId="77777777" w:rsidR="004A31A9" w:rsidRDefault="004A31A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B1" w14:textId="77777777" w:rsidR="004A31A9" w:rsidRDefault="004A31A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B3" w14:textId="77777777" w:rsidR="004A31A9" w:rsidRDefault="004A31A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B5" w14:textId="77777777" w:rsidR="004A31A9" w:rsidRDefault="004A31A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B6" w14:textId="77777777" w:rsidR="004A31A9" w:rsidRDefault="004A31A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B8" w14:textId="77777777" w:rsidR="004A31A9" w:rsidRDefault="004A31A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BA" w14:textId="77777777" w:rsidR="004A31A9" w:rsidRDefault="004A31A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BB" w14:textId="77777777" w:rsidR="004A31A9" w:rsidRDefault="004A31A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BD" w14:textId="77777777" w:rsidR="004A31A9" w:rsidRDefault="004A31A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BF" w14:textId="77777777" w:rsidR="004A31A9" w:rsidRDefault="004A31A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C0" w14:textId="77777777" w:rsidR="004A31A9" w:rsidRDefault="004A31A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97" w14:textId="77777777" w:rsidR="004A31A9" w:rsidRDefault="004A31A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C2" w14:textId="77777777" w:rsidR="004A31A9" w:rsidRDefault="004A31A9">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C4" w14:textId="77777777" w:rsidR="004A31A9" w:rsidRDefault="004A31A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C5" w14:textId="77777777" w:rsidR="004A31A9" w:rsidRDefault="004A31A9">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C7" w14:textId="77777777" w:rsidR="004A31A9" w:rsidRDefault="004A31A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C9" w14:textId="77777777" w:rsidR="004A31A9" w:rsidRDefault="004A31A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CA" w14:textId="77777777" w:rsidR="004A31A9" w:rsidRDefault="004A31A9">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CC" w14:textId="77777777" w:rsidR="004A31A9" w:rsidRDefault="004A31A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CD" w14:textId="77777777" w:rsidR="004A31A9" w:rsidRDefault="004A31A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CE" w14:textId="77777777" w:rsidR="004A31A9" w:rsidRDefault="004A31A9">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D0" w14:textId="77777777" w:rsidR="004A31A9" w:rsidRDefault="004A31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99" w14:textId="77777777" w:rsidR="004A31A9" w:rsidRDefault="004A31A9">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D1" w14:textId="77777777" w:rsidR="004A31A9" w:rsidRDefault="004A31A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D2" w14:textId="77777777" w:rsidR="004A31A9" w:rsidRDefault="004A31A9">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D5" w14:textId="77777777" w:rsidR="004A31A9" w:rsidRDefault="004A31A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D6" w14:textId="77777777" w:rsidR="004A31A9" w:rsidRDefault="004A31A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D7" w14:textId="77777777" w:rsidR="004A31A9" w:rsidRDefault="004A31A9">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DA" w14:textId="77777777" w:rsidR="004A31A9" w:rsidRDefault="004A31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9A" w14:textId="77777777" w:rsidR="004A31A9" w:rsidRDefault="004A31A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9C" w14:textId="77777777" w:rsidR="004A31A9" w:rsidRDefault="004A31A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9F" w14:textId="77777777" w:rsidR="004A31A9" w:rsidRDefault="004A31A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A0" w14:textId="77777777" w:rsidR="004A31A9" w:rsidRDefault="004A31A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8C6A2" w14:textId="77777777" w:rsidR="004A31A9" w:rsidRDefault="004A31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3B38"/>
    <w:multiLevelType w:val="multilevel"/>
    <w:tmpl w:val="01849818"/>
    <w:styleLink w:val="OCEHeadings"/>
    <w:lvl w:ilvl="0">
      <w:start w:val="1"/>
      <w:numFmt w:val="decimal"/>
      <w:pStyle w:val="Heading1"/>
      <w:lvlText w:val="%1."/>
      <w:lvlJc w:val="left"/>
      <w:pPr>
        <w:ind w:left="709" w:hanging="709"/>
      </w:pPr>
      <w:rPr>
        <w:rFonts w:hint="default"/>
      </w:rPr>
    </w:lvl>
    <w:lvl w:ilvl="1">
      <w:start w:val="1"/>
      <w:numFmt w:val="decimal"/>
      <w:pStyle w:val="Heading2"/>
      <w:lvlText w:val="%1.%2"/>
      <w:lvlJc w:val="left"/>
      <w:pPr>
        <w:ind w:left="709"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3E05FD7"/>
    <w:multiLevelType w:val="hybridMultilevel"/>
    <w:tmpl w:val="9A10CC14"/>
    <w:lvl w:ilvl="0" w:tplc="DA882952">
      <w:start w:val="1"/>
      <w:numFmt w:val="decimal"/>
      <w:lvlText w:val="%1."/>
      <w:lvlJc w:val="left"/>
      <w:pPr>
        <w:ind w:left="35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9F63E6"/>
    <w:multiLevelType w:val="hybridMultilevel"/>
    <w:tmpl w:val="958E0CD8"/>
    <w:lvl w:ilvl="0" w:tplc="85FED8B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0B6783"/>
    <w:multiLevelType w:val="hybridMultilevel"/>
    <w:tmpl w:val="83B42D9C"/>
    <w:lvl w:ilvl="0" w:tplc="1BEA2FA2">
      <w:start w:val="1"/>
      <w:numFmt w:val="decimal"/>
      <w:lvlText w:val="%1."/>
      <w:lvlJc w:val="left"/>
      <w:pPr>
        <w:ind w:left="360" w:hanging="360"/>
      </w:pPr>
      <w:rPr>
        <w:i w:val="0"/>
        <w:color w:val="FFFFFF" w:themeColor="background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F415820"/>
    <w:multiLevelType w:val="hybridMultilevel"/>
    <w:tmpl w:val="462A4D1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6"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7" w15:restartNumberingAfterBreak="0">
    <w:nsid w:val="18801DAD"/>
    <w:multiLevelType w:val="multilevel"/>
    <w:tmpl w:val="33D26DE2"/>
    <w:styleLink w:val="OCENumberedList"/>
    <w:lvl w:ilvl="0">
      <w:start w:val="1"/>
      <w:numFmt w:val="decimal"/>
      <w:lvlText w:val="%1."/>
      <w:lvlJc w:val="left"/>
      <w:pPr>
        <w:ind w:left="425" w:hanging="425"/>
      </w:pPr>
      <w:rPr>
        <w:rFonts w:hint="default"/>
      </w:rPr>
    </w:lvl>
    <w:lvl w:ilvl="1">
      <w:start w:val="1"/>
      <w:numFmt w:val="decimal"/>
      <w:lvlText w:val="%1.%2"/>
      <w:lvlJc w:val="left"/>
      <w:pPr>
        <w:ind w:left="992" w:hanging="425"/>
      </w:pPr>
      <w:rPr>
        <w:rFonts w:hint="default"/>
      </w:rPr>
    </w:lvl>
    <w:lvl w:ilvl="2">
      <w:start w:val="1"/>
      <w:numFmt w:val="decimal"/>
      <w:lvlText w:val="%1.%2.%3"/>
      <w:lvlJc w:val="left"/>
      <w:pPr>
        <w:ind w:left="1701" w:hanging="850"/>
      </w:pPr>
      <w:rPr>
        <w:rFonts w:hint="default"/>
      </w:rPr>
    </w:lvl>
    <w:lvl w:ilvl="3">
      <w:start w:val="1"/>
      <w:numFmt w:val="none"/>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8" w15:restartNumberingAfterBreak="0">
    <w:nsid w:val="18AB0577"/>
    <w:multiLevelType w:val="hybridMultilevel"/>
    <w:tmpl w:val="C2CE0844"/>
    <w:lvl w:ilvl="0" w:tplc="95927E42">
      <w:start w:val="1"/>
      <w:numFmt w:val="bullet"/>
      <w:lvlText w:val=""/>
      <w:lvlJc w:val="left"/>
      <w:pPr>
        <w:ind w:left="340" w:hanging="34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E45F2C"/>
    <w:multiLevelType w:val="hybridMultilevel"/>
    <w:tmpl w:val="0E344B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ACA4FA6"/>
    <w:multiLevelType w:val="hybridMultilevel"/>
    <w:tmpl w:val="00D67162"/>
    <w:lvl w:ilvl="0" w:tplc="408CAA14">
      <w:start w:val="1"/>
      <w:numFmt w:val="bullet"/>
      <w:lvlText w:val=""/>
      <w:lvlJc w:val="left"/>
      <w:pPr>
        <w:ind w:left="720" w:hanging="360"/>
      </w:pPr>
      <w:rPr>
        <w:rFonts w:ascii="Wingdings" w:hAnsi="Wingdings" w:hint="default"/>
        <w:color w:val="FFFFFF" w:themeColor="background1"/>
      </w:rPr>
    </w:lvl>
    <w:lvl w:ilvl="1" w:tplc="026C6C00">
      <w:start w:val="1"/>
      <w:numFmt w:val="bullet"/>
      <w:lvlText w:val="-"/>
      <w:lvlJc w:val="left"/>
      <w:pPr>
        <w:ind w:left="1040" w:hanging="340"/>
      </w:pPr>
      <w:rPr>
        <w:rFonts w:ascii="Courier New" w:hAnsi="Courier New" w:hint="default"/>
        <w:color w:val="FFFFFF" w:themeColor="background1"/>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F227C5"/>
    <w:multiLevelType w:val="multilevel"/>
    <w:tmpl w:val="33D26DE2"/>
    <w:lvl w:ilvl="0">
      <w:start w:val="1"/>
      <w:numFmt w:val="decimal"/>
      <w:lvlText w:val="%1."/>
      <w:lvlJc w:val="left"/>
      <w:pPr>
        <w:ind w:left="425" w:hanging="425"/>
      </w:pPr>
      <w:rPr>
        <w:rFonts w:hint="default"/>
      </w:rPr>
    </w:lvl>
    <w:lvl w:ilvl="1">
      <w:start w:val="1"/>
      <w:numFmt w:val="decimal"/>
      <w:lvlText w:val="%1.%2"/>
      <w:lvlJc w:val="left"/>
      <w:pPr>
        <w:ind w:left="992" w:hanging="425"/>
      </w:pPr>
      <w:rPr>
        <w:rFonts w:hint="default"/>
      </w:rPr>
    </w:lvl>
    <w:lvl w:ilvl="2">
      <w:start w:val="1"/>
      <w:numFmt w:val="decimal"/>
      <w:lvlText w:val="%1.%2.%3"/>
      <w:lvlJc w:val="left"/>
      <w:pPr>
        <w:ind w:left="1701" w:hanging="850"/>
      </w:pPr>
      <w:rPr>
        <w:rFonts w:hint="default"/>
      </w:rPr>
    </w:lvl>
    <w:lvl w:ilvl="3">
      <w:start w:val="1"/>
      <w:numFmt w:val="none"/>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12" w15:restartNumberingAfterBreak="0">
    <w:nsid w:val="2CF20870"/>
    <w:multiLevelType w:val="hybridMultilevel"/>
    <w:tmpl w:val="E88A77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EED67DB"/>
    <w:multiLevelType w:val="hybridMultilevel"/>
    <w:tmpl w:val="F920F5F6"/>
    <w:lvl w:ilvl="0" w:tplc="85FED8B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4" w15:restartNumberingAfterBreak="0">
    <w:nsid w:val="3A080C92"/>
    <w:multiLevelType w:val="multilevel"/>
    <w:tmpl w:val="E6469B56"/>
    <w:styleLink w:val="OnePagerNumbered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16" w15:restartNumberingAfterBreak="0">
    <w:nsid w:val="3EC7083C"/>
    <w:multiLevelType w:val="hybridMultilevel"/>
    <w:tmpl w:val="DFD8E2A4"/>
    <w:lvl w:ilvl="0" w:tplc="85FED8B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32462F"/>
    <w:multiLevelType w:val="hybridMultilevel"/>
    <w:tmpl w:val="69625E86"/>
    <w:lvl w:ilvl="0" w:tplc="8EEEDF24">
      <w:start w:val="1"/>
      <w:numFmt w:val="bullet"/>
      <w:lvlText w:val="-"/>
      <w:lvlJc w:val="left"/>
      <w:pPr>
        <w:ind w:left="1440" w:hanging="360"/>
      </w:pPr>
      <w:rPr>
        <w:rFonts w:ascii="Courier New" w:hAnsi="Courier New" w:hint="default"/>
      </w:rPr>
    </w:lvl>
    <w:lvl w:ilvl="1" w:tplc="8EEEDF24">
      <w:start w:val="1"/>
      <w:numFmt w:val="bullet"/>
      <w:lvlText w:val="-"/>
      <w:lvlJc w:val="left"/>
      <w:pPr>
        <w:ind w:left="680" w:hanging="34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8AB1B0D"/>
    <w:multiLevelType w:val="hybridMultilevel"/>
    <w:tmpl w:val="D21E813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B705282"/>
    <w:multiLevelType w:val="hybridMultilevel"/>
    <w:tmpl w:val="F4F29636"/>
    <w:lvl w:ilvl="0" w:tplc="85FED8B6">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94390E"/>
    <w:multiLevelType w:val="multilevel"/>
    <w:tmpl w:val="E29ACE62"/>
    <w:styleLink w:val="OCEBulletedList"/>
    <w:lvl w:ilvl="0">
      <w:start w:val="1"/>
      <w:numFmt w:val="bullet"/>
      <w:pStyle w:val="ListBullet"/>
      <w:lvlText w:val=""/>
      <w:lvlJc w:val="left"/>
      <w:pPr>
        <w:ind w:left="340" w:hanging="340"/>
      </w:pPr>
      <w:rPr>
        <w:rFonts w:ascii="Wingdings" w:hAnsi="Wingdings" w:hint="default"/>
      </w:rPr>
    </w:lvl>
    <w:lvl w:ilvl="1">
      <w:start w:val="1"/>
      <w:numFmt w:val="bullet"/>
      <w:pStyle w:val="ListBullet2"/>
      <w:lvlText w:val="-"/>
      <w:lvlJc w:val="left"/>
      <w:pPr>
        <w:ind w:left="680" w:hanging="340"/>
      </w:pPr>
      <w:rPr>
        <w:rFonts w:ascii="Courier New" w:hAnsi="Courier New" w:hint="default"/>
      </w:rPr>
    </w:lvl>
    <w:lvl w:ilvl="2">
      <w:start w:val="1"/>
      <w:numFmt w:val="bullet"/>
      <w:pStyle w:val="ListBullet3"/>
      <w:lvlText w:val=""/>
      <w:lvlJc w:val="left"/>
      <w:pPr>
        <w:ind w:left="1021" w:hanging="341"/>
      </w:pPr>
      <w:rPr>
        <w:rFonts w:ascii="Wingdings" w:hAnsi="Wingdings" w:hint="default"/>
      </w:rPr>
    </w:lvl>
    <w:lvl w:ilvl="3">
      <w:start w:val="1"/>
      <w:numFmt w:val="none"/>
      <w:pStyle w:val="ListBullet4"/>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28D6279"/>
    <w:multiLevelType w:val="hybridMultilevel"/>
    <w:tmpl w:val="29E47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B51376E"/>
    <w:multiLevelType w:val="hybridMultilevel"/>
    <w:tmpl w:val="6D4463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C617964"/>
    <w:multiLevelType w:val="multilevel"/>
    <w:tmpl w:val="33D26DE2"/>
    <w:lvl w:ilvl="0">
      <w:start w:val="1"/>
      <w:numFmt w:val="decimal"/>
      <w:lvlText w:val="%1."/>
      <w:lvlJc w:val="left"/>
      <w:pPr>
        <w:ind w:left="425" w:hanging="425"/>
      </w:pPr>
      <w:rPr>
        <w:rFonts w:hint="default"/>
      </w:rPr>
    </w:lvl>
    <w:lvl w:ilvl="1">
      <w:start w:val="1"/>
      <w:numFmt w:val="decimal"/>
      <w:lvlText w:val="%1.%2"/>
      <w:lvlJc w:val="left"/>
      <w:pPr>
        <w:ind w:left="992" w:hanging="425"/>
      </w:pPr>
      <w:rPr>
        <w:rFonts w:hint="default"/>
      </w:rPr>
    </w:lvl>
    <w:lvl w:ilvl="2">
      <w:start w:val="1"/>
      <w:numFmt w:val="decimal"/>
      <w:lvlText w:val="%1.%2.%3"/>
      <w:lvlJc w:val="left"/>
      <w:pPr>
        <w:ind w:left="1701" w:hanging="850"/>
      </w:pPr>
      <w:rPr>
        <w:rFonts w:hint="default"/>
      </w:rPr>
    </w:lvl>
    <w:lvl w:ilvl="3">
      <w:start w:val="1"/>
      <w:numFmt w:val="none"/>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24"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24"/>
  </w:num>
  <w:num w:numId="3">
    <w:abstractNumId w:val="0"/>
  </w:num>
  <w:num w:numId="4">
    <w:abstractNumId w:val="20"/>
  </w:num>
  <w:num w:numId="5">
    <w:abstractNumId w:val="7"/>
  </w:num>
  <w:num w:numId="6">
    <w:abstractNumId w:val="6"/>
  </w:num>
  <w:num w:numId="7">
    <w:abstractNumId w:val="5"/>
  </w:num>
  <w:num w:numId="8">
    <w:abstractNumId w:val="14"/>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4"/>
  </w:num>
  <w:num w:numId="12">
    <w:abstractNumId w:val="18"/>
  </w:num>
  <w:num w:numId="13">
    <w:abstractNumId w:val="22"/>
  </w:num>
  <w:num w:numId="14">
    <w:abstractNumId w:val="21"/>
  </w:num>
  <w:num w:numId="15">
    <w:abstractNumId w:val="23"/>
  </w:num>
  <w:num w:numId="16">
    <w:abstractNumId w:val="1"/>
  </w:num>
  <w:num w:numId="17">
    <w:abstractNumId w:val="10"/>
  </w:num>
  <w:num w:numId="18">
    <w:abstractNumId w:val="8"/>
  </w:num>
  <w:num w:numId="19">
    <w:abstractNumId w:val="13"/>
  </w:num>
  <w:num w:numId="20">
    <w:abstractNumId w:val="2"/>
  </w:num>
  <w:num w:numId="21">
    <w:abstractNumId w:val="19"/>
  </w:num>
  <w:num w:numId="22">
    <w:abstractNumId w:val="16"/>
  </w:num>
  <w:num w:numId="23">
    <w:abstractNumId w:val="17"/>
  </w:num>
  <w:num w:numId="24">
    <w:abstractNumId w:val="9"/>
  </w:num>
  <w:num w:numId="25">
    <w:abstractNumId w:val="11"/>
  </w:num>
  <w:num w:numId="26">
    <w:abstractNumId w:val="3"/>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defaultTabStop w:val="720"/>
  <w:characterSpacingControl w:val="doNotCompress"/>
  <w:hdrShapeDefaults>
    <o:shapedefaults v:ext="edit" spidmax="4097"/>
  </w:hdrShapeDefaults>
  <w:footnotePr>
    <w:numFmt w:val="upp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1AD"/>
    <w:rsid w:val="001C2998"/>
    <w:rsid w:val="00457CC7"/>
    <w:rsid w:val="004A31A9"/>
    <w:rsid w:val="00525A1A"/>
    <w:rsid w:val="00693CD6"/>
    <w:rsid w:val="0071046F"/>
    <w:rsid w:val="00781821"/>
    <w:rsid w:val="00875D8B"/>
    <w:rsid w:val="00CC629C"/>
    <w:rsid w:val="00D471AD"/>
    <w:rsid w:val="00F476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18AE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lsdException w:name="annotation text" w:semiHidden="1" w:uiPriority="0" w:unhideWhenUsed="1"/>
    <w:lsdException w:name="header" w:semiHidden="1" w:uiPriority="0" w:unhideWhenUsed="1"/>
    <w:lsdException w:name="footer" w:semiHidden="1" w:uiPriority="9"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1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qFormat="1"/>
    <w:lsdException w:name="List Bullet 3" w:semiHidden="1" w:uiPriority="4" w:unhideWhenUsed="1" w:qFormat="1"/>
    <w:lsdException w:name="List Bullet 4" w:semiHidden="1" w:uiPriority="0"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1AD"/>
    <w:rPr>
      <w:rFonts w:ascii="Arial" w:hAnsi="Arial"/>
      <w:color w:val="595A5B"/>
    </w:rPr>
  </w:style>
  <w:style w:type="paragraph" w:styleId="Heading1">
    <w:name w:val="heading 1"/>
    <w:basedOn w:val="Normal"/>
    <w:next w:val="BodyText"/>
    <w:link w:val="Heading1Char"/>
    <w:qFormat/>
    <w:rsid w:val="00D471AD"/>
    <w:pPr>
      <w:keepNext/>
      <w:numPr>
        <w:numId w:val="3"/>
      </w:numPr>
      <w:spacing w:before="170" w:after="170" w:line="240" w:lineRule="auto"/>
      <w:outlineLvl w:val="0"/>
    </w:pPr>
    <w:rPr>
      <w:rFonts w:asciiTheme="majorHAnsi" w:eastAsia="Times New Roman" w:hAnsiTheme="majorHAnsi" w:cs="Arial"/>
      <w:b/>
      <w:bCs/>
      <w:kern w:val="32"/>
      <w:sz w:val="40"/>
      <w:szCs w:val="32"/>
    </w:rPr>
  </w:style>
  <w:style w:type="paragraph" w:styleId="Heading2">
    <w:name w:val="heading 2"/>
    <w:basedOn w:val="Heading1"/>
    <w:next w:val="BodyText"/>
    <w:link w:val="Heading2Char"/>
    <w:qFormat/>
    <w:rsid w:val="00D471AD"/>
    <w:pPr>
      <w:numPr>
        <w:ilvl w:val="1"/>
      </w:numPr>
      <w:outlineLvl w:val="1"/>
    </w:pPr>
    <w:rPr>
      <w:b w:val="0"/>
      <w:bCs w:val="0"/>
      <w:iCs/>
      <w:sz w:val="30"/>
      <w:szCs w:val="28"/>
    </w:rPr>
  </w:style>
  <w:style w:type="paragraph" w:styleId="Heading3">
    <w:name w:val="heading 3"/>
    <w:basedOn w:val="BodyText"/>
    <w:next w:val="BodyText"/>
    <w:link w:val="Heading3Char"/>
    <w:qFormat/>
    <w:rsid w:val="00D471AD"/>
    <w:pPr>
      <w:keepNext/>
      <w:spacing w:before="60" w:after="60"/>
      <w:jc w:val="left"/>
      <w:outlineLvl w:val="2"/>
    </w:pPr>
    <w:rPr>
      <w:rFonts w:asciiTheme="majorHAnsi" w:eastAsia="Times New Roman" w:hAnsiTheme="majorHAnsi" w:cs="Arial"/>
      <w:bCs/>
      <w:sz w:val="22"/>
    </w:rPr>
  </w:style>
  <w:style w:type="paragraph" w:styleId="Heading4">
    <w:name w:val="heading 4"/>
    <w:basedOn w:val="BodyText"/>
    <w:next w:val="BodyText"/>
    <w:link w:val="Heading4Char"/>
    <w:uiPriority w:val="9"/>
    <w:unhideWhenUsed/>
    <w:rsid w:val="00D471AD"/>
    <w:pPr>
      <w:keepNext/>
      <w:keepLines/>
      <w:spacing w:before="20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9"/>
    <w:unhideWhenUsed/>
    <w:qFormat/>
    <w:rsid w:val="00D471AD"/>
    <w:pPr>
      <w:keepNext/>
      <w:pageBreakBefore/>
      <w:spacing w:before="300" w:line="280" w:lineRule="atLeast"/>
      <w:outlineLvl w:val="5"/>
    </w:pPr>
    <w:rPr>
      <w:rFonts w:asciiTheme="majorHAnsi" w:eastAsiaTheme="majorEastAsia" w:hAnsiTheme="majorHAnsi" w:cstheme="majorBidi"/>
      <w:b/>
      <w:iCs/>
      <w:color w:val="22789A"/>
      <w:sz w:val="32"/>
    </w:rPr>
  </w:style>
  <w:style w:type="paragraph" w:styleId="Heading7">
    <w:name w:val="heading 7"/>
    <w:basedOn w:val="Normal"/>
    <w:next w:val="BodyText"/>
    <w:link w:val="Heading7Char"/>
    <w:uiPriority w:val="9"/>
    <w:unhideWhenUsed/>
    <w:qFormat/>
    <w:rsid w:val="00D471AD"/>
    <w:pPr>
      <w:keepNext/>
      <w:keepLines/>
      <w:spacing w:before="300" w:line="280" w:lineRule="atLeast"/>
      <w:outlineLvl w:val="6"/>
    </w:pPr>
    <w:rPr>
      <w:rFonts w:asciiTheme="majorHAnsi" w:eastAsiaTheme="majorEastAsia" w:hAnsiTheme="majorHAnsi" w:cstheme="majorBidi"/>
      <w:b/>
      <w:iCs/>
      <w:color w:val="6CCCDE"/>
    </w:rPr>
  </w:style>
  <w:style w:type="paragraph" w:styleId="Heading8">
    <w:name w:val="heading 8"/>
    <w:basedOn w:val="Normal"/>
    <w:next w:val="BodyText"/>
    <w:link w:val="Heading8Char"/>
    <w:uiPriority w:val="9"/>
    <w:unhideWhenUsed/>
    <w:qFormat/>
    <w:rsid w:val="00D471AD"/>
    <w:pPr>
      <w:keepNext/>
      <w:keepLines/>
      <w:spacing w:before="300"/>
      <w:outlineLvl w:val="7"/>
    </w:pPr>
    <w:rPr>
      <w:rFonts w:asciiTheme="majorHAnsi" w:eastAsiaTheme="majorEastAsia" w:hAnsiTheme="majorHAnsi" w:cstheme="majorBidi"/>
      <w:color w:val="22789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71AD"/>
    <w:rPr>
      <w:rFonts w:asciiTheme="majorHAnsi" w:eastAsia="Times New Roman" w:hAnsiTheme="majorHAnsi" w:cs="Arial"/>
      <w:b/>
      <w:bCs/>
      <w:color w:val="595A5B"/>
      <w:kern w:val="32"/>
      <w:sz w:val="40"/>
      <w:szCs w:val="32"/>
    </w:rPr>
  </w:style>
  <w:style w:type="character" w:customStyle="1" w:styleId="Heading2Char">
    <w:name w:val="Heading 2 Char"/>
    <w:basedOn w:val="DefaultParagraphFont"/>
    <w:link w:val="Heading2"/>
    <w:rsid w:val="00D471AD"/>
    <w:rPr>
      <w:rFonts w:asciiTheme="majorHAnsi" w:eastAsia="Times New Roman" w:hAnsiTheme="majorHAnsi" w:cs="Arial"/>
      <w:iCs/>
      <w:color w:val="595A5B"/>
      <w:kern w:val="32"/>
      <w:sz w:val="30"/>
      <w:szCs w:val="28"/>
    </w:rPr>
  </w:style>
  <w:style w:type="character" w:customStyle="1" w:styleId="Heading3Char">
    <w:name w:val="Heading 3 Char"/>
    <w:basedOn w:val="DefaultParagraphFont"/>
    <w:link w:val="Heading3"/>
    <w:rsid w:val="00D471AD"/>
    <w:rPr>
      <w:rFonts w:asciiTheme="majorHAnsi" w:eastAsia="Times New Roman" w:hAnsiTheme="majorHAnsi" w:cs="Arial"/>
      <w:bCs/>
      <w:color w:val="595A5B"/>
    </w:rPr>
  </w:style>
  <w:style w:type="character" w:customStyle="1" w:styleId="Heading4Char">
    <w:name w:val="Heading 4 Char"/>
    <w:basedOn w:val="DefaultParagraphFont"/>
    <w:link w:val="Heading4"/>
    <w:uiPriority w:val="9"/>
    <w:rsid w:val="00D471AD"/>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9"/>
    <w:rsid w:val="00D471AD"/>
    <w:rPr>
      <w:rFonts w:asciiTheme="majorHAnsi" w:eastAsiaTheme="majorEastAsia" w:hAnsiTheme="majorHAnsi" w:cstheme="majorBidi"/>
      <w:b/>
      <w:iCs/>
      <w:color w:val="22789A"/>
      <w:sz w:val="32"/>
    </w:rPr>
  </w:style>
  <w:style w:type="character" w:customStyle="1" w:styleId="Heading7Char">
    <w:name w:val="Heading 7 Char"/>
    <w:basedOn w:val="DefaultParagraphFont"/>
    <w:link w:val="Heading7"/>
    <w:uiPriority w:val="9"/>
    <w:rsid w:val="00D471AD"/>
    <w:rPr>
      <w:rFonts w:asciiTheme="majorHAnsi" w:eastAsiaTheme="majorEastAsia" w:hAnsiTheme="majorHAnsi" w:cstheme="majorBidi"/>
      <w:b/>
      <w:iCs/>
      <w:color w:val="6CCCDE"/>
    </w:rPr>
  </w:style>
  <w:style w:type="character" w:customStyle="1" w:styleId="Heading8Char">
    <w:name w:val="Heading 8 Char"/>
    <w:basedOn w:val="DefaultParagraphFont"/>
    <w:link w:val="Heading8"/>
    <w:uiPriority w:val="9"/>
    <w:rsid w:val="00D471AD"/>
    <w:rPr>
      <w:rFonts w:asciiTheme="majorHAnsi" w:eastAsiaTheme="majorEastAsia" w:hAnsiTheme="majorHAnsi" w:cstheme="majorBidi"/>
      <w:color w:val="22789A"/>
      <w:szCs w:val="20"/>
    </w:rPr>
  </w:style>
  <w:style w:type="table" w:styleId="TableContemporary">
    <w:name w:val="Table Contemporary"/>
    <w:basedOn w:val="TableNormal"/>
    <w:rsid w:val="00D471AD"/>
    <w:pPr>
      <w:spacing w:after="200" w:line="276" w:lineRule="auto"/>
    </w:pPr>
    <w:rPr>
      <w:rFonts w:ascii="Arial" w:eastAsia="Times New Roman" w:hAnsi="Arial"/>
      <w:color w:val="595A5B"/>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D471AD"/>
    <w:pPr>
      <w:numPr>
        <w:numId w:val="1"/>
      </w:numPr>
      <w:tabs>
        <w:tab w:val="clear" w:pos="1418"/>
        <w:tab w:val="num" w:pos="360"/>
      </w:tabs>
      <w:spacing w:before="100" w:line="312" w:lineRule="auto"/>
      <w:ind w:left="2160" w:firstLine="0"/>
    </w:pPr>
    <w:rPr>
      <w:rFonts w:eastAsia="Times New Roman"/>
      <w:lang w:eastAsia="en-AU"/>
    </w:rPr>
  </w:style>
  <w:style w:type="paragraph" w:styleId="TOC1">
    <w:name w:val="toc 1"/>
    <w:basedOn w:val="Normal"/>
    <w:next w:val="Normal"/>
    <w:autoRedefine/>
    <w:uiPriority w:val="39"/>
    <w:rsid w:val="00D471AD"/>
    <w:pPr>
      <w:tabs>
        <w:tab w:val="right" w:pos="8931"/>
      </w:tabs>
      <w:spacing w:before="240" w:after="120"/>
      <w:ind w:left="1276" w:right="804" w:hanging="567"/>
    </w:pPr>
    <w:rPr>
      <w:rFonts w:eastAsia="Times New Roman"/>
      <w:b/>
      <w:noProof/>
      <w:szCs w:val="24"/>
    </w:rPr>
  </w:style>
  <w:style w:type="paragraph" w:styleId="FootnoteText">
    <w:name w:val="footnote text"/>
    <w:aliases w:val="f t,ft,f t1,ft1,f t2,ft2"/>
    <w:basedOn w:val="Normal"/>
    <w:link w:val="FootnoteTextChar"/>
    <w:uiPriority w:val="19"/>
    <w:rsid w:val="00D471AD"/>
    <w:pPr>
      <w:ind w:left="2268" w:hanging="108"/>
    </w:pPr>
    <w:rPr>
      <w:rFonts w:eastAsia="Times New Roman"/>
      <w:sz w:val="16"/>
    </w:rPr>
  </w:style>
  <w:style w:type="character" w:customStyle="1" w:styleId="FootnoteTextChar">
    <w:name w:val="Footnote Text Char"/>
    <w:aliases w:val="f t Char,ft Char,f t1 Char,ft1 Char,f t2 Char,ft2 Char"/>
    <w:basedOn w:val="DefaultParagraphFont"/>
    <w:link w:val="FootnoteText"/>
    <w:uiPriority w:val="19"/>
    <w:rsid w:val="00D471AD"/>
    <w:rPr>
      <w:rFonts w:ascii="Arial" w:eastAsia="Times New Roman" w:hAnsi="Arial"/>
      <w:color w:val="595A5B"/>
      <w:sz w:val="16"/>
    </w:rPr>
  </w:style>
  <w:style w:type="paragraph" w:styleId="Footer">
    <w:name w:val="footer"/>
    <w:basedOn w:val="Normal"/>
    <w:link w:val="FooterChar"/>
    <w:uiPriority w:val="9"/>
    <w:rsid w:val="00D471AD"/>
    <w:pPr>
      <w:tabs>
        <w:tab w:val="right" w:pos="9680"/>
      </w:tabs>
    </w:pPr>
    <w:rPr>
      <w:rFonts w:eastAsia="Times New Roman"/>
      <w:sz w:val="16"/>
      <w:szCs w:val="16"/>
    </w:rPr>
  </w:style>
  <w:style w:type="character" w:customStyle="1" w:styleId="FooterChar">
    <w:name w:val="Footer Char"/>
    <w:basedOn w:val="DefaultParagraphFont"/>
    <w:link w:val="Footer"/>
    <w:uiPriority w:val="9"/>
    <w:rsid w:val="00D471AD"/>
    <w:rPr>
      <w:rFonts w:ascii="Arial" w:eastAsia="Times New Roman" w:hAnsi="Arial"/>
      <w:color w:val="595A5B"/>
      <w:sz w:val="16"/>
      <w:szCs w:val="16"/>
    </w:rPr>
  </w:style>
  <w:style w:type="character" w:styleId="FootnoteReference">
    <w:name w:val="footnote reference"/>
    <w:basedOn w:val="DefaultParagraphFont"/>
    <w:uiPriority w:val="19"/>
    <w:rsid w:val="00D471AD"/>
    <w:rPr>
      <w:vertAlign w:val="superscript"/>
    </w:rPr>
  </w:style>
  <w:style w:type="character" w:styleId="PageNumber">
    <w:name w:val="page number"/>
    <w:rsid w:val="00D471AD"/>
    <w:rPr>
      <w:rFonts w:ascii="Arial" w:hAnsi="Arial"/>
      <w:sz w:val="18"/>
    </w:rPr>
  </w:style>
  <w:style w:type="paragraph" w:styleId="BodyText">
    <w:name w:val="Body Text"/>
    <w:link w:val="BodyTextChar"/>
    <w:qFormat/>
    <w:rsid w:val="00D471AD"/>
    <w:pPr>
      <w:spacing w:before="113" w:after="0" w:line="240" w:lineRule="auto"/>
      <w:jc w:val="both"/>
    </w:pPr>
    <w:rPr>
      <w:rFonts w:ascii="Arial" w:hAnsi="Arial"/>
      <w:color w:val="595A5B"/>
      <w:sz w:val="20"/>
    </w:rPr>
  </w:style>
  <w:style w:type="character" w:customStyle="1" w:styleId="BodyTextChar">
    <w:name w:val="Body Text Char"/>
    <w:basedOn w:val="DefaultParagraphFont"/>
    <w:link w:val="BodyText"/>
    <w:rsid w:val="00D471AD"/>
    <w:rPr>
      <w:rFonts w:ascii="Arial" w:hAnsi="Arial"/>
      <w:color w:val="595A5B"/>
      <w:sz w:val="20"/>
    </w:rPr>
  </w:style>
  <w:style w:type="paragraph" w:styleId="Subtitle">
    <w:name w:val="Subtitle"/>
    <w:basedOn w:val="Normal"/>
    <w:next w:val="Normal"/>
    <w:link w:val="SubtitleChar"/>
    <w:rsid w:val="00D471AD"/>
    <w:pPr>
      <w:numPr>
        <w:ilvl w:val="1"/>
      </w:numPr>
      <w:ind w:left="2160"/>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rsid w:val="00D471AD"/>
    <w:rPr>
      <w:rFonts w:asciiTheme="majorHAnsi" w:eastAsiaTheme="majorEastAsia" w:hAnsiTheme="majorHAnsi" w:cstheme="majorBidi"/>
      <w:i/>
      <w:iCs/>
      <w:color w:val="5B9BD5" w:themeColor="accent1"/>
      <w:spacing w:val="15"/>
      <w:sz w:val="24"/>
      <w:szCs w:val="24"/>
    </w:rPr>
  </w:style>
  <w:style w:type="character" w:styleId="Hyperlink">
    <w:name w:val="Hyperlink"/>
    <w:uiPriority w:val="99"/>
    <w:rsid w:val="00D471AD"/>
    <w:rPr>
      <w:color w:val="22789A"/>
      <w:u w:val="single"/>
    </w:rPr>
  </w:style>
  <w:style w:type="table" w:styleId="Table3Deffects1">
    <w:name w:val="Table 3D effects 1"/>
    <w:basedOn w:val="TableNormal"/>
    <w:rsid w:val="00D471AD"/>
    <w:pPr>
      <w:spacing w:after="200" w:line="276" w:lineRule="auto"/>
    </w:pPr>
    <w:rPr>
      <w:rFonts w:ascii="Arial" w:eastAsia="Times New Roman" w:hAnsi="Arial"/>
      <w:color w:val="595A5B"/>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D471AD"/>
    <w:rPr>
      <w:rFonts w:ascii="Tahoma" w:eastAsia="Times New Roman" w:hAnsi="Tahoma" w:cs="Tahoma"/>
      <w:sz w:val="16"/>
      <w:szCs w:val="16"/>
    </w:rPr>
  </w:style>
  <w:style w:type="character" w:customStyle="1" w:styleId="BalloonTextChar">
    <w:name w:val="Balloon Text Char"/>
    <w:basedOn w:val="DefaultParagraphFont"/>
    <w:link w:val="BalloonText"/>
    <w:rsid w:val="00D471AD"/>
    <w:rPr>
      <w:rFonts w:ascii="Tahoma" w:eastAsia="Times New Roman" w:hAnsi="Tahoma" w:cs="Tahoma"/>
      <w:color w:val="595A5B"/>
      <w:sz w:val="16"/>
      <w:szCs w:val="16"/>
    </w:rPr>
  </w:style>
  <w:style w:type="table" w:styleId="TableGrid">
    <w:name w:val="Table Grid"/>
    <w:basedOn w:val="TableNormal"/>
    <w:uiPriority w:val="59"/>
    <w:rsid w:val="00D471AD"/>
    <w:pPr>
      <w:spacing w:after="200" w:line="276" w:lineRule="auto"/>
    </w:pPr>
    <w:rPr>
      <w:rFonts w:ascii="Arial" w:eastAsia="Times New Roman" w:hAnsi="Arial"/>
      <w:color w:val="595A5B"/>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471AD"/>
    <w:rPr>
      <w:color w:val="808080"/>
    </w:rPr>
  </w:style>
  <w:style w:type="table" w:styleId="MediumGrid3-Accent1">
    <w:name w:val="Medium Grid 3 Accent 1"/>
    <w:basedOn w:val="TableNormal"/>
    <w:uiPriority w:val="69"/>
    <w:rsid w:val="00D471AD"/>
    <w:pPr>
      <w:spacing w:after="200" w:line="276" w:lineRule="auto"/>
    </w:pPr>
    <w:rPr>
      <w:rFonts w:ascii="Arial" w:eastAsia="Times New Roman" w:hAnsi="Arial"/>
      <w:color w:val="595A5B"/>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ColorfulGrid-Accent1">
    <w:name w:val="Colorful Grid Accent 1"/>
    <w:basedOn w:val="TableNormal"/>
    <w:uiPriority w:val="73"/>
    <w:rsid w:val="00D471AD"/>
    <w:pPr>
      <w:spacing w:after="200" w:line="276" w:lineRule="auto"/>
    </w:pPr>
    <w:rPr>
      <w:rFonts w:ascii="Arial" w:eastAsia="Times New Roman" w:hAnsi="Arial"/>
      <w:color w:val="000000" w:themeColor="text1"/>
      <w:lang w:eastAsia="en-AU"/>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styleId="IntenseEmphasis">
    <w:name w:val="Intense Emphasis"/>
    <w:basedOn w:val="DefaultParagraphFont"/>
    <w:uiPriority w:val="21"/>
    <w:rsid w:val="00D471AD"/>
    <w:rPr>
      <w:b/>
      <w:bCs/>
      <w:i/>
      <w:iCs/>
      <w:color w:val="5B9BD5" w:themeColor="accent1"/>
    </w:rPr>
  </w:style>
  <w:style w:type="paragraph" w:styleId="TOCHeading">
    <w:name w:val="TOC Heading"/>
    <w:basedOn w:val="Heading1"/>
    <w:next w:val="Normal"/>
    <w:uiPriority w:val="39"/>
    <w:unhideWhenUsed/>
    <w:qFormat/>
    <w:rsid w:val="00D471AD"/>
    <w:pPr>
      <w:keepLines/>
      <w:spacing w:before="480" w:after="0" w:line="276" w:lineRule="auto"/>
      <w:outlineLvl w:val="9"/>
    </w:pPr>
    <w:rPr>
      <w:rFonts w:eastAsiaTheme="majorEastAsia" w:cstheme="majorBidi"/>
      <w:color w:val="2E74B5" w:themeColor="accent1" w:themeShade="BF"/>
      <w:kern w:val="0"/>
      <w:sz w:val="28"/>
      <w:szCs w:val="28"/>
      <w:lang w:eastAsia="ja-JP"/>
    </w:rPr>
  </w:style>
  <w:style w:type="table" w:styleId="Table3Deffects2">
    <w:name w:val="Table 3D effects 2"/>
    <w:basedOn w:val="TableNormal"/>
    <w:rsid w:val="00D471AD"/>
    <w:pPr>
      <w:spacing w:after="200" w:line="276" w:lineRule="auto"/>
    </w:pPr>
    <w:rPr>
      <w:rFonts w:ascii="Arial" w:eastAsia="Times New Roman" w:hAnsi="Arial"/>
      <w:color w:val="595A5B"/>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D471AD"/>
    <w:pPr>
      <w:numPr>
        <w:numId w:val="3"/>
      </w:numPr>
    </w:pPr>
  </w:style>
  <w:style w:type="paragraph" w:styleId="ListParagraph">
    <w:name w:val="List Paragraph"/>
    <w:basedOn w:val="ListBullet"/>
    <w:link w:val="ListParagraphChar"/>
    <w:uiPriority w:val="34"/>
    <w:rsid w:val="00D471AD"/>
    <w:pPr>
      <w:numPr>
        <w:numId w:val="0"/>
      </w:numPr>
    </w:pPr>
    <w:rPr>
      <w:lang w:val="en"/>
    </w:rPr>
  </w:style>
  <w:style w:type="character" w:customStyle="1" w:styleId="ListParagraphChar">
    <w:name w:val="List Paragraph Char"/>
    <w:basedOn w:val="DefaultParagraphFont"/>
    <w:link w:val="ListParagraph"/>
    <w:uiPriority w:val="34"/>
    <w:rsid w:val="00D471AD"/>
    <w:rPr>
      <w:rFonts w:ascii="Arial" w:hAnsi="Arial"/>
      <w:color w:val="595A5B"/>
      <w:sz w:val="20"/>
      <w:lang w:val="en"/>
    </w:rPr>
  </w:style>
  <w:style w:type="numbering" w:customStyle="1" w:styleId="OCEBulletedList">
    <w:name w:val="OCE Bulleted List"/>
    <w:uiPriority w:val="99"/>
    <w:rsid w:val="00D471AD"/>
    <w:pPr>
      <w:numPr>
        <w:numId w:val="4"/>
      </w:numPr>
    </w:pPr>
  </w:style>
  <w:style w:type="paragraph" w:styleId="ListBullet">
    <w:name w:val="List Bullet"/>
    <w:basedOn w:val="BodyText"/>
    <w:uiPriority w:val="4"/>
    <w:qFormat/>
    <w:rsid w:val="00D471AD"/>
    <w:pPr>
      <w:numPr>
        <w:numId w:val="4"/>
      </w:numPr>
    </w:pPr>
  </w:style>
  <w:style w:type="paragraph" w:styleId="ListContinue2">
    <w:name w:val="List Continue 2"/>
    <w:basedOn w:val="Normal"/>
    <w:rsid w:val="00D471AD"/>
    <w:pPr>
      <w:spacing w:after="120"/>
      <w:ind w:left="566"/>
      <w:contextualSpacing/>
    </w:pPr>
  </w:style>
  <w:style w:type="paragraph" w:styleId="ListBullet2">
    <w:name w:val="List Bullet 2"/>
    <w:basedOn w:val="ListBullet"/>
    <w:uiPriority w:val="4"/>
    <w:qFormat/>
    <w:rsid w:val="00D471AD"/>
    <w:pPr>
      <w:numPr>
        <w:ilvl w:val="1"/>
      </w:numPr>
    </w:pPr>
  </w:style>
  <w:style w:type="paragraph" w:styleId="ListBullet4">
    <w:name w:val="List Bullet 4"/>
    <w:basedOn w:val="ListBullet3"/>
    <w:rsid w:val="00D471AD"/>
    <w:pPr>
      <w:numPr>
        <w:ilvl w:val="3"/>
      </w:numPr>
    </w:pPr>
  </w:style>
  <w:style w:type="paragraph" w:styleId="ListBullet3">
    <w:name w:val="List Bullet 3"/>
    <w:basedOn w:val="ListBullet2"/>
    <w:uiPriority w:val="4"/>
    <w:qFormat/>
    <w:rsid w:val="00D471AD"/>
    <w:pPr>
      <w:numPr>
        <w:ilvl w:val="2"/>
      </w:numPr>
    </w:pPr>
  </w:style>
  <w:style w:type="paragraph" w:styleId="ListNumber">
    <w:name w:val="List Number"/>
    <w:basedOn w:val="Normal"/>
    <w:uiPriority w:val="4"/>
    <w:qFormat/>
    <w:rsid w:val="00D471AD"/>
  </w:style>
  <w:style w:type="paragraph" w:styleId="ListNumber2">
    <w:name w:val="List Number 2"/>
    <w:basedOn w:val="ListNumber"/>
    <w:uiPriority w:val="4"/>
    <w:qFormat/>
    <w:rsid w:val="00D471AD"/>
    <w:pPr>
      <w:numPr>
        <w:ilvl w:val="1"/>
      </w:numPr>
    </w:pPr>
  </w:style>
  <w:style w:type="paragraph" w:styleId="ListNumber3">
    <w:name w:val="List Number 3"/>
    <w:basedOn w:val="ListNumber2"/>
    <w:uiPriority w:val="4"/>
    <w:qFormat/>
    <w:rsid w:val="00D471AD"/>
    <w:pPr>
      <w:numPr>
        <w:ilvl w:val="2"/>
      </w:numPr>
    </w:pPr>
  </w:style>
  <w:style w:type="paragraph" w:styleId="BodyTextFirstIndent">
    <w:name w:val="Body Text First Indent"/>
    <w:basedOn w:val="BodyText"/>
    <w:link w:val="BodyTextFirstIndentChar"/>
    <w:semiHidden/>
    <w:rsid w:val="00D471AD"/>
    <w:pPr>
      <w:ind w:firstLine="360"/>
    </w:pPr>
  </w:style>
  <w:style w:type="character" w:customStyle="1" w:styleId="BodyTextFirstIndentChar">
    <w:name w:val="Body Text First Indent Char"/>
    <w:basedOn w:val="BodyTextChar"/>
    <w:link w:val="BodyTextFirstIndent"/>
    <w:semiHidden/>
    <w:rsid w:val="00D471AD"/>
    <w:rPr>
      <w:rFonts w:ascii="Arial" w:hAnsi="Arial"/>
      <w:color w:val="595A5B"/>
      <w:sz w:val="20"/>
    </w:rPr>
  </w:style>
  <w:style w:type="paragraph" w:styleId="BodyTextIndent">
    <w:name w:val="Body Text Indent"/>
    <w:basedOn w:val="Normal"/>
    <w:link w:val="BodyTextIndentChar"/>
    <w:semiHidden/>
    <w:unhideWhenUsed/>
    <w:rsid w:val="00D471AD"/>
    <w:pPr>
      <w:spacing w:after="120"/>
      <w:ind w:left="283"/>
    </w:pPr>
  </w:style>
  <w:style w:type="character" w:customStyle="1" w:styleId="BodyTextIndentChar">
    <w:name w:val="Body Text Indent Char"/>
    <w:basedOn w:val="DefaultParagraphFont"/>
    <w:link w:val="BodyTextIndent"/>
    <w:semiHidden/>
    <w:rsid w:val="00D471AD"/>
    <w:rPr>
      <w:rFonts w:ascii="Arial" w:hAnsi="Arial"/>
      <w:color w:val="595A5B"/>
    </w:rPr>
  </w:style>
  <w:style w:type="paragraph" w:styleId="BodyTextFirstIndent2">
    <w:name w:val="Body Text First Indent 2"/>
    <w:basedOn w:val="BodyTextIndent"/>
    <w:link w:val="BodyTextFirstIndent2Char"/>
    <w:semiHidden/>
    <w:rsid w:val="00D471AD"/>
    <w:pPr>
      <w:spacing w:after="180"/>
      <w:ind w:left="360" w:firstLine="360"/>
    </w:pPr>
  </w:style>
  <w:style w:type="character" w:customStyle="1" w:styleId="BodyTextFirstIndent2Char">
    <w:name w:val="Body Text First Indent 2 Char"/>
    <w:basedOn w:val="BodyTextIndentChar"/>
    <w:link w:val="BodyTextFirstIndent2"/>
    <w:semiHidden/>
    <w:rsid w:val="00D471AD"/>
    <w:rPr>
      <w:rFonts w:ascii="Arial" w:hAnsi="Arial"/>
      <w:color w:val="595A5B"/>
    </w:rPr>
  </w:style>
  <w:style w:type="paragraph" w:customStyle="1" w:styleId="Source">
    <w:name w:val="Source"/>
    <w:basedOn w:val="Normal"/>
    <w:next w:val="BodyText"/>
    <w:link w:val="SourceChar"/>
    <w:qFormat/>
    <w:rsid w:val="00D471AD"/>
    <w:pPr>
      <w:keepLines/>
      <w:pBdr>
        <w:bottom w:val="single" w:sz="6" w:space="9" w:color="595A5B"/>
      </w:pBdr>
      <w:spacing w:before="20" w:after="20"/>
    </w:pPr>
    <w:rPr>
      <w:rFonts w:eastAsia="Times New Roman" w:cs="Arial"/>
      <w:color w:val="22789A"/>
      <w:sz w:val="16"/>
      <w:szCs w:val="20"/>
      <w:lang w:val="en"/>
    </w:rPr>
  </w:style>
  <w:style w:type="character" w:customStyle="1" w:styleId="SourceChar">
    <w:name w:val="Source Char"/>
    <w:basedOn w:val="DefaultParagraphFont"/>
    <w:link w:val="Source"/>
    <w:rsid w:val="00D471AD"/>
    <w:rPr>
      <w:rFonts w:ascii="Arial" w:eastAsia="Times New Roman" w:hAnsi="Arial" w:cs="Arial"/>
      <w:color w:val="22789A"/>
      <w:sz w:val="16"/>
      <w:szCs w:val="20"/>
      <w:lang w:val="en"/>
    </w:rPr>
  </w:style>
  <w:style w:type="paragraph" w:customStyle="1" w:styleId="Tabletext">
    <w:name w:val="Table text"/>
    <w:basedOn w:val="Normal"/>
    <w:link w:val="TabletextChar"/>
    <w:qFormat/>
    <w:rsid w:val="00D471AD"/>
    <w:pPr>
      <w:keepNext/>
      <w:keepLines/>
      <w:spacing w:before="60" w:after="60"/>
    </w:pPr>
    <w:rPr>
      <w:rFonts w:cs="Arial"/>
      <w:sz w:val="18"/>
      <w:szCs w:val="18"/>
    </w:rPr>
  </w:style>
  <w:style w:type="character" w:customStyle="1" w:styleId="TabletextChar">
    <w:name w:val="Table text Char"/>
    <w:basedOn w:val="DefaultParagraphFont"/>
    <w:link w:val="Tabletext"/>
    <w:rsid w:val="00D471AD"/>
    <w:rPr>
      <w:rFonts w:ascii="Arial" w:hAnsi="Arial" w:cs="Arial"/>
      <w:color w:val="595A5B"/>
      <w:sz w:val="18"/>
      <w:szCs w:val="18"/>
    </w:rPr>
  </w:style>
  <w:style w:type="paragraph" w:customStyle="1" w:styleId="Tableheader">
    <w:name w:val="Table header"/>
    <w:basedOn w:val="Normal"/>
    <w:link w:val="TableheaderChar"/>
    <w:qFormat/>
    <w:rsid w:val="00D471AD"/>
    <w:pPr>
      <w:keepNext/>
      <w:spacing w:before="120" w:after="120"/>
    </w:pPr>
    <w:rPr>
      <w:rFonts w:cs="Arial"/>
      <w:i/>
      <w:color w:val="FFFFFF"/>
      <w:sz w:val="18"/>
      <w:szCs w:val="18"/>
    </w:rPr>
  </w:style>
  <w:style w:type="character" w:customStyle="1" w:styleId="TableheaderChar">
    <w:name w:val="Table header Char"/>
    <w:basedOn w:val="DefaultParagraphFont"/>
    <w:link w:val="Tableheader"/>
    <w:rsid w:val="00D471AD"/>
    <w:rPr>
      <w:rFonts w:ascii="Arial" w:hAnsi="Arial" w:cs="Arial"/>
      <w:i/>
      <w:color w:val="FFFFFF"/>
      <w:sz w:val="18"/>
      <w:szCs w:val="18"/>
    </w:rPr>
  </w:style>
  <w:style w:type="paragraph" w:styleId="Caption">
    <w:name w:val="caption"/>
    <w:basedOn w:val="Normal"/>
    <w:next w:val="Normal"/>
    <w:rsid w:val="00D471AD"/>
    <w:pPr>
      <w:keepNext/>
      <w:keepLines/>
      <w:pBdr>
        <w:top w:val="single" w:sz="6" w:space="14" w:color="595A5B"/>
      </w:pBdr>
      <w:spacing w:after="113"/>
    </w:pPr>
    <w:rPr>
      <w:bCs/>
      <w:color w:val="22789A"/>
      <w:sz w:val="18"/>
      <w:szCs w:val="18"/>
    </w:rPr>
  </w:style>
  <w:style w:type="paragraph" w:customStyle="1" w:styleId="Note">
    <w:name w:val="Note"/>
    <w:basedOn w:val="Source"/>
    <w:rsid w:val="00D471AD"/>
    <w:pPr>
      <w:keepNext/>
    </w:pPr>
  </w:style>
  <w:style w:type="table" w:customStyle="1" w:styleId="OCETable">
    <w:name w:val="OCE Table"/>
    <w:basedOn w:val="TableNormal"/>
    <w:uiPriority w:val="99"/>
    <w:rsid w:val="00D471AD"/>
    <w:pPr>
      <w:spacing w:after="0" w:line="240" w:lineRule="auto"/>
    </w:pPr>
    <w:rPr>
      <w:rFonts w:ascii="Arial" w:hAnsi="Arial"/>
      <w:color w:val="595A5B"/>
      <w:sz w:val="18"/>
    </w:rPr>
    <w:tblPr/>
    <w:tcPr>
      <w:shd w:val="clear" w:color="auto" w:fill="CAE7F3"/>
    </w:tcPr>
    <w:tblStylePr w:type="firstRow">
      <w:rPr>
        <w:rFonts w:asciiTheme="minorHAnsi" w:hAnsiTheme="minorHAnsi"/>
        <w:b w:val="0"/>
        <w:i/>
        <w:color w:val="FFFFFF"/>
        <w:sz w:val="18"/>
      </w:rPr>
      <w:tblPr/>
      <w:tcPr>
        <w:shd w:val="clear" w:color="auto" w:fill="22789A"/>
      </w:tcPr>
    </w:tblStylePr>
  </w:style>
  <w:style w:type="paragraph" w:customStyle="1" w:styleId="ChapterName">
    <w:name w:val="Chapter Name"/>
    <w:basedOn w:val="Normal"/>
    <w:next w:val="BodyText"/>
    <w:rsid w:val="00D471AD"/>
    <w:rPr>
      <w:rFonts w:cs="Arial"/>
      <w:color w:val="A5A5A5" w:themeColor="accent3"/>
      <w:sz w:val="26"/>
      <w:szCs w:val="26"/>
    </w:rPr>
  </w:style>
  <w:style w:type="paragraph" w:customStyle="1" w:styleId="Definitionboxtext">
    <w:name w:val="Definition box text"/>
    <w:basedOn w:val="BodyText"/>
    <w:rsid w:val="00D471AD"/>
    <w:pPr>
      <w:keepNext/>
      <w:keepLines/>
      <w:ind w:left="170" w:right="170"/>
      <w:jc w:val="left"/>
    </w:pPr>
    <w:rPr>
      <w:rFonts w:eastAsia="Times New Roman" w:cs="Arial"/>
      <w:i/>
      <w:sz w:val="19"/>
      <w:szCs w:val="18"/>
      <w:lang w:val="en"/>
    </w:rPr>
  </w:style>
  <w:style w:type="numbering" w:customStyle="1" w:styleId="OCENumberedList">
    <w:name w:val="OCE Numbered List"/>
    <w:uiPriority w:val="99"/>
    <w:rsid w:val="00D471AD"/>
    <w:pPr>
      <w:numPr>
        <w:numId w:val="5"/>
      </w:numPr>
    </w:pPr>
  </w:style>
  <w:style w:type="paragraph" w:customStyle="1" w:styleId="UnnumberedHeading">
    <w:name w:val="Unnumbered Heading"/>
    <w:next w:val="BodyText"/>
    <w:link w:val="UnnumberedHeadingChar"/>
    <w:rsid w:val="00D471AD"/>
    <w:pPr>
      <w:keepNext/>
      <w:spacing w:before="300" w:after="180" w:line="280" w:lineRule="exact"/>
    </w:pPr>
    <w:rPr>
      <w:rFonts w:ascii="Arial" w:eastAsia="Times New Roman" w:hAnsi="Arial" w:cs="Times New Roman"/>
      <w:b/>
      <w:color w:val="22789A"/>
      <w:kern w:val="32"/>
      <w:sz w:val="32"/>
      <w:szCs w:val="20"/>
    </w:rPr>
  </w:style>
  <w:style w:type="character" w:customStyle="1" w:styleId="UnnumberedHeadingChar">
    <w:name w:val="Unnumbered Heading Char"/>
    <w:basedOn w:val="Heading1Char"/>
    <w:link w:val="UnnumberedHeading"/>
    <w:rsid w:val="00D471AD"/>
    <w:rPr>
      <w:rFonts w:ascii="Arial" w:eastAsia="Times New Roman" w:hAnsi="Arial" w:cs="Times New Roman"/>
      <w:b/>
      <w:bCs w:val="0"/>
      <w:color w:val="22789A"/>
      <w:kern w:val="32"/>
      <w:sz w:val="32"/>
      <w:szCs w:val="20"/>
    </w:rPr>
  </w:style>
  <w:style w:type="paragraph" w:customStyle="1" w:styleId="Author">
    <w:name w:val="Author"/>
    <w:basedOn w:val="BodyText"/>
    <w:link w:val="AuthorChar"/>
    <w:rsid w:val="00D471AD"/>
    <w:pPr>
      <w:keepNext/>
      <w:keepLines/>
      <w:spacing w:before="170" w:after="170"/>
    </w:pPr>
    <w:rPr>
      <w:sz w:val="24"/>
      <w:szCs w:val="24"/>
    </w:rPr>
  </w:style>
  <w:style w:type="character" w:customStyle="1" w:styleId="AuthorChar">
    <w:name w:val="Author Char"/>
    <w:basedOn w:val="DefaultParagraphFont"/>
    <w:link w:val="Author"/>
    <w:rsid w:val="00D471AD"/>
    <w:rPr>
      <w:rFonts w:ascii="Arial" w:hAnsi="Arial"/>
      <w:color w:val="595A5B"/>
      <w:sz w:val="24"/>
      <w:szCs w:val="24"/>
    </w:rPr>
  </w:style>
  <w:style w:type="numbering" w:customStyle="1" w:styleId="OnePagerNumberedList">
    <w:name w:val="One Pager Numbered List"/>
    <w:uiPriority w:val="99"/>
    <w:rsid w:val="00D471AD"/>
    <w:pPr>
      <w:numPr>
        <w:numId w:val="8"/>
      </w:numPr>
    </w:pPr>
  </w:style>
  <w:style w:type="numbering" w:customStyle="1" w:styleId="EASDMultilevelList">
    <w:name w:val="EASD Multilevel List"/>
    <w:uiPriority w:val="99"/>
    <w:rsid w:val="00D471AD"/>
    <w:pPr>
      <w:numPr>
        <w:numId w:val="6"/>
      </w:numPr>
    </w:pPr>
  </w:style>
  <w:style w:type="numbering" w:styleId="111111">
    <w:name w:val="Outline List 2"/>
    <w:basedOn w:val="NoList"/>
    <w:rsid w:val="00D471AD"/>
    <w:pPr>
      <w:numPr>
        <w:numId w:val="2"/>
      </w:numPr>
    </w:pPr>
  </w:style>
  <w:style w:type="paragraph" w:customStyle="1" w:styleId="Abstractbodytext">
    <w:name w:val="Abstract body text"/>
    <w:basedOn w:val="Normal"/>
    <w:link w:val="AbstractbodytextChar"/>
    <w:uiPriority w:val="9"/>
    <w:semiHidden/>
    <w:rsid w:val="00D471AD"/>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D471AD"/>
    <w:rPr>
      <w:rFonts w:ascii="Arial" w:eastAsia="Times New Roman" w:hAnsi="Arial" w:cs="Arial"/>
      <w:color w:val="595A5B"/>
      <w:szCs w:val="20"/>
      <w:lang w:val="en"/>
    </w:rPr>
  </w:style>
  <w:style w:type="paragraph" w:customStyle="1" w:styleId="ChapterNumber">
    <w:name w:val="Chapter Number"/>
    <w:next w:val="ChapterName"/>
    <w:link w:val="ChapterNumberChar"/>
    <w:qFormat/>
    <w:rsid w:val="00D471AD"/>
    <w:pPr>
      <w:spacing w:before="600" w:after="600" w:line="240" w:lineRule="auto"/>
      <w:ind w:right="57"/>
    </w:pPr>
    <w:rPr>
      <w:rFonts w:ascii="Arial" w:eastAsia="Times New Roman" w:hAnsi="Arial" w:cs="Times New Roman"/>
      <w:color w:val="22789A"/>
      <w:kern w:val="32"/>
      <w:sz w:val="72"/>
      <w:szCs w:val="20"/>
    </w:rPr>
  </w:style>
  <w:style w:type="character" w:customStyle="1" w:styleId="ChapterNumberChar">
    <w:name w:val="Chapter Number Char"/>
    <w:basedOn w:val="Heading2Char"/>
    <w:link w:val="ChapterNumber"/>
    <w:rsid w:val="00D471AD"/>
    <w:rPr>
      <w:rFonts w:ascii="Arial" w:eastAsia="Times New Roman" w:hAnsi="Arial" w:cs="Times New Roman"/>
      <w:iCs w:val="0"/>
      <w:color w:val="22789A"/>
      <w:kern w:val="32"/>
      <w:sz w:val="72"/>
      <w:szCs w:val="20"/>
    </w:rPr>
  </w:style>
  <w:style w:type="paragraph" w:styleId="Header">
    <w:name w:val="header"/>
    <w:basedOn w:val="Normal"/>
    <w:link w:val="HeaderChar"/>
    <w:unhideWhenUsed/>
    <w:rsid w:val="00D471AD"/>
  </w:style>
  <w:style w:type="character" w:customStyle="1" w:styleId="HeaderChar">
    <w:name w:val="Header Char"/>
    <w:basedOn w:val="DefaultParagraphFont"/>
    <w:link w:val="Header"/>
    <w:rsid w:val="00D471AD"/>
    <w:rPr>
      <w:rFonts w:ascii="Arial" w:hAnsi="Arial"/>
      <w:color w:val="595A5B"/>
    </w:rPr>
  </w:style>
  <w:style w:type="paragraph" w:styleId="TOC2">
    <w:name w:val="toc 2"/>
    <w:basedOn w:val="Normal"/>
    <w:next w:val="Normal"/>
    <w:autoRedefine/>
    <w:uiPriority w:val="39"/>
    <w:rsid w:val="00D471AD"/>
    <w:pPr>
      <w:tabs>
        <w:tab w:val="right" w:pos="8931"/>
      </w:tabs>
      <w:spacing w:after="100"/>
      <w:ind w:left="1843" w:right="804" w:hanging="567"/>
    </w:pPr>
    <w:rPr>
      <w:noProof/>
    </w:rPr>
  </w:style>
  <w:style w:type="paragraph" w:styleId="TOC3">
    <w:name w:val="toc 3"/>
    <w:basedOn w:val="Normal"/>
    <w:next w:val="Normal"/>
    <w:autoRedefine/>
    <w:uiPriority w:val="39"/>
    <w:rsid w:val="00D471AD"/>
    <w:pPr>
      <w:tabs>
        <w:tab w:val="right" w:pos="8931"/>
      </w:tabs>
      <w:spacing w:after="100"/>
      <w:ind w:left="1843" w:right="804"/>
    </w:pPr>
    <w:rPr>
      <w:noProof/>
    </w:rPr>
  </w:style>
  <w:style w:type="paragraph" w:styleId="TOC6">
    <w:name w:val="toc 6"/>
    <w:basedOn w:val="Normal"/>
    <w:next w:val="Normal"/>
    <w:autoRedefine/>
    <w:uiPriority w:val="39"/>
    <w:rsid w:val="00D471AD"/>
    <w:pPr>
      <w:tabs>
        <w:tab w:val="right" w:pos="8931"/>
      </w:tabs>
      <w:spacing w:after="100"/>
      <w:ind w:left="2127" w:right="804" w:hanging="1418"/>
    </w:pPr>
    <w:rPr>
      <w:b/>
    </w:rPr>
  </w:style>
  <w:style w:type="paragraph" w:customStyle="1" w:styleId="HyperlinkStyle">
    <w:name w:val="Hyperlink Style"/>
    <w:basedOn w:val="Normal"/>
    <w:link w:val="HyperlinkStyleChar"/>
    <w:qFormat/>
    <w:rsid w:val="00D471AD"/>
    <w:pPr>
      <w:spacing w:line="270" w:lineRule="exact"/>
    </w:pPr>
    <w:rPr>
      <w:rFonts w:eastAsia="Calibri" w:cs="Times New Roman"/>
      <w:color w:val="22789A"/>
      <w:szCs w:val="20"/>
      <w:u w:val="single"/>
    </w:rPr>
  </w:style>
  <w:style w:type="character" w:customStyle="1" w:styleId="HyperlinkStyleChar">
    <w:name w:val="Hyperlink Style Char"/>
    <w:link w:val="HyperlinkStyle"/>
    <w:rsid w:val="00D471AD"/>
    <w:rPr>
      <w:rFonts w:ascii="Arial" w:eastAsia="Calibri" w:hAnsi="Arial" w:cs="Times New Roman"/>
      <w:color w:val="22789A"/>
      <w:szCs w:val="20"/>
      <w:u w:val="single"/>
    </w:rPr>
  </w:style>
  <w:style w:type="paragraph" w:styleId="Quote">
    <w:name w:val="Quote"/>
    <w:basedOn w:val="Normal"/>
    <w:next w:val="Normal"/>
    <w:link w:val="QuoteChar"/>
    <w:uiPriority w:val="29"/>
    <w:rsid w:val="00D471AD"/>
    <w:pPr>
      <w:ind w:left="284" w:right="522"/>
    </w:pPr>
    <w:rPr>
      <w:iCs/>
      <w:color w:val="000000" w:themeColor="text1"/>
      <w:sz w:val="18"/>
    </w:rPr>
  </w:style>
  <w:style w:type="character" w:customStyle="1" w:styleId="QuoteChar">
    <w:name w:val="Quote Char"/>
    <w:basedOn w:val="DefaultParagraphFont"/>
    <w:link w:val="Quote"/>
    <w:uiPriority w:val="29"/>
    <w:rsid w:val="00D471AD"/>
    <w:rPr>
      <w:rFonts w:ascii="Arial" w:hAnsi="Arial"/>
      <w:iCs/>
      <w:color w:val="000000" w:themeColor="text1"/>
      <w:sz w:val="18"/>
    </w:rPr>
  </w:style>
  <w:style w:type="paragraph" w:customStyle="1" w:styleId="TableListBullet">
    <w:name w:val="Table List Bullet"/>
    <w:basedOn w:val="Tabletext"/>
    <w:rsid w:val="00D471AD"/>
    <w:pPr>
      <w:numPr>
        <w:numId w:val="7"/>
      </w:numPr>
    </w:pPr>
    <w:rPr>
      <w:rFonts w:eastAsia="Times New Roman"/>
      <w:lang w:eastAsia="en-AU"/>
    </w:rPr>
  </w:style>
  <w:style w:type="numbering" w:customStyle="1" w:styleId="OCETableBullets">
    <w:name w:val="OCE Table Bullets"/>
    <w:uiPriority w:val="99"/>
    <w:rsid w:val="00D471AD"/>
    <w:pPr>
      <w:numPr>
        <w:numId w:val="7"/>
      </w:numPr>
    </w:pPr>
  </w:style>
  <w:style w:type="paragraph" w:styleId="ListNumber4">
    <w:name w:val="List Number 4"/>
    <w:basedOn w:val="Normal"/>
    <w:rsid w:val="00D471AD"/>
    <w:pPr>
      <w:contextualSpacing/>
    </w:pPr>
  </w:style>
  <w:style w:type="paragraph" w:customStyle="1" w:styleId="Methodologyboxtext">
    <w:name w:val="Methodology box text"/>
    <w:basedOn w:val="Normal"/>
    <w:rsid w:val="00D471AD"/>
    <w:pPr>
      <w:keepNext/>
      <w:keepLines/>
      <w:ind w:left="170" w:right="170"/>
    </w:pPr>
    <w:rPr>
      <w:color w:val="F0F0F0"/>
      <w:sz w:val="19"/>
    </w:rPr>
  </w:style>
  <w:style w:type="paragraph" w:customStyle="1" w:styleId="Placeholder">
    <w:name w:val="Placeholder"/>
    <w:basedOn w:val="Normal"/>
    <w:rsid w:val="00D471AD"/>
    <w:pPr>
      <w:keepNext/>
      <w:keepLines/>
      <w:jc w:val="center"/>
    </w:pPr>
    <w:rPr>
      <w:sz w:val="18"/>
    </w:rPr>
  </w:style>
  <w:style w:type="paragraph" w:customStyle="1" w:styleId="Heading">
    <w:name w:val="Heading"/>
    <w:basedOn w:val="BodyText"/>
    <w:next w:val="BodyText"/>
    <w:link w:val="HeadingChar"/>
    <w:rsid w:val="00D471AD"/>
    <w:pPr>
      <w:keepNext/>
      <w:spacing w:before="170" w:after="170"/>
    </w:pPr>
    <w:rPr>
      <w:rFonts w:asciiTheme="majorHAnsi" w:hAnsiTheme="majorHAnsi" w:cstheme="majorHAnsi"/>
      <w:sz w:val="32"/>
      <w:szCs w:val="32"/>
    </w:rPr>
  </w:style>
  <w:style w:type="paragraph" w:customStyle="1" w:styleId="CellSpaceBefore">
    <w:name w:val="CellSpaceBefore"/>
    <w:basedOn w:val="BodyText"/>
    <w:next w:val="Placeholder"/>
    <w:rsid w:val="00D471AD"/>
    <w:pPr>
      <w:keepNext/>
      <w:spacing w:before="170"/>
    </w:pPr>
    <w:rPr>
      <w:sz w:val="18"/>
    </w:rPr>
  </w:style>
  <w:style w:type="paragraph" w:customStyle="1" w:styleId="CellSpaceAfter">
    <w:name w:val="CellSpaceAfter"/>
    <w:basedOn w:val="CellSpaceBefore"/>
    <w:next w:val="BodyText"/>
    <w:rsid w:val="00D471AD"/>
    <w:pPr>
      <w:keepNext w:val="0"/>
      <w:spacing w:before="0" w:after="170"/>
    </w:pPr>
  </w:style>
  <w:style w:type="paragraph" w:customStyle="1" w:styleId="AuthorName">
    <w:name w:val="Author Name"/>
    <w:basedOn w:val="BodyText"/>
    <w:rsid w:val="00D471AD"/>
    <w:pPr>
      <w:keepNext/>
      <w:keepLines/>
    </w:pPr>
    <w:rPr>
      <w:sz w:val="24"/>
    </w:rPr>
  </w:style>
  <w:style w:type="paragraph" w:customStyle="1" w:styleId="CaseStudytext">
    <w:name w:val="Case Study text"/>
    <w:basedOn w:val="BodyText"/>
    <w:rsid w:val="00D471AD"/>
    <w:rPr>
      <w:i/>
      <w:color w:val="292B67"/>
    </w:rPr>
  </w:style>
  <w:style w:type="paragraph" w:customStyle="1" w:styleId="FeatureArticletext">
    <w:name w:val="Feature Article text"/>
    <w:basedOn w:val="BodyText"/>
    <w:rsid w:val="00D471AD"/>
    <w:rPr>
      <w:i/>
      <w:color w:val="22789A"/>
    </w:rPr>
  </w:style>
  <w:style w:type="paragraph" w:styleId="EndnoteText">
    <w:name w:val="endnote text"/>
    <w:basedOn w:val="Normal"/>
    <w:link w:val="EndnoteTextChar"/>
    <w:uiPriority w:val="99"/>
    <w:unhideWhenUsed/>
    <w:rsid w:val="00D471AD"/>
    <w:pPr>
      <w:spacing w:afterLines="40" w:after="40"/>
    </w:pPr>
    <w:rPr>
      <w:sz w:val="16"/>
      <w:szCs w:val="20"/>
    </w:rPr>
  </w:style>
  <w:style w:type="character" w:customStyle="1" w:styleId="EndnoteTextChar">
    <w:name w:val="Endnote Text Char"/>
    <w:basedOn w:val="DefaultParagraphFont"/>
    <w:link w:val="EndnoteText"/>
    <w:uiPriority w:val="99"/>
    <w:rsid w:val="00D471AD"/>
    <w:rPr>
      <w:rFonts w:ascii="Arial" w:hAnsi="Arial"/>
      <w:color w:val="595A5B"/>
      <w:sz w:val="16"/>
      <w:szCs w:val="20"/>
    </w:rPr>
  </w:style>
  <w:style w:type="character" w:styleId="EndnoteReference">
    <w:name w:val="endnote reference"/>
    <w:basedOn w:val="DefaultParagraphFont"/>
    <w:uiPriority w:val="19"/>
    <w:semiHidden/>
    <w:unhideWhenUsed/>
    <w:rsid w:val="00D471AD"/>
    <w:rPr>
      <w:vertAlign w:val="superscript"/>
    </w:rPr>
  </w:style>
  <w:style w:type="paragraph" w:customStyle="1" w:styleId="Definitiontext">
    <w:name w:val="Definition text"/>
    <w:basedOn w:val="BodyText"/>
    <w:rsid w:val="00D471AD"/>
    <w:pPr>
      <w:keepNext/>
      <w:keepLines/>
      <w:ind w:left="170" w:right="170"/>
      <w:jc w:val="left"/>
    </w:pPr>
    <w:rPr>
      <w:rFonts w:eastAsia="Times New Roman" w:cs="Arial"/>
      <w:i/>
      <w:sz w:val="19"/>
      <w:szCs w:val="18"/>
      <w:lang w:val="en"/>
    </w:rPr>
  </w:style>
  <w:style w:type="paragraph" w:customStyle="1" w:styleId="Methodologytext">
    <w:name w:val="Methodology text"/>
    <w:basedOn w:val="Normal"/>
    <w:rsid w:val="00D471AD"/>
    <w:pPr>
      <w:keepNext/>
      <w:keepLines/>
      <w:ind w:left="170" w:right="170"/>
      <w:jc w:val="both"/>
    </w:pPr>
    <w:rPr>
      <w:color w:val="F0F0F0"/>
      <w:sz w:val="19"/>
    </w:rPr>
  </w:style>
  <w:style w:type="character" w:styleId="CommentReference">
    <w:name w:val="annotation reference"/>
    <w:basedOn w:val="DefaultParagraphFont"/>
    <w:semiHidden/>
    <w:unhideWhenUsed/>
    <w:rsid w:val="00D471AD"/>
    <w:rPr>
      <w:sz w:val="16"/>
      <w:szCs w:val="16"/>
    </w:rPr>
  </w:style>
  <w:style w:type="paragraph" w:styleId="CommentText">
    <w:name w:val="annotation text"/>
    <w:basedOn w:val="Normal"/>
    <w:link w:val="CommentTextChar"/>
    <w:semiHidden/>
    <w:unhideWhenUsed/>
    <w:rsid w:val="00D471AD"/>
    <w:rPr>
      <w:szCs w:val="20"/>
    </w:rPr>
  </w:style>
  <w:style w:type="character" w:customStyle="1" w:styleId="CommentTextChar">
    <w:name w:val="Comment Text Char"/>
    <w:basedOn w:val="DefaultParagraphFont"/>
    <w:link w:val="CommentText"/>
    <w:semiHidden/>
    <w:rsid w:val="00D471AD"/>
    <w:rPr>
      <w:rFonts w:ascii="Arial" w:hAnsi="Arial"/>
      <w:color w:val="595A5B"/>
      <w:szCs w:val="20"/>
    </w:rPr>
  </w:style>
  <w:style w:type="paragraph" w:styleId="CommentSubject">
    <w:name w:val="annotation subject"/>
    <w:basedOn w:val="CommentText"/>
    <w:next w:val="CommentText"/>
    <w:link w:val="CommentSubjectChar"/>
    <w:semiHidden/>
    <w:unhideWhenUsed/>
    <w:rsid w:val="00D471AD"/>
    <w:rPr>
      <w:b/>
      <w:bCs/>
    </w:rPr>
  </w:style>
  <w:style w:type="character" w:customStyle="1" w:styleId="CommentSubjectChar">
    <w:name w:val="Comment Subject Char"/>
    <w:basedOn w:val="CommentTextChar"/>
    <w:link w:val="CommentSubject"/>
    <w:semiHidden/>
    <w:rsid w:val="00D471AD"/>
    <w:rPr>
      <w:rFonts w:ascii="Arial" w:hAnsi="Arial"/>
      <w:b/>
      <w:bCs/>
      <w:color w:val="595A5B"/>
      <w:szCs w:val="20"/>
    </w:rPr>
  </w:style>
  <w:style w:type="paragraph" w:customStyle="1" w:styleId="Footnote">
    <w:name w:val="Footnote"/>
    <w:basedOn w:val="Normal"/>
    <w:link w:val="FootnoteChar"/>
    <w:autoRedefine/>
    <w:qFormat/>
    <w:rsid w:val="00D471AD"/>
    <w:rPr>
      <w:rFonts w:ascii="Calibri" w:eastAsiaTheme="majorEastAsia" w:hAnsi="Calibri" w:cstheme="minorHAnsi"/>
      <w:color w:val="000000"/>
      <w:sz w:val="18"/>
      <w:szCs w:val="18"/>
      <w:lang w:eastAsia="en-AU"/>
    </w:rPr>
  </w:style>
  <w:style w:type="character" w:customStyle="1" w:styleId="FootnoteChar">
    <w:name w:val="Footnote Char"/>
    <w:link w:val="Footnote"/>
    <w:rsid w:val="00D471AD"/>
    <w:rPr>
      <w:rFonts w:ascii="Calibri" w:eastAsiaTheme="majorEastAsia" w:hAnsi="Calibri" w:cstheme="minorHAnsi"/>
      <w:color w:val="000000"/>
      <w:sz w:val="18"/>
      <w:szCs w:val="18"/>
      <w:lang w:eastAsia="en-AU"/>
    </w:rPr>
  </w:style>
  <w:style w:type="paragraph" w:styleId="Revision">
    <w:name w:val="Revision"/>
    <w:hidden/>
    <w:uiPriority w:val="99"/>
    <w:semiHidden/>
    <w:rsid w:val="00D471AD"/>
    <w:pPr>
      <w:spacing w:after="0" w:line="240" w:lineRule="auto"/>
    </w:pPr>
    <w:rPr>
      <w:rFonts w:ascii="Arial" w:hAnsi="Arial"/>
      <w:color w:val="595A5B"/>
      <w:sz w:val="20"/>
    </w:rPr>
  </w:style>
  <w:style w:type="character" w:styleId="Strong">
    <w:name w:val="Strong"/>
    <w:basedOn w:val="DefaultParagraphFont"/>
    <w:uiPriority w:val="22"/>
    <w:qFormat/>
    <w:rsid w:val="00D471AD"/>
    <w:rPr>
      <w:b/>
      <w:bCs/>
    </w:rPr>
  </w:style>
  <w:style w:type="paragraph" w:styleId="TableofFigures">
    <w:name w:val="table of figures"/>
    <w:basedOn w:val="Normal"/>
    <w:next w:val="Normal"/>
    <w:uiPriority w:val="99"/>
    <w:unhideWhenUsed/>
    <w:rsid w:val="00D471AD"/>
  </w:style>
  <w:style w:type="paragraph" w:customStyle="1" w:styleId="TitleHeading">
    <w:name w:val="Title Heading"/>
    <w:link w:val="TitleHeadingChar"/>
    <w:qFormat/>
    <w:rsid w:val="00D471AD"/>
    <w:pPr>
      <w:spacing w:before="600" w:after="600" w:line="240" w:lineRule="auto"/>
      <w:ind w:right="57"/>
    </w:pPr>
    <w:rPr>
      <w:rFonts w:ascii="Arial" w:eastAsia="Times New Roman" w:hAnsi="Arial" w:cs="Times New Roman"/>
      <w:color w:val="22789A"/>
      <w:kern w:val="32"/>
      <w:sz w:val="72"/>
      <w:szCs w:val="20"/>
    </w:rPr>
  </w:style>
  <w:style w:type="character" w:customStyle="1" w:styleId="TitleHeadingChar">
    <w:name w:val="Title Heading Char"/>
    <w:basedOn w:val="Heading2Char"/>
    <w:link w:val="TitleHeading"/>
    <w:rsid w:val="00D471AD"/>
    <w:rPr>
      <w:rFonts w:ascii="Arial" w:eastAsia="Times New Roman" w:hAnsi="Arial" w:cs="Times New Roman"/>
      <w:iCs w:val="0"/>
      <w:color w:val="22789A"/>
      <w:kern w:val="32"/>
      <w:sz w:val="72"/>
      <w:szCs w:val="20"/>
    </w:rPr>
  </w:style>
  <w:style w:type="character" w:styleId="FollowedHyperlink">
    <w:name w:val="FollowedHyperlink"/>
    <w:basedOn w:val="DefaultParagraphFont"/>
    <w:uiPriority w:val="19"/>
    <w:semiHidden/>
    <w:unhideWhenUsed/>
    <w:rsid w:val="00D471AD"/>
    <w:rPr>
      <w:color w:val="954F72" w:themeColor="followedHyperlink"/>
      <w:u w:val="single"/>
    </w:rPr>
  </w:style>
  <w:style w:type="character" w:customStyle="1" w:styleId="tgc">
    <w:name w:val="_tgc"/>
    <w:basedOn w:val="DefaultParagraphFont"/>
    <w:rsid w:val="00D471AD"/>
  </w:style>
  <w:style w:type="paragraph" w:customStyle="1" w:styleId="FACSheading">
    <w:name w:val="FA/CS heading"/>
    <w:basedOn w:val="Heading"/>
    <w:link w:val="FACSheadingChar"/>
    <w:qFormat/>
    <w:rsid w:val="00D471AD"/>
    <w:pPr>
      <w:outlineLvl w:val="1"/>
    </w:pPr>
    <w:rPr>
      <w:lang w:val="en-GB"/>
    </w:rPr>
  </w:style>
  <w:style w:type="character" w:customStyle="1" w:styleId="HeadingChar">
    <w:name w:val="Heading Char"/>
    <w:basedOn w:val="BodyTextChar"/>
    <w:link w:val="Heading"/>
    <w:rsid w:val="00D471AD"/>
    <w:rPr>
      <w:rFonts w:asciiTheme="majorHAnsi" w:hAnsiTheme="majorHAnsi" w:cstheme="majorHAnsi"/>
      <w:color w:val="595A5B"/>
      <w:sz w:val="32"/>
      <w:szCs w:val="32"/>
    </w:rPr>
  </w:style>
  <w:style w:type="character" w:customStyle="1" w:styleId="FACSheadingChar">
    <w:name w:val="FA/CS heading Char"/>
    <w:basedOn w:val="HeadingChar"/>
    <w:link w:val="FACSheading"/>
    <w:rsid w:val="00D471AD"/>
    <w:rPr>
      <w:rFonts w:asciiTheme="majorHAnsi" w:hAnsiTheme="majorHAnsi" w:cstheme="majorHAnsi"/>
      <w:color w:val="595A5B"/>
      <w:sz w:val="32"/>
      <w:szCs w:val="32"/>
      <w:lang w:val="en-GB"/>
    </w:rPr>
  </w:style>
  <w:style w:type="paragraph" w:customStyle="1" w:styleId="citationheading">
    <w:name w:val="citation heading"/>
    <w:basedOn w:val="BodyText"/>
    <w:link w:val="citationheadingChar"/>
    <w:qFormat/>
    <w:rsid w:val="00D471AD"/>
    <w:pPr>
      <w:keepNext/>
    </w:pPr>
    <w:rPr>
      <w:b/>
      <w:sz w:val="16"/>
    </w:rPr>
  </w:style>
  <w:style w:type="character" w:customStyle="1" w:styleId="citationheadingChar">
    <w:name w:val="citation heading Char"/>
    <w:basedOn w:val="BodyTextChar"/>
    <w:link w:val="citationheading"/>
    <w:rsid w:val="00D471AD"/>
    <w:rPr>
      <w:rFonts w:ascii="Arial" w:hAnsi="Arial"/>
      <w:b/>
      <w:color w:val="595A5B"/>
      <w:sz w:val="16"/>
    </w:rPr>
  </w:style>
  <w:style w:type="paragraph" w:customStyle="1" w:styleId="Glossary">
    <w:name w:val="Glossary"/>
    <w:basedOn w:val="UnnumberedHeading"/>
    <w:link w:val="GlossaryChar"/>
    <w:qFormat/>
    <w:rsid w:val="00D471AD"/>
    <w:rPr>
      <w:lang w:val="en-GB"/>
    </w:rPr>
  </w:style>
  <w:style w:type="character" w:customStyle="1" w:styleId="GlossaryChar">
    <w:name w:val="Glossary Char"/>
    <w:basedOn w:val="UnnumberedHeadingChar"/>
    <w:link w:val="Glossary"/>
    <w:rsid w:val="00D471AD"/>
    <w:rPr>
      <w:rFonts w:ascii="Arial" w:eastAsia="Times New Roman" w:hAnsi="Arial" w:cs="Times New Roman"/>
      <w:b/>
      <w:bCs w:val="0"/>
      <w:color w:val="22789A"/>
      <w:kern w:val="32"/>
      <w:sz w:val="32"/>
      <w:szCs w:val="20"/>
      <w:lang w:val="en-GB"/>
    </w:rPr>
  </w:style>
  <w:style w:type="paragraph" w:customStyle="1" w:styleId="glossaryheading">
    <w:name w:val="glossary_heading"/>
    <w:basedOn w:val="BodyText"/>
    <w:link w:val="glossaryheadingChar"/>
    <w:qFormat/>
    <w:rsid w:val="00D471AD"/>
    <w:pPr>
      <w:keepNext/>
    </w:pPr>
    <w:rPr>
      <w:b/>
      <w:lang w:val="en-GB"/>
    </w:rPr>
  </w:style>
  <w:style w:type="character" w:customStyle="1" w:styleId="glossaryheadingChar">
    <w:name w:val="glossary_heading Char"/>
    <w:basedOn w:val="BodyTextChar"/>
    <w:link w:val="glossaryheading"/>
    <w:rsid w:val="00D471AD"/>
    <w:rPr>
      <w:rFonts w:ascii="Arial" w:hAnsi="Arial"/>
      <w:b/>
      <w:color w:val="595A5B"/>
      <w:sz w:val="20"/>
      <w:lang w:val="en-GB"/>
    </w:rPr>
  </w:style>
  <w:style w:type="paragraph" w:customStyle="1" w:styleId="heading3new">
    <w:name w:val="heading3_new"/>
    <w:basedOn w:val="Heading3"/>
    <w:link w:val="heading3newChar"/>
    <w:qFormat/>
    <w:rsid w:val="00D471AD"/>
    <w:pPr>
      <w:spacing w:before="240"/>
    </w:pPr>
    <w:rPr>
      <w:i/>
    </w:rPr>
  </w:style>
  <w:style w:type="character" w:customStyle="1" w:styleId="heading3newChar">
    <w:name w:val="heading3_new Char"/>
    <w:basedOn w:val="Heading3Char"/>
    <w:link w:val="heading3new"/>
    <w:rsid w:val="00D471AD"/>
    <w:rPr>
      <w:rFonts w:asciiTheme="majorHAnsi" w:eastAsia="Times New Roman" w:hAnsiTheme="majorHAnsi" w:cs="Arial"/>
      <w:bCs/>
      <w:i/>
      <w:color w:val="595A5B"/>
    </w:rPr>
  </w:style>
  <w:style w:type="paragraph" w:customStyle="1" w:styleId="TableParagraph">
    <w:name w:val="Table Paragraph"/>
    <w:basedOn w:val="Normal"/>
    <w:uiPriority w:val="1"/>
    <w:qFormat/>
    <w:rsid w:val="00D471AD"/>
    <w:pPr>
      <w:widowControl w:val="0"/>
      <w:spacing w:after="0" w:line="240" w:lineRule="auto"/>
    </w:pPr>
    <w:rPr>
      <w:rFonts w:asciiTheme="minorHAnsi" w:hAnsiTheme="minorHAnsi"/>
      <w:color w:val="auto"/>
      <w:lang w:val="en-US"/>
    </w:rPr>
  </w:style>
  <w:style w:type="paragraph" w:styleId="NoSpacing">
    <w:name w:val="No Spacing"/>
    <w:uiPriority w:val="1"/>
    <w:qFormat/>
    <w:rsid w:val="00D471AD"/>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oecd.org/innovation/inno/inno-stats.htm" TargetMode="External"/><Relationship Id="rId21" Type="http://schemas.openxmlformats.org/officeDocument/2006/relationships/footer" Target="footer4.xml"/><Relationship Id="rId42" Type="http://schemas.openxmlformats.org/officeDocument/2006/relationships/header" Target="header14.xml"/><Relationship Id="rId63" Type="http://schemas.openxmlformats.org/officeDocument/2006/relationships/image" Target="media/image17.png"/><Relationship Id="rId84" Type="http://schemas.openxmlformats.org/officeDocument/2006/relationships/image" Target="media/image28.png"/><Relationship Id="rId138" Type="http://schemas.openxmlformats.org/officeDocument/2006/relationships/image" Target="media/image49.png"/><Relationship Id="rId159" Type="http://schemas.openxmlformats.org/officeDocument/2006/relationships/image" Target="media/image60.png"/><Relationship Id="rId170" Type="http://schemas.openxmlformats.org/officeDocument/2006/relationships/image" Target="media/image66.png"/><Relationship Id="rId191" Type="http://schemas.openxmlformats.org/officeDocument/2006/relationships/header" Target="header41.xml"/><Relationship Id="rId196" Type="http://schemas.openxmlformats.org/officeDocument/2006/relationships/header" Target="header43.xml"/><Relationship Id="rId200" Type="http://schemas.openxmlformats.org/officeDocument/2006/relationships/header" Target="header45.xml"/><Relationship Id="rId16" Type="http://schemas.openxmlformats.org/officeDocument/2006/relationships/footer" Target="footer3.xml"/><Relationship Id="rId107" Type="http://schemas.openxmlformats.org/officeDocument/2006/relationships/hyperlink" Target="http://www.oecd.org/innovation/inno/inno-stats.htm" TargetMode="External"/><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header" Target="header11.xml"/><Relationship Id="rId53" Type="http://schemas.openxmlformats.org/officeDocument/2006/relationships/hyperlink" Target="http://www.industry.gov.au/innovationreport" TargetMode="External"/><Relationship Id="rId58" Type="http://schemas.openxmlformats.org/officeDocument/2006/relationships/footer" Target="footer11.xml"/><Relationship Id="rId74" Type="http://schemas.openxmlformats.org/officeDocument/2006/relationships/footer" Target="footer13.xml"/><Relationship Id="rId79" Type="http://schemas.openxmlformats.org/officeDocument/2006/relationships/footer" Target="footer15.xml"/><Relationship Id="rId102" Type="http://schemas.openxmlformats.org/officeDocument/2006/relationships/footer" Target="footer20.xml"/><Relationship Id="rId123" Type="http://schemas.openxmlformats.org/officeDocument/2006/relationships/hyperlink" Target="http://www.industry.gov.au/innovationreport" TargetMode="External"/><Relationship Id="rId128" Type="http://schemas.openxmlformats.org/officeDocument/2006/relationships/image" Target="media/image41.png"/><Relationship Id="rId144" Type="http://schemas.openxmlformats.org/officeDocument/2006/relationships/image" Target="media/image52.png"/><Relationship Id="rId149" Type="http://schemas.openxmlformats.org/officeDocument/2006/relationships/footer" Target="footer23.xml"/><Relationship Id="rId5" Type="http://schemas.openxmlformats.org/officeDocument/2006/relationships/numbering" Target="numbering.xml"/><Relationship Id="rId90" Type="http://schemas.openxmlformats.org/officeDocument/2006/relationships/footer" Target="footer17.xml"/><Relationship Id="rId95" Type="http://schemas.openxmlformats.org/officeDocument/2006/relationships/header" Target="header28.xml"/><Relationship Id="rId160" Type="http://schemas.openxmlformats.org/officeDocument/2006/relationships/image" Target="media/image61.png"/><Relationship Id="rId165" Type="http://schemas.openxmlformats.org/officeDocument/2006/relationships/hyperlink" Target="http://www.industry.gov.au/innovationreport" TargetMode="External"/><Relationship Id="rId181" Type="http://schemas.openxmlformats.org/officeDocument/2006/relationships/image" Target="media/image68.jpeg"/><Relationship Id="rId186" Type="http://schemas.openxmlformats.org/officeDocument/2006/relationships/image" Target="media/image72.png"/><Relationship Id="rId22" Type="http://schemas.openxmlformats.org/officeDocument/2006/relationships/header" Target="header6.xml"/><Relationship Id="rId27" Type="http://schemas.openxmlformats.org/officeDocument/2006/relationships/image" Target="media/image6.jpeg"/><Relationship Id="rId43" Type="http://schemas.openxmlformats.org/officeDocument/2006/relationships/footer" Target="footer9.xml"/><Relationship Id="rId48" Type="http://schemas.openxmlformats.org/officeDocument/2006/relationships/image" Target="media/image11.png"/><Relationship Id="rId64" Type="http://schemas.openxmlformats.org/officeDocument/2006/relationships/image" Target="media/image18.png"/><Relationship Id="rId69" Type="http://schemas.openxmlformats.org/officeDocument/2006/relationships/image" Target="media/image23.png"/><Relationship Id="rId113" Type="http://schemas.openxmlformats.org/officeDocument/2006/relationships/hyperlink" Target="http://www.oecd.org/innovation/inno/inno-stats.htm" TargetMode="External"/><Relationship Id="rId118" Type="http://schemas.openxmlformats.org/officeDocument/2006/relationships/image" Target="media/image39.png"/><Relationship Id="rId134" Type="http://schemas.openxmlformats.org/officeDocument/2006/relationships/image" Target="media/image45.png"/><Relationship Id="rId139" Type="http://schemas.openxmlformats.org/officeDocument/2006/relationships/hyperlink" Target="http://www.industry.gov.au/Office-of-the-Chief-Economist/Publications/Pages/Australian-Innovation-System.aspx" TargetMode="External"/><Relationship Id="rId80" Type="http://schemas.openxmlformats.org/officeDocument/2006/relationships/image" Target="media/image24.png"/><Relationship Id="rId85" Type="http://schemas.openxmlformats.org/officeDocument/2006/relationships/hyperlink" Target="https://www.csiro.au/en/Do-business/Futures" TargetMode="External"/><Relationship Id="rId150" Type="http://schemas.openxmlformats.org/officeDocument/2006/relationships/header" Target="header39.xml"/><Relationship Id="rId155" Type="http://schemas.openxmlformats.org/officeDocument/2006/relationships/image" Target="media/image57.png"/><Relationship Id="rId171" Type="http://schemas.openxmlformats.org/officeDocument/2006/relationships/hyperlink" Target="http://www.industry.gov.au/innovationreport" TargetMode="External"/><Relationship Id="rId176" Type="http://schemas.openxmlformats.org/officeDocument/2006/relationships/hyperlink" Target="http://www.industry.gov.au/innovationreport" TargetMode="External"/><Relationship Id="rId192" Type="http://schemas.openxmlformats.org/officeDocument/2006/relationships/footer" Target="footer24.xml"/><Relationship Id="rId197" Type="http://schemas.openxmlformats.org/officeDocument/2006/relationships/header" Target="header44.xml"/><Relationship Id="rId201"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image" Target="media/image1.png"/><Relationship Id="rId33" Type="http://schemas.openxmlformats.org/officeDocument/2006/relationships/image" Target="media/image7.png"/><Relationship Id="rId38" Type="http://schemas.openxmlformats.org/officeDocument/2006/relationships/footer" Target="footer8.xml"/><Relationship Id="rId59" Type="http://schemas.openxmlformats.org/officeDocument/2006/relationships/image" Target="media/image14.png"/><Relationship Id="rId103" Type="http://schemas.openxmlformats.org/officeDocument/2006/relationships/header" Target="header33.xml"/><Relationship Id="rId108" Type="http://schemas.openxmlformats.org/officeDocument/2006/relationships/image" Target="media/image33.png"/><Relationship Id="rId124" Type="http://schemas.openxmlformats.org/officeDocument/2006/relationships/header" Target="header34.xml"/><Relationship Id="rId129" Type="http://schemas.openxmlformats.org/officeDocument/2006/relationships/hyperlink" Target="http://stats.oecd.org/" TargetMode="External"/><Relationship Id="rId54" Type="http://schemas.openxmlformats.org/officeDocument/2006/relationships/header" Target="header16.xml"/><Relationship Id="rId70" Type="http://schemas.openxmlformats.org/officeDocument/2006/relationships/header" Target="header19.xml"/><Relationship Id="rId75" Type="http://schemas.openxmlformats.org/officeDocument/2006/relationships/header" Target="header22.xml"/><Relationship Id="rId91" Type="http://schemas.openxmlformats.org/officeDocument/2006/relationships/image" Target="media/image29.png"/><Relationship Id="rId96" Type="http://schemas.openxmlformats.org/officeDocument/2006/relationships/header" Target="header29.xml"/><Relationship Id="rId140" Type="http://schemas.openxmlformats.org/officeDocument/2006/relationships/image" Target="media/image50.png"/><Relationship Id="rId145" Type="http://schemas.openxmlformats.org/officeDocument/2006/relationships/image" Target="media/image53.png"/><Relationship Id="rId161" Type="http://schemas.openxmlformats.org/officeDocument/2006/relationships/image" Target="media/image62.jpeg"/><Relationship Id="rId166" Type="http://schemas.openxmlformats.org/officeDocument/2006/relationships/image" Target="media/image63.png"/><Relationship Id="rId182" Type="http://schemas.openxmlformats.org/officeDocument/2006/relationships/image" Target="media/image69.jpg"/><Relationship Id="rId187" Type="http://schemas.openxmlformats.org/officeDocument/2006/relationships/hyperlink" Target="http://www.industry.gov.au/innovationreport"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footer" Target="footer6.xml"/><Relationship Id="rId49" Type="http://schemas.openxmlformats.org/officeDocument/2006/relationships/image" Target="media/image12.jpeg"/><Relationship Id="rId114" Type="http://schemas.openxmlformats.org/officeDocument/2006/relationships/image" Target="media/image37.png"/><Relationship Id="rId119" Type="http://schemas.openxmlformats.org/officeDocument/2006/relationships/hyperlink" Target="http://www.oecd.org/innovation/inno/inno-stats.htm" TargetMode="External"/><Relationship Id="rId44" Type="http://schemas.openxmlformats.org/officeDocument/2006/relationships/header" Target="header15.xml"/><Relationship Id="rId60" Type="http://schemas.openxmlformats.org/officeDocument/2006/relationships/image" Target="media/image15.jpeg"/><Relationship Id="rId65" Type="http://schemas.openxmlformats.org/officeDocument/2006/relationships/image" Target="media/image19.png"/><Relationship Id="rId81" Type="http://schemas.openxmlformats.org/officeDocument/2006/relationships/image" Target="media/image25.png"/><Relationship Id="rId86" Type="http://schemas.openxmlformats.org/officeDocument/2006/relationships/header" Target="header25.xml"/><Relationship Id="rId130" Type="http://schemas.openxmlformats.org/officeDocument/2006/relationships/image" Target="media/image42.png"/><Relationship Id="rId135" Type="http://schemas.openxmlformats.org/officeDocument/2006/relationships/image" Target="media/image46.png"/><Relationship Id="rId151" Type="http://schemas.openxmlformats.org/officeDocument/2006/relationships/image" Target="media/image54.png"/><Relationship Id="rId156" Type="http://schemas.openxmlformats.org/officeDocument/2006/relationships/hyperlink" Target="http://www.oecd.org/innovation/inno/inno-stats.htm" TargetMode="External"/><Relationship Id="rId177" Type="http://schemas.openxmlformats.org/officeDocument/2006/relationships/hyperlink" Target="http://www.industry.gov.au/innovationreport" TargetMode="External"/><Relationship Id="rId198" Type="http://schemas.openxmlformats.org/officeDocument/2006/relationships/footer" Target="footer26.xml"/><Relationship Id="rId172" Type="http://schemas.openxmlformats.org/officeDocument/2006/relationships/hyperlink" Target="http://www.industry.gov.au/innovationreport" TargetMode="External"/><Relationship Id="rId193" Type="http://schemas.openxmlformats.org/officeDocument/2006/relationships/footer" Target="footer25.xml"/><Relationship Id="rId202"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eader" Target="header12.xml"/><Relationship Id="rId109" Type="http://schemas.openxmlformats.org/officeDocument/2006/relationships/image" Target="media/image34.png"/><Relationship Id="rId34" Type="http://schemas.openxmlformats.org/officeDocument/2006/relationships/image" Target="media/image8.png"/><Relationship Id="rId50" Type="http://schemas.openxmlformats.org/officeDocument/2006/relationships/image" Target="media/image13.jpeg"/><Relationship Id="rId55" Type="http://schemas.openxmlformats.org/officeDocument/2006/relationships/header" Target="header17.xml"/><Relationship Id="rId76" Type="http://schemas.openxmlformats.org/officeDocument/2006/relationships/header" Target="header23.xml"/><Relationship Id="rId97" Type="http://schemas.openxmlformats.org/officeDocument/2006/relationships/footer" Target="footer18.xml"/><Relationship Id="rId104" Type="http://schemas.openxmlformats.org/officeDocument/2006/relationships/footer" Target="footer21.xml"/><Relationship Id="rId120" Type="http://schemas.openxmlformats.org/officeDocument/2006/relationships/image" Target="media/image40.png"/><Relationship Id="rId125" Type="http://schemas.openxmlformats.org/officeDocument/2006/relationships/header" Target="header35.xml"/><Relationship Id="rId141" Type="http://schemas.openxmlformats.org/officeDocument/2006/relationships/hyperlink" Target="http://www.oecd.org/innovation/inno/inno-stats.htm" TargetMode="External"/><Relationship Id="rId146" Type="http://schemas.openxmlformats.org/officeDocument/2006/relationships/hyperlink" Target="http://www.industry.gov.au/innovationreport" TargetMode="External"/><Relationship Id="rId167" Type="http://schemas.openxmlformats.org/officeDocument/2006/relationships/hyperlink" Target="http://www.industry.gov.au/Office-of-the-Chief-Economist/Publications/Pages/Australian-Innovation-System.aspx" TargetMode="External"/><Relationship Id="rId188" Type="http://schemas.openxmlformats.org/officeDocument/2006/relationships/image" Target="media/image73.png"/><Relationship Id="rId7" Type="http://schemas.openxmlformats.org/officeDocument/2006/relationships/settings" Target="settings.xml"/><Relationship Id="rId71" Type="http://schemas.openxmlformats.org/officeDocument/2006/relationships/header" Target="header20.xml"/><Relationship Id="rId92" Type="http://schemas.openxmlformats.org/officeDocument/2006/relationships/hyperlink" Target="http://www.industry.gov.au/innovationreport" TargetMode="External"/><Relationship Id="rId162" Type="http://schemas.openxmlformats.org/officeDocument/2006/relationships/hyperlink" Target="http://www.industry.gov.au/innovationreport" TargetMode="External"/><Relationship Id="rId183" Type="http://schemas.openxmlformats.org/officeDocument/2006/relationships/image" Target="media/image70.png"/><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image" Target="media/image3.png"/><Relationship Id="rId40" Type="http://schemas.openxmlformats.org/officeDocument/2006/relationships/image" Target="media/image9.png"/><Relationship Id="rId45" Type="http://schemas.openxmlformats.org/officeDocument/2006/relationships/hyperlink" Target="http://www.oecd.org/innovation/inno/oslomanualguidelinesforcollectingandinterpretinginnovationdata3rdedition.htm" TargetMode="External"/><Relationship Id="rId66" Type="http://schemas.openxmlformats.org/officeDocument/2006/relationships/image" Target="media/image20.png"/><Relationship Id="rId87" Type="http://schemas.openxmlformats.org/officeDocument/2006/relationships/header" Target="header26.xml"/><Relationship Id="rId110" Type="http://schemas.openxmlformats.org/officeDocument/2006/relationships/hyperlink" Target="http://www.abs.gov.au/ausstats/abs@.nsf/mf/8158.0" TargetMode="External"/><Relationship Id="rId115" Type="http://schemas.openxmlformats.org/officeDocument/2006/relationships/hyperlink" Target="http://www.oecd.org/innovation/inno/inno-stats.htm" TargetMode="External"/><Relationship Id="rId131" Type="http://schemas.openxmlformats.org/officeDocument/2006/relationships/image" Target="media/image43.png"/><Relationship Id="rId136" Type="http://schemas.openxmlformats.org/officeDocument/2006/relationships/image" Target="media/image47.png"/><Relationship Id="rId157" Type="http://schemas.openxmlformats.org/officeDocument/2006/relationships/image" Target="media/image58.png"/><Relationship Id="rId178" Type="http://schemas.openxmlformats.org/officeDocument/2006/relationships/hyperlink" Target="http://www.industry.gov.au/innovationreport" TargetMode="External"/><Relationship Id="rId61" Type="http://schemas.openxmlformats.org/officeDocument/2006/relationships/image" Target="media/image16.png"/><Relationship Id="rId82" Type="http://schemas.openxmlformats.org/officeDocument/2006/relationships/image" Target="media/image26.png"/><Relationship Id="rId152" Type="http://schemas.openxmlformats.org/officeDocument/2006/relationships/image" Target="media/image55.png"/><Relationship Id="rId173" Type="http://schemas.openxmlformats.org/officeDocument/2006/relationships/hyperlink" Target="http://www.industry.gov.au/innovationreport" TargetMode="External"/><Relationship Id="rId194" Type="http://schemas.openxmlformats.org/officeDocument/2006/relationships/header" Target="header42.xml"/><Relationship Id="rId199" Type="http://schemas.openxmlformats.org/officeDocument/2006/relationships/footer" Target="footer27.xml"/><Relationship Id="rId19" Type="http://schemas.openxmlformats.org/officeDocument/2006/relationships/header" Target="header4.xml"/><Relationship Id="rId14" Type="http://schemas.openxmlformats.org/officeDocument/2006/relationships/footer" Target="footer2.xml"/><Relationship Id="rId30" Type="http://schemas.openxmlformats.org/officeDocument/2006/relationships/header" Target="header8.xml"/><Relationship Id="rId35" Type="http://schemas.openxmlformats.org/officeDocument/2006/relationships/hyperlink" Target="http://www.industry.gov.au/innovationreport" TargetMode="External"/><Relationship Id="rId56" Type="http://schemas.openxmlformats.org/officeDocument/2006/relationships/footer" Target="footer10.xml"/><Relationship Id="rId77" Type="http://schemas.openxmlformats.org/officeDocument/2006/relationships/footer" Target="footer14.xml"/><Relationship Id="rId100" Type="http://schemas.openxmlformats.org/officeDocument/2006/relationships/header" Target="header31.xml"/><Relationship Id="rId105" Type="http://schemas.openxmlformats.org/officeDocument/2006/relationships/image" Target="media/image31.png"/><Relationship Id="rId126" Type="http://schemas.openxmlformats.org/officeDocument/2006/relationships/footer" Target="footer22.xml"/><Relationship Id="rId147" Type="http://schemas.openxmlformats.org/officeDocument/2006/relationships/header" Target="header37.xml"/><Relationship Id="rId168"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hyperlink" Target="https://thespacecairns.com/" TargetMode="External"/><Relationship Id="rId72" Type="http://schemas.openxmlformats.org/officeDocument/2006/relationships/footer" Target="footer12.xml"/><Relationship Id="rId93" Type="http://schemas.openxmlformats.org/officeDocument/2006/relationships/image" Target="media/image30.png"/><Relationship Id="rId98" Type="http://schemas.openxmlformats.org/officeDocument/2006/relationships/header" Target="header30.xml"/><Relationship Id="rId121" Type="http://schemas.openxmlformats.org/officeDocument/2006/relationships/hyperlink" Target="http://www.oecd.org/innovation/inno/inno-stats.htm" TargetMode="External"/><Relationship Id="rId142" Type="http://schemas.openxmlformats.org/officeDocument/2006/relationships/image" Target="media/image51.png"/><Relationship Id="rId163" Type="http://schemas.openxmlformats.org/officeDocument/2006/relationships/hyperlink" Target="http://www.industry.gov.au/innovationreport" TargetMode="External"/><Relationship Id="rId184" Type="http://schemas.openxmlformats.org/officeDocument/2006/relationships/image" Target="media/image71.png"/><Relationship Id="rId189" Type="http://schemas.openxmlformats.org/officeDocument/2006/relationships/image" Target="media/image74.png"/><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hyperlink" Target="http://www.utas.edu.au/australian-innovation-research-centre/research/business-sector-innovation/innovation-impacts" TargetMode="External"/><Relationship Id="rId67" Type="http://schemas.openxmlformats.org/officeDocument/2006/relationships/image" Target="media/image21.png"/><Relationship Id="rId116" Type="http://schemas.openxmlformats.org/officeDocument/2006/relationships/image" Target="media/image38.png"/><Relationship Id="rId137" Type="http://schemas.openxmlformats.org/officeDocument/2006/relationships/image" Target="media/image48.png"/><Relationship Id="rId158" Type="http://schemas.openxmlformats.org/officeDocument/2006/relationships/image" Target="media/image59.png"/><Relationship Id="rId20" Type="http://schemas.openxmlformats.org/officeDocument/2006/relationships/header" Target="header5.xml"/><Relationship Id="rId41" Type="http://schemas.openxmlformats.org/officeDocument/2006/relationships/header" Target="header13.xml"/><Relationship Id="rId62" Type="http://schemas.openxmlformats.org/officeDocument/2006/relationships/hyperlink" Target="http://www.abs.gov.au/ausstats/abs@.nsf/Lookup/40F31FE6397B8AA3CA257BDD001163AC?opendocument" TargetMode="External"/><Relationship Id="rId83" Type="http://schemas.openxmlformats.org/officeDocument/2006/relationships/image" Target="media/image27.jpeg"/><Relationship Id="rId88" Type="http://schemas.openxmlformats.org/officeDocument/2006/relationships/footer" Target="footer16.xml"/><Relationship Id="rId111" Type="http://schemas.openxmlformats.org/officeDocument/2006/relationships/image" Target="media/image35.png"/><Relationship Id="rId132" Type="http://schemas.openxmlformats.org/officeDocument/2006/relationships/image" Target="media/image44.png"/><Relationship Id="rId153" Type="http://schemas.openxmlformats.org/officeDocument/2006/relationships/image" Target="media/image56.png"/><Relationship Id="rId174" Type="http://schemas.openxmlformats.org/officeDocument/2006/relationships/hyperlink" Target="http://www.industry.gov.au/innovationreport" TargetMode="External"/><Relationship Id="rId179" Type="http://schemas.openxmlformats.org/officeDocument/2006/relationships/hyperlink" Target="http://www.industry.gov.au/innovationreport" TargetMode="External"/><Relationship Id="rId195" Type="http://schemas.openxmlformats.org/officeDocument/2006/relationships/hyperlink" Target="http://www.industry.gov.au/Office-of-the-Chief-Economist/Data/Pages/Business-Longitudinal-Analytical-Data-Environment.aspxhttp:/www.industry.gov.au/Office-of-the-Chief-Economist/Data/Pages/Business-Longitudinal-Analytical-Data-Environment.aspx" TargetMode="External"/><Relationship Id="rId190" Type="http://schemas.openxmlformats.org/officeDocument/2006/relationships/header" Target="header40.xml"/><Relationship Id="rId15" Type="http://schemas.openxmlformats.org/officeDocument/2006/relationships/header" Target="header3.xml"/><Relationship Id="rId36" Type="http://schemas.openxmlformats.org/officeDocument/2006/relationships/header" Target="header10.xml"/><Relationship Id="rId57" Type="http://schemas.openxmlformats.org/officeDocument/2006/relationships/header" Target="header18.xml"/><Relationship Id="rId106" Type="http://schemas.openxmlformats.org/officeDocument/2006/relationships/image" Target="media/image32.png"/><Relationship Id="rId127" Type="http://schemas.openxmlformats.org/officeDocument/2006/relationships/header" Target="header36.xml"/><Relationship Id="rId10" Type="http://schemas.openxmlformats.org/officeDocument/2006/relationships/endnotes" Target="endnotes.xml"/><Relationship Id="rId31" Type="http://schemas.openxmlformats.org/officeDocument/2006/relationships/footer" Target="footer7.xml"/><Relationship Id="rId52" Type="http://schemas.openxmlformats.org/officeDocument/2006/relationships/hyperlink" Target="http://www.industry.gov.au/innovationreport" TargetMode="External"/><Relationship Id="rId73" Type="http://schemas.openxmlformats.org/officeDocument/2006/relationships/header" Target="header21.xml"/><Relationship Id="rId78" Type="http://schemas.openxmlformats.org/officeDocument/2006/relationships/header" Target="header24.xml"/><Relationship Id="rId94" Type="http://schemas.openxmlformats.org/officeDocument/2006/relationships/hyperlink" Target="http://www.oecd.org/innovation/inno/inno-stats.htm" TargetMode="External"/><Relationship Id="rId99" Type="http://schemas.openxmlformats.org/officeDocument/2006/relationships/footer" Target="footer19.xml"/><Relationship Id="rId101" Type="http://schemas.openxmlformats.org/officeDocument/2006/relationships/header" Target="header32.xml"/><Relationship Id="rId122" Type="http://schemas.openxmlformats.org/officeDocument/2006/relationships/hyperlink" Target="http://www.industry.gov.au/innovationreport" TargetMode="External"/><Relationship Id="rId143" Type="http://schemas.openxmlformats.org/officeDocument/2006/relationships/hyperlink" Target="http://www.industry.gov.au/innovationreport" TargetMode="External"/><Relationship Id="rId148" Type="http://schemas.openxmlformats.org/officeDocument/2006/relationships/header" Target="header38.xml"/><Relationship Id="rId164" Type="http://schemas.openxmlformats.org/officeDocument/2006/relationships/hyperlink" Target="http://www.industry.gov.au/innovationreport" TargetMode="External"/><Relationship Id="rId169" Type="http://schemas.openxmlformats.org/officeDocument/2006/relationships/image" Target="media/image65.png"/><Relationship Id="rId185" Type="http://schemas.openxmlformats.org/officeDocument/2006/relationships/hyperlink" Target="http://www.oecd.org/innovation/inno/inno-stats.htm"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industry.gov.au/innovationreport" TargetMode="External"/><Relationship Id="rId26" Type="http://schemas.openxmlformats.org/officeDocument/2006/relationships/image" Target="media/image5.jpeg"/><Relationship Id="rId47" Type="http://schemas.openxmlformats.org/officeDocument/2006/relationships/image" Target="media/image10.png"/><Relationship Id="rId68" Type="http://schemas.openxmlformats.org/officeDocument/2006/relationships/image" Target="media/image22.png"/><Relationship Id="rId89" Type="http://schemas.openxmlformats.org/officeDocument/2006/relationships/header" Target="header27.xml"/><Relationship Id="rId112" Type="http://schemas.openxmlformats.org/officeDocument/2006/relationships/image" Target="media/image36.png"/><Relationship Id="rId133" Type="http://schemas.openxmlformats.org/officeDocument/2006/relationships/hyperlink" Target="http://www.industry.gov.au/Office-of-the-Chief-Economist/Publications/Pages/Nat-Innovation-Map.aspx" TargetMode="External"/><Relationship Id="rId154" Type="http://schemas.openxmlformats.org/officeDocument/2006/relationships/hyperlink" Target="http://www.oecd.org/innovation/inno/inno-stats.htm" TargetMode="External"/><Relationship Id="rId175" Type="http://schemas.openxmlformats.org/officeDocument/2006/relationships/image" Target="media/image67.png"/></Relationships>
</file>

<file path=word/_rels/endnotes.xml.rels><?xml version="1.0" encoding="UTF-8" standalone="yes"?>
<Relationships xmlns="http://schemas.openxmlformats.org/package/2006/relationships"><Relationship Id="rId8" Type="http://schemas.openxmlformats.org/officeDocument/2006/relationships/hyperlink" Target="https://www.csiro.au/en/Do-business/Futures" TargetMode="External"/><Relationship Id="rId13" Type="http://schemas.openxmlformats.org/officeDocument/2006/relationships/hyperlink" Target="http://www.industry.gov.au/innovation/NSRC/Pages/default.aspx" TargetMode="External"/><Relationship Id="rId18" Type="http://schemas.openxmlformats.org/officeDocument/2006/relationships/hyperlink" Target="http://www.canberratimes.com.au/national/education/investment-in-research-driving-improvements-in-australian-universities-global-rankings-20160902-gr7hbd.html" TargetMode="External"/><Relationship Id="rId3" Type="http://schemas.openxmlformats.org/officeDocument/2006/relationships/hyperlink" Target="http://www.utas.edu.au/australian-innovation-research-centre/research/business-sector-innovation/innovation-impacts" TargetMode="External"/><Relationship Id="rId7" Type="http://schemas.openxmlformats.org/officeDocument/2006/relationships/hyperlink" Target="http://www.conference-board.org/data/economydatabase/" TargetMode="External"/><Relationship Id="rId12" Type="http://schemas.openxmlformats.org/officeDocument/2006/relationships/hyperlink" Target="http://www.microsoft.com/enterprise/en-au/business-leaders/joined-up-innovation/default.aspx" TargetMode="External"/><Relationship Id="rId17" Type="http://schemas.openxmlformats.org/officeDocument/2006/relationships/hyperlink" Target="http://www.industry.gov.au/Office-of-the-Chief-Economist/Publications/Pages/Australian-Innovation-System.aspx" TargetMode="External"/><Relationship Id="rId2" Type="http://schemas.openxmlformats.org/officeDocument/2006/relationships/hyperlink" Target="http://www.oecd.org/innovation/inno/oslomanualguidelinesforcollectingandinterpretinginnovationdata3rdedition.htm" TargetMode="External"/><Relationship Id="rId16" Type="http://schemas.openxmlformats.org/officeDocument/2006/relationships/hyperlink" Target="http://www.sciencedirect.com/science/article/pii/S0304405X1400186X" TargetMode="External"/><Relationship Id="rId20" Type="http://schemas.openxmlformats.org/officeDocument/2006/relationships/hyperlink" Target="http://www.industry.gov.au/Office-ofthe-Chief-Economist/Data/Pages/Business-Longitudinal-Analytical-Data-Environment.aspx" TargetMode="External"/><Relationship Id="rId1" Type="http://schemas.openxmlformats.org/officeDocument/2006/relationships/hyperlink" Target="http://www.industry.gov.au/innovationreport" TargetMode="External"/><Relationship Id="rId6" Type="http://schemas.openxmlformats.org/officeDocument/2006/relationships/hyperlink" Target="http://www.abs.gov.au/ausstats/abs@.nsf/Lookup/40F31FE6397B8AA3CA257BDD001163AC?opendocument" TargetMode="External"/><Relationship Id="rId11" Type="http://schemas.openxmlformats.org/officeDocument/2006/relationships/hyperlink" Target="http://www.acola.org.au/" TargetMode="External"/><Relationship Id="rId5" Type="http://schemas.openxmlformats.org/officeDocument/2006/relationships/hyperlink" Target="http://ideas.repec.org/s/tik/inowpp.html" TargetMode="External"/><Relationship Id="rId15" Type="http://schemas.openxmlformats.org/officeDocument/2006/relationships/hyperlink" Target="http://www.sciencedirect.com/science/article/pii/S0304405X1400186X" TargetMode="External"/><Relationship Id="rId10" Type="http://schemas.openxmlformats.org/officeDocument/2006/relationships/hyperlink" Target="http://www.industry.gov.au/Office-of-the-Chief-Economist/Publications/Pages/Nat-Innovation-Map.aspx" TargetMode="External"/><Relationship Id="rId19" Type="http://schemas.openxmlformats.org/officeDocument/2006/relationships/hyperlink" Target="http://www.innovation.gov.au/" TargetMode="External"/><Relationship Id="rId4" Type="http://schemas.openxmlformats.org/officeDocument/2006/relationships/hyperlink" Target="https://thespacecairns.com/" TargetMode="External"/><Relationship Id="rId9" Type="http://schemas.openxmlformats.org/officeDocument/2006/relationships/hyperlink" Target="http://www.abs.gov.au/ausstats/abs@.nsf/mf/8158.0" TargetMode="External"/><Relationship Id="rId14" Type="http://schemas.openxmlformats.org/officeDocument/2006/relationships/hyperlink" Target="http://www.sciencedirect.com/science/article/pii/S0304405X1400186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Hub_WebsiteIssueDate xmlns="75e01f56-7b81-4514-8994-c80bb4ec94fc">2016</DocHub_WebsiteIssueDate>
    <TaxCatchAll xmlns="46486fd5-fff8-4cbe-a2d1-89ce7ea547a7">
      <Value>4770</Value>
      <Value>4</Value>
      <Value>4734</Value>
      <Value>268</Value>
      <Value>3530</Value>
    </TaxCatchAll>
    <DocHub_PublicationTitle xmlns="75e01f56-7b81-4514-8994-c80bb4ec94fc">Australian Innovation System Report 2016</DocHub_PublicationTitle>
    <DocHub_PublicationAuthor xmlns="75e01f56-7b81-4514-8994-c80bb4ec94fc">Office of the Chief Economist</DocHub_PublicationAuthor>
    <hdfa92d1675e46419b654c4efda201b9 xmlns="75e01f56-7b81-4514-8994-c80bb4ec94fc">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18bde1b5-d207-4942-98f9-f7ac02e527aa</TermId>
        </TermInfo>
      </Terms>
    </hdfa92d1675e46419b654c4efda201b9>
    <g7cee4c3f49f4a8d957fe196d6fcc5b5 xmlns="75e01f56-7b81-4514-8994-c80bb4ec94fc">
      <Terms xmlns="http://schemas.microsoft.com/office/infopath/2007/PartnerControls">
        <TermInfo xmlns="http://schemas.microsoft.com/office/infopath/2007/PartnerControls">
          <TermName>Department of Industry Innovation and Science</TermName>
          <TermId>fcd9ccf7-3614-4424-9c6f-b3b49955e5c6</TermId>
        </TermInfo>
      </Terms>
    </g7cee4c3f49f4a8d957fe196d6fcc5b5>
    <ee23fa02dacc44db816d6e8ce7bfd6dc xmlns="75e01f56-7b81-4514-8994-c80bb4ec94fc">
      <Terms xmlns="http://schemas.microsoft.com/office/infopath/2007/PartnerControls">
        <TermInfo xmlns="http://schemas.microsoft.com/office/infopath/2007/PartnerControls">
          <TermName>In Progress</TermName>
          <TermId>db2ac85e-b2c3-4edd-8570-de1d20faf8fa</TermId>
        </TermInfo>
      </Terms>
    </ee23fa02dacc44db816d6e8ce7bfd6dc>
    <DocHub_PublicationSummaryDescription xmlns="75e01f56-7b81-4514-8994-c80bb4ec94fc">The 2016 Australian Innovation System Report presents new indicators that measure and analyse the impact of innovation. </DocHub_PublicationSummaryDescription>
    <DocHub_PublicationSummary xmlns="75e01f56-7b81-4514-8994-c80bb4ec94fc">The innovation system plays an important role in the long-term economic growth of a country. The 2016 Australian Innovation System Report presents new indicators that measure and analyse the impact of innovation. The report focuses on networks and framework conditions. It also provides a historical record of the measures and comparisons across the OECD countries. 
The Updating investment estimates for Australia’s organisational capital research paper underpins the 2016 report.</DocHub_PublicationSummary>
    <h8e99a0c12aa4e81b80c09bac6838a5b xmlns="75e01f56-7b81-4514-8994-c80bb4ec94fc">
      <Terms xmlns="http://schemas.microsoft.com/office/infopath/2007/PartnerControls"/>
    </h8e99a0c12aa4e81b80c09bac6838a5b>
    <DocHub_LANDESK_Nbr xmlns="75e01f56-7b81-4514-8994-c80bb4ec94fc" xsi:nil="true"/>
    <DocHub_DepartureDate xmlns="75e01f56-7b81-4514-8994-c80bb4ec94fc" xsi:nil="true"/>
    <DocHub_PublicationSubtitle xmlns="75e01f56-7b81-4514-8994-c80bb4ec94fc" xsi:nil="true"/>
    <pe2555c81638466f9eb614edb9ecde52 xmlns="46486fd5-fff8-4cbe-a2d1-89ce7ea547a7">
      <Terms xmlns="http://schemas.microsoft.com/office/infopath/2007/PartnerControls">
        <TermInfo xmlns="http://schemas.microsoft.com/office/infopath/2007/PartnerControls">
          <TermName xmlns="http://schemas.microsoft.com/office/infopath/2007/PartnerControls">Web page</TermName>
          <TermId xmlns="http://schemas.microsoft.com/office/infopath/2007/PartnerControls">002fe3a4-bfac-48f8-9ed2-defc17faf11a</TermId>
        </TermInfo>
      </Terms>
    </pe2555c81638466f9eb614edb9ecde52>
    <aa25a1a23adf4c92a153145de6afe324 xmlns="46486fd5-fff8-4cbe-a2d1-89ce7ea547a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7509EB63F162F418EA6B5A1ECA9C2B6" ma:contentTypeVersion="98" ma:contentTypeDescription="Create a new document." ma:contentTypeScope="" ma:versionID="9be133ff143f9d8091ca4e8324f64d11">
  <xsd:schema xmlns:xsd="http://www.w3.org/2001/XMLSchema" xmlns:xs="http://www.w3.org/2001/XMLSchema" xmlns:p="http://schemas.microsoft.com/office/2006/metadata/properties" xmlns:ns2="46486fd5-fff8-4cbe-a2d1-89ce7ea547a7" xmlns:ns3="75e01f56-7b81-4514-8994-c80bb4ec94fc" targetNamespace="http://schemas.microsoft.com/office/2006/metadata/properties" ma:root="true" ma:fieldsID="538a64d77749eca0238b496384ef461d" ns2:_="" ns3:_="">
    <xsd:import namespace="46486fd5-fff8-4cbe-a2d1-89ce7ea547a7"/>
    <xsd:import namespace="75e01f56-7b81-4514-8994-c80bb4ec94fc"/>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3:DocHub_PublicationTitle"/>
                <xsd:element ref="ns3:DocHub_PublicationSubtitle" minOccurs="0"/>
                <xsd:element ref="ns3:DocHub_WebsiteIssueDate" minOccurs="0"/>
                <xsd:element ref="ns3:g7cee4c3f49f4a8d957fe196d6fcc5b5" minOccurs="0"/>
                <xsd:element ref="ns3:DocHub_PublicationAuthor" minOccurs="0"/>
                <xsd:element ref="ns3:DocHub_PublicationSummaryDescription" minOccurs="0"/>
                <xsd:element ref="ns3:DocHub_PublicationSummary"/>
                <xsd:element ref="ns3:ee23fa02dacc44db816d6e8ce7bfd6dc" minOccurs="0"/>
                <xsd:element ref="ns3:DocHub_DepartureDate" minOccurs="0"/>
                <xsd:element ref="ns3:h8e99a0c12aa4e81b80c09bac6838a5b" minOccurs="0"/>
                <xsd:element ref="ns3:DocHub_LANDESK_Nbr" minOccurs="0"/>
                <xsd:element ref="ns3:hdfa92d1675e46419b654c4efda201b9" minOccurs="0"/>
                <xsd:element ref="ns2:aa25a1a23adf4c92a153145de6afe324" minOccurs="0"/>
                <xsd:element ref="ns2:pe2555c81638466f9eb614edb9ecde52"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486fd5-fff8-4cbe-a2d1-89ce7ea547a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TaxCatchAll" ma:index="8" nillable="true" ma:displayName="Taxonomy Catch All Column" ma:hidden="true" ma:list="{8f9b41a4-8526-4400-ad3d-b45ab751cbbf}" ma:internalName="TaxCatchAll" ma:showField="CatchAllData" ma:web="75e01f56-7b81-4514-8994-c80bb4ec94fc">
      <xsd:complexType>
        <xsd:complexContent>
          <xsd:extension base="dms:MultiChoiceLookup">
            <xsd:sequence>
              <xsd:element name="Value" type="dms:Lookup" maxOccurs="unbounded" minOccurs="0" nillable="true"/>
            </xsd:sequence>
          </xsd:extension>
        </xsd:complexContent>
      </xsd:complexType>
    </xsd:element>
    <xsd:element name="aa25a1a23adf4c92a153145de6afe324" ma:index="28"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pe2555c81638466f9eb614edb9ecde52" ma:index="30"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e01f56-7b81-4514-8994-c80bb4ec94fc" elementFormDefault="qualified">
    <xsd:import namespace="http://schemas.microsoft.com/office/2006/documentManagement/types"/>
    <xsd:import namespace="http://schemas.microsoft.com/office/infopath/2007/PartnerControls"/>
    <xsd:element name="DocHub_PublicationTitle" ma:index="12" ma:displayName="Publication Title" ma:description="Enter the official title of the publication" ma:indexed="true" ma:internalName="DocHub_PublicationTitle">
      <xsd:simpleType>
        <xsd:restriction base="dms:Text">
          <xsd:maxLength value="255"/>
        </xsd:restriction>
      </xsd:simpleType>
    </xsd:element>
    <xsd:element name="DocHub_PublicationSubtitle" ma:index="13" nillable="true" ma:displayName="Subtitle" ma:description="if applicable, enter the official subtitle of the publication" ma:indexed="true" ma:internalName="DocHub_PublicationSubtitle">
      <xsd:simpleType>
        <xsd:restriction base="dms:Text">
          <xsd:maxLength value="255"/>
        </xsd:restriction>
      </xsd:simpleType>
    </xsd:element>
    <xsd:element name="DocHub_WebsiteIssueDate" ma:index="14" nillable="true" ma:displayName="Issue Date" ma:description="Enter the month and year e.g. May 2018, or 2018" ma:indexed="true" ma:internalName="DocHub_WebsiteIssueDate">
      <xsd:simpleType>
        <xsd:restriction base="dms:Text">
          <xsd:maxLength value="255"/>
        </xsd:restriction>
      </xsd:simpleType>
    </xsd:element>
    <xsd:element name="g7cee4c3f49f4a8d957fe196d6fcc5b5" ma:index="15" ma:taxonomy="true" ma:internalName="g7cee4c3f49f4a8d957fe196d6fcc5b5" ma:taxonomyFieldName="DocHub_GovernmentEntities" ma:displayName="Publisher(s)" ma:default="" ma:fieldId="{07cee4c3-f49f-4a8d-957f-e196d6fcc5b5}" ma:taxonomyMulti="true" ma:sspId="fb0313f7-9433-48c0-866e-9e0bbee59a50" ma:termSetId="dadb9b88-24b6-471a-9d1e-c062637f92ad" ma:anchorId="00000000-0000-0000-0000-000000000000" ma:open="false" ma:isKeyword="false">
      <xsd:complexType>
        <xsd:sequence>
          <xsd:element ref="pc:Terms" minOccurs="0" maxOccurs="1"/>
        </xsd:sequence>
      </xsd:complexType>
    </xsd:element>
    <xsd:element name="DocHub_PublicationAuthor" ma:index="17" nillable="true" ma:displayName="Author(s)" ma:description="If applicable, enter the author(s) separated by commas if more than one . This will usually be high profile authors or providers requiring acknowledgement in search results. Does not usually include staff names unless specified in the publication." ma:indexed="true" ma:internalName="DocHub_PublicationAuthor">
      <xsd:simpleType>
        <xsd:restriction base="dms:Text">
          <xsd:maxLength value="255"/>
        </xsd:restriction>
      </xsd:simpleType>
    </xsd:element>
    <xsd:element name="DocHub_PublicationSummaryDescription" ma:index="18" nillable="true" ma:displayName="Summary" ma:description="Enter a short sentence or two in plain English summarising the publication for the layperson." ma:internalName="DocHub_PublicationSummaryDescription">
      <xsd:simpleType>
        <xsd:restriction base="dms:Note">
          <xsd:maxLength value="255"/>
        </xsd:restriction>
      </xsd:simpleType>
    </xsd:element>
    <xsd:element name="DocHub_PublicationSummary" ma:index="19" ma:displayName="Publication Page Summary" ma:internalName="DocHub_PublicationSummary">
      <xsd:simpleType>
        <xsd:restriction base="dms:Note"/>
      </xsd:simpleType>
    </xsd:element>
    <xsd:element name="ee23fa02dacc44db816d6e8ce7bfd6dc" ma:index="20" nillable="true" ma:taxonomy="true" ma:internalName="ee23fa02dacc44db816d6e8ce7bfd6dc" ma:taxonomyFieldName="DocHub_WebsitePublishingStatus" ma:displayName="Publishing Status" ma:default="" ma:fieldId="{ee23fa02-dacc-44db-816d-6e8ce7bfd6dc}" ma:sspId="fb0313f7-9433-48c0-866e-9e0bbee59a50" ma:termSetId="7873747c-b290-4b6a-b0f3-a776cb34764f" ma:anchorId="22d84d29-73ed-4242-8321-02fec12c0359" ma:open="false" ma:isKeyword="false">
      <xsd:complexType>
        <xsd:sequence>
          <xsd:element ref="pc:Terms" minOccurs="0" maxOccurs="1"/>
        </xsd:sequence>
      </xsd:complexType>
    </xsd:element>
    <xsd:element name="DocHub_DepartureDate" ma:index="22" nillable="true" ma:displayName="Public Release Date" ma:description="ONLINE TEAM USE ONLY – enter the date the content is released on the website" ma:format="DateOnly" ma:internalName="DocHub_DepartureDate">
      <xsd:simpleType>
        <xsd:restriction base="dms:DateTime"/>
      </xsd:simpleType>
    </xsd:element>
    <xsd:element name="h8e99a0c12aa4e81b80c09bac6838a5b" ma:index="23" nillable="true" ma:taxonomy="true" ma:internalName="h8e99a0c12aa4e81b80c09bac6838a5b" ma:taxonomyFieldName="DocHub_WebsiteIATopic" ma:displayName="Sector Topic" ma:default="" ma:fieldId="{18e99a0c-12aa-4e81-b80c-09bac6838a5b}" ma:sspId="fb0313f7-9433-48c0-866e-9e0bbee59a50" ma:termSetId="7873747c-b290-4b6a-b0f3-a776cb34764f" ma:anchorId="e3d0b075-5b72-48d8-911e-a1211e0bf3ef" ma:open="false" ma:isKeyword="false">
      <xsd:complexType>
        <xsd:sequence>
          <xsd:element ref="pc:Terms" minOccurs="0" maxOccurs="1"/>
        </xsd:sequence>
      </xsd:complexType>
    </xsd:element>
    <xsd:element name="DocHub_LANDESK_Nbr" ma:index="25" nillable="true" ma:displayName="Content ID" ma:description="ONLINE TEAM USE ONLY – enter the publication page node ID" ma:indexed="true" ma:internalName="DocHub_LANDESK_Nbr">
      <xsd:simpleType>
        <xsd:restriction base="dms:Text">
          <xsd:maxLength value="255"/>
        </xsd:restriction>
      </xsd:simpleType>
    </xsd:element>
    <xsd:element name="hdfa92d1675e46419b654c4efda201b9" ma:index="26" nillable="true" ma:taxonomy="true" ma:internalName="hdfa92d1675e46419b654c4efda201b9" ma:taxonomyFieldName="DocHub_WebSiteDocumentCategory" ma:displayName="Document Category" ma:default="" ma:fieldId="{1dfa92d1-675e-4641-9b65-4c4efda201b9}" ma:sspId="fb0313f7-9433-48c0-866e-9e0bbee59a50" ma:termSetId="7873747c-b290-4b6a-b0f3-a776cb34764f" ma:anchorId="b3bdb451-bef6-4b36-be86-fb98f4b2c3f0" ma:open="false" ma:isKeyword="false">
      <xsd:complexType>
        <xsd:sequence>
          <xsd:element ref="pc:Terms" minOccurs="0" maxOccurs="1"/>
        </xsd:sequence>
      </xsd:complexType>
    </xsd:element>
    <xsd:element name="SharedWithUsers" ma:index="3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736B19-1CD2-46D1-920E-95C4DA948122}"/>
</file>

<file path=customXml/itemProps2.xml><?xml version="1.0" encoding="utf-8"?>
<ds:datastoreItem xmlns:ds="http://schemas.openxmlformats.org/officeDocument/2006/customXml" ds:itemID="{61524A88-E1E4-40D9-87CF-1351A95F1CB5}"/>
</file>

<file path=customXml/itemProps3.xml><?xml version="1.0" encoding="utf-8"?>
<ds:datastoreItem xmlns:ds="http://schemas.openxmlformats.org/officeDocument/2006/customXml" ds:itemID="{456B49B1-2B0B-4EAA-A96A-47CB5321B2AB}"/>
</file>

<file path=customXml/itemProps4.xml><?xml version="1.0" encoding="utf-8"?>
<ds:datastoreItem xmlns:ds="http://schemas.openxmlformats.org/officeDocument/2006/customXml" ds:itemID="{4A7BFBBB-7E7D-4988-9DEC-B5B3C515BB71}"/>
</file>

<file path=docProps/app.xml><?xml version="1.0" encoding="utf-8"?>
<Properties xmlns="http://schemas.openxmlformats.org/officeDocument/2006/extended-properties" xmlns:vt="http://schemas.openxmlformats.org/officeDocument/2006/docPropsVTypes">
  <Template>Normal</Template>
  <TotalTime>0</TotalTime>
  <Pages>121</Pages>
  <Words>48555</Words>
  <Characters>276769</Characters>
  <Application>Microsoft Office Word</Application>
  <DocSecurity>0</DocSecurity>
  <Lines>2306</Lines>
  <Paragraphs>649</Paragraphs>
  <ScaleCrop>false</ScaleCrop>
  <HeadingPairs>
    <vt:vector size="2" baseType="variant">
      <vt:variant>
        <vt:lpstr>Title</vt:lpstr>
      </vt:variant>
      <vt:variant>
        <vt:i4>1</vt:i4>
      </vt:variant>
    </vt:vector>
  </HeadingPairs>
  <TitlesOfParts>
    <vt:vector size="1" baseType="lpstr">
      <vt:lpstr>Australian Innovation System Report 2016</vt:lpstr>
    </vt:vector>
  </TitlesOfParts>
  <Company/>
  <LinksUpToDate>false</LinksUpToDate>
  <CharactersWithSpaces>324675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Innovation System Report 2016</dc:title>
  <dc:subject>Innovation</dc:subject>
  <dc:creator/>
  <cp:keywords>Innovation;System;Economics</cp:keywords>
  <dc:description/>
  <cp:lastModifiedBy/>
  <cp:revision>1</cp:revision>
  <dcterms:created xsi:type="dcterms:W3CDTF">2018-05-01T07:01:00Z</dcterms:created>
  <dcterms:modified xsi:type="dcterms:W3CDTF">2018-05-01T07:02:00Z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0x01010007509EB63F162F418EA6B5A1ECA9C2B6</vt:lpwstr>
  </property>
  <property fmtid="{D5CDD505-2E9C-101B-9397-08002B2CF9AE}" pid="4" name="DocHub_DocumentType">
    <vt:lpwstr>268;#Web page|002fe3a4-bfac-48f8-9ed2-defc17faf11a</vt:lpwstr>
  </property>
  <property fmtid="{D5CDD505-2E9C-101B-9397-08002B2CF9AE}" pid="5" name="DocHub_WebsiteIATopic">
    <vt:lpwstr/>
  </property>
  <property fmtid="{D5CDD505-2E9C-101B-9397-08002B2CF9AE}" pid="6" name="DocHub_SecurityClassification">
    <vt:lpwstr>4;#UNCLASSIFIED|6106d03b-a1a0-4e30-9d91-d5e9fb4314f9</vt:lpwstr>
  </property>
  <property fmtid="{D5CDD505-2E9C-101B-9397-08002B2CF9AE}" pid="7" name="DocHub_GovernmentEntities">
    <vt:lpwstr>3530;#Department of Industry Innovation and Science|fcd9ccf7-3614-4424-9c6f-b3b49955e5c6</vt:lpwstr>
  </property>
  <property fmtid="{D5CDD505-2E9C-101B-9397-08002B2CF9AE}" pid="8" name="DocHub_WebSiteDocumentCategory">
    <vt:lpwstr>4770;#Publication|18bde1b5-d207-4942-98f9-f7ac02e527aa</vt:lpwstr>
  </property>
  <property fmtid="{D5CDD505-2E9C-101B-9397-08002B2CF9AE}" pid="11" name="DocHub_WebsitePublishingStatus">
    <vt:lpwstr>4734;#In Progress|db2ac85e-b2c3-4edd-8570-de1d20faf8fa</vt:lpwstr>
  </property>
  <property fmtid="{D5CDD505-2E9C-101B-9397-08002B2CF9AE}" pid="12" name="g7bcb40ba23249a78edca7d43a67c1c9">
    <vt:lpwstr/>
  </property>
  <property fmtid="{D5CDD505-2E9C-101B-9397-08002B2CF9AE}" pid="13" name="DocHub_Keywords">
    <vt:lpwstr/>
  </property>
  <property fmtid="{D5CDD505-2E9C-101B-9397-08002B2CF9AE}" pid="14" name="DocHub_WorkActivity">
    <vt:lpwstr/>
  </property>
  <property fmtid="{D5CDD505-2E9C-101B-9397-08002B2CF9AE}" pid="15" name="adb9bed2e36e4a93af574aeb444da63e">
    <vt:lpwstr/>
  </property>
</Properties>
</file>