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5BA5" w14:textId="219B3D57" w:rsidR="00D43E4E" w:rsidRPr="00464E20" w:rsidRDefault="00D43E4E" w:rsidP="00B809B8">
      <w:pPr>
        <w:pStyle w:val="Cover-ClientName"/>
        <w:spacing w:before="2640"/>
        <w:rPr>
          <w:rStyle w:val="BookTitle"/>
          <w:rFonts w:asciiTheme="minorHAnsi" w:hAnsiTheme="minorHAnsi"/>
        </w:rPr>
      </w:pPr>
      <w:r w:rsidRPr="00464E20">
        <w:rPr>
          <w:rStyle w:val="BookTitle"/>
          <w:rFonts w:asciiTheme="minorHAnsi" w:hAnsiTheme="minorHAnsi"/>
        </w:rPr>
        <w:t xml:space="preserve">Department of </w:t>
      </w:r>
      <w:r>
        <w:rPr>
          <w:rStyle w:val="BookTitle"/>
          <w:rFonts w:asciiTheme="minorHAnsi" w:hAnsiTheme="minorHAnsi"/>
        </w:rPr>
        <w:t>I</w:t>
      </w:r>
      <w:r w:rsidRPr="00464E20">
        <w:rPr>
          <w:rStyle w:val="BookTitle"/>
          <w:rFonts w:asciiTheme="minorHAnsi" w:hAnsiTheme="minorHAnsi"/>
        </w:rPr>
        <w:t>ndustry</w:t>
      </w:r>
      <w:r w:rsidR="00152740">
        <w:rPr>
          <w:rStyle w:val="BookTitle"/>
          <w:rFonts w:asciiTheme="minorHAnsi" w:hAnsiTheme="minorHAnsi"/>
        </w:rPr>
        <w:t>, Innovation</w:t>
      </w:r>
      <w:r>
        <w:rPr>
          <w:rStyle w:val="BookTitle"/>
          <w:rFonts w:asciiTheme="minorHAnsi" w:hAnsiTheme="minorHAnsi"/>
        </w:rPr>
        <w:t xml:space="preserve"> and Science</w:t>
      </w:r>
    </w:p>
    <w:p w14:paraId="5599A16E" w14:textId="77777777" w:rsidR="00D43E4E" w:rsidRPr="00376AD5" w:rsidRDefault="00D43E4E" w:rsidP="00D43E4E">
      <w:pPr>
        <w:pStyle w:val="Cover-ProjectName"/>
        <w:rPr>
          <w:rStyle w:val="BookTitle"/>
        </w:rPr>
      </w:pPr>
      <w:r w:rsidRPr="00376AD5">
        <w:rPr>
          <w:rStyle w:val="BookTitle"/>
        </w:rPr>
        <w:t>Survey of Research Service Providers</w:t>
      </w:r>
    </w:p>
    <w:p w14:paraId="01D2E6A9" w14:textId="754B462F" w:rsidR="00D43E4E" w:rsidRPr="00FD27D1" w:rsidRDefault="00D43E4E" w:rsidP="00D43E4E">
      <w:pPr>
        <w:pStyle w:val="Cover-ProjectName"/>
        <w:spacing w:before="0"/>
        <w:rPr>
          <w:rStyle w:val="BookTitle"/>
          <w:sz w:val="40"/>
        </w:rPr>
      </w:pPr>
      <w:r w:rsidRPr="00FD27D1">
        <w:rPr>
          <w:rStyle w:val="BookTitle"/>
          <w:sz w:val="40"/>
        </w:rPr>
        <w:t>Registered under the R&amp;D Tax Incentive</w:t>
      </w:r>
      <w:r w:rsidR="00FD27D1" w:rsidRPr="00FD27D1">
        <w:rPr>
          <w:rStyle w:val="BookTitle"/>
          <w:sz w:val="40"/>
        </w:rPr>
        <w:t xml:space="preserve"> Programme</w:t>
      </w:r>
    </w:p>
    <w:p w14:paraId="12E791E0" w14:textId="77777777" w:rsidR="006F0B65" w:rsidRPr="00376AD5" w:rsidRDefault="00376AD5" w:rsidP="00376AD5">
      <w:pPr>
        <w:pStyle w:val="Cover-ProjectName"/>
        <w:rPr>
          <w:rStyle w:val="BookTitle"/>
        </w:rPr>
      </w:pPr>
      <w:r w:rsidRPr="00376AD5">
        <w:rPr>
          <w:rStyle w:val="BookTitle"/>
        </w:rPr>
        <w:t>Report</w:t>
      </w:r>
    </w:p>
    <w:p w14:paraId="58F19E57" w14:textId="77777777" w:rsidR="004E241C" w:rsidRPr="00AB4651" w:rsidRDefault="004E241C" w:rsidP="00206476">
      <w:pPr>
        <w:pStyle w:val="Cover-OtherDescription"/>
        <w:spacing w:before="5040"/>
        <w:sectPr w:rsidR="004E241C" w:rsidRPr="00AB4651" w:rsidSect="00181D7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1440" w:header="708" w:footer="708" w:gutter="0"/>
          <w:cols w:space="708"/>
          <w:titlePg/>
          <w:docGrid w:linePitch="360"/>
        </w:sectPr>
      </w:pPr>
      <w:r w:rsidRPr="00AB4651">
        <w:rPr>
          <w:noProof/>
        </w:rPr>
        <w:drawing>
          <wp:inline distT="0" distB="0" distL="0" distR="0" wp14:anchorId="430DAECE" wp14:editId="7EF7F963">
            <wp:extent cx="5731200" cy="1047600"/>
            <wp:effectExtent l="0" t="0" r="3175" b="635"/>
            <wp:docPr id="1" name="Picture 1" descr="ORIMA Research Pty Ltd&#10;&#10;Melbourne Canberra Sydney&#10;www.orima.com" title="ORIMA Research company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200" cy="1047600"/>
                    </a:xfrm>
                    <a:prstGeom prst="rect">
                      <a:avLst/>
                    </a:prstGeom>
                    <a:noFill/>
                    <a:ln>
                      <a:noFill/>
                    </a:ln>
                  </pic:spPr>
                </pic:pic>
              </a:graphicData>
            </a:graphic>
          </wp:inline>
        </w:drawing>
      </w:r>
    </w:p>
    <w:sdt>
      <w:sdtPr>
        <w:rPr>
          <w:b w:val="0"/>
          <w:noProof w:val="0"/>
          <w:color w:val="auto"/>
          <w:sz w:val="22"/>
          <w:szCs w:val="22"/>
        </w:rPr>
        <w:id w:val="-741531"/>
        <w:docPartObj>
          <w:docPartGallery w:val="Table of Contents"/>
          <w:docPartUnique/>
        </w:docPartObj>
      </w:sdtPr>
      <w:sdtEndPr>
        <w:rPr>
          <w:bCs/>
        </w:rPr>
      </w:sdtEndPr>
      <w:sdtContent>
        <w:p w14:paraId="48544C24" w14:textId="77777777" w:rsidR="00872986" w:rsidRDefault="00872986" w:rsidP="00CA5419">
          <w:pPr>
            <w:pStyle w:val="TOCHeading"/>
            <w:spacing w:before="480"/>
          </w:pPr>
          <w:r>
            <w:t>Contents</w:t>
          </w:r>
        </w:p>
        <w:p w14:paraId="145EFEB8" w14:textId="2AF455B7" w:rsidR="00876A46" w:rsidRDefault="00AB4651">
          <w:pPr>
            <w:pStyle w:val="TOC1"/>
            <w:rPr>
              <w:rFonts w:asciiTheme="minorHAnsi" w:eastAsiaTheme="minorEastAsia" w:hAnsiTheme="minorHAnsi" w:cstheme="minorBidi"/>
              <w:color w:val="auto"/>
              <w:szCs w:val="22"/>
            </w:rPr>
          </w:pPr>
          <w:r w:rsidRPr="00B809B8">
            <w:rPr>
              <w:b/>
            </w:rPr>
            <w:fldChar w:fldCharType="begin"/>
          </w:r>
          <w:r w:rsidRPr="00B809B8">
            <w:instrText xml:space="preserve"> TOC \o "1-3" \h \z \u </w:instrText>
          </w:r>
          <w:r w:rsidRPr="00B809B8">
            <w:rPr>
              <w:b/>
            </w:rPr>
            <w:fldChar w:fldCharType="separate"/>
          </w:r>
          <w:hyperlink w:anchor="_Toc432767002" w:history="1">
            <w:r w:rsidR="00876A46" w:rsidRPr="00D571C1">
              <w:rPr>
                <w:rStyle w:val="Hyperlink"/>
              </w:rPr>
              <w:t>I.</w:t>
            </w:r>
            <w:r w:rsidR="00876A46">
              <w:rPr>
                <w:rFonts w:asciiTheme="minorHAnsi" w:eastAsiaTheme="minorEastAsia" w:hAnsiTheme="minorHAnsi" w:cstheme="minorBidi"/>
                <w:color w:val="auto"/>
                <w:szCs w:val="22"/>
              </w:rPr>
              <w:tab/>
            </w:r>
            <w:r w:rsidR="00876A46" w:rsidRPr="00D571C1">
              <w:rPr>
                <w:rStyle w:val="Hyperlink"/>
              </w:rPr>
              <w:t>Executive Summary</w:t>
            </w:r>
            <w:r w:rsidR="00876A46">
              <w:rPr>
                <w:webHidden/>
              </w:rPr>
              <w:tab/>
            </w:r>
            <w:r w:rsidR="00876A46">
              <w:rPr>
                <w:webHidden/>
              </w:rPr>
              <w:fldChar w:fldCharType="begin"/>
            </w:r>
            <w:r w:rsidR="00876A46">
              <w:rPr>
                <w:webHidden/>
              </w:rPr>
              <w:instrText xml:space="preserve"> PAGEREF _Toc432767002 \h </w:instrText>
            </w:r>
            <w:r w:rsidR="00876A46">
              <w:rPr>
                <w:webHidden/>
              </w:rPr>
            </w:r>
            <w:r w:rsidR="00876A46">
              <w:rPr>
                <w:webHidden/>
              </w:rPr>
              <w:fldChar w:fldCharType="separate"/>
            </w:r>
            <w:r w:rsidR="0094275D">
              <w:rPr>
                <w:webHidden/>
              </w:rPr>
              <w:t>3</w:t>
            </w:r>
            <w:r w:rsidR="00876A46">
              <w:rPr>
                <w:webHidden/>
              </w:rPr>
              <w:fldChar w:fldCharType="end"/>
            </w:r>
          </w:hyperlink>
        </w:p>
        <w:p w14:paraId="1B5EA3ED" w14:textId="711EF1C6" w:rsidR="00876A46" w:rsidRDefault="0094275D">
          <w:pPr>
            <w:pStyle w:val="TOC1"/>
            <w:rPr>
              <w:rFonts w:asciiTheme="minorHAnsi" w:eastAsiaTheme="minorEastAsia" w:hAnsiTheme="minorHAnsi" w:cstheme="minorBidi"/>
              <w:color w:val="auto"/>
              <w:szCs w:val="22"/>
            </w:rPr>
          </w:pPr>
          <w:hyperlink w:anchor="_Toc432767003" w:history="1">
            <w:r w:rsidR="00876A46" w:rsidRPr="00D571C1">
              <w:rPr>
                <w:rStyle w:val="Hyperlink"/>
              </w:rPr>
              <w:t>II.</w:t>
            </w:r>
            <w:r w:rsidR="00876A46">
              <w:rPr>
                <w:rFonts w:asciiTheme="minorHAnsi" w:eastAsiaTheme="minorEastAsia" w:hAnsiTheme="minorHAnsi" w:cstheme="minorBidi"/>
                <w:color w:val="auto"/>
                <w:szCs w:val="22"/>
              </w:rPr>
              <w:tab/>
            </w:r>
            <w:r w:rsidR="00876A46" w:rsidRPr="00D571C1">
              <w:rPr>
                <w:rStyle w:val="Hyperlink"/>
              </w:rPr>
              <w:t>Introduction</w:t>
            </w:r>
            <w:r w:rsidR="00876A46">
              <w:rPr>
                <w:webHidden/>
              </w:rPr>
              <w:tab/>
            </w:r>
            <w:r w:rsidR="00876A46">
              <w:rPr>
                <w:webHidden/>
              </w:rPr>
              <w:fldChar w:fldCharType="begin"/>
            </w:r>
            <w:r w:rsidR="00876A46">
              <w:rPr>
                <w:webHidden/>
              </w:rPr>
              <w:instrText xml:space="preserve"> PAGEREF _Toc432767003 \h </w:instrText>
            </w:r>
            <w:r w:rsidR="00876A46">
              <w:rPr>
                <w:webHidden/>
              </w:rPr>
            </w:r>
            <w:r w:rsidR="00876A46">
              <w:rPr>
                <w:webHidden/>
              </w:rPr>
              <w:fldChar w:fldCharType="separate"/>
            </w:r>
            <w:r>
              <w:rPr>
                <w:webHidden/>
              </w:rPr>
              <w:t>6</w:t>
            </w:r>
            <w:r w:rsidR="00876A46">
              <w:rPr>
                <w:webHidden/>
              </w:rPr>
              <w:fldChar w:fldCharType="end"/>
            </w:r>
          </w:hyperlink>
        </w:p>
        <w:p w14:paraId="18C36EBA" w14:textId="1E484FD1" w:rsidR="00876A46" w:rsidRDefault="0094275D">
          <w:pPr>
            <w:pStyle w:val="TOC2"/>
            <w:rPr>
              <w:rFonts w:asciiTheme="minorHAnsi" w:eastAsiaTheme="minorEastAsia" w:hAnsiTheme="minorHAnsi" w:cstheme="minorBidi"/>
              <w:color w:val="auto"/>
              <w:sz w:val="22"/>
              <w:szCs w:val="22"/>
            </w:rPr>
          </w:pPr>
          <w:hyperlink w:anchor="_Toc432767004" w:history="1">
            <w:r w:rsidR="00876A46" w:rsidRPr="00D571C1">
              <w:rPr>
                <w:rStyle w:val="Hyperlink"/>
                <w:bCs/>
              </w:rPr>
              <w:t>A.</w:t>
            </w:r>
            <w:r w:rsidR="00876A46">
              <w:rPr>
                <w:rFonts w:asciiTheme="minorHAnsi" w:eastAsiaTheme="minorEastAsia" w:hAnsiTheme="minorHAnsi" w:cstheme="minorBidi"/>
                <w:color w:val="auto"/>
                <w:sz w:val="22"/>
                <w:szCs w:val="22"/>
              </w:rPr>
              <w:tab/>
            </w:r>
            <w:r w:rsidR="00876A46" w:rsidRPr="00D571C1">
              <w:rPr>
                <w:rStyle w:val="Hyperlink"/>
              </w:rPr>
              <w:t>Background</w:t>
            </w:r>
            <w:r w:rsidR="00876A46">
              <w:rPr>
                <w:webHidden/>
              </w:rPr>
              <w:tab/>
            </w:r>
            <w:r w:rsidR="00876A46">
              <w:rPr>
                <w:webHidden/>
              </w:rPr>
              <w:fldChar w:fldCharType="begin"/>
            </w:r>
            <w:r w:rsidR="00876A46">
              <w:rPr>
                <w:webHidden/>
              </w:rPr>
              <w:instrText xml:space="preserve"> PAGEREF _Toc432767004 \h </w:instrText>
            </w:r>
            <w:r w:rsidR="00876A46">
              <w:rPr>
                <w:webHidden/>
              </w:rPr>
            </w:r>
            <w:r w:rsidR="00876A46">
              <w:rPr>
                <w:webHidden/>
              </w:rPr>
              <w:fldChar w:fldCharType="separate"/>
            </w:r>
            <w:r>
              <w:rPr>
                <w:webHidden/>
              </w:rPr>
              <w:t>6</w:t>
            </w:r>
            <w:r w:rsidR="00876A46">
              <w:rPr>
                <w:webHidden/>
              </w:rPr>
              <w:fldChar w:fldCharType="end"/>
            </w:r>
          </w:hyperlink>
        </w:p>
        <w:p w14:paraId="1C7B8ED1" w14:textId="306EEE9B" w:rsidR="00876A46" w:rsidRDefault="0094275D">
          <w:pPr>
            <w:pStyle w:val="TOC2"/>
            <w:rPr>
              <w:rFonts w:asciiTheme="minorHAnsi" w:eastAsiaTheme="minorEastAsia" w:hAnsiTheme="minorHAnsi" w:cstheme="minorBidi"/>
              <w:color w:val="auto"/>
              <w:sz w:val="22"/>
              <w:szCs w:val="22"/>
            </w:rPr>
          </w:pPr>
          <w:hyperlink w:anchor="_Toc432767005" w:history="1">
            <w:r w:rsidR="00876A46" w:rsidRPr="00D571C1">
              <w:rPr>
                <w:rStyle w:val="Hyperlink"/>
                <w:bCs/>
              </w:rPr>
              <w:t>B.</w:t>
            </w:r>
            <w:r w:rsidR="00876A46">
              <w:rPr>
                <w:rFonts w:asciiTheme="minorHAnsi" w:eastAsiaTheme="minorEastAsia" w:hAnsiTheme="minorHAnsi" w:cstheme="minorBidi"/>
                <w:color w:val="auto"/>
                <w:sz w:val="22"/>
                <w:szCs w:val="22"/>
              </w:rPr>
              <w:tab/>
            </w:r>
            <w:r w:rsidR="00876A46" w:rsidRPr="00D571C1">
              <w:rPr>
                <w:rStyle w:val="Hyperlink"/>
              </w:rPr>
              <w:t>Survey response Rate</w:t>
            </w:r>
            <w:r w:rsidR="00876A46">
              <w:rPr>
                <w:webHidden/>
              </w:rPr>
              <w:tab/>
            </w:r>
            <w:r w:rsidR="00876A46">
              <w:rPr>
                <w:webHidden/>
              </w:rPr>
              <w:fldChar w:fldCharType="begin"/>
            </w:r>
            <w:r w:rsidR="00876A46">
              <w:rPr>
                <w:webHidden/>
              </w:rPr>
              <w:instrText xml:space="preserve"> PAGEREF _Toc432767005 \h </w:instrText>
            </w:r>
            <w:r w:rsidR="00876A46">
              <w:rPr>
                <w:webHidden/>
              </w:rPr>
            </w:r>
            <w:r w:rsidR="00876A46">
              <w:rPr>
                <w:webHidden/>
              </w:rPr>
              <w:fldChar w:fldCharType="separate"/>
            </w:r>
            <w:r>
              <w:rPr>
                <w:webHidden/>
              </w:rPr>
              <w:t>6</w:t>
            </w:r>
            <w:r w:rsidR="00876A46">
              <w:rPr>
                <w:webHidden/>
              </w:rPr>
              <w:fldChar w:fldCharType="end"/>
            </w:r>
          </w:hyperlink>
        </w:p>
        <w:p w14:paraId="4B22B913" w14:textId="44E89AE1" w:rsidR="00876A46" w:rsidRDefault="0094275D">
          <w:pPr>
            <w:pStyle w:val="TOC2"/>
            <w:rPr>
              <w:rFonts w:asciiTheme="minorHAnsi" w:eastAsiaTheme="minorEastAsia" w:hAnsiTheme="minorHAnsi" w:cstheme="minorBidi"/>
              <w:color w:val="auto"/>
              <w:sz w:val="22"/>
              <w:szCs w:val="22"/>
            </w:rPr>
          </w:pPr>
          <w:hyperlink w:anchor="_Toc432767006" w:history="1">
            <w:r w:rsidR="00876A46" w:rsidRPr="00D571C1">
              <w:rPr>
                <w:rStyle w:val="Hyperlink"/>
                <w:bCs/>
              </w:rPr>
              <w:t>C.</w:t>
            </w:r>
            <w:r w:rsidR="00876A46">
              <w:rPr>
                <w:rFonts w:asciiTheme="minorHAnsi" w:eastAsiaTheme="minorEastAsia" w:hAnsiTheme="minorHAnsi" w:cstheme="minorBidi"/>
                <w:color w:val="auto"/>
                <w:sz w:val="22"/>
                <w:szCs w:val="22"/>
              </w:rPr>
              <w:tab/>
            </w:r>
            <w:r w:rsidR="00876A46" w:rsidRPr="00D571C1">
              <w:rPr>
                <w:rStyle w:val="Hyperlink"/>
              </w:rPr>
              <w:t>Presentation of results</w:t>
            </w:r>
            <w:r w:rsidR="00876A46">
              <w:rPr>
                <w:webHidden/>
              </w:rPr>
              <w:tab/>
            </w:r>
            <w:r w:rsidR="00876A46">
              <w:rPr>
                <w:webHidden/>
              </w:rPr>
              <w:fldChar w:fldCharType="begin"/>
            </w:r>
            <w:r w:rsidR="00876A46">
              <w:rPr>
                <w:webHidden/>
              </w:rPr>
              <w:instrText xml:space="preserve"> PAGEREF _Toc432767006 \h </w:instrText>
            </w:r>
            <w:r w:rsidR="00876A46">
              <w:rPr>
                <w:webHidden/>
              </w:rPr>
            </w:r>
            <w:r w:rsidR="00876A46">
              <w:rPr>
                <w:webHidden/>
              </w:rPr>
              <w:fldChar w:fldCharType="separate"/>
            </w:r>
            <w:r>
              <w:rPr>
                <w:webHidden/>
              </w:rPr>
              <w:t>6</w:t>
            </w:r>
            <w:r w:rsidR="00876A46">
              <w:rPr>
                <w:webHidden/>
              </w:rPr>
              <w:fldChar w:fldCharType="end"/>
            </w:r>
          </w:hyperlink>
        </w:p>
        <w:p w14:paraId="0E22DCE1" w14:textId="097173E4" w:rsidR="00876A46" w:rsidRDefault="0094275D">
          <w:pPr>
            <w:pStyle w:val="TOC2"/>
            <w:rPr>
              <w:rFonts w:asciiTheme="minorHAnsi" w:eastAsiaTheme="minorEastAsia" w:hAnsiTheme="minorHAnsi" w:cstheme="minorBidi"/>
              <w:color w:val="auto"/>
              <w:sz w:val="22"/>
              <w:szCs w:val="22"/>
            </w:rPr>
          </w:pPr>
          <w:hyperlink w:anchor="_Toc432767007" w:history="1">
            <w:r w:rsidR="00876A46" w:rsidRPr="00D571C1">
              <w:rPr>
                <w:rStyle w:val="Hyperlink"/>
                <w:bCs/>
              </w:rPr>
              <w:t>D.</w:t>
            </w:r>
            <w:r w:rsidR="00876A46">
              <w:rPr>
                <w:rFonts w:asciiTheme="minorHAnsi" w:eastAsiaTheme="minorEastAsia" w:hAnsiTheme="minorHAnsi" w:cstheme="minorBidi"/>
                <w:color w:val="auto"/>
                <w:sz w:val="22"/>
                <w:szCs w:val="22"/>
              </w:rPr>
              <w:tab/>
            </w:r>
            <w:r w:rsidR="00876A46" w:rsidRPr="00D571C1">
              <w:rPr>
                <w:rStyle w:val="Hyperlink"/>
              </w:rPr>
              <w:t>Quality standards</w:t>
            </w:r>
            <w:r w:rsidR="00876A46">
              <w:rPr>
                <w:webHidden/>
              </w:rPr>
              <w:tab/>
            </w:r>
            <w:r w:rsidR="00876A46">
              <w:rPr>
                <w:webHidden/>
              </w:rPr>
              <w:fldChar w:fldCharType="begin"/>
            </w:r>
            <w:r w:rsidR="00876A46">
              <w:rPr>
                <w:webHidden/>
              </w:rPr>
              <w:instrText xml:space="preserve"> PAGEREF _Toc432767007 \h </w:instrText>
            </w:r>
            <w:r w:rsidR="00876A46">
              <w:rPr>
                <w:webHidden/>
              </w:rPr>
            </w:r>
            <w:r w:rsidR="00876A46">
              <w:rPr>
                <w:webHidden/>
              </w:rPr>
              <w:fldChar w:fldCharType="separate"/>
            </w:r>
            <w:r>
              <w:rPr>
                <w:webHidden/>
              </w:rPr>
              <w:t>6</w:t>
            </w:r>
            <w:r w:rsidR="00876A46">
              <w:rPr>
                <w:webHidden/>
              </w:rPr>
              <w:fldChar w:fldCharType="end"/>
            </w:r>
          </w:hyperlink>
        </w:p>
        <w:p w14:paraId="6A806872" w14:textId="6FAC3B1F" w:rsidR="00876A46" w:rsidRDefault="0094275D">
          <w:pPr>
            <w:pStyle w:val="TOC1"/>
            <w:rPr>
              <w:rFonts w:asciiTheme="minorHAnsi" w:eastAsiaTheme="minorEastAsia" w:hAnsiTheme="minorHAnsi" w:cstheme="minorBidi"/>
              <w:color w:val="auto"/>
              <w:szCs w:val="22"/>
            </w:rPr>
          </w:pPr>
          <w:hyperlink w:anchor="_Toc432767008" w:history="1">
            <w:r w:rsidR="00876A46" w:rsidRPr="00D571C1">
              <w:rPr>
                <w:rStyle w:val="Hyperlink"/>
              </w:rPr>
              <w:t>III.</w:t>
            </w:r>
            <w:r w:rsidR="00876A46">
              <w:rPr>
                <w:rFonts w:asciiTheme="minorHAnsi" w:eastAsiaTheme="minorEastAsia" w:hAnsiTheme="minorHAnsi" w:cstheme="minorBidi"/>
                <w:color w:val="auto"/>
                <w:szCs w:val="22"/>
              </w:rPr>
              <w:tab/>
            </w:r>
            <w:r w:rsidR="00876A46" w:rsidRPr="00D571C1">
              <w:rPr>
                <w:rStyle w:val="Hyperlink"/>
              </w:rPr>
              <w:t>Profile of RSP clients</w:t>
            </w:r>
            <w:r w:rsidR="00876A46">
              <w:rPr>
                <w:webHidden/>
              </w:rPr>
              <w:tab/>
            </w:r>
            <w:r w:rsidR="00876A46">
              <w:rPr>
                <w:webHidden/>
              </w:rPr>
              <w:fldChar w:fldCharType="begin"/>
            </w:r>
            <w:r w:rsidR="00876A46">
              <w:rPr>
                <w:webHidden/>
              </w:rPr>
              <w:instrText xml:space="preserve"> PAGEREF _Toc432767008 \h </w:instrText>
            </w:r>
            <w:r w:rsidR="00876A46">
              <w:rPr>
                <w:webHidden/>
              </w:rPr>
            </w:r>
            <w:r w:rsidR="00876A46">
              <w:rPr>
                <w:webHidden/>
              </w:rPr>
              <w:fldChar w:fldCharType="separate"/>
            </w:r>
            <w:r>
              <w:rPr>
                <w:webHidden/>
              </w:rPr>
              <w:t>7</w:t>
            </w:r>
            <w:r w:rsidR="00876A46">
              <w:rPr>
                <w:webHidden/>
              </w:rPr>
              <w:fldChar w:fldCharType="end"/>
            </w:r>
          </w:hyperlink>
        </w:p>
        <w:p w14:paraId="5B33CCE8" w14:textId="71725234" w:rsidR="00876A46" w:rsidRDefault="0094275D">
          <w:pPr>
            <w:pStyle w:val="TOC1"/>
            <w:rPr>
              <w:rFonts w:asciiTheme="minorHAnsi" w:eastAsiaTheme="minorEastAsia" w:hAnsiTheme="minorHAnsi" w:cstheme="minorBidi"/>
              <w:color w:val="auto"/>
              <w:szCs w:val="22"/>
            </w:rPr>
          </w:pPr>
          <w:hyperlink w:anchor="_Toc432767009" w:history="1">
            <w:r w:rsidR="00876A46" w:rsidRPr="00D571C1">
              <w:rPr>
                <w:rStyle w:val="Hyperlink"/>
              </w:rPr>
              <w:t>IV.</w:t>
            </w:r>
            <w:r w:rsidR="00876A46">
              <w:rPr>
                <w:rFonts w:asciiTheme="minorHAnsi" w:eastAsiaTheme="minorEastAsia" w:hAnsiTheme="minorHAnsi" w:cstheme="minorBidi"/>
                <w:color w:val="auto"/>
                <w:szCs w:val="22"/>
              </w:rPr>
              <w:tab/>
            </w:r>
            <w:r w:rsidR="00876A46" w:rsidRPr="00D571C1">
              <w:rPr>
                <w:rStyle w:val="Hyperlink"/>
              </w:rPr>
              <w:t>Profile of RSP projects</w:t>
            </w:r>
            <w:r w:rsidR="00876A46">
              <w:rPr>
                <w:webHidden/>
              </w:rPr>
              <w:tab/>
            </w:r>
            <w:r w:rsidR="00876A46">
              <w:rPr>
                <w:webHidden/>
              </w:rPr>
              <w:fldChar w:fldCharType="begin"/>
            </w:r>
            <w:r w:rsidR="00876A46">
              <w:rPr>
                <w:webHidden/>
              </w:rPr>
              <w:instrText xml:space="preserve"> PAGEREF _Toc432767009 \h </w:instrText>
            </w:r>
            <w:r w:rsidR="00876A46">
              <w:rPr>
                <w:webHidden/>
              </w:rPr>
            </w:r>
            <w:r w:rsidR="00876A46">
              <w:rPr>
                <w:webHidden/>
              </w:rPr>
              <w:fldChar w:fldCharType="separate"/>
            </w:r>
            <w:r>
              <w:rPr>
                <w:webHidden/>
              </w:rPr>
              <w:t>10</w:t>
            </w:r>
            <w:r w:rsidR="00876A46">
              <w:rPr>
                <w:webHidden/>
              </w:rPr>
              <w:fldChar w:fldCharType="end"/>
            </w:r>
          </w:hyperlink>
        </w:p>
        <w:p w14:paraId="6D48C4E8" w14:textId="131CFCB8" w:rsidR="00876A46" w:rsidRDefault="0094275D">
          <w:pPr>
            <w:pStyle w:val="TOC1"/>
            <w:rPr>
              <w:rFonts w:asciiTheme="minorHAnsi" w:eastAsiaTheme="minorEastAsia" w:hAnsiTheme="minorHAnsi" w:cstheme="minorBidi"/>
              <w:color w:val="auto"/>
              <w:szCs w:val="22"/>
            </w:rPr>
          </w:pPr>
          <w:hyperlink w:anchor="_Toc432767010" w:history="1">
            <w:r w:rsidR="00876A46" w:rsidRPr="00D571C1">
              <w:rPr>
                <w:rStyle w:val="Hyperlink"/>
              </w:rPr>
              <w:t>V.</w:t>
            </w:r>
            <w:r w:rsidR="00876A46">
              <w:rPr>
                <w:rFonts w:asciiTheme="minorHAnsi" w:eastAsiaTheme="minorEastAsia" w:hAnsiTheme="minorHAnsi" w:cstheme="minorBidi"/>
                <w:color w:val="auto"/>
                <w:szCs w:val="22"/>
              </w:rPr>
              <w:tab/>
            </w:r>
            <w:r w:rsidR="00876A46" w:rsidRPr="00D571C1">
              <w:rPr>
                <w:rStyle w:val="Hyperlink"/>
              </w:rPr>
              <w:t>RSP views about collaboration with industry</w:t>
            </w:r>
            <w:r w:rsidR="00876A46">
              <w:rPr>
                <w:webHidden/>
              </w:rPr>
              <w:tab/>
            </w:r>
            <w:r w:rsidR="00876A46">
              <w:rPr>
                <w:webHidden/>
              </w:rPr>
              <w:fldChar w:fldCharType="begin"/>
            </w:r>
            <w:r w:rsidR="00876A46">
              <w:rPr>
                <w:webHidden/>
              </w:rPr>
              <w:instrText xml:space="preserve"> PAGEREF _Toc432767010 \h </w:instrText>
            </w:r>
            <w:r w:rsidR="00876A46">
              <w:rPr>
                <w:webHidden/>
              </w:rPr>
            </w:r>
            <w:r w:rsidR="00876A46">
              <w:rPr>
                <w:webHidden/>
              </w:rPr>
              <w:fldChar w:fldCharType="separate"/>
            </w:r>
            <w:r>
              <w:rPr>
                <w:webHidden/>
              </w:rPr>
              <w:t>12</w:t>
            </w:r>
            <w:r w:rsidR="00876A46">
              <w:rPr>
                <w:webHidden/>
              </w:rPr>
              <w:fldChar w:fldCharType="end"/>
            </w:r>
          </w:hyperlink>
        </w:p>
        <w:p w14:paraId="1BB6F650" w14:textId="4B3F44DB" w:rsidR="00876A46" w:rsidRDefault="0094275D">
          <w:pPr>
            <w:pStyle w:val="TOC1"/>
            <w:rPr>
              <w:rFonts w:asciiTheme="minorHAnsi" w:eastAsiaTheme="minorEastAsia" w:hAnsiTheme="minorHAnsi" w:cstheme="minorBidi"/>
              <w:color w:val="auto"/>
              <w:szCs w:val="22"/>
            </w:rPr>
          </w:pPr>
          <w:hyperlink w:anchor="_Toc432767011" w:history="1">
            <w:r w:rsidR="00876A46" w:rsidRPr="00D571C1">
              <w:rPr>
                <w:rStyle w:val="Hyperlink"/>
              </w:rPr>
              <w:t>VI.</w:t>
            </w:r>
            <w:r w:rsidR="00876A46">
              <w:rPr>
                <w:rFonts w:asciiTheme="minorHAnsi" w:eastAsiaTheme="minorEastAsia" w:hAnsiTheme="minorHAnsi" w:cstheme="minorBidi"/>
                <w:color w:val="auto"/>
                <w:szCs w:val="22"/>
              </w:rPr>
              <w:tab/>
            </w:r>
            <w:r w:rsidR="00876A46" w:rsidRPr="00D571C1">
              <w:rPr>
                <w:rStyle w:val="Hyperlink"/>
              </w:rPr>
              <w:t>RSP business development methods</w:t>
            </w:r>
            <w:r w:rsidR="00876A46">
              <w:rPr>
                <w:webHidden/>
              </w:rPr>
              <w:tab/>
            </w:r>
            <w:r w:rsidR="00876A46">
              <w:rPr>
                <w:webHidden/>
              </w:rPr>
              <w:fldChar w:fldCharType="begin"/>
            </w:r>
            <w:r w:rsidR="00876A46">
              <w:rPr>
                <w:webHidden/>
              </w:rPr>
              <w:instrText xml:space="preserve"> PAGEREF _Toc432767011 \h </w:instrText>
            </w:r>
            <w:r w:rsidR="00876A46">
              <w:rPr>
                <w:webHidden/>
              </w:rPr>
            </w:r>
            <w:r w:rsidR="00876A46">
              <w:rPr>
                <w:webHidden/>
              </w:rPr>
              <w:fldChar w:fldCharType="separate"/>
            </w:r>
            <w:r>
              <w:rPr>
                <w:webHidden/>
              </w:rPr>
              <w:t>14</w:t>
            </w:r>
            <w:r w:rsidR="00876A46">
              <w:rPr>
                <w:webHidden/>
              </w:rPr>
              <w:fldChar w:fldCharType="end"/>
            </w:r>
          </w:hyperlink>
        </w:p>
        <w:p w14:paraId="5514229E" w14:textId="758516E2" w:rsidR="00876A46" w:rsidRDefault="0094275D">
          <w:pPr>
            <w:pStyle w:val="TOC1"/>
            <w:rPr>
              <w:rFonts w:asciiTheme="minorHAnsi" w:eastAsiaTheme="minorEastAsia" w:hAnsiTheme="minorHAnsi" w:cstheme="minorBidi"/>
              <w:color w:val="auto"/>
              <w:szCs w:val="22"/>
            </w:rPr>
          </w:pPr>
          <w:hyperlink w:anchor="_Toc432767012" w:history="1">
            <w:r w:rsidR="00876A46" w:rsidRPr="00D571C1">
              <w:rPr>
                <w:rStyle w:val="Hyperlink"/>
              </w:rPr>
              <w:t>VII.</w:t>
            </w:r>
            <w:r w:rsidR="00876A46">
              <w:rPr>
                <w:rFonts w:asciiTheme="minorHAnsi" w:eastAsiaTheme="minorEastAsia" w:hAnsiTheme="minorHAnsi" w:cstheme="minorBidi"/>
                <w:color w:val="auto"/>
                <w:szCs w:val="22"/>
              </w:rPr>
              <w:tab/>
            </w:r>
            <w:r w:rsidR="00876A46" w:rsidRPr="00D571C1">
              <w:rPr>
                <w:rStyle w:val="Hyperlink"/>
              </w:rPr>
              <w:t>Future business opportunities for RSPs</w:t>
            </w:r>
            <w:r w:rsidR="00876A46">
              <w:rPr>
                <w:webHidden/>
              </w:rPr>
              <w:tab/>
            </w:r>
            <w:r w:rsidR="00876A46">
              <w:rPr>
                <w:webHidden/>
              </w:rPr>
              <w:fldChar w:fldCharType="begin"/>
            </w:r>
            <w:r w:rsidR="00876A46">
              <w:rPr>
                <w:webHidden/>
              </w:rPr>
              <w:instrText xml:space="preserve"> PAGEREF _Toc432767012 \h </w:instrText>
            </w:r>
            <w:r w:rsidR="00876A46">
              <w:rPr>
                <w:webHidden/>
              </w:rPr>
            </w:r>
            <w:r w:rsidR="00876A46">
              <w:rPr>
                <w:webHidden/>
              </w:rPr>
              <w:fldChar w:fldCharType="separate"/>
            </w:r>
            <w:r>
              <w:rPr>
                <w:webHidden/>
              </w:rPr>
              <w:t>16</w:t>
            </w:r>
            <w:r w:rsidR="00876A46">
              <w:rPr>
                <w:webHidden/>
              </w:rPr>
              <w:fldChar w:fldCharType="end"/>
            </w:r>
          </w:hyperlink>
        </w:p>
        <w:p w14:paraId="0080F326" w14:textId="036EBF8B" w:rsidR="00876A46" w:rsidRDefault="0094275D">
          <w:pPr>
            <w:pStyle w:val="TOC1"/>
            <w:rPr>
              <w:rFonts w:asciiTheme="minorHAnsi" w:eastAsiaTheme="minorEastAsia" w:hAnsiTheme="minorHAnsi" w:cstheme="minorBidi"/>
              <w:color w:val="auto"/>
              <w:szCs w:val="22"/>
            </w:rPr>
          </w:pPr>
          <w:hyperlink w:anchor="_Toc432767013" w:history="1">
            <w:r w:rsidR="00876A46" w:rsidRPr="00D571C1">
              <w:rPr>
                <w:rStyle w:val="Hyperlink"/>
              </w:rPr>
              <w:t>VIII.</w:t>
            </w:r>
            <w:r w:rsidR="00876A46">
              <w:rPr>
                <w:rFonts w:asciiTheme="minorHAnsi" w:eastAsiaTheme="minorEastAsia" w:hAnsiTheme="minorHAnsi" w:cstheme="minorBidi"/>
                <w:color w:val="auto"/>
                <w:szCs w:val="22"/>
              </w:rPr>
              <w:tab/>
            </w:r>
            <w:r w:rsidR="00876A46" w:rsidRPr="00D571C1">
              <w:rPr>
                <w:rStyle w:val="Hyperlink"/>
              </w:rPr>
              <w:t>Overall satisfaction with the RSP component of the R&amp;D Tax Incentive Programme</w:t>
            </w:r>
            <w:r w:rsidR="00876A46">
              <w:rPr>
                <w:webHidden/>
              </w:rPr>
              <w:tab/>
            </w:r>
            <w:r w:rsidR="00876A46">
              <w:rPr>
                <w:webHidden/>
              </w:rPr>
              <w:fldChar w:fldCharType="begin"/>
            </w:r>
            <w:r w:rsidR="00876A46">
              <w:rPr>
                <w:webHidden/>
              </w:rPr>
              <w:instrText xml:space="preserve"> PAGEREF _Toc432767013 \h </w:instrText>
            </w:r>
            <w:r w:rsidR="00876A46">
              <w:rPr>
                <w:webHidden/>
              </w:rPr>
            </w:r>
            <w:r w:rsidR="00876A46">
              <w:rPr>
                <w:webHidden/>
              </w:rPr>
              <w:fldChar w:fldCharType="separate"/>
            </w:r>
            <w:r>
              <w:rPr>
                <w:webHidden/>
              </w:rPr>
              <w:t>18</w:t>
            </w:r>
            <w:r w:rsidR="00876A46">
              <w:rPr>
                <w:webHidden/>
              </w:rPr>
              <w:fldChar w:fldCharType="end"/>
            </w:r>
          </w:hyperlink>
        </w:p>
        <w:p w14:paraId="3BD179D3" w14:textId="77777777" w:rsidR="00872986" w:rsidRDefault="00AB4651">
          <w:r w:rsidRPr="00B809B8">
            <w:rPr>
              <w:noProof/>
              <w:color w:val="172983"/>
              <w:sz w:val="28"/>
              <w:szCs w:val="28"/>
            </w:rPr>
            <w:fldChar w:fldCharType="end"/>
          </w:r>
        </w:p>
      </w:sdtContent>
    </w:sdt>
    <w:p w14:paraId="6E3B67B8" w14:textId="77777777" w:rsidR="00613369" w:rsidRDefault="00613369" w:rsidP="00837D9E">
      <w:pPr>
        <w:pStyle w:val="Heading1"/>
      </w:pPr>
      <w:bookmarkStart w:id="0" w:name="_Toc432767002"/>
      <w:r>
        <w:t>Executive Summary</w:t>
      </w:r>
      <w:bookmarkEnd w:id="0"/>
    </w:p>
    <w:p w14:paraId="7806F666" w14:textId="1039D990" w:rsidR="00B84C62" w:rsidRDefault="00B84C62" w:rsidP="000061E3">
      <w:pPr>
        <w:pStyle w:val="IntroductionText"/>
        <w:rPr>
          <w:rFonts w:asciiTheme="minorHAnsi" w:hAnsiTheme="minorHAnsi"/>
        </w:rPr>
      </w:pPr>
      <w:r>
        <w:rPr>
          <w:rFonts w:asciiTheme="minorHAnsi" w:hAnsiTheme="minorHAnsi"/>
        </w:rPr>
        <w:t>The Department</w:t>
      </w:r>
      <w:r w:rsidR="004B4EFA">
        <w:rPr>
          <w:rFonts w:asciiTheme="minorHAnsi" w:hAnsiTheme="minorHAnsi"/>
        </w:rPr>
        <w:t xml:space="preserve"> </w:t>
      </w:r>
      <w:r w:rsidR="004B4EFA" w:rsidRPr="00464E20">
        <w:rPr>
          <w:rFonts w:asciiTheme="minorHAnsi" w:hAnsiTheme="minorHAnsi"/>
        </w:rPr>
        <w:t>Industry</w:t>
      </w:r>
      <w:r w:rsidR="00152740">
        <w:rPr>
          <w:rFonts w:asciiTheme="minorHAnsi" w:hAnsiTheme="minorHAnsi"/>
        </w:rPr>
        <w:t>, Innovation</w:t>
      </w:r>
      <w:r w:rsidR="004B4EFA" w:rsidRPr="00464E20">
        <w:rPr>
          <w:rFonts w:asciiTheme="minorHAnsi" w:hAnsiTheme="minorHAnsi"/>
        </w:rPr>
        <w:t xml:space="preserve"> </w:t>
      </w:r>
      <w:r w:rsidR="004B4EFA">
        <w:rPr>
          <w:rFonts w:asciiTheme="minorHAnsi" w:hAnsiTheme="minorHAnsi"/>
        </w:rPr>
        <w:t>and Science</w:t>
      </w:r>
      <w:r>
        <w:rPr>
          <w:rFonts w:asciiTheme="minorHAnsi" w:hAnsiTheme="minorHAnsi"/>
        </w:rPr>
        <w:t xml:space="preserve"> </w:t>
      </w:r>
      <w:r w:rsidR="00376AD5">
        <w:rPr>
          <w:rFonts w:asciiTheme="minorHAnsi" w:hAnsiTheme="minorHAnsi"/>
        </w:rPr>
        <w:t xml:space="preserve">(the Department) </w:t>
      </w:r>
      <w:r>
        <w:rPr>
          <w:rFonts w:asciiTheme="minorHAnsi" w:hAnsiTheme="minorHAnsi"/>
        </w:rPr>
        <w:t xml:space="preserve">is currently reviewing the R&amp;D Tax Incentive </w:t>
      </w:r>
      <w:r w:rsidR="00376AD5">
        <w:rPr>
          <w:rFonts w:asciiTheme="minorHAnsi" w:hAnsiTheme="minorHAnsi"/>
        </w:rPr>
        <w:t>Programme (the P</w:t>
      </w:r>
      <w:r w:rsidR="004B4EFA">
        <w:rPr>
          <w:rFonts w:asciiTheme="minorHAnsi" w:hAnsiTheme="minorHAnsi"/>
        </w:rPr>
        <w:t>rogramme)</w:t>
      </w:r>
      <w:r>
        <w:rPr>
          <w:rFonts w:asciiTheme="minorHAnsi" w:hAnsiTheme="minorHAnsi"/>
        </w:rPr>
        <w:t>.</w:t>
      </w:r>
      <w:r w:rsidR="00376AD5">
        <w:rPr>
          <w:rFonts w:asciiTheme="minorHAnsi" w:hAnsiTheme="minorHAnsi"/>
        </w:rPr>
        <w:t xml:space="preserve"> </w:t>
      </w:r>
      <w:r>
        <w:rPr>
          <w:rFonts w:asciiTheme="minorHAnsi" w:hAnsiTheme="minorHAnsi"/>
        </w:rPr>
        <w:t xml:space="preserve">To inform the review, the Department </w:t>
      </w:r>
      <w:r w:rsidR="004B4EFA">
        <w:rPr>
          <w:rFonts w:asciiTheme="minorHAnsi" w:hAnsiTheme="minorHAnsi"/>
        </w:rPr>
        <w:t>engaged</w:t>
      </w:r>
      <w:r>
        <w:rPr>
          <w:rFonts w:asciiTheme="minorHAnsi" w:hAnsiTheme="minorHAnsi"/>
        </w:rPr>
        <w:t xml:space="preserve"> ORIMA Research to conduct an online </w:t>
      </w:r>
      <w:r w:rsidR="001C38A3">
        <w:rPr>
          <w:rFonts w:asciiTheme="minorHAnsi" w:hAnsiTheme="minorHAnsi"/>
        </w:rPr>
        <w:t>census</w:t>
      </w:r>
      <w:r>
        <w:rPr>
          <w:rFonts w:asciiTheme="minorHAnsi" w:hAnsiTheme="minorHAnsi"/>
        </w:rPr>
        <w:t xml:space="preserve"> of registered </w:t>
      </w:r>
      <w:r w:rsidR="00376AD5">
        <w:rPr>
          <w:rFonts w:asciiTheme="minorHAnsi" w:hAnsiTheme="minorHAnsi"/>
        </w:rPr>
        <w:t>Research Service Providers (</w:t>
      </w:r>
      <w:r>
        <w:rPr>
          <w:rFonts w:asciiTheme="minorHAnsi" w:hAnsiTheme="minorHAnsi"/>
        </w:rPr>
        <w:t>RSPs</w:t>
      </w:r>
      <w:r w:rsidR="00376AD5">
        <w:rPr>
          <w:rFonts w:asciiTheme="minorHAnsi" w:hAnsiTheme="minorHAnsi"/>
        </w:rPr>
        <w:t>) to obtain information on:</w:t>
      </w:r>
    </w:p>
    <w:p w14:paraId="3E27B14C" w14:textId="568571CE" w:rsidR="00B84C62" w:rsidRDefault="00B84C62" w:rsidP="00A560A6">
      <w:pPr>
        <w:pStyle w:val="ListBullet"/>
      </w:pPr>
      <w:r>
        <w:t>the profile of RSP clients and projects</w:t>
      </w:r>
      <w:r w:rsidR="007C7925">
        <w:t>;</w:t>
      </w:r>
    </w:p>
    <w:p w14:paraId="13C98F66" w14:textId="3BCA35A8" w:rsidR="00B84C62" w:rsidRDefault="00B84C62" w:rsidP="00A560A6">
      <w:pPr>
        <w:pStyle w:val="ListBullet"/>
      </w:pPr>
      <w:r>
        <w:t>RSP views on collaboration with industry and business development opportunities</w:t>
      </w:r>
      <w:r w:rsidR="007C7925">
        <w:t>;</w:t>
      </w:r>
      <w:r>
        <w:t xml:space="preserve"> and</w:t>
      </w:r>
    </w:p>
    <w:p w14:paraId="368EE6EA" w14:textId="77777777" w:rsidR="00B84C62" w:rsidRDefault="00B84C62" w:rsidP="00A560A6">
      <w:pPr>
        <w:pStyle w:val="ListBullet"/>
      </w:pPr>
      <w:proofErr w:type="gramStart"/>
      <w:r>
        <w:t>overall</w:t>
      </w:r>
      <w:proofErr w:type="gramEnd"/>
      <w:r>
        <w:t xml:space="preserve"> satisfaction with the RSP component of the </w:t>
      </w:r>
      <w:r w:rsidR="004B4EFA">
        <w:t>programme</w:t>
      </w:r>
      <w:r w:rsidR="00A560A6">
        <w:t>.</w:t>
      </w:r>
    </w:p>
    <w:p w14:paraId="233D74F4" w14:textId="1394CA4D" w:rsidR="00A560A6" w:rsidRDefault="00482384" w:rsidP="000061E3">
      <w:pPr>
        <w:pStyle w:val="IntroductionText"/>
        <w:rPr>
          <w:rFonts w:asciiTheme="minorHAnsi" w:hAnsiTheme="minorHAnsi"/>
        </w:rPr>
      </w:pPr>
      <w:r>
        <w:rPr>
          <w:rFonts w:asciiTheme="minorHAnsi" w:hAnsiTheme="minorHAnsi"/>
        </w:rPr>
        <w:t xml:space="preserve">The </w:t>
      </w:r>
      <w:r w:rsidR="001C38A3">
        <w:rPr>
          <w:rFonts w:asciiTheme="minorHAnsi" w:hAnsiTheme="minorHAnsi"/>
        </w:rPr>
        <w:t>census</w:t>
      </w:r>
      <w:r>
        <w:rPr>
          <w:rFonts w:asciiTheme="minorHAnsi" w:hAnsiTheme="minorHAnsi"/>
        </w:rPr>
        <w:t xml:space="preserve"> received responses from 100 o</w:t>
      </w:r>
      <w:r w:rsidR="004B4EFA">
        <w:rPr>
          <w:rFonts w:asciiTheme="minorHAnsi" w:hAnsiTheme="minorHAnsi"/>
        </w:rPr>
        <w:t>f the 195 RSPs invited to participate</w:t>
      </w:r>
      <w:r>
        <w:rPr>
          <w:rFonts w:asciiTheme="minorHAnsi" w:hAnsiTheme="minorHAnsi"/>
        </w:rPr>
        <w:t>,</w:t>
      </w:r>
      <w:r w:rsidR="004B4EFA">
        <w:rPr>
          <w:rFonts w:asciiTheme="minorHAnsi" w:hAnsiTheme="minorHAnsi"/>
        </w:rPr>
        <w:t xml:space="preserve"> </w:t>
      </w:r>
      <w:r w:rsidR="00A560A6">
        <w:rPr>
          <w:rFonts w:asciiTheme="minorHAnsi" w:hAnsiTheme="minorHAnsi"/>
        </w:rPr>
        <w:t>representing</w:t>
      </w:r>
      <w:r w:rsidR="004B4EFA">
        <w:rPr>
          <w:rFonts w:asciiTheme="minorHAnsi" w:hAnsiTheme="minorHAnsi"/>
        </w:rPr>
        <w:t xml:space="preserve"> a response rate of 51%</w:t>
      </w:r>
      <w:r w:rsidR="00816654">
        <w:rPr>
          <w:rFonts w:asciiTheme="minorHAnsi" w:hAnsiTheme="minorHAnsi"/>
        </w:rPr>
        <w:t>.</w:t>
      </w:r>
    </w:p>
    <w:p w14:paraId="5D699883" w14:textId="4C3D4D6E" w:rsidR="00482384" w:rsidRPr="00E66C0D" w:rsidRDefault="00482384" w:rsidP="00482384">
      <w:pPr>
        <w:pStyle w:val="IntroductionText"/>
        <w:rPr>
          <w:rFonts w:asciiTheme="minorHAnsi" w:hAnsiTheme="minorHAnsi"/>
        </w:rPr>
      </w:pPr>
      <w:r w:rsidRPr="00E66C0D">
        <w:rPr>
          <w:rFonts w:asciiTheme="minorHAnsi" w:hAnsiTheme="minorHAnsi"/>
        </w:rPr>
        <w:t>Key finding</w:t>
      </w:r>
      <w:r w:rsidR="00152740">
        <w:rPr>
          <w:rFonts w:asciiTheme="minorHAnsi" w:hAnsiTheme="minorHAnsi"/>
        </w:rPr>
        <w:t>s</w:t>
      </w:r>
      <w:r w:rsidRPr="00E66C0D">
        <w:rPr>
          <w:rFonts w:asciiTheme="minorHAnsi" w:hAnsiTheme="minorHAnsi"/>
        </w:rPr>
        <w:t xml:space="preserve"> of the survey were:</w:t>
      </w:r>
    </w:p>
    <w:p w14:paraId="370CB381" w14:textId="77777777" w:rsidR="00482384" w:rsidRDefault="00482384" w:rsidP="00482384">
      <w:pPr>
        <w:pStyle w:val="ListBullet"/>
      </w:pPr>
      <w:r w:rsidRPr="00E66C0D">
        <w:t>The majority of respondent RSPs (69%) were satisfied with their RSP registration, with only 1% reporting dissatisfaction.</w:t>
      </w:r>
    </w:p>
    <w:p w14:paraId="75C112DB" w14:textId="165C2123" w:rsidR="007C7925" w:rsidRPr="00E66C0D" w:rsidRDefault="007C7925" w:rsidP="007C7925">
      <w:pPr>
        <w:pStyle w:val="ListBullet2"/>
      </w:pPr>
      <w:r w:rsidRPr="00E66C0D">
        <w:t xml:space="preserve">The most common suggestion for improvement made by RSPs was </w:t>
      </w:r>
      <w:r>
        <w:t xml:space="preserve">to </w:t>
      </w:r>
      <w:r w:rsidRPr="00E66C0D">
        <w:t>more actively promote</w:t>
      </w:r>
      <w:r>
        <w:t xml:space="preserve"> and market </w:t>
      </w:r>
      <w:r w:rsidRPr="00E66C0D">
        <w:t>the RSP component of the R&amp;D Tax Incentive programme by industry and government. One suggested an RSP logo be created that could be used by RSPs in their marketing material, similar to companies with QA or ISO accreditation. Other suggested improvements included:</w:t>
      </w:r>
    </w:p>
    <w:p w14:paraId="0AFD4536" w14:textId="77777777" w:rsidR="007C7925" w:rsidRDefault="007C7925" w:rsidP="007C7925">
      <w:pPr>
        <w:pStyle w:val="ListBullet3"/>
      </w:pPr>
      <w:r>
        <w:t xml:space="preserve">improving the RSP website </w:t>
      </w:r>
      <w:r w:rsidRPr="009B5A99">
        <w:t xml:space="preserve">by providing links to particular research groups and providing </w:t>
      </w:r>
      <w:r>
        <w:t>excel</w:t>
      </w:r>
      <w:r w:rsidRPr="009B5A99">
        <w:t xml:space="preserve"> </w:t>
      </w:r>
      <w:r w:rsidRPr="005151F2">
        <w:t>template</w:t>
      </w:r>
      <w:r>
        <w:t>s</w:t>
      </w:r>
      <w:r w:rsidRPr="005151F2">
        <w:t xml:space="preserve"> </w:t>
      </w:r>
      <w:r>
        <w:t xml:space="preserve">to assist RSPs to </w:t>
      </w:r>
      <w:r w:rsidRPr="009B5A99">
        <w:t>collect</w:t>
      </w:r>
      <w:r>
        <w:t xml:space="preserve"> and report </w:t>
      </w:r>
      <w:r w:rsidRPr="009B5A99">
        <w:t>information</w:t>
      </w:r>
      <w:r>
        <w:t xml:space="preserve"> about the research categories of projects;</w:t>
      </w:r>
      <w:r w:rsidRPr="009B5A99">
        <w:t xml:space="preserve"> and</w:t>
      </w:r>
    </w:p>
    <w:p w14:paraId="3154E097" w14:textId="77777777" w:rsidR="007C7925" w:rsidRPr="009B5A99" w:rsidRDefault="007C7925" w:rsidP="007C7925">
      <w:pPr>
        <w:pStyle w:val="ListBullet3"/>
      </w:pPr>
      <w:proofErr w:type="gramStart"/>
      <w:r>
        <w:t>increasing</w:t>
      </w:r>
      <w:proofErr w:type="gramEnd"/>
      <w:r>
        <w:t xml:space="preserve"> the duration of RSP registration so it is not necessary to register every year.</w:t>
      </w:r>
    </w:p>
    <w:p w14:paraId="7D4F3480" w14:textId="77777777" w:rsidR="00482384" w:rsidRPr="00E66C0D" w:rsidRDefault="00482384" w:rsidP="00482384">
      <w:pPr>
        <w:pStyle w:val="ListBullet"/>
      </w:pPr>
      <w:r w:rsidRPr="00E66C0D">
        <w:t>Nearly all respondent RSPs (96%) indicated that they intended to maintain their registration as an RSP in future years.</w:t>
      </w:r>
    </w:p>
    <w:p w14:paraId="629E0E21" w14:textId="2038CEA2" w:rsidR="00482384" w:rsidRPr="00E66C0D" w:rsidRDefault="00482384" w:rsidP="00482384">
      <w:pPr>
        <w:pStyle w:val="ListBullet"/>
      </w:pPr>
      <w:r w:rsidRPr="00E66C0D">
        <w:t>The most significant benefit of RSP registration was adding credibility and reputation to RSP credentials (agreed by 81% of respondent RSPs).</w:t>
      </w:r>
    </w:p>
    <w:p w14:paraId="6490FD19" w14:textId="43B2BAC5" w:rsidR="00482384" w:rsidRPr="00E66C0D" w:rsidRDefault="00482384" w:rsidP="00482384">
      <w:pPr>
        <w:pStyle w:val="ListBullet2"/>
      </w:pPr>
      <w:r w:rsidRPr="00E66C0D">
        <w:t>Other key benefits related to enhancing</w:t>
      </w:r>
      <w:r w:rsidR="00294141">
        <w:t xml:space="preserve"> the visible profile of RSPs (49%), increasing revenue (45</w:t>
      </w:r>
      <w:r w:rsidRPr="00E66C0D">
        <w:t>%) and attracting additional clients for R&amp;D services (38%).</w:t>
      </w:r>
    </w:p>
    <w:p w14:paraId="294AA49D" w14:textId="2E3FC74F" w:rsidR="00482384" w:rsidRPr="00E66C0D" w:rsidRDefault="007C7925" w:rsidP="007C7925">
      <w:pPr>
        <w:pStyle w:val="ListBullet"/>
      </w:pPr>
      <w:r>
        <w:t xml:space="preserve">Most RSPs (55%) </w:t>
      </w:r>
      <w:r w:rsidR="003B2A2C">
        <w:t xml:space="preserve">indicated </w:t>
      </w:r>
      <w:r>
        <w:t xml:space="preserve">that </w:t>
      </w:r>
      <w:r w:rsidR="00482384" w:rsidRPr="00E66C0D">
        <w:t xml:space="preserve">the administrative burden of the RSP component of the programme is </w:t>
      </w:r>
      <w:r>
        <w:t xml:space="preserve">minimal or low, with 9% </w:t>
      </w:r>
      <w:r w:rsidR="003B2A2C">
        <w:t xml:space="preserve">indicating that </w:t>
      </w:r>
      <w:r w:rsidR="00482384" w:rsidRPr="00E66C0D">
        <w:t xml:space="preserve">there </w:t>
      </w:r>
      <w:r>
        <w:t>is</w:t>
      </w:r>
      <w:r w:rsidR="00482384" w:rsidRPr="00E66C0D">
        <w:t xml:space="preserve"> a </w:t>
      </w:r>
      <w:r>
        <w:t>high</w:t>
      </w:r>
      <w:r w:rsidR="00482384" w:rsidRPr="00E66C0D">
        <w:t xml:space="preserve"> level of burden.</w:t>
      </w:r>
    </w:p>
    <w:p w14:paraId="2F99F088" w14:textId="77777777" w:rsidR="00482384" w:rsidRPr="00E66C0D" w:rsidRDefault="00482384" w:rsidP="00482384">
      <w:pPr>
        <w:pStyle w:val="ListBullet"/>
      </w:pPr>
      <w:r w:rsidRPr="00E66C0D">
        <w:t>Two-thirds of respondent RSPs (67%) reported they had been registered under the previous Registered Research Agencies (RRA) system under the former R&amp;D Tax Concession. Of these, 24% considered the current RSP registration was better than the previous RRA system, with the remainder reporting that it was about the same.</w:t>
      </w:r>
    </w:p>
    <w:p w14:paraId="54E06541" w14:textId="77777777" w:rsidR="008B56D6" w:rsidRDefault="007C7925" w:rsidP="00565DA8">
      <w:pPr>
        <w:pStyle w:val="ListBullet"/>
        <w:jc w:val="left"/>
      </w:pPr>
      <w:r>
        <w:t xml:space="preserve">Just over </w:t>
      </w:r>
      <w:r w:rsidR="005158B7">
        <w:t>one</w:t>
      </w:r>
      <w:r w:rsidR="00294141">
        <w:t>-third</w:t>
      </w:r>
      <w:r>
        <w:t xml:space="preserve"> of RSPs (38%) reported that they provided R&amp;D services to clients </w:t>
      </w:r>
      <w:r w:rsidR="005158B7">
        <w:t xml:space="preserve">who engaged either directly or indirectly through the RSP component of the R&amp;D Tax Incentive Programme </w:t>
      </w:r>
      <w:r w:rsidR="00DB07C3">
        <w:t>in 2014 to 2015</w:t>
      </w:r>
      <w:r>
        <w:t xml:space="preserve">. </w:t>
      </w:r>
      <w:r w:rsidR="00294141">
        <w:t xml:space="preserve">Data provided </w:t>
      </w:r>
      <w:r w:rsidR="00837D9E">
        <w:t xml:space="preserve">through the survey showed that there were 933 clients serviced across 32 RSPs </w:t>
      </w:r>
      <w:r w:rsidR="00DB07C3">
        <w:t>in 2014 to 2015</w:t>
      </w:r>
      <w:r w:rsidR="00837D9E">
        <w:t>, of which a</w:t>
      </w:r>
      <w:r>
        <w:t>round half of the total clients</w:t>
      </w:r>
      <w:r w:rsidR="00482384" w:rsidRPr="00E66C0D">
        <w:t xml:space="preserve"> </w:t>
      </w:r>
      <w:r>
        <w:t>were RSP-related.</w:t>
      </w:r>
    </w:p>
    <w:p w14:paraId="76AB3316" w14:textId="775D645E" w:rsidR="00482384" w:rsidRPr="00E66C0D" w:rsidRDefault="00482384" w:rsidP="00565DA8">
      <w:pPr>
        <w:pStyle w:val="ListBullet"/>
        <w:jc w:val="left"/>
      </w:pPr>
      <w:r w:rsidRPr="008B56D6">
        <w:rPr>
          <w:rFonts w:asciiTheme="minorHAnsi" w:hAnsiTheme="minorHAnsi"/>
        </w:rPr>
        <w:t xml:space="preserve">The most common of RSP-related clients were from the private sector, </w:t>
      </w:r>
      <w:r w:rsidRPr="00E66C0D">
        <w:t>with 31% of clients being from large business</w:t>
      </w:r>
      <w:r w:rsidR="00294141">
        <w:t>es (more than 200 employees), 26</w:t>
      </w:r>
      <w:r w:rsidRPr="00E66C0D">
        <w:t>% from small businesses (less than 20 employees) and 18% f</w:t>
      </w:r>
      <w:r w:rsidR="00DB07C3">
        <w:t xml:space="preserve">rom medium-sized businesses (20 to </w:t>
      </w:r>
      <w:r w:rsidRPr="00E66C0D">
        <w:t>99 employees).</w:t>
      </w:r>
    </w:p>
    <w:p w14:paraId="20D3D838" w14:textId="3691D886" w:rsidR="00482384" w:rsidRDefault="00482384" w:rsidP="001015DF">
      <w:pPr>
        <w:pStyle w:val="ListBullet2"/>
      </w:pPr>
      <w:r w:rsidRPr="00E66C0D">
        <w:t>The majority of clients were from the Agriculture, Forestry and Fishing sector (45%)</w:t>
      </w:r>
      <w:r w:rsidR="00906E64">
        <w:t xml:space="preserve">. However, this </w:t>
      </w:r>
      <w:r w:rsidR="00906E64" w:rsidRPr="00666DB3">
        <w:t>was largely attributed to a single RSP who reported that they ha</w:t>
      </w:r>
      <w:r w:rsidR="00906E64">
        <w:t>d</w:t>
      </w:r>
      <w:r w:rsidR="00906E64" w:rsidRPr="00666DB3">
        <w:t xml:space="preserve"> 90</w:t>
      </w:r>
      <w:r w:rsidR="00DB07C3">
        <w:t xml:space="preserve"> clients in 2014 to 2015</w:t>
      </w:r>
      <w:r w:rsidR="00906E64" w:rsidRPr="00666DB3">
        <w:t xml:space="preserve"> (19% of the total number of reported clients)</w:t>
      </w:r>
      <w:r w:rsidR="00906E64">
        <w:t xml:space="preserve">. </w:t>
      </w:r>
      <w:r w:rsidR="00307377">
        <w:t xml:space="preserve">Without this RSP, the proportion of clients in the </w:t>
      </w:r>
      <w:r w:rsidR="00307377" w:rsidRPr="00E66C0D">
        <w:t>Agriculture, Forestry and Fishing sector</w:t>
      </w:r>
      <w:r w:rsidR="00307377">
        <w:t xml:space="preserve"> would be 16%. </w:t>
      </w:r>
      <w:r w:rsidR="00906E64">
        <w:t>T</w:t>
      </w:r>
      <w:r w:rsidRPr="00E66C0D">
        <w:t xml:space="preserve">he next largest sectors </w:t>
      </w:r>
      <w:r w:rsidR="00906E64">
        <w:t>were</w:t>
      </w:r>
      <w:r w:rsidRPr="00E66C0D">
        <w:t xml:space="preserve"> Mining (16%) and the Professional, Scientific and Technical Services sector (14%).</w:t>
      </w:r>
    </w:p>
    <w:p w14:paraId="7A1A8E51" w14:textId="04ED3EEF" w:rsidR="00482384" w:rsidRDefault="00482384" w:rsidP="00482384">
      <w:pPr>
        <w:pStyle w:val="ListBullet2"/>
      </w:pPr>
      <w:r w:rsidRPr="00E66C0D">
        <w:t xml:space="preserve">The Agriculture, Forestry and Fishing and Manufacturing sectors were most commonly cited by RSPs as large RSP-related research spenders (accounting for 39% and 36% of the </w:t>
      </w:r>
      <w:r w:rsidR="007C7925">
        <w:t>$105 million generated in</w:t>
      </w:r>
      <w:r w:rsidR="00DB07C3">
        <w:t xml:space="preserve"> revenue in 2014 to 2015</w:t>
      </w:r>
      <w:r w:rsidR="007C7925">
        <w:t xml:space="preserve"> as reported through this survey</w:t>
      </w:r>
      <w:r w:rsidRPr="00E66C0D">
        <w:t>).</w:t>
      </w:r>
    </w:p>
    <w:p w14:paraId="67D2BF8C" w14:textId="5462D5AD" w:rsidR="00482384" w:rsidRPr="00E66C0D" w:rsidRDefault="00482384" w:rsidP="00482384">
      <w:pPr>
        <w:pStyle w:val="ListBullet"/>
        <w:rPr>
          <w:rFonts w:asciiTheme="minorHAnsi" w:hAnsiTheme="minorHAnsi"/>
        </w:rPr>
      </w:pPr>
      <w:r w:rsidRPr="00E66C0D">
        <w:t>RSPs are very diverse in terms of the volume of R&amp;D activity they conduct, with the number of RSP-rela</w:t>
      </w:r>
      <w:r w:rsidR="00DB07C3">
        <w:t>ted projects undertaken in 2014 to 20</w:t>
      </w:r>
      <w:r w:rsidRPr="00E66C0D">
        <w:t>15 reported ranging from one to 550.</w:t>
      </w:r>
    </w:p>
    <w:p w14:paraId="1B0B3D19" w14:textId="0CD24D65" w:rsidR="00482384" w:rsidRPr="00307377" w:rsidRDefault="00482384" w:rsidP="00545A68">
      <w:pPr>
        <w:pStyle w:val="ListBullet2"/>
        <w:rPr>
          <w:rFonts w:asciiTheme="minorHAnsi" w:hAnsiTheme="minorHAnsi"/>
        </w:rPr>
      </w:pPr>
      <w:r w:rsidRPr="00E66C0D">
        <w:t xml:space="preserve">Almost half </w:t>
      </w:r>
      <w:r w:rsidR="00DB07C3">
        <w:t>of RSP-related projects in 2014 to 2015</w:t>
      </w:r>
      <w:r w:rsidRPr="00E66C0D">
        <w:t xml:space="preserve"> (48%) were in the field of Agricultural, Veterinary and Environmental Science</w:t>
      </w:r>
      <w:r w:rsidR="00906E64">
        <w:t>. Again, this was significantly attributed to one RSP (as noted above) who reported that they undertook 550 RSP-related</w:t>
      </w:r>
      <w:r w:rsidR="00DB07C3">
        <w:t xml:space="preserve"> projects in this field in 2014 to 2015</w:t>
      </w:r>
      <w:r w:rsidR="00906E64">
        <w:t xml:space="preserve"> (representing 36% of the total number of reported projects). </w:t>
      </w:r>
      <w:r w:rsidR="00307377">
        <w:t xml:space="preserve">Without this RSP, the proportion of projects </w:t>
      </w:r>
      <w:r w:rsidR="00307377" w:rsidRPr="00E66C0D">
        <w:t>in the field of Agricultural, Veterinary and Environmental Science</w:t>
      </w:r>
      <w:r w:rsidR="00307377">
        <w:t xml:space="preserve"> would be 12%. </w:t>
      </w:r>
      <w:r w:rsidR="00906E64">
        <w:t>T</w:t>
      </w:r>
      <w:r w:rsidRPr="00E66C0D">
        <w:t xml:space="preserve">he next largest field </w:t>
      </w:r>
      <w:r w:rsidR="00906E64">
        <w:t>was</w:t>
      </w:r>
      <w:r w:rsidRPr="00E66C0D">
        <w:t xml:space="preserve"> Biological Sciences (13%).</w:t>
      </w:r>
    </w:p>
    <w:p w14:paraId="19339664" w14:textId="77777777" w:rsidR="00482384" w:rsidRPr="00E66C0D" w:rsidRDefault="00482384" w:rsidP="00482384">
      <w:pPr>
        <w:pStyle w:val="ListBullet2"/>
      </w:pPr>
      <w:r w:rsidRPr="00E66C0D">
        <w:t>The level of client involvement also varied considerably between the RSPs, with 37% of RSP respondents reporting that their clients were not involved and 25% reporting their clients were actively involved.</w:t>
      </w:r>
    </w:p>
    <w:p w14:paraId="5AE8B8B2" w14:textId="5E0FCA8B" w:rsidR="00482384" w:rsidRPr="007C7925" w:rsidRDefault="00482384" w:rsidP="00E47AB1">
      <w:pPr>
        <w:pStyle w:val="ListBullet"/>
        <w:rPr>
          <w:rFonts w:asciiTheme="minorHAnsi" w:hAnsiTheme="minorHAnsi"/>
        </w:rPr>
      </w:pPr>
      <w:r w:rsidRPr="007C7925">
        <w:rPr>
          <w:rFonts w:asciiTheme="minorHAnsi" w:hAnsiTheme="minorHAnsi"/>
        </w:rPr>
        <w:t>M</w:t>
      </w:r>
      <w:r w:rsidRPr="00E66C0D">
        <w:t xml:space="preserve">ost RSPs </w:t>
      </w:r>
      <w:r w:rsidR="003B2A2C">
        <w:t xml:space="preserve">believe that </w:t>
      </w:r>
      <w:r w:rsidRPr="00E66C0D">
        <w:t xml:space="preserve">there are valuable opportunities for collaboration with industry: 42% </w:t>
      </w:r>
      <w:r w:rsidR="00A51A7E">
        <w:t>of respon</w:t>
      </w:r>
      <w:r w:rsidR="001C38A3">
        <w:t>dents</w:t>
      </w:r>
      <w:r w:rsidR="00A51A7E">
        <w:t xml:space="preserve"> indicated that</w:t>
      </w:r>
      <w:r w:rsidR="00A51A7E" w:rsidRPr="00E66C0D">
        <w:t xml:space="preserve"> </w:t>
      </w:r>
      <w:r w:rsidRPr="00E66C0D">
        <w:t xml:space="preserve">there are a large number of highly valuable opportunities for more collaboration with industry; and a further 25% </w:t>
      </w:r>
      <w:r w:rsidR="00A51A7E">
        <w:t>indicated</w:t>
      </w:r>
      <w:r w:rsidR="00A51A7E" w:rsidRPr="00E66C0D">
        <w:t xml:space="preserve"> </w:t>
      </w:r>
      <w:r w:rsidRPr="00E66C0D">
        <w:t>there are a few highly valuable opportunities for collaboration.</w:t>
      </w:r>
      <w:r w:rsidR="007C7925">
        <w:t xml:space="preserve"> </w:t>
      </w:r>
      <w:r w:rsidRPr="007C7925">
        <w:rPr>
          <w:rFonts w:asciiTheme="minorHAnsi" w:hAnsiTheme="minorHAnsi"/>
        </w:rPr>
        <w:t>T</w:t>
      </w:r>
      <w:r w:rsidRPr="00E66C0D">
        <w:t>he largest perceived barriers to collaboration with industry were:</w:t>
      </w:r>
    </w:p>
    <w:p w14:paraId="2D025F67" w14:textId="3C50ACD2" w:rsidR="00482384" w:rsidRPr="00482384" w:rsidRDefault="00482384" w:rsidP="007C7925">
      <w:pPr>
        <w:pStyle w:val="ListBullet2"/>
      </w:pPr>
      <w:r w:rsidRPr="00482384">
        <w:t>the ability of businesses to finance research activities (considered a large barrier by 66% of RSPs)</w:t>
      </w:r>
      <w:r>
        <w:t>;</w:t>
      </w:r>
    </w:p>
    <w:p w14:paraId="4F12CAFC" w14:textId="3550873E" w:rsidR="00482384" w:rsidRPr="00482384" w:rsidRDefault="00482384" w:rsidP="007C7925">
      <w:pPr>
        <w:pStyle w:val="ListBullet2"/>
      </w:pPr>
      <w:r w:rsidRPr="00482384">
        <w:t>business/industry lack of awareness of the potential benefits of conducting R&amp;D (49%</w:t>
      </w:r>
      <w:r>
        <w:t>);</w:t>
      </w:r>
      <w:r w:rsidRPr="00482384">
        <w:t xml:space="preserve"> and</w:t>
      </w:r>
    </w:p>
    <w:p w14:paraId="1F01F3D9" w14:textId="453A6AC2" w:rsidR="00482384" w:rsidRPr="00482384" w:rsidRDefault="00482384" w:rsidP="007C7925">
      <w:pPr>
        <w:pStyle w:val="ListBullet2"/>
      </w:pPr>
      <w:proofErr w:type="gramStart"/>
      <w:r w:rsidRPr="00482384">
        <w:t>business/industry</w:t>
      </w:r>
      <w:proofErr w:type="gramEnd"/>
      <w:r w:rsidRPr="00482384">
        <w:t xml:space="preserve"> lack of knowledge about research services being offered (44%).</w:t>
      </w:r>
    </w:p>
    <w:p w14:paraId="28F49E8E" w14:textId="77777777" w:rsidR="00482384" w:rsidRPr="00E66C0D" w:rsidRDefault="00482384" w:rsidP="00482384">
      <w:pPr>
        <w:pStyle w:val="ListBullet"/>
      </w:pPr>
      <w:r w:rsidRPr="00E66C0D">
        <w:t>The most common method used to promote R&amp;D-related services was word of mouth/networking (cited by 75% of respondent RSPs), which was also by far the most successful method used by RSPs (reported by 50% of RSPs that use this method).</w:t>
      </w:r>
    </w:p>
    <w:p w14:paraId="4B737571" w14:textId="2A04AF2D" w:rsidR="00482384" w:rsidRPr="00E66C0D" w:rsidRDefault="00482384" w:rsidP="00482384">
      <w:pPr>
        <w:pStyle w:val="ListBullet2"/>
      </w:pPr>
      <w:r w:rsidRPr="00E66C0D">
        <w:t>Other commonly used methods, such as repeat business (</w:t>
      </w:r>
      <w:r w:rsidR="007C7925">
        <w:t>used by 62% of responding RSPs</w:t>
      </w:r>
      <w:r w:rsidRPr="00E66C0D">
        <w:t>) and tender/grant applications</w:t>
      </w:r>
      <w:r w:rsidR="007C7925">
        <w:t xml:space="preserve"> (53</w:t>
      </w:r>
      <w:r w:rsidRPr="00E66C0D">
        <w:t>%), tended to have a lower success rate</w:t>
      </w:r>
      <w:r w:rsidR="007C7925">
        <w:t xml:space="preserve"> (reported by 23% and 12% of the RSPs that used each of these methods respectively)</w:t>
      </w:r>
      <w:r w:rsidRPr="00E66C0D">
        <w:t>.</w:t>
      </w:r>
    </w:p>
    <w:p w14:paraId="276D514F" w14:textId="77777777" w:rsidR="00482384" w:rsidRPr="00E66C0D" w:rsidRDefault="00482384" w:rsidP="00482384">
      <w:pPr>
        <w:pStyle w:val="ListBullet"/>
        <w:rPr>
          <w:b/>
        </w:rPr>
      </w:pPr>
      <w:r w:rsidRPr="00E66C0D">
        <w:t>A significant majority (60%) of respondent RSPs indicated that there was at least one particular industry sector they would like to conduct R&amp;D services for, but have not been yet able to engage with.</w:t>
      </w:r>
    </w:p>
    <w:p w14:paraId="27D514B3" w14:textId="77777777" w:rsidR="00482384" w:rsidRDefault="00482384" w:rsidP="00482384">
      <w:pPr>
        <w:pStyle w:val="ListBullet2"/>
      </w:pPr>
      <w:r>
        <w:t>The most common opportunities identified for future R&amp;D services were in the Agriculture, Forestry and Fishing and the Professional, Scientific and Technical Services sectors (with 48% of RSPs identifying each of these). A significant proportion of RSPs also nominated Manufacturing (45%), Mining (40%) and Health Care and Social Assistance (38%) as sectors offering potential business opportunities.</w:t>
      </w:r>
    </w:p>
    <w:p w14:paraId="7683B5D6" w14:textId="77777777" w:rsidR="00A3245F" w:rsidRDefault="00B809B8" w:rsidP="00837D9E">
      <w:pPr>
        <w:pStyle w:val="Heading1"/>
      </w:pPr>
      <w:bookmarkStart w:id="1" w:name="_Toc432767003"/>
      <w:r>
        <w:t>Introduction</w:t>
      </w:r>
      <w:bookmarkEnd w:id="1"/>
    </w:p>
    <w:p w14:paraId="35E3DAF6" w14:textId="77777777" w:rsidR="00EA6995" w:rsidRPr="00EA6995" w:rsidRDefault="00EA6995" w:rsidP="00A560A6">
      <w:pPr>
        <w:pStyle w:val="Heading2"/>
      </w:pPr>
      <w:bookmarkStart w:id="2" w:name="_Toc432767004"/>
      <w:r w:rsidRPr="00EA6995">
        <w:t>Background</w:t>
      </w:r>
      <w:bookmarkEnd w:id="2"/>
    </w:p>
    <w:p w14:paraId="0153F1E7" w14:textId="76E03355" w:rsidR="009252D1" w:rsidRPr="00464E20" w:rsidRDefault="009252D1" w:rsidP="009252D1">
      <w:pPr>
        <w:pStyle w:val="IntroductionText"/>
        <w:rPr>
          <w:rFonts w:asciiTheme="minorHAnsi" w:hAnsiTheme="minorHAnsi"/>
        </w:rPr>
      </w:pPr>
      <w:r w:rsidRPr="00464E20">
        <w:rPr>
          <w:rFonts w:asciiTheme="minorHAnsi" w:hAnsiTheme="minorHAnsi"/>
        </w:rPr>
        <w:t>The Department of Industry</w:t>
      </w:r>
      <w:r w:rsidR="008E7CF4">
        <w:rPr>
          <w:rFonts w:asciiTheme="minorHAnsi" w:hAnsiTheme="minorHAnsi"/>
        </w:rPr>
        <w:t>, Innovation</w:t>
      </w:r>
      <w:r w:rsidRPr="00464E20">
        <w:rPr>
          <w:rFonts w:asciiTheme="minorHAnsi" w:hAnsiTheme="minorHAnsi"/>
        </w:rPr>
        <w:t xml:space="preserve"> </w:t>
      </w:r>
      <w:r>
        <w:rPr>
          <w:rFonts w:asciiTheme="minorHAnsi" w:hAnsiTheme="minorHAnsi"/>
        </w:rPr>
        <w:t xml:space="preserve">and Science (the Department) jointly </w:t>
      </w:r>
      <w:r w:rsidRPr="00464E20">
        <w:rPr>
          <w:rFonts w:asciiTheme="minorHAnsi" w:hAnsiTheme="minorHAnsi"/>
        </w:rPr>
        <w:t xml:space="preserve">administers the R&amp;D Tax </w:t>
      </w:r>
      <w:r>
        <w:rPr>
          <w:rFonts w:asciiTheme="minorHAnsi" w:hAnsiTheme="minorHAnsi"/>
        </w:rPr>
        <w:t xml:space="preserve">Incentive </w:t>
      </w:r>
      <w:r w:rsidRPr="00464E20">
        <w:rPr>
          <w:rFonts w:asciiTheme="minorHAnsi" w:hAnsiTheme="minorHAnsi"/>
        </w:rPr>
        <w:t>Programme</w:t>
      </w:r>
      <w:r>
        <w:rPr>
          <w:rFonts w:asciiTheme="minorHAnsi" w:hAnsiTheme="minorHAnsi"/>
        </w:rPr>
        <w:t xml:space="preserve"> </w:t>
      </w:r>
      <w:r w:rsidR="00A560A6">
        <w:rPr>
          <w:rFonts w:asciiTheme="minorHAnsi" w:hAnsiTheme="minorHAnsi"/>
        </w:rPr>
        <w:t xml:space="preserve">(the Programme) </w:t>
      </w:r>
      <w:r>
        <w:rPr>
          <w:rFonts w:asciiTheme="minorHAnsi" w:hAnsiTheme="minorHAnsi"/>
        </w:rPr>
        <w:t>with the Australian Taxation Office and shares</w:t>
      </w:r>
      <w:r w:rsidR="00A560A6">
        <w:rPr>
          <w:rFonts w:asciiTheme="minorHAnsi" w:hAnsiTheme="minorHAnsi"/>
        </w:rPr>
        <w:t xml:space="preserve"> policy responsibility for the Programme with Treasury. The P</w:t>
      </w:r>
      <w:r>
        <w:rPr>
          <w:rFonts w:asciiTheme="minorHAnsi" w:hAnsiTheme="minorHAnsi"/>
        </w:rPr>
        <w:t>rogramme</w:t>
      </w:r>
      <w:r w:rsidRPr="00464E20">
        <w:rPr>
          <w:rFonts w:asciiTheme="minorHAnsi" w:hAnsiTheme="minorHAnsi"/>
        </w:rPr>
        <w:t xml:space="preserve"> offers tax offsets that reduce the costs to business of undertaking R&amp;D activities and also helps to bring businesses and researchers together through the Research Service Provider (RSP) </w:t>
      </w:r>
      <w:r>
        <w:rPr>
          <w:rFonts w:asciiTheme="minorHAnsi" w:hAnsiTheme="minorHAnsi"/>
        </w:rPr>
        <w:t>component of the</w:t>
      </w:r>
      <w:r w:rsidRPr="00464E20">
        <w:rPr>
          <w:rFonts w:asciiTheme="minorHAnsi" w:hAnsiTheme="minorHAnsi"/>
        </w:rPr>
        <w:t xml:space="preserve"> </w:t>
      </w:r>
      <w:r>
        <w:rPr>
          <w:rFonts w:asciiTheme="minorHAnsi" w:hAnsiTheme="minorHAnsi"/>
        </w:rPr>
        <w:t>p</w:t>
      </w:r>
      <w:r w:rsidRPr="00464E20">
        <w:rPr>
          <w:rFonts w:asciiTheme="minorHAnsi" w:hAnsiTheme="minorHAnsi"/>
        </w:rPr>
        <w:t>rogramme.</w:t>
      </w:r>
    </w:p>
    <w:p w14:paraId="0C73D8ED" w14:textId="4B805D33" w:rsidR="00372222" w:rsidRDefault="009252D1" w:rsidP="009252D1">
      <w:pPr>
        <w:pStyle w:val="IntroductionText"/>
        <w:rPr>
          <w:rFonts w:asciiTheme="minorHAnsi" w:hAnsiTheme="minorHAnsi"/>
        </w:rPr>
      </w:pPr>
      <w:r>
        <w:rPr>
          <w:rFonts w:asciiTheme="minorHAnsi" w:hAnsiTheme="minorHAnsi"/>
        </w:rPr>
        <w:t>The Department is currently reviewing the R&amp;D Tax Incentive to assess its appropriateness, effectiveness and efficiency.</w:t>
      </w:r>
      <w:r w:rsidR="00376AD5">
        <w:rPr>
          <w:rFonts w:asciiTheme="minorHAnsi" w:hAnsiTheme="minorHAnsi"/>
        </w:rPr>
        <w:t xml:space="preserve"> </w:t>
      </w:r>
      <w:r>
        <w:rPr>
          <w:rFonts w:asciiTheme="minorHAnsi" w:hAnsiTheme="minorHAnsi"/>
        </w:rPr>
        <w:t>An important consideration in this context is the effectiveness of the RSP</w:t>
      </w:r>
      <w:r w:rsidRPr="00464E20">
        <w:rPr>
          <w:rFonts w:asciiTheme="minorHAnsi" w:hAnsiTheme="minorHAnsi"/>
        </w:rPr>
        <w:t xml:space="preserve"> </w:t>
      </w:r>
      <w:r>
        <w:rPr>
          <w:rFonts w:asciiTheme="minorHAnsi" w:hAnsiTheme="minorHAnsi"/>
        </w:rPr>
        <w:t>element of the programme.</w:t>
      </w:r>
      <w:r w:rsidR="00376AD5">
        <w:rPr>
          <w:rFonts w:asciiTheme="minorHAnsi" w:hAnsiTheme="minorHAnsi"/>
        </w:rPr>
        <w:t xml:space="preserve"> </w:t>
      </w:r>
      <w:r w:rsidR="00372222">
        <w:rPr>
          <w:rFonts w:asciiTheme="minorHAnsi" w:hAnsiTheme="minorHAnsi"/>
        </w:rPr>
        <w:t>To inform the review and</w:t>
      </w:r>
      <w:r w:rsidR="00372222" w:rsidRPr="00372222">
        <w:rPr>
          <w:rFonts w:asciiTheme="minorHAnsi" w:hAnsiTheme="minorHAnsi"/>
        </w:rPr>
        <w:t xml:space="preserve"> </w:t>
      </w:r>
      <w:r w:rsidR="00A560A6">
        <w:rPr>
          <w:rFonts w:asciiTheme="minorHAnsi" w:hAnsiTheme="minorHAnsi"/>
        </w:rPr>
        <w:t xml:space="preserve">to </w:t>
      </w:r>
      <w:r w:rsidR="00372222" w:rsidRPr="00464E20">
        <w:rPr>
          <w:rFonts w:asciiTheme="minorHAnsi" w:hAnsiTheme="minorHAnsi"/>
        </w:rPr>
        <w:t xml:space="preserve">help </w:t>
      </w:r>
      <w:r w:rsidR="00372222">
        <w:rPr>
          <w:rFonts w:asciiTheme="minorHAnsi" w:hAnsiTheme="minorHAnsi"/>
        </w:rPr>
        <w:t xml:space="preserve">in the development of potential enhancements to </w:t>
      </w:r>
      <w:r w:rsidR="00372222" w:rsidRPr="00464E20">
        <w:rPr>
          <w:rFonts w:asciiTheme="minorHAnsi" w:hAnsiTheme="minorHAnsi"/>
        </w:rPr>
        <w:t xml:space="preserve">the </w:t>
      </w:r>
      <w:r w:rsidR="00372222">
        <w:rPr>
          <w:rFonts w:asciiTheme="minorHAnsi" w:hAnsiTheme="minorHAnsi"/>
        </w:rPr>
        <w:t>p</w:t>
      </w:r>
      <w:r w:rsidR="00372222" w:rsidRPr="00464E20">
        <w:rPr>
          <w:rFonts w:asciiTheme="minorHAnsi" w:hAnsiTheme="minorHAnsi"/>
        </w:rPr>
        <w:t>rogramme</w:t>
      </w:r>
      <w:r w:rsidR="00372222">
        <w:rPr>
          <w:rFonts w:asciiTheme="minorHAnsi" w:hAnsiTheme="minorHAnsi"/>
        </w:rPr>
        <w:t xml:space="preserve">, the Department commissioned ORIMA Research to conduct an online </w:t>
      </w:r>
      <w:r w:rsidR="001C38A3">
        <w:rPr>
          <w:rFonts w:asciiTheme="minorHAnsi" w:hAnsiTheme="minorHAnsi"/>
        </w:rPr>
        <w:t>census</w:t>
      </w:r>
      <w:r w:rsidR="00372222">
        <w:rPr>
          <w:rFonts w:asciiTheme="minorHAnsi" w:hAnsiTheme="minorHAnsi"/>
        </w:rPr>
        <w:t xml:space="preserve"> of registered RSPs</w:t>
      </w:r>
      <w:r w:rsidR="00A560A6">
        <w:rPr>
          <w:rFonts w:asciiTheme="minorHAnsi" w:hAnsiTheme="minorHAnsi"/>
        </w:rPr>
        <w:t>. The survey also sought</w:t>
      </w:r>
      <w:r w:rsidR="00372222">
        <w:rPr>
          <w:rFonts w:asciiTheme="minorHAnsi" w:hAnsiTheme="minorHAnsi"/>
        </w:rPr>
        <w:t xml:space="preserve"> to obtain their views on the RSP component of the programme and their </w:t>
      </w:r>
      <w:r w:rsidR="00372222" w:rsidRPr="00464E20">
        <w:rPr>
          <w:rFonts w:asciiTheme="minorHAnsi" w:hAnsiTheme="minorHAnsi"/>
        </w:rPr>
        <w:t xml:space="preserve">experience in connecting with business </w:t>
      </w:r>
      <w:r w:rsidR="00372222">
        <w:rPr>
          <w:rFonts w:asciiTheme="minorHAnsi" w:hAnsiTheme="minorHAnsi"/>
        </w:rPr>
        <w:t>more generally.</w:t>
      </w:r>
    </w:p>
    <w:p w14:paraId="5355C3CE" w14:textId="77777777" w:rsidR="00EA6995" w:rsidRPr="00EA6995" w:rsidRDefault="00EA6995" w:rsidP="00A560A6">
      <w:pPr>
        <w:pStyle w:val="Heading2"/>
      </w:pPr>
      <w:bookmarkStart w:id="3" w:name="_Toc432767005"/>
      <w:r>
        <w:t>Survey r</w:t>
      </w:r>
      <w:r w:rsidRPr="00EA6995">
        <w:t>esponse Rate</w:t>
      </w:r>
      <w:bookmarkEnd w:id="3"/>
    </w:p>
    <w:p w14:paraId="45106B45" w14:textId="5136909E" w:rsidR="007C7925" w:rsidRDefault="00FE7279" w:rsidP="007C7925">
      <w:pPr>
        <w:pStyle w:val="IntroductionText"/>
        <w:rPr>
          <w:rFonts w:asciiTheme="minorHAnsi" w:hAnsiTheme="minorHAnsi"/>
        </w:rPr>
      </w:pPr>
      <w:r w:rsidRPr="00FE7279">
        <w:rPr>
          <w:rFonts w:asciiTheme="minorHAnsi" w:hAnsiTheme="minorHAnsi"/>
        </w:rPr>
        <w:t xml:space="preserve">The </w:t>
      </w:r>
      <w:r w:rsidR="00016C1F">
        <w:rPr>
          <w:rFonts w:asciiTheme="minorHAnsi" w:hAnsiTheme="minorHAnsi"/>
        </w:rPr>
        <w:t xml:space="preserve">online </w:t>
      </w:r>
      <w:r w:rsidR="001C38A3">
        <w:rPr>
          <w:rFonts w:asciiTheme="minorHAnsi" w:hAnsiTheme="minorHAnsi"/>
        </w:rPr>
        <w:t>census</w:t>
      </w:r>
      <w:r w:rsidRPr="00FE7279">
        <w:rPr>
          <w:rFonts w:asciiTheme="minorHAnsi" w:hAnsiTheme="minorHAnsi"/>
        </w:rPr>
        <w:t xml:space="preserve"> was conducted </w:t>
      </w:r>
      <w:r w:rsidR="00016C1F">
        <w:rPr>
          <w:rFonts w:asciiTheme="minorHAnsi" w:hAnsiTheme="minorHAnsi"/>
        </w:rPr>
        <w:t>between 27 August and 11 September 2015</w:t>
      </w:r>
      <w:r w:rsidRPr="00FE7279">
        <w:rPr>
          <w:rFonts w:asciiTheme="minorHAnsi" w:hAnsiTheme="minorHAnsi"/>
        </w:rPr>
        <w:t>.</w:t>
      </w:r>
      <w:r w:rsidR="00376AD5">
        <w:rPr>
          <w:rFonts w:asciiTheme="minorHAnsi" w:hAnsiTheme="minorHAnsi"/>
        </w:rPr>
        <w:t xml:space="preserve"> </w:t>
      </w:r>
      <w:r w:rsidR="007C7925">
        <w:rPr>
          <w:rFonts w:asciiTheme="minorHAnsi" w:hAnsiTheme="minorHAnsi"/>
        </w:rPr>
        <w:t>The survey received responses from 100 of the 195 RSPs invited to participate, representing a response rate of 51%.</w:t>
      </w:r>
    </w:p>
    <w:p w14:paraId="3464D8E2" w14:textId="77777777" w:rsidR="00EA6995" w:rsidRPr="00EA6995" w:rsidRDefault="00EA6995" w:rsidP="00A560A6">
      <w:pPr>
        <w:pStyle w:val="Heading2"/>
      </w:pPr>
      <w:bookmarkStart w:id="4" w:name="_Toc432767006"/>
      <w:r w:rsidRPr="00EA6995">
        <w:t>Presentation of results</w:t>
      </w:r>
      <w:bookmarkEnd w:id="4"/>
    </w:p>
    <w:p w14:paraId="1BE12681" w14:textId="57B05BC9" w:rsidR="00FE7279" w:rsidRPr="00FE7279" w:rsidRDefault="00FE7279" w:rsidP="00FE7279">
      <w:pPr>
        <w:pStyle w:val="IntroductionText"/>
        <w:rPr>
          <w:rFonts w:asciiTheme="minorHAnsi" w:hAnsiTheme="minorHAnsi"/>
        </w:rPr>
      </w:pPr>
      <w:r w:rsidRPr="009D1D71">
        <w:rPr>
          <w:rFonts w:asciiTheme="minorHAnsi" w:hAnsiTheme="minorHAnsi"/>
        </w:rPr>
        <w:t>This report presents the results</w:t>
      </w:r>
      <w:r w:rsidR="00C46F41" w:rsidRPr="009D1D71">
        <w:rPr>
          <w:rFonts w:asciiTheme="minorHAnsi" w:hAnsiTheme="minorHAnsi"/>
        </w:rPr>
        <w:t xml:space="preserve"> of </w:t>
      </w:r>
      <w:r w:rsidR="0057421A" w:rsidRPr="009D1D71">
        <w:rPr>
          <w:rFonts w:asciiTheme="minorHAnsi" w:hAnsiTheme="minorHAnsi"/>
        </w:rPr>
        <w:t>th</w:t>
      </w:r>
      <w:r w:rsidR="0057421A">
        <w:rPr>
          <w:rFonts w:asciiTheme="minorHAnsi" w:hAnsiTheme="minorHAnsi"/>
        </w:rPr>
        <w:t>e</w:t>
      </w:r>
      <w:r w:rsidR="0057421A" w:rsidRPr="009D1D71">
        <w:rPr>
          <w:rFonts w:asciiTheme="minorHAnsi" w:hAnsiTheme="minorHAnsi"/>
        </w:rPr>
        <w:t xml:space="preserve"> </w:t>
      </w:r>
      <w:r w:rsidR="00C46F41" w:rsidRPr="009D1D71">
        <w:rPr>
          <w:rFonts w:asciiTheme="minorHAnsi" w:hAnsiTheme="minorHAnsi"/>
        </w:rPr>
        <w:t>RSP survey</w:t>
      </w:r>
      <w:r w:rsidRPr="009D1D71">
        <w:rPr>
          <w:rFonts w:asciiTheme="minorHAnsi" w:hAnsiTheme="minorHAnsi"/>
        </w:rPr>
        <w:t>.</w:t>
      </w:r>
      <w:r w:rsidR="00376AD5" w:rsidRPr="009D1D71">
        <w:rPr>
          <w:rFonts w:asciiTheme="minorHAnsi" w:hAnsiTheme="minorHAnsi"/>
        </w:rPr>
        <w:t xml:space="preserve"> </w:t>
      </w:r>
      <w:r w:rsidRPr="009D1D71">
        <w:rPr>
          <w:rFonts w:asciiTheme="minorHAnsi" w:hAnsiTheme="minorHAnsi"/>
        </w:rPr>
        <w:t>Percentages presented in th</w:t>
      </w:r>
      <w:r w:rsidR="009D1D71" w:rsidRPr="009D1D71">
        <w:rPr>
          <w:rFonts w:asciiTheme="minorHAnsi" w:hAnsiTheme="minorHAnsi"/>
        </w:rPr>
        <w:t>is</w:t>
      </w:r>
      <w:r w:rsidRPr="009D1D71">
        <w:rPr>
          <w:rFonts w:asciiTheme="minorHAnsi" w:hAnsiTheme="minorHAnsi"/>
        </w:rPr>
        <w:t xml:space="preserve"> report are based on the total number of valid responses made to the particular question being reported on.</w:t>
      </w:r>
      <w:r w:rsidR="00376AD5" w:rsidRPr="009D1D71">
        <w:rPr>
          <w:rFonts w:asciiTheme="minorHAnsi" w:hAnsiTheme="minorHAnsi"/>
        </w:rPr>
        <w:t xml:space="preserve"> </w:t>
      </w:r>
      <w:r w:rsidRPr="009D1D71">
        <w:rPr>
          <w:rFonts w:asciiTheme="minorHAnsi" w:hAnsiTheme="minorHAnsi"/>
        </w:rPr>
        <w:t xml:space="preserve">In most cases, results reflect those </w:t>
      </w:r>
      <w:r w:rsidR="008269E7" w:rsidRPr="009D1D71">
        <w:rPr>
          <w:rFonts w:asciiTheme="minorHAnsi" w:hAnsiTheme="minorHAnsi"/>
        </w:rPr>
        <w:t>of</w:t>
      </w:r>
      <w:r w:rsidR="00A53F2A">
        <w:rPr>
          <w:rFonts w:asciiTheme="minorHAnsi" w:hAnsiTheme="minorHAnsi"/>
        </w:rPr>
        <w:t xml:space="preserve"> ‘</w:t>
      </w:r>
      <w:r w:rsidRPr="009D1D71">
        <w:rPr>
          <w:rFonts w:asciiTheme="minorHAnsi" w:hAnsiTheme="minorHAnsi"/>
        </w:rPr>
        <w:t>respondent RSPs</w:t>
      </w:r>
      <w:r w:rsidR="00A53F2A">
        <w:rPr>
          <w:rFonts w:asciiTheme="minorHAnsi" w:hAnsiTheme="minorHAnsi"/>
        </w:rPr>
        <w:t>’</w:t>
      </w:r>
      <w:r w:rsidRPr="009D1D71">
        <w:rPr>
          <w:rFonts w:asciiTheme="minorHAnsi" w:hAnsiTheme="minorHAnsi"/>
        </w:rPr>
        <w:t xml:space="preserve"> who had a view and </w:t>
      </w:r>
      <w:r w:rsidR="008269E7" w:rsidRPr="009D1D71">
        <w:rPr>
          <w:rFonts w:asciiTheme="minorHAnsi" w:hAnsiTheme="minorHAnsi"/>
        </w:rPr>
        <w:t>so responded to the particular question</w:t>
      </w:r>
      <w:r w:rsidRPr="009D1D71">
        <w:rPr>
          <w:rFonts w:asciiTheme="minorHAnsi" w:hAnsiTheme="minorHAnsi"/>
        </w:rPr>
        <w:t>.</w:t>
      </w:r>
      <w:r w:rsidR="00376AD5" w:rsidRPr="009D1D71">
        <w:rPr>
          <w:rFonts w:asciiTheme="minorHAnsi" w:hAnsiTheme="minorHAnsi"/>
        </w:rPr>
        <w:t xml:space="preserve"> </w:t>
      </w:r>
      <w:r w:rsidRPr="009D1D71">
        <w:rPr>
          <w:rFonts w:asciiTheme="minorHAnsi" w:hAnsiTheme="minorHAnsi"/>
        </w:rPr>
        <w:t>Pe</w:t>
      </w:r>
      <w:r w:rsidR="009D1D71" w:rsidRPr="009D1D71">
        <w:rPr>
          <w:rFonts w:asciiTheme="minorHAnsi" w:hAnsiTheme="minorHAnsi"/>
        </w:rPr>
        <w:t>rcentage results throughout this</w:t>
      </w:r>
      <w:r w:rsidRPr="009D1D71">
        <w:rPr>
          <w:rFonts w:asciiTheme="minorHAnsi" w:hAnsiTheme="minorHAnsi"/>
        </w:rPr>
        <w:t xml:space="preserve"> report may not add up to 100% due to rounding.</w:t>
      </w:r>
    </w:p>
    <w:p w14:paraId="278ED285" w14:textId="77777777" w:rsidR="00EA6995" w:rsidRPr="00EA6995" w:rsidRDefault="00EA6995" w:rsidP="00A560A6">
      <w:pPr>
        <w:pStyle w:val="Heading2"/>
      </w:pPr>
      <w:bookmarkStart w:id="5" w:name="_Toc432767007"/>
      <w:r w:rsidRPr="00EA6995">
        <w:t>Quality standards</w:t>
      </w:r>
      <w:bookmarkEnd w:id="5"/>
    </w:p>
    <w:p w14:paraId="2D2EFFE0" w14:textId="77777777" w:rsidR="00FE7279" w:rsidRPr="00464E20" w:rsidRDefault="00FE7279" w:rsidP="00FE7279">
      <w:pPr>
        <w:pStyle w:val="IntroductionText"/>
        <w:rPr>
          <w:rFonts w:asciiTheme="minorHAnsi" w:hAnsiTheme="minorHAnsi"/>
        </w:rPr>
      </w:pPr>
      <w:r w:rsidRPr="00FE7279">
        <w:rPr>
          <w:rFonts w:asciiTheme="minorHAnsi" w:hAnsiTheme="minorHAnsi"/>
        </w:rPr>
        <w:t>This project was conducted in accordance with the international quality standard ISO 20252.</w:t>
      </w:r>
    </w:p>
    <w:p w14:paraId="7F1AF9C1" w14:textId="77777777" w:rsidR="00B809B8" w:rsidRDefault="00B809B8" w:rsidP="00837D9E">
      <w:pPr>
        <w:pStyle w:val="Heading1"/>
      </w:pPr>
      <w:bookmarkStart w:id="6" w:name="_Ref431568982"/>
      <w:bookmarkStart w:id="7" w:name="_Toc432767008"/>
      <w:r>
        <w:t>Profile of RSP clients</w:t>
      </w:r>
      <w:bookmarkEnd w:id="6"/>
      <w:bookmarkEnd w:id="7"/>
    </w:p>
    <w:p w14:paraId="48EC68F5" w14:textId="5BB22463" w:rsidR="006E08D7" w:rsidRDefault="007C7925" w:rsidP="007C7925">
      <w:pPr>
        <w:pStyle w:val="IntroductionText"/>
      </w:pPr>
      <w:r>
        <w:t xml:space="preserve">A total of 28 RSPs (or 38% of the 74 RSPs that answered the question) reported that they provided R&amp;D </w:t>
      </w:r>
      <w:r w:rsidR="00DB07C3">
        <w:t>services to any clients in 2014 to 2015</w:t>
      </w:r>
      <w:r>
        <w:t xml:space="preserve"> that came either directly or indirectly through their registration as an RSP under the R&amp;D Tax Incentive Programme. Of these, 21</w:t>
      </w:r>
      <w:r w:rsidR="006E08D7">
        <w:t xml:space="preserve">% </w:t>
      </w:r>
      <w:r>
        <w:t xml:space="preserve">reported that their clients </w:t>
      </w:r>
      <w:r w:rsidR="006E08D7">
        <w:t xml:space="preserve">had come directly through their registration </w:t>
      </w:r>
      <w:r>
        <w:t>and a</w:t>
      </w:r>
      <w:r w:rsidR="006E08D7">
        <w:t xml:space="preserve"> further 13% reported that their clientele came through a combined direct and indirect result of their registration.</w:t>
      </w:r>
    </w:p>
    <w:p w14:paraId="308364FC" w14:textId="2A0A7D1D" w:rsidR="0028732D" w:rsidRDefault="006E08D7" w:rsidP="006E08D7">
      <w:pPr>
        <w:pStyle w:val="IntroductionText"/>
      </w:pPr>
      <w:r>
        <w:t>RSPs were asked how many R&amp;D-r</w:t>
      </w:r>
      <w:r w:rsidR="00DB07C3">
        <w:t>elated clients they had in 2014 to 2015</w:t>
      </w:r>
      <w:r>
        <w:t xml:space="preserve"> and, of these, how many were RSP-related clients. The 32 respondent RSPs that answered both of these questions reported having a t</w:t>
      </w:r>
      <w:r w:rsidR="00DB07C3">
        <w:t>otal of 933 R&amp;D clients in 2014 to 2015</w:t>
      </w:r>
      <w:r>
        <w:t xml:space="preserve"> of which 477 (51%) were RSP-related.</w:t>
      </w:r>
      <w:r w:rsidR="0028732D">
        <w:t xml:space="preserve"> The survey sought to collect information on a range of attributes relating to </w:t>
      </w:r>
      <w:r w:rsidR="00AA6C8B">
        <w:t xml:space="preserve">their RSP-related clients in </w:t>
      </w:r>
      <w:r w:rsidR="00DB07C3">
        <w:t>2014 to 2015</w:t>
      </w:r>
      <w:r w:rsidR="00AA6C8B">
        <w:t>, for which the following findings were made</w:t>
      </w:r>
      <w:r w:rsidR="00362CDF">
        <w:t xml:space="preserve"> amongst the 31 </w:t>
      </w:r>
      <w:r w:rsidR="00521D9D">
        <w:t xml:space="preserve">RSPs </w:t>
      </w:r>
      <w:r w:rsidR="00362CDF">
        <w:t>r</w:t>
      </w:r>
      <w:r w:rsidR="009A6811">
        <w:t xml:space="preserve">esponding </w:t>
      </w:r>
      <w:r w:rsidR="00521D9D">
        <w:t>to these questions</w:t>
      </w:r>
      <w:r w:rsidR="00AA6C8B">
        <w:t>:</w:t>
      </w:r>
    </w:p>
    <w:p w14:paraId="3BC5D331" w14:textId="77777777" w:rsidR="006E08D7" w:rsidRDefault="00AA6C8B" w:rsidP="000925EB">
      <w:pPr>
        <w:pStyle w:val="ListBullet"/>
      </w:pPr>
      <w:r>
        <w:t>278 RSP-related clients (83%) were existing clients and 58 were new (17%)</w:t>
      </w:r>
      <w:r w:rsidR="00521D9D">
        <w:t>.</w:t>
      </w:r>
    </w:p>
    <w:p w14:paraId="2F43C8C2" w14:textId="77777777" w:rsidR="00AA6C8B" w:rsidRDefault="00AA6C8B" w:rsidP="000925EB">
      <w:pPr>
        <w:pStyle w:val="ListBullet"/>
      </w:pPr>
      <w:r>
        <w:t>On average, 46% of RSP-related service requests were initiated by RSPs themselves, with 54% being initiated by their clients</w:t>
      </w:r>
      <w:r w:rsidR="00521D9D">
        <w:t>.</w:t>
      </w:r>
    </w:p>
    <w:p w14:paraId="567978AA" w14:textId="7A01C483" w:rsidR="00AA6C8B" w:rsidRDefault="00AA6C8B" w:rsidP="000925EB">
      <w:pPr>
        <w:pStyle w:val="ListBullet"/>
      </w:pPr>
      <w:r>
        <w:t>Private businesses were the most common RSP-related clients, with 31% of clients being from large businesses (more than 200 employees), 2</w:t>
      </w:r>
      <w:r w:rsidR="00294141">
        <w:t>6</w:t>
      </w:r>
      <w:r>
        <w:t>% from small businesses (less than 20 employees) and 18% from m</w:t>
      </w:r>
      <w:r w:rsidR="00DB07C3">
        <w:t xml:space="preserve">edium-sized businesses (20 to </w:t>
      </w:r>
      <w:r>
        <w:t xml:space="preserve">99 employees) (see </w:t>
      </w:r>
      <w:r w:rsidR="005737B8" w:rsidRPr="00181D7C">
        <w:t xml:space="preserve">Figure </w:t>
      </w:r>
      <w:r w:rsidR="005737B8">
        <w:rPr>
          <w:noProof/>
        </w:rPr>
        <w:t>1</w:t>
      </w:r>
      <w:r w:rsidR="00837D9E">
        <w:rPr>
          <w:noProof/>
        </w:rPr>
        <w:t xml:space="preserve"> on the following page</w:t>
      </w:r>
      <w:r>
        <w:t>)</w:t>
      </w:r>
      <w:r w:rsidR="00521D9D">
        <w:t>.</w:t>
      </w:r>
    </w:p>
    <w:p w14:paraId="0D1708D3" w14:textId="5613D28F" w:rsidR="00AA6C8B" w:rsidRDefault="00906E64" w:rsidP="00906E64">
      <w:pPr>
        <w:pStyle w:val="ListBullet"/>
      </w:pPr>
      <w:r w:rsidRPr="00E66C0D">
        <w:t>The majority of clients were from the Agriculture, Forestry and Fishing sector (45%)</w:t>
      </w:r>
      <w:r>
        <w:t xml:space="preserve">. However, this </w:t>
      </w:r>
      <w:r w:rsidRPr="00666DB3">
        <w:t>was largely attributed to a single RSP who reported that they ha</w:t>
      </w:r>
      <w:r>
        <w:t>d</w:t>
      </w:r>
      <w:r w:rsidRPr="00666DB3">
        <w:t xml:space="preserve"> 90 clients </w:t>
      </w:r>
      <w:r w:rsidR="00DB07C3">
        <w:t>in 2014 to 2015</w:t>
      </w:r>
      <w:r w:rsidRPr="00666DB3">
        <w:t xml:space="preserve"> (19% of the total number of reported clients)</w:t>
      </w:r>
      <w:r>
        <w:t xml:space="preserve">. </w:t>
      </w:r>
      <w:r w:rsidR="00307377">
        <w:t xml:space="preserve">Without this RSP, the proportion of projects </w:t>
      </w:r>
      <w:r w:rsidR="00307377" w:rsidRPr="00E66C0D">
        <w:t>in the field of Agricultural, Veterinary and Environmental Science</w:t>
      </w:r>
      <w:r w:rsidR="00307377">
        <w:t xml:space="preserve"> would be 12%. </w:t>
      </w:r>
      <w:r>
        <w:t>T</w:t>
      </w:r>
      <w:r w:rsidRPr="00E66C0D">
        <w:t xml:space="preserve">he next largest sectors </w:t>
      </w:r>
      <w:r>
        <w:t>were</w:t>
      </w:r>
      <w:r w:rsidRPr="00E66C0D">
        <w:t xml:space="preserve"> Mining (16%) and the Professional, Scientific and Technical Services sector (14%).</w:t>
      </w:r>
      <w:r w:rsidR="000925EB">
        <w:t xml:space="preserve"> </w:t>
      </w:r>
      <w:r w:rsidR="005737B8" w:rsidRPr="00181D7C">
        <w:t xml:space="preserve">Figure </w:t>
      </w:r>
      <w:r w:rsidR="005737B8">
        <w:rPr>
          <w:noProof/>
        </w:rPr>
        <w:t>2</w:t>
      </w:r>
      <w:r w:rsidR="000925EB">
        <w:t xml:space="preserve"> </w:t>
      </w:r>
      <w:r>
        <w:t>(</w:t>
      </w:r>
      <w:r w:rsidR="000925EB">
        <w:t>on the following page)</w:t>
      </w:r>
      <w:r>
        <w:t xml:space="preserve"> illustrates the p</w:t>
      </w:r>
      <w:r w:rsidRPr="00906E64">
        <w:t>roportion</w:t>
      </w:r>
      <w:r w:rsidR="00DB07C3">
        <w:t xml:space="preserve"> of RSP-related clients in 2014 to 2015</w:t>
      </w:r>
      <w:r w:rsidRPr="00906E64">
        <w:t xml:space="preserve"> by industry sector</w:t>
      </w:r>
      <w:r>
        <w:t>.</w:t>
      </w:r>
    </w:p>
    <w:p w14:paraId="47BA2BD1" w14:textId="64BC71BE" w:rsidR="000925EB" w:rsidRDefault="000925EB" w:rsidP="000925EB">
      <w:pPr>
        <w:pStyle w:val="ListBullet2"/>
      </w:pPr>
      <w:r>
        <w:t xml:space="preserve">The industry sectors that most commonly sought RSP-related research </w:t>
      </w:r>
      <w:r w:rsidR="00521D9D">
        <w:t xml:space="preserve">(across all responding RSPs) </w:t>
      </w:r>
      <w:r>
        <w:t xml:space="preserve">were Professional, Scientific and Technical Services (39%), Agriculture, Forestry and Fishing (33%) and Manufacturing (also 33%) – The Mining sector was the next most common research requester at 22% (see </w:t>
      </w:r>
      <w:r w:rsidR="005737B8" w:rsidRPr="00B119DB">
        <w:t xml:space="preserve">Figure </w:t>
      </w:r>
      <w:r w:rsidR="00D95258">
        <w:rPr>
          <w:noProof/>
        </w:rPr>
        <w:t>3</w:t>
      </w:r>
      <w:r w:rsidR="004C239F">
        <w:t xml:space="preserve"> on the page</w:t>
      </w:r>
      <w:r w:rsidR="00D95258">
        <w:t xml:space="preserve"> 8</w:t>
      </w:r>
      <w:r>
        <w:t>)</w:t>
      </w:r>
      <w:r w:rsidR="00521D9D">
        <w:t>.</w:t>
      </w:r>
    </w:p>
    <w:p w14:paraId="4C2FCE5C" w14:textId="6583652C" w:rsidR="00521D9D" w:rsidRDefault="00521D9D" w:rsidP="00521D9D">
      <w:pPr>
        <w:pStyle w:val="ListBullet"/>
      </w:pPr>
      <w:r>
        <w:t>RSP-related research generated</w:t>
      </w:r>
      <w:r w:rsidR="00DB07C3">
        <w:t xml:space="preserve"> around $105 million in 2014 to 20</w:t>
      </w:r>
      <w:r>
        <w:t xml:space="preserve">15, or an average of around $3.3 million per RSP. Note that these average revenue statistics are heavily influenced by large outliers, with </w:t>
      </w:r>
      <w:r w:rsidRPr="00D0702E">
        <w:t>five RSPs reported RSP-related revenue o</w:t>
      </w:r>
      <w:r w:rsidR="00DB07C3">
        <w:t>f more than $10 million in 2014 to 2015</w:t>
      </w:r>
      <w:r>
        <w:t>.</w:t>
      </w:r>
    </w:p>
    <w:p w14:paraId="610C8CAA" w14:textId="639A43CD" w:rsidR="000925EB" w:rsidRDefault="000925EB" w:rsidP="00521D9D">
      <w:pPr>
        <w:pStyle w:val="ListBullet2"/>
      </w:pPr>
      <w:r>
        <w:t xml:space="preserve">The top sectors, in terms of RSP-related research spending, were Agriculture (39%) and Mining (36%), with a significant portion of spending </w:t>
      </w:r>
      <w:r w:rsidR="00A53F2A">
        <w:t xml:space="preserve">also </w:t>
      </w:r>
      <w:r>
        <w:t>coming from the Manufacturing (28%), Information Media and Telecommunications (28%) and Professional, Scientific and Technical Service (25%) sectors (</w:t>
      </w:r>
      <w:r w:rsidR="005737B8">
        <w:t xml:space="preserve">see </w:t>
      </w:r>
      <w:r w:rsidR="005737B8" w:rsidRPr="00B119DB">
        <w:t xml:space="preserve">Figure </w:t>
      </w:r>
      <w:r w:rsidR="005737B8">
        <w:rPr>
          <w:noProof/>
        </w:rPr>
        <w:t>3</w:t>
      </w:r>
      <w:r w:rsidR="005737B8">
        <w:t xml:space="preserve"> on page</w:t>
      </w:r>
      <w:r w:rsidR="00837D9E">
        <w:t xml:space="preserve"> </w:t>
      </w:r>
      <w:r w:rsidR="00837D9E">
        <w:fldChar w:fldCharType="begin"/>
      </w:r>
      <w:r w:rsidR="00837D9E">
        <w:instrText xml:space="preserve"> PAGEREF _Ref431990566 \h </w:instrText>
      </w:r>
      <w:r w:rsidR="00837D9E">
        <w:fldChar w:fldCharType="separate"/>
      </w:r>
      <w:r w:rsidR="0094275D">
        <w:rPr>
          <w:noProof/>
        </w:rPr>
        <w:t>9</w:t>
      </w:r>
      <w:r w:rsidR="00837D9E">
        <w:fldChar w:fldCharType="end"/>
      </w:r>
      <w:r>
        <w:t>)</w:t>
      </w:r>
      <w:r w:rsidR="00521D9D">
        <w:t>.</w:t>
      </w:r>
    </w:p>
    <w:p w14:paraId="397D4F84" w14:textId="70E1E7C8" w:rsidR="00B809B8" w:rsidRDefault="00B809B8" w:rsidP="00B809B8">
      <w:pPr>
        <w:pStyle w:val="FigureHeading"/>
      </w:pPr>
      <w:bookmarkStart w:id="8" w:name="_Ref431563300"/>
      <w:r w:rsidRPr="00181D7C">
        <w:t xml:space="preserve">Figure </w:t>
      </w:r>
      <w:r w:rsidR="0094275D">
        <w:fldChar w:fldCharType="begin"/>
      </w:r>
      <w:r w:rsidR="0094275D">
        <w:instrText xml:space="preserve"> SEQ Figure \* ARABIC </w:instrText>
      </w:r>
      <w:r w:rsidR="0094275D">
        <w:fldChar w:fldCharType="separate"/>
      </w:r>
      <w:r w:rsidR="0094275D">
        <w:rPr>
          <w:noProof/>
        </w:rPr>
        <w:t>1</w:t>
      </w:r>
      <w:r w:rsidR="0094275D">
        <w:rPr>
          <w:noProof/>
        </w:rPr>
        <w:fldChar w:fldCharType="end"/>
      </w:r>
      <w:bookmarkEnd w:id="8"/>
      <w:r>
        <w:t xml:space="preserve">: </w:t>
      </w:r>
      <w:r w:rsidR="00521D9D">
        <w:t xml:space="preserve">Proportion of </w:t>
      </w:r>
      <w:r>
        <w:t>RSP-related client</w:t>
      </w:r>
      <w:r w:rsidR="00DB07C3">
        <w:t>s in 2014 to 20</w:t>
      </w:r>
      <w:r w:rsidR="00521D9D">
        <w:t>15</w:t>
      </w:r>
      <w:r>
        <w:t xml:space="preserve"> </w:t>
      </w:r>
      <w:r w:rsidR="00521D9D">
        <w:t>– by client type</w:t>
      </w:r>
    </w:p>
    <w:p w14:paraId="4EC56137" w14:textId="312B65BA" w:rsidR="00F56A8E" w:rsidRPr="00F56A8E" w:rsidRDefault="00F56A8E" w:rsidP="00F56A8E">
      <w:pPr>
        <w:pStyle w:val="FigureHeading2"/>
        <w:rPr>
          <w:b/>
        </w:rPr>
      </w:pPr>
      <w:r w:rsidRPr="00D660AF">
        <w:t xml:space="preserve">Base: </w:t>
      </w:r>
      <w:r w:rsidR="00D660AF" w:rsidRPr="00D660AF">
        <w:t>n=</w:t>
      </w:r>
      <w:r w:rsidR="00206476">
        <w:t>336 clients (across 31</w:t>
      </w:r>
      <w:r w:rsidRPr="00D660AF">
        <w:t xml:space="preserve"> RSPs</w:t>
      </w:r>
      <w:r w:rsidR="00206476">
        <w:t>)</w:t>
      </w:r>
    </w:p>
    <w:p w14:paraId="17605B2A" w14:textId="23D18578" w:rsidR="00B809B8" w:rsidRPr="00521D9D" w:rsidRDefault="008B56D6" w:rsidP="00C20AB1">
      <w:pPr>
        <w:pStyle w:val="Image"/>
      </w:pPr>
      <w:r>
        <w:drawing>
          <wp:inline distT="0" distB="0" distL="0" distR="0" wp14:anchorId="4190153F" wp14:editId="67E9B8F1">
            <wp:extent cx="5730875" cy="2517775"/>
            <wp:effectExtent l="0" t="0" r="3175" b="0"/>
            <wp:docPr id="3" name="Picture 3" descr="In order from largest to smallest proportion of RSP related clients in terms of client type in the 2014-15 financial year are:&#10;1. Large businesses at 31 %&#10;2. Small businesses at 26 %&#10;3. Medium sized business at 18%&#10;4. Tertiary institution at 8%&#10;5. Federal Government Department at 5%&#10;6. State or Territory Government Department at 5%&#10;7. Not for profit organisation at 2%&#10;8. Local government at 1%&#10;9. Other at 0%" title="Figure 1: Proportion of RSP related clients in 2014-15 by client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0875" cy="2517775"/>
                    </a:xfrm>
                    <a:prstGeom prst="rect">
                      <a:avLst/>
                    </a:prstGeom>
                    <a:noFill/>
                  </pic:spPr>
                </pic:pic>
              </a:graphicData>
            </a:graphic>
          </wp:inline>
        </w:drawing>
      </w:r>
    </w:p>
    <w:p w14:paraId="6696166C" w14:textId="07C2D867" w:rsidR="00B809B8" w:rsidRDefault="00B809B8" w:rsidP="00B809B8">
      <w:pPr>
        <w:pStyle w:val="FigureHeading"/>
      </w:pPr>
      <w:bookmarkStart w:id="9" w:name="_Ref431378954"/>
      <w:r w:rsidRPr="00181D7C">
        <w:t xml:space="preserve">Figure </w:t>
      </w:r>
      <w:r w:rsidR="0094275D">
        <w:fldChar w:fldCharType="begin"/>
      </w:r>
      <w:r w:rsidR="0094275D">
        <w:instrText xml:space="preserve"> SEQ Figure \* ARABIC </w:instrText>
      </w:r>
      <w:r w:rsidR="0094275D">
        <w:fldChar w:fldCharType="separate"/>
      </w:r>
      <w:r w:rsidR="0094275D">
        <w:rPr>
          <w:noProof/>
        </w:rPr>
        <w:t>2</w:t>
      </w:r>
      <w:r w:rsidR="0094275D">
        <w:rPr>
          <w:noProof/>
        </w:rPr>
        <w:fldChar w:fldCharType="end"/>
      </w:r>
      <w:bookmarkEnd w:id="9"/>
      <w:r>
        <w:t xml:space="preserve">: </w:t>
      </w:r>
      <w:r w:rsidR="00521D9D">
        <w:t>Proportion of RSP-</w:t>
      </w:r>
      <w:r w:rsidR="00DB07C3">
        <w:t>related clients in 2014 to 2015</w:t>
      </w:r>
      <w:r w:rsidR="00521D9D">
        <w:t xml:space="preserve"> – by industry sector</w:t>
      </w:r>
    </w:p>
    <w:p w14:paraId="1A93D9E0" w14:textId="1F179E69" w:rsidR="00E417B1" w:rsidRDefault="00E417B1" w:rsidP="00E417B1">
      <w:pPr>
        <w:pStyle w:val="FigureHeading2"/>
      </w:pPr>
      <w:r>
        <w:t>Base: n=336 clients (across n=</w:t>
      </w:r>
      <w:r w:rsidR="00866C82">
        <w:t>36</w:t>
      </w:r>
      <w:r>
        <w:t xml:space="preserve"> RSPs)</w:t>
      </w:r>
    </w:p>
    <w:p w14:paraId="6824E3EE" w14:textId="5995AE18" w:rsidR="008B56D6" w:rsidRPr="00181D7C" w:rsidRDefault="008B56D6" w:rsidP="00E417B1">
      <w:pPr>
        <w:pStyle w:val="FigureHeading2"/>
      </w:pPr>
      <w:r>
        <w:rPr>
          <w:noProof/>
        </w:rPr>
        <w:drawing>
          <wp:inline distT="0" distB="0" distL="0" distR="0" wp14:anchorId="059CCDF5" wp14:editId="5044387E">
            <wp:extent cx="5730875" cy="3963035"/>
            <wp:effectExtent l="0" t="0" r="3175" b="0"/>
            <wp:docPr id="4" name="Picture 4" descr="In order from largest to smallest proportion of RSP related clients in terms of industry sector in the 2014-15 financial year are:&#10;1. Agriculture, forestry and fishing at 45 %&#10;2. Mining at 16%&#10;3. Professional, scientific and technical services at 14%&#10;4. Health care and social assistance at 4%&#10;5. Manufacturing at 3%&#10;6. Education and training at 3%&#10;7. Information median and telecommunications at 2%&#10;8. Electricity, gas, water and waste services at 1%&#10;9. Retail trade at 1%&#10;10. Arts and recreation services at 1%&#10;11. Transport, postal and warehousing at 1% Accommodation and food services and Public administration safety had 0%&#10;12. Other Services at 7%" title="Figure 2: Proportion of RSP related clients in 2014-15 by industry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875" cy="3963035"/>
                    </a:xfrm>
                    <a:prstGeom prst="rect">
                      <a:avLst/>
                    </a:prstGeom>
                    <a:noFill/>
                  </pic:spPr>
                </pic:pic>
              </a:graphicData>
            </a:graphic>
          </wp:inline>
        </w:drawing>
      </w:r>
    </w:p>
    <w:p w14:paraId="26E727F8" w14:textId="15D42786" w:rsidR="00B809B8" w:rsidRDefault="00B809B8" w:rsidP="00C20AB1">
      <w:pPr>
        <w:pStyle w:val="Image"/>
        <w:rPr>
          <w:sz w:val="16"/>
        </w:rPr>
      </w:pPr>
    </w:p>
    <w:p w14:paraId="0CF51CCE" w14:textId="3A433C3C" w:rsidR="00B809B8" w:rsidRDefault="00B809B8" w:rsidP="00B809B8">
      <w:pPr>
        <w:pStyle w:val="FigureHeading"/>
        <w:ind w:left="720"/>
      </w:pPr>
      <w:bookmarkStart w:id="10" w:name="_Ref431383247"/>
      <w:bookmarkStart w:id="11" w:name="_Ref431990566"/>
      <w:r w:rsidRPr="00B119DB">
        <w:t xml:space="preserve">Figure </w:t>
      </w:r>
      <w:r w:rsidR="0094275D">
        <w:fldChar w:fldCharType="begin"/>
      </w:r>
      <w:r w:rsidR="0094275D">
        <w:instrText xml:space="preserve"> SEQ Figure \* ARABIC </w:instrText>
      </w:r>
      <w:r w:rsidR="0094275D">
        <w:fldChar w:fldCharType="separate"/>
      </w:r>
      <w:r w:rsidR="0094275D">
        <w:rPr>
          <w:noProof/>
        </w:rPr>
        <w:t>3</w:t>
      </w:r>
      <w:r w:rsidR="0094275D">
        <w:rPr>
          <w:noProof/>
        </w:rPr>
        <w:fldChar w:fldCharType="end"/>
      </w:r>
      <w:bookmarkEnd w:id="10"/>
      <w:r w:rsidRPr="00B119DB">
        <w:t xml:space="preserve">: </w:t>
      </w:r>
      <w:r w:rsidR="00C20AB1">
        <w:t>Top three</w:t>
      </w:r>
      <w:r w:rsidR="00B3317A">
        <w:t xml:space="preserve"> RSP-related research requesters</w:t>
      </w:r>
      <w:r w:rsidR="004C239F">
        <w:t xml:space="preserve"> and spenders</w:t>
      </w:r>
      <w:r w:rsidR="00DB07C3">
        <w:t xml:space="preserve"> in 2014 to 2015</w:t>
      </w:r>
      <w:r w:rsidR="00C20AB1">
        <w:t xml:space="preserve"> – </w:t>
      </w:r>
      <w:r w:rsidR="004C239F">
        <w:br/>
      </w:r>
      <w:r w:rsidR="00C20AB1">
        <w:t>by industry sector</w:t>
      </w:r>
      <w:bookmarkEnd w:id="11"/>
    </w:p>
    <w:p w14:paraId="475F3D25" w14:textId="6B6C9796" w:rsidR="00632BAD" w:rsidRDefault="00632BAD" w:rsidP="00632BAD">
      <w:pPr>
        <w:pStyle w:val="FigureHeading2"/>
      </w:pPr>
      <w:r>
        <w:t>Base: n=36 RSPs</w:t>
      </w:r>
    </w:p>
    <w:p w14:paraId="40005758" w14:textId="1CAB002E" w:rsidR="00252FD8" w:rsidRDefault="00252FD8" w:rsidP="00632BAD">
      <w:pPr>
        <w:pStyle w:val="FigureHeading2"/>
      </w:pPr>
      <w:r>
        <w:rPr>
          <w:noProof/>
        </w:rPr>
        <w:drawing>
          <wp:inline distT="0" distB="0" distL="0" distR="0" wp14:anchorId="74E02894" wp14:editId="2398A00F">
            <wp:extent cx="5730875" cy="4322445"/>
            <wp:effectExtent l="0" t="0" r="3175" b="1905"/>
            <wp:docPr id="6" name="Picture 6" descr="The following are the percentages associated with the proportion who spend the most on RSP related research and request the most RSP-related research respectively. The number of RSPs surveyed is 36.&#10;&#10;1. Agriculture, forestry and fishing: 40% and 34%&#10;2. Mining: 37% and 23%&#10;3. Manufacturing: 28% and 34%&#10;4. Information medium and telecommunications: 28% and 13%&#10;5. Professional, scientific and technical service 25% and 38%&#10;6. Health care and social assistance: 20% and 20%&#10;7. Electricity, gas, water and waste services: 17% and 12%&#10;8. Education and training: 8% and 20%&#10;9. Administrative and support services: 3% and 0%&#10;10. Construction: 3% and 0%&#10;11. Public administration and safety: 3% and 0%&#10;12. Financial and insurance services: 3% and 3%&#10;13. Retail Trade: 3% and 6%" title="Figure 3: Scatter graph showing the top three RSP related research requesters and spenders in 2014-15 by industry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4322445"/>
                    </a:xfrm>
                    <a:prstGeom prst="rect">
                      <a:avLst/>
                    </a:prstGeom>
                    <a:noFill/>
                  </pic:spPr>
                </pic:pic>
              </a:graphicData>
            </a:graphic>
          </wp:inline>
        </w:drawing>
      </w:r>
    </w:p>
    <w:p w14:paraId="325EB7CB" w14:textId="74F35304" w:rsidR="00B809B8" w:rsidRDefault="00B809B8" w:rsidP="00C20AB1">
      <w:pPr>
        <w:pStyle w:val="Image"/>
      </w:pPr>
    </w:p>
    <w:p w14:paraId="53B631AC" w14:textId="77777777" w:rsidR="00B809B8" w:rsidRDefault="00B809B8" w:rsidP="00837D9E">
      <w:pPr>
        <w:pStyle w:val="Heading1"/>
      </w:pPr>
      <w:bookmarkStart w:id="12" w:name="_Ref423349196"/>
      <w:bookmarkStart w:id="13" w:name="_Ref423449037"/>
      <w:bookmarkStart w:id="14" w:name="_Toc432767009"/>
      <w:r>
        <w:t xml:space="preserve">Profile of RSP </w:t>
      </w:r>
      <w:bookmarkEnd w:id="12"/>
      <w:r>
        <w:t>projects</w:t>
      </w:r>
      <w:bookmarkEnd w:id="13"/>
      <w:bookmarkEnd w:id="14"/>
    </w:p>
    <w:p w14:paraId="0F9C6CA7" w14:textId="408A6AEB" w:rsidR="00F72F52" w:rsidRDefault="007C7925" w:rsidP="00F72F52">
      <w:pPr>
        <w:pStyle w:val="IntroductionText"/>
        <w:spacing w:before="120"/>
      </w:pPr>
      <w:r>
        <w:t>T</w:t>
      </w:r>
      <w:r w:rsidR="00F72F52">
        <w:t xml:space="preserve">he survey </w:t>
      </w:r>
      <w:r>
        <w:t xml:space="preserve">also </w:t>
      </w:r>
      <w:r w:rsidR="00F72F52">
        <w:t xml:space="preserve">sought information about the RSP-related </w:t>
      </w:r>
      <w:bookmarkStart w:id="15" w:name="_Ref423349607"/>
      <w:r w:rsidR="00F72F52">
        <w:t>projects undertaken by RSPs</w:t>
      </w:r>
      <w:r w:rsidR="00DB07C3">
        <w:t xml:space="preserve"> in 2014 to 2015</w:t>
      </w:r>
      <w:bookmarkEnd w:id="15"/>
      <w:r>
        <w:t xml:space="preserve"> (in addition to client profiles)</w:t>
      </w:r>
      <w:r w:rsidR="00B809B8">
        <w:t>.</w:t>
      </w:r>
      <w:r w:rsidR="00376AD5">
        <w:t xml:space="preserve"> </w:t>
      </w:r>
      <w:r w:rsidR="00F72F52">
        <w:t>These questions were answered by 31 r</w:t>
      </w:r>
      <w:r w:rsidR="00B809B8">
        <w:t>espond</w:t>
      </w:r>
      <w:r w:rsidR="00F72F52">
        <w:t>ing</w:t>
      </w:r>
      <w:r w:rsidR="00B809B8">
        <w:t xml:space="preserve"> RSPs</w:t>
      </w:r>
      <w:r w:rsidR="00F72F52">
        <w:t xml:space="preserve">. In total, these RSPs </w:t>
      </w:r>
      <w:r>
        <w:t xml:space="preserve">undertook </w:t>
      </w:r>
      <w:r w:rsidR="00F72F52">
        <w:t>1,537 R</w:t>
      </w:r>
      <w:r w:rsidR="00DB07C3">
        <w:t>SP-related R&amp;D projects in 2014 to 2015</w:t>
      </w:r>
      <w:r w:rsidR="00F72F52">
        <w:t xml:space="preserve"> (an average of 47 RSP-related projects per provider), ranging from one to 550 projects per RSP.</w:t>
      </w:r>
    </w:p>
    <w:p w14:paraId="7F00FBFC" w14:textId="77777777" w:rsidR="00F72F52" w:rsidRDefault="00F72F52" w:rsidP="00B3317A">
      <w:pPr>
        <w:pStyle w:val="IntroductionText"/>
        <w:spacing w:before="120"/>
      </w:pPr>
      <w:r>
        <w:t>The extent to which clients were engaged in RSP-related projects varied significantly for each RSP. Some RSPs reported that their clients were significantly involved in all their RSP-related projects, while others reported that their clients were not involved in their projects at all.</w:t>
      </w:r>
      <w:r w:rsidR="00A34675">
        <w:t xml:space="preserve"> Bearing this in mind, the average level of client engagement across RSP-related projects was:</w:t>
      </w:r>
    </w:p>
    <w:p w14:paraId="63CFF106" w14:textId="77777777" w:rsidR="00B809B8" w:rsidRDefault="00B809B8" w:rsidP="00A34675">
      <w:pPr>
        <w:pStyle w:val="ListBullet"/>
      </w:pPr>
      <w:r>
        <w:t xml:space="preserve">37% of </w:t>
      </w:r>
      <w:r w:rsidR="00B3317A">
        <w:t xml:space="preserve">respondent </w:t>
      </w:r>
      <w:r>
        <w:t xml:space="preserve">RSPs reported their clients were </w:t>
      </w:r>
      <w:r w:rsidRPr="007B547C">
        <w:rPr>
          <w:b/>
        </w:rPr>
        <w:t>not involved</w:t>
      </w:r>
      <w:r>
        <w:t xml:space="preserve"> in the RSP-related R&amp;D activities –</w:t>
      </w:r>
      <w:r w:rsidR="00F27E4D">
        <w:t xml:space="preserve"> </w:t>
      </w:r>
      <w:r>
        <w:t>they simply purchased the R&amp;D on a fee-for-service basis</w:t>
      </w:r>
      <w:r w:rsidR="00A34675">
        <w:t>;</w:t>
      </w:r>
    </w:p>
    <w:p w14:paraId="3B5E6466" w14:textId="77777777" w:rsidR="00B809B8" w:rsidRDefault="00B809B8" w:rsidP="00A34675">
      <w:pPr>
        <w:pStyle w:val="ListBullet"/>
      </w:pPr>
      <w:r>
        <w:t xml:space="preserve">23% reported their clients had </w:t>
      </w:r>
      <w:r w:rsidRPr="007B547C">
        <w:rPr>
          <w:b/>
        </w:rPr>
        <w:t>some level of involvement</w:t>
      </w:r>
      <w:r>
        <w:t xml:space="preserve"> in RSP-related R&amp;D activities</w:t>
      </w:r>
      <w:r w:rsidR="00A34675">
        <w:t>;</w:t>
      </w:r>
    </w:p>
    <w:p w14:paraId="2F3E6224" w14:textId="77777777" w:rsidR="00B809B8" w:rsidRDefault="00B809B8" w:rsidP="00A34675">
      <w:pPr>
        <w:pStyle w:val="ListBullet"/>
      </w:pPr>
      <w:r>
        <w:t xml:space="preserve">15% reported their clients had a </w:t>
      </w:r>
      <w:r w:rsidRPr="007B547C">
        <w:rPr>
          <w:b/>
        </w:rPr>
        <w:t>moderate level of involvement</w:t>
      </w:r>
      <w:r w:rsidR="00A34675">
        <w:t xml:space="preserve"> in RSP-related R&amp;D activities;</w:t>
      </w:r>
      <w:r>
        <w:t xml:space="preserve"> and</w:t>
      </w:r>
    </w:p>
    <w:p w14:paraId="0747C4B1" w14:textId="77777777" w:rsidR="00B809B8" w:rsidRPr="00797686" w:rsidRDefault="00B809B8" w:rsidP="00A34675">
      <w:pPr>
        <w:pStyle w:val="ListBullet"/>
      </w:pPr>
      <w:r>
        <w:t xml:space="preserve">25% reported their clients were </w:t>
      </w:r>
      <w:r w:rsidRPr="007B547C">
        <w:rPr>
          <w:b/>
        </w:rPr>
        <w:t>very actively involved</w:t>
      </w:r>
      <w:r>
        <w:t xml:space="preserve"> in RSP-related R&amp;D activities.</w:t>
      </w:r>
    </w:p>
    <w:p w14:paraId="22431CA1" w14:textId="77777777" w:rsidR="006E6750" w:rsidRPr="006E6750" w:rsidRDefault="006E6750" w:rsidP="00CB5F71">
      <w:pPr>
        <w:pStyle w:val="BoxHeading"/>
      </w:pPr>
      <w:r>
        <w:t>Further analysis of RSP cohorts</w:t>
      </w:r>
    </w:p>
    <w:p w14:paraId="4FF93DB6" w14:textId="77777777" w:rsidR="00410800" w:rsidRDefault="00F13661" w:rsidP="00C3597C">
      <w:pPr>
        <w:pStyle w:val="BoxText"/>
        <w:spacing w:after="120"/>
      </w:pPr>
      <w:r>
        <w:t>Clients tended to have a higher level of engagement with the R&amp;D activities when these were provided by an RSP dealing only with a small number of clients</w:t>
      </w:r>
      <w:r w:rsidR="00410800">
        <w:t xml:space="preserve"> (31% of these RSPs reported moderate levels of engagement and 35% reported significant levels of engagement, compared to 9%-12% reported by RSPs with 20 or more clients).</w:t>
      </w:r>
    </w:p>
    <w:p w14:paraId="31C2CD70" w14:textId="77777777" w:rsidR="00410800" w:rsidRDefault="00F13661" w:rsidP="00C3597C">
      <w:pPr>
        <w:pStyle w:val="BoxText"/>
        <w:spacing w:after="120"/>
      </w:pPr>
      <w:r>
        <w:t xml:space="preserve">RSPs with large client lists </w:t>
      </w:r>
      <w:r w:rsidR="00410800">
        <w:t xml:space="preserve">(20 or more clients) </w:t>
      </w:r>
      <w:r>
        <w:t>were more likely to provide R&amp;D services on a ‘transaction only’ basis, with no client involvement</w:t>
      </w:r>
      <w:r w:rsidR="00C3597C">
        <w:t xml:space="preserve"> (66% of </w:t>
      </w:r>
      <w:r w:rsidR="00410800">
        <w:t xml:space="preserve">these </w:t>
      </w:r>
      <w:r w:rsidR="00C3597C">
        <w:t>RSPs, compared to 24%-31% of RSPs with medium or small client lists)</w:t>
      </w:r>
      <w:r>
        <w:t>.</w:t>
      </w:r>
    </w:p>
    <w:p w14:paraId="0A1C472E" w14:textId="19500D38" w:rsidR="00F13661" w:rsidRDefault="00410800" w:rsidP="00C3597C">
      <w:pPr>
        <w:pStyle w:val="BoxText"/>
        <w:spacing w:after="120"/>
      </w:pPr>
      <w:r>
        <w:t>Moderate-sized RSPs (with between five and 19 clients) were more likely to have clients with a level of engagement between these two extremes.</w:t>
      </w:r>
    </w:p>
    <w:p w14:paraId="675163F5" w14:textId="140B0930" w:rsidR="00B809B8" w:rsidRDefault="00B809B8" w:rsidP="00837D9E">
      <w:pPr>
        <w:pageBreakBefore/>
        <w:jc w:val="left"/>
      </w:pPr>
      <w:r>
        <w:t>RSPs were asked to categorise the</w:t>
      </w:r>
      <w:r w:rsidRPr="00C255F2">
        <w:t xml:space="preserve"> RSP-related R&amp;D projects </w:t>
      </w:r>
      <w:r>
        <w:t>they undertook</w:t>
      </w:r>
      <w:r w:rsidRPr="00C255F2">
        <w:t xml:space="preserve"> </w:t>
      </w:r>
      <w:r>
        <w:t xml:space="preserve">in </w:t>
      </w:r>
      <w:r w:rsidR="00DB07C3">
        <w:t>2014 to 2015</w:t>
      </w:r>
      <w:r>
        <w:t xml:space="preserve"> by </w:t>
      </w:r>
      <w:r w:rsidRPr="00C255F2">
        <w:t>research field.</w:t>
      </w:r>
      <w:r w:rsidR="00376AD5">
        <w:t xml:space="preserve"> </w:t>
      </w:r>
      <w:r w:rsidR="00A34675">
        <w:t xml:space="preserve">As indicated by the profile of RSP clients in section </w:t>
      </w:r>
      <w:r w:rsidR="005737B8">
        <w:t>III</w:t>
      </w:r>
      <w:r w:rsidR="00A34675">
        <w:t xml:space="preserve">, the vast majority of projects (48%) were in the field of Agricultural, Veterinary and Environmental Science (see </w:t>
      </w:r>
      <w:r w:rsidR="005737B8" w:rsidRPr="00181D7C">
        <w:t xml:space="preserve">Figure </w:t>
      </w:r>
      <w:r w:rsidR="005737B8">
        <w:rPr>
          <w:noProof/>
        </w:rPr>
        <w:t>4</w:t>
      </w:r>
      <w:r w:rsidR="00A34675">
        <w:t>).</w:t>
      </w:r>
      <w:r w:rsidR="00906E64">
        <w:t xml:space="preserve"> However</w:t>
      </w:r>
      <w:r w:rsidR="00906E64" w:rsidRPr="00906E64">
        <w:t>, this was significantly attributed to one RSP (</w:t>
      </w:r>
      <w:r w:rsidR="00906E64">
        <w:t xml:space="preserve">the same RSP with 90 clients noted on page </w:t>
      </w:r>
      <w:r w:rsidR="00906E64">
        <w:fldChar w:fldCharType="begin"/>
      </w:r>
      <w:r w:rsidR="00906E64">
        <w:instrText xml:space="preserve"> PAGEREF _Ref431568982 \h </w:instrText>
      </w:r>
      <w:r w:rsidR="00906E64">
        <w:fldChar w:fldCharType="separate"/>
      </w:r>
      <w:r w:rsidR="0094275D">
        <w:rPr>
          <w:noProof/>
        </w:rPr>
        <w:t>7</w:t>
      </w:r>
      <w:r w:rsidR="00906E64">
        <w:fldChar w:fldCharType="end"/>
      </w:r>
      <w:r w:rsidR="00906E64" w:rsidRPr="00906E64">
        <w:t>) who reported that they undertook 550 RSP-related</w:t>
      </w:r>
      <w:r w:rsidR="00DB07C3">
        <w:t xml:space="preserve"> projects in this field in 2014 to 2015</w:t>
      </w:r>
      <w:r w:rsidR="00906E64" w:rsidRPr="00906E64">
        <w:t xml:space="preserve"> (representing 36% of the total number of reported projects). </w:t>
      </w:r>
      <w:r w:rsidR="00307377">
        <w:t xml:space="preserve">Without this RSP, the proportion of projects </w:t>
      </w:r>
      <w:r w:rsidR="00307377" w:rsidRPr="00E66C0D">
        <w:t>in the field of Agricultural, Veterinary and Environmental Science</w:t>
      </w:r>
      <w:r w:rsidR="00307377">
        <w:t xml:space="preserve"> would be 12%. </w:t>
      </w:r>
      <w:r w:rsidR="00906E64" w:rsidRPr="00906E64">
        <w:t>The next largest field was Biological Sciences (13%).</w:t>
      </w:r>
    </w:p>
    <w:p w14:paraId="3874ADE8" w14:textId="7FEF77E6" w:rsidR="00B809B8" w:rsidRDefault="00B809B8" w:rsidP="00B3317A">
      <w:pPr>
        <w:pStyle w:val="FigureHeading"/>
        <w:spacing w:before="240"/>
      </w:pPr>
      <w:bookmarkStart w:id="16" w:name="_Ref431393519"/>
      <w:r w:rsidRPr="00181D7C">
        <w:t xml:space="preserve">Figure </w:t>
      </w:r>
      <w:r w:rsidR="0094275D">
        <w:fldChar w:fldCharType="begin"/>
      </w:r>
      <w:r w:rsidR="0094275D">
        <w:instrText xml:space="preserve"> SEQ Figure \* ARABIC </w:instrText>
      </w:r>
      <w:r w:rsidR="0094275D">
        <w:fldChar w:fldCharType="separate"/>
      </w:r>
      <w:r w:rsidR="0094275D">
        <w:rPr>
          <w:noProof/>
        </w:rPr>
        <w:t>4</w:t>
      </w:r>
      <w:r w:rsidR="0094275D">
        <w:rPr>
          <w:noProof/>
        </w:rPr>
        <w:fldChar w:fldCharType="end"/>
      </w:r>
      <w:bookmarkEnd w:id="16"/>
      <w:r>
        <w:t xml:space="preserve">: </w:t>
      </w:r>
      <w:r w:rsidR="005737B8">
        <w:t xml:space="preserve">Common research fields of </w:t>
      </w:r>
      <w:r>
        <w:t>RSP-related R&amp;D project</w:t>
      </w:r>
      <w:r w:rsidR="005737B8">
        <w:t>s</w:t>
      </w:r>
      <w:r>
        <w:t xml:space="preserve"> (</w:t>
      </w:r>
      <w:r w:rsidR="00DB07C3">
        <w:t>2014 to 2015</w:t>
      </w:r>
      <w:r>
        <w:t>)</w:t>
      </w:r>
    </w:p>
    <w:p w14:paraId="019F18C2" w14:textId="5FDC8DC0" w:rsidR="00632BAD" w:rsidRDefault="00632BAD" w:rsidP="00632BAD">
      <w:pPr>
        <w:pStyle w:val="FigureHeading2"/>
      </w:pPr>
      <w:r>
        <w:t>Base: n=1,537 projects (across n=33 RSPs)</w:t>
      </w:r>
    </w:p>
    <w:p w14:paraId="2B36D7C4" w14:textId="5F54CF09" w:rsidR="00252FD8" w:rsidRPr="00181D7C" w:rsidRDefault="00252FD8" w:rsidP="00632BAD">
      <w:pPr>
        <w:pStyle w:val="FigureHeading2"/>
      </w:pPr>
      <w:r>
        <w:rPr>
          <w:noProof/>
        </w:rPr>
        <w:drawing>
          <wp:inline distT="0" distB="0" distL="0" distR="0" wp14:anchorId="22665818" wp14:editId="450DEE3C">
            <wp:extent cx="5730875" cy="3871595"/>
            <wp:effectExtent l="0" t="0" r="3175" b="0"/>
            <wp:docPr id="7" name="Picture 7" descr="In order from most common to least common in research fields of RSP related R&amp;D projects in the 2014-15 financial year are:&#10;&#10;1. Agricultural, veterinary and environmental sciences at 48%&#10;2. Biological sciences at 13%&#10;3. Medical and health sciences at 11%&#10;4. Chemical sciences at 6%&#10;5. Education at 5%&#10;6. Earth sciences at 4%&#10;7. Environmental sciences at 3%&#10;8. Engineering at 3%&#10;9. Information, Computing and Communication Sciences at 2%&#10;10. Technology at 2%&#10;11. Commerce, management, tourism and services at 1%" title="Figure 4: Common research fields of RSP related R&amp;D projects in 20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3871595"/>
                    </a:xfrm>
                    <a:prstGeom prst="rect">
                      <a:avLst/>
                    </a:prstGeom>
                    <a:noFill/>
                  </pic:spPr>
                </pic:pic>
              </a:graphicData>
            </a:graphic>
          </wp:inline>
        </w:drawing>
      </w:r>
    </w:p>
    <w:p w14:paraId="6F407971" w14:textId="4D75CAAC" w:rsidR="00B809B8" w:rsidRDefault="00B809B8" w:rsidP="00FA0E62">
      <w:pPr>
        <w:pStyle w:val="IntroductionText"/>
        <w:spacing w:before="0"/>
        <w:rPr>
          <w:sz w:val="16"/>
        </w:rPr>
      </w:pPr>
    </w:p>
    <w:p w14:paraId="7F8FAE0A" w14:textId="77777777" w:rsidR="00837D9E" w:rsidRPr="006E6750" w:rsidRDefault="00837D9E" w:rsidP="00CB5F71">
      <w:pPr>
        <w:pStyle w:val="BoxHeading"/>
      </w:pPr>
      <w:r>
        <w:t>Further analysis of RSP cohorts</w:t>
      </w:r>
    </w:p>
    <w:p w14:paraId="4614A2A7" w14:textId="37094A4C" w:rsidR="00837D9E" w:rsidRDefault="00837D9E" w:rsidP="00837D9E">
      <w:pPr>
        <w:pStyle w:val="BoxText"/>
        <w:spacing w:after="120"/>
      </w:pPr>
      <w:r>
        <w:t>RSPs providing R&amp;D services to government clients tended to cover more research fields (</w:t>
      </w:r>
      <w:r w:rsidR="00410800">
        <w:t>more than five fields on average</w:t>
      </w:r>
      <w:r>
        <w:t>) than those providing services to businesses, particular</w:t>
      </w:r>
      <w:r w:rsidR="00410800">
        <w:t>ly small businesses (less than two fields on average</w:t>
      </w:r>
      <w:r>
        <w:t>).</w:t>
      </w:r>
    </w:p>
    <w:p w14:paraId="4F04A08A" w14:textId="427FAE1A" w:rsidR="00837D9E" w:rsidRPr="00837D9E" w:rsidRDefault="00837D9E" w:rsidP="00837D9E">
      <w:pPr>
        <w:pStyle w:val="BoxText"/>
        <w:spacing w:before="120" w:after="240"/>
      </w:pPr>
      <w:r>
        <w:t>RSPs with large client lists tended to spread their R&amp;D activities across a wider range of research fields than those with smaller client lists.</w:t>
      </w:r>
    </w:p>
    <w:p w14:paraId="177FCDED" w14:textId="77777777" w:rsidR="00412E38" w:rsidRPr="006F0B65" w:rsidRDefault="00412E38" w:rsidP="00837D9E">
      <w:pPr>
        <w:pStyle w:val="Heading1"/>
      </w:pPr>
      <w:bookmarkStart w:id="17" w:name="_Toc432767010"/>
      <w:bookmarkStart w:id="18" w:name="_Ref347919666"/>
      <w:r>
        <w:t>RSP views about collaboration with industry</w:t>
      </w:r>
      <w:bookmarkEnd w:id="17"/>
    </w:p>
    <w:p w14:paraId="75DF938C" w14:textId="01FEFB1D" w:rsidR="00A94351" w:rsidRDefault="008B0A82" w:rsidP="00A94351">
      <w:pPr>
        <w:pStyle w:val="IntroductionText"/>
        <w:spacing w:before="360"/>
      </w:pPr>
      <w:r>
        <w:t>RSPs were asked how they would describe their organisation’s view about the scope to increase the level of collaboration between researchers and industry.</w:t>
      </w:r>
      <w:r w:rsidR="00376AD5">
        <w:t xml:space="preserve"> </w:t>
      </w:r>
      <w:r w:rsidR="00E17EA9">
        <w:t>M</w:t>
      </w:r>
      <w:r>
        <w:t xml:space="preserve">ost </w:t>
      </w:r>
      <w:r w:rsidR="00772726">
        <w:t xml:space="preserve">respondent </w:t>
      </w:r>
      <w:r w:rsidR="00F46745">
        <w:t xml:space="preserve">RSPs </w:t>
      </w:r>
      <w:r w:rsidR="00E32636">
        <w:t>were optimistic</w:t>
      </w:r>
      <w:r w:rsidR="00B90B30">
        <w:t xml:space="preserve">, indicating </w:t>
      </w:r>
      <w:r w:rsidR="00A34675">
        <w:t>that</w:t>
      </w:r>
      <w:r>
        <w:t xml:space="preserve"> there are </w:t>
      </w:r>
      <w:r w:rsidR="00E32636">
        <w:t xml:space="preserve">a range of </w:t>
      </w:r>
      <w:r>
        <w:t>valuable opportunit</w:t>
      </w:r>
      <w:r w:rsidR="00A94351">
        <w:t>ies for such collaboration</w:t>
      </w:r>
      <w:r w:rsidR="00B90B30">
        <w:t xml:space="preserve">, </w:t>
      </w:r>
      <w:r w:rsidR="00A94351">
        <w:t xml:space="preserve">with </w:t>
      </w:r>
      <w:r>
        <w:t xml:space="preserve">42% </w:t>
      </w:r>
      <w:r w:rsidR="00B90B30">
        <w:t xml:space="preserve">responding that </w:t>
      </w:r>
      <w:r>
        <w:t>there are a large number of highly valuable opportunities for more collab</w:t>
      </w:r>
      <w:r w:rsidR="00E17EA9">
        <w:t>oration with industry</w:t>
      </w:r>
      <w:r w:rsidR="00A94351">
        <w:t>.</w:t>
      </w:r>
    </w:p>
    <w:p w14:paraId="684D5D5C" w14:textId="1D2C4943" w:rsidR="008B0A82" w:rsidRDefault="00A94351" w:rsidP="00A94351">
      <w:pPr>
        <w:pStyle w:val="ListBullet"/>
      </w:pPr>
      <w:r>
        <w:t>A high proportion of RSPs also consider there are a few highly valuable opportunities for collaboration (25%) and there are many small value opportunities for collaboration (10%).</w:t>
      </w:r>
    </w:p>
    <w:p w14:paraId="1CC19621" w14:textId="17D04A0E" w:rsidR="00A94351" w:rsidRDefault="00E32636" w:rsidP="00A94351">
      <w:pPr>
        <w:pStyle w:val="ListBullet"/>
      </w:pPr>
      <w:r>
        <w:t>A small minority (</w:t>
      </w:r>
      <w:r w:rsidR="00837D9E">
        <w:t>9</w:t>
      </w:r>
      <w:r w:rsidR="00E17EA9">
        <w:t>%</w:t>
      </w:r>
      <w:r>
        <w:t>)</w:t>
      </w:r>
      <w:r w:rsidR="00E17EA9">
        <w:t xml:space="preserve"> consider there are a few small value opportunities for collaboration</w:t>
      </w:r>
      <w:r>
        <w:t xml:space="preserve"> and only 1% considered there were no obvious opportunities for collaboration.</w:t>
      </w:r>
    </w:p>
    <w:p w14:paraId="2CB5B827" w14:textId="52668B6E" w:rsidR="00A94351" w:rsidRDefault="00A94351" w:rsidP="00A94351">
      <w:pPr>
        <w:pStyle w:val="ListBullet"/>
      </w:pPr>
      <w:r>
        <w:t>The remaining 13% of RSPs reported that they were yet to explore the extent of collaboration opportunities.</w:t>
      </w:r>
    </w:p>
    <w:p w14:paraId="6F26F694" w14:textId="49A942A2" w:rsidR="00E32636" w:rsidRDefault="00726E0C" w:rsidP="00726E0C">
      <w:r>
        <w:t xml:space="preserve">As shown in </w:t>
      </w:r>
      <w:r w:rsidR="005737B8" w:rsidRPr="00181D7C">
        <w:t xml:space="preserve">Figure </w:t>
      </w:r>
      <w:r w:rsidR="005737B8">
        <w:rPr>
          <w:noProof/>
        </w:rPr>
        <w:t>5</w:t>
      </w:r>
      <w:r w:rsidR="00837D9E">
        <w:rPr>
          <w:noProof/>
        </w:rPr>
        <w:t xml:space="preserve"> (on the following page)</w:t>
      </w:r>
      <w:r>
        <w:t>, t</w:t>
      </w:r>
      <w:r w:rsidR="00E32636">
        <w:t>he most significant barriers rated by RSPs to collaborating with industry and commercial entities were:</w:t>
      </w:r>
    </w:p>
    <w:p w14:paraId="44CE7736" w14:textId="3C7D5729" w:rsidR="00374587" w:rsidRDefault="00374587" w:rsidP="00E32636">
      <w:pPr>
        <w:pStyle w:val="ListBullet"/>
      </w:pPr>
      <w:r>
        <w:t xml:space="preserve">the ability of businesses to finance research activities (considered a large barrier by 66% of </w:t>
      </w:r>
      <w:r w:rsidR="00837D9E">
        <w:t xml:space="preserve">responding </w:t>
      </w:r>
      <w:r>
        <w:t>RSPs)</w:t>
      </w:r>
      <w:r w:rsidR="007C7925">
        <w:t>;</w:t>
      </w:r>
    </w:p>
    <w:p w14:paraId="3FC03EBD" w14:textId="2FE99B31" w:rsidR="00374587" w:rsidRDefault="00374587" w:rsidP="00E32636">
      <w:pPr>
        <w:pStyle w:val="ListBullet"/>
      </w:pPr>
      <w:r>
        <w:t xml:space="preserve">business/industry lack of awareness of the potential benefits of conducting R&amp;D (considered a large barrier by 49% of </w:t>
      </w:r>
      <w:r w:rsidR="00837D9E">
        <w:t xml:space="preserve">responding </w:t>
      </w:r>
      <w:r>
        <w:t>RSPs)</w:t>
      </w:r>
      <w:r w:rsidR="007C7925">
        <w:t>;</w:t>
      </w:r>
      <w:r>
        <w:t xml:space="preserve"> and</w:t>
      </w:r>
    </w:p>
    <w:p w14:paraId="4D33B69F" w14:textId="2FF3697D" w:rsidR="00374587" w:rsidRDefault="00374587" w:rsidP="00E32636">
      <w:pPr>
        <w:pStyle w:val="ListBullet"/>
      </w:pPr>
      <w:proofErr w:type="gramStart"/>
      <w:r>
        <w:t>business/industry</w:t>
      </w:r>
      <w:proofErr w:type="gramEnd"/>
      <w:r>
        <w:t xml:space="preserve"> lack of knowledge about research services being offered (considered a large barrier by 44% of </w:t>
      </w:r>
      <w:r w:rsidR="00837D9E">
        <w:t xml:space="preserve">responding </w:t>
      </w:r>
      <w:r>
        <w:t>RSPs).</w:t>
      </w:r>
    </w:p>
    <w:p w14:paraId="53F1C30F" w14:textId="6B48B789" w:rsidR="003B0F22" w:rsidRDefault="003B0F22" w:rsidP="003B0F22">
      <w:pPr>
        <w:pStyle w:val="FigureHeading"/>
      </w:pPr>
      <w:bookmarkStart w:id="19" w:name="_Ref431318111"/>
      <w:r w:rsidRPr="00181D7C">
        <w:t xml:space="preserve">Figure </w:t>
      </w:r>
      <w:r w:rsidR="0094275D">
        <w:fldChar w:fldCharType="begin"/>
      </w:r>
      <w:r w:rsidR="0094275D">
        <w:instrText xml:space="preserve"> SEQ Figure \* ARABIC </w:instrText>
      </w:r>
      <w:r w:rsidR="0094275D">
        <w:fldChar w:fldCharType="separate"/>
      </w:r>
      <w:r w:rsidR="0094275D">
        <w:rPr>
          <w:noProof/>
        </w:rPr>
        <w:t>5</w:t>
      </w:r>
      <w:r w:rsidR="0094275D">
        <w:rPr>
          <w:noProof/>
        </w:rPr>
        <w:fldChar w:fldCharType="end"/>
      </w:r>
      <w:bookmarkEnd w:id="19"/>
      <w:r>
        <w:t>: Barriers to collaboration</w:t>
      </w:r>
    </w:p>
    <w:p w14:paraId="76A2E9AA" w14:textId="25173AE8" w:rsidR="00487FF9" w:rsidRDefault="00487FF9" w:rsidP="00487FF9">
      <w:pPr>
        <w:pStyle w:val="FigureHeading2"/>
      </w:pPr>
      <w:r>
        <w:t>Base: All responding RSPs, excluding ‘not applicable’ responses</w:t>
      </w:r>
    </w:p>
    <w:p w14:paraId="073BA21D" w14:textId="3D8F7073" w:rsidR="00252FD8" w:rsidRDefault="00252FD8" w:rsidP="00487FF9">
      <w:pPr>
        <w:pStyle w:val="FigureHeading2"/>
      </w:pPr>
      <w:r>
        <w:rPr>
          <w:noProof/>
        </w:rPr>
        <w:drawing>
          <wp:inline distT="0" distB="0" distL="0" distR="0" wp14:anchorId="16826A47" wp14:editId="2B57A532">
            <wp:extent cx="5730875" cy="5761355"/>
            <wp:effectExtent l="0" t="0" r="0" b="0"/>
            <wp:docPr id="8" name="Picture 8" descr="The following illustrates the extent by which each responding RSP considers a barrier to collaboration. Round parenthesis denotes number of observations.&#10;&#10; 1. Ability of businesses to finance research facilities: 9% for large barrier and the cost of overcoming outweighs the benefit, 57% for large barrier and not easily overcome, 25% for significant barrier but can be readily overcome, 9% for small barrier and easily overcome. (65)&#10;2. Business or industry lack of awareness of the potential benefits of conducting R&amp;D: 5% for large barrier and the cost of overcoming outweighs the benefit, 45% for large barrier and not easily overcome, 37% for significant barrier but can be readily overcome, 14% for small barrier and easily overcome. (65)&#10;3. Business or industry lack of knowledge about research services being offered, visibility of RSPs in the marketplace: 0% for large barrier and the cost of overcoming outweighs the benefit, 44% for large barrier and not easily overcome, 44% for significant barrier but can be readily overcome, 12% for small barrier and easily overcome. (66)&#10;4. Visibility of RSPs in the market place (i.e ability to find and/or attract clients): 0% for large barrier and the cost of overcoming outweighs the benefit, 35% for large barrier and not easily overcome, 53% for significant barrier but can be readily overcome, 12% for small barrier and easily overcome. (60)&#10;5. Intellectual property issues: 1% for large barrier and the cost of overcoming outweighs the benefit, 20% for large barrier and not easily overcome, 29% for significant barrier but can be readily overcome, 50% for small barrier and easily overcome. (66)&#10;6. Cultural differences between your organisation and potential partner organisations: 1% for large barrier and the cost of overcoming outweighs the benefit, 15% for large barrier and not easily overcome, 36% for significant barrier but can be readily overcome, 45% for small barrier and easily overcome. (55)&#10;7. Constraint on RSP’s capacity to undertake R&amp;D activities due to specialist knowledge or experience factors: 2% for large barrier and the cost of overcoming outweighs the benefit, 15% for large barrier and not easily overcome, 32% for significant barrier but can be readily overcome, 51% for small barrier and easily overcome. (59)&#10;8. Government regulations: 0% for large barrier and the cost of overcoming outweighs the benefit, 15% for large barrier and not easily overcome, 45% for significant barrier but can be readily overcome, 40% for small barrier and easily overcome. (60) &#10;9. Differing expectations on timing for the R&amp;D: 0% for large barrier and the cost of overcoming outweighs the benefit, 14% for large barrier and not easily overcome, 42% for significant barrier but can be readily overcome, 44% for small barrier and easily overcome. (57)&#10;10. Constraint on RSP’s capacity to undertake R&amp;D activities due to limited facilities or specialist equipment being available: 2% for large barrier and the cost of overcoming outweighs the benefit, 12% for large barrier and not easily overcome, 35% for significant barrier but can be readily overcome, 51% for small barrier and easily overcome. (57)&#10;11. Differing objectives for R&amp;D activities: 0% for large barrier and the cost of overcoming outweighs the benefit, 10% for large barrier and not easily overcome, 38% for significant barrier but can be readily overcome, 52% for small barrier and easily overcome. (58)" title="Figure 5: Barriers to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5761355"/>
                    </a:xfrm>
                    <a:prstGeom prst="rect">
                      <a:avLst/>
                    </a:prstGeom>
                    <a:noFill/>
                  </pic:spPr>
                </pic:pic>
              </a:graphicData>
            </a:graphic>
          </wp:inline>
        </w:drawing>
      </w:r>
    </w:p>
    <w:p w14:paraId="7CD4F35B" w14:textId="54D4B404" w:rsidR="00E32636" w:rsidRDefault="00E32636" w:rsidP="00E32636">
      <w:pPr>
        <w:pStyle w:val="Image"/>
      </w:pPr>
    </w:p>
    <w:p w14:paraId="39089C1F" w14:textId="77777777" w:rsidR="00837D9E" w:rsidRPr="0028352E" w:rsidRDefault="00837D9E" w:rsidP="00CB5F71">
      <w:pPr>
        <w:pStyle w:val="BoxHeading"/>
      </w:pPr>
      <w:r w:rsidRPr="0028352E">
        <w:t>Further analysis of RSP cohorts</w:t>
      </w:r>
    </w:p>
    <w:p w14:paraId="1A5A2BC7" w14:textId="47C6F225" w:rsidR="00837D9E" w:rsidRDefault="00837D9E" w:rsidP="00837D9E">
      <w:pPr>
        <w:pStyle w:val="BoxText"/>
      </w:pPr>
      <w:r>
        <w:t>Some barriers were seen as more significant by RSPs</w:t>
      </w:r>
      <w:r w:rsidR="00CB5F71">
        <w:t xml:space="preserve"> </w:t>
      </w:r>
      <w:r w:rsidR="00B90B30">
        <w:t xml:space="preserve">that </w:t>
      </w:r>
      <w:r w:rsidR="00CB5F71">
        <w:t>had not been</w:t>
      </w:r>
      <w:r>
        <w:t xml:space="preserve"> registered under the previous RRA system. These</w:t>
      </w:r>
      <w:r w:rsidR="00B90B30">
        <w:t xml:space="preserve"> ‘</w:t>
      </w:r>
      <w:r>
        <w:t>newer</w:t>
      </w:r>
      <w:r w:rsidR="00B90B30">
        <w:t xml:space="preserve">’ </w:t>
      </w:r>
      <w:r>
        <w:t>RSPs were more likely than carried-over RRA registrants to consider the following as large barriers, either difficult or too costly to overcome:</w:t>
      </w:r>
    </w:p>
    <w:p w14:paraId="104E34F5" w14:textId="77777777" w:rsidR="00837D9E" w:rsidRPr="00E512A3" w:rsidRDefault="00837D9E" w:rsidP="00837D9E">
      <w:pPr>
        <w:pStyle w:val="BoxBullet"/>
      </w:pPr>
      <w:r w:rsidRPr="00E512A3">
        <w:t>visibility of RSPs in the marketplace (42% of new RSPs considered this a large barrier, compared to 34% of former RRA registrants);</w:t>
      </w:r>
    </w:p>
    <w:p w14:paraId="23524F4E" w14:textId="77777777" w:rsidR="00837D9E" w:rsidRDefault="00837D9E" w:rsidP="00837D9E">
      <w:pPr>
        <w:pStyle w:val="BoxBullet"/>
      </w:pPr>
      <w:r>
        <w:t>cultural differences between the RSP and potential partners (29%, compared to 14%); and</w:t>
      </w:r>
    </w:p>
    <w:p w14:paraId="5746250F" w14:textId="468E6C89" w:rsidR="00837D9E" w:rsidRPr="00837D9E" w:rsidRDefault="00837D9E" w:rsidP="00837D9E">
      <w:pPr>
        <w:pStyle w:val="BoxBullet"/>
      </w:pPr>
      <w:proofErr w:type="gramStart"/>
      <w:r>
        <w:t>government</w:t>
      </w:r>
      <w:proofErr w:type="gramEnd"/>
      <w:r>
        <w:t xml:space="preserve"> regulations and compliance costs (22%, compared to 10%).</w:t>
      </w:r>
    </w:p>
    <w:p w14:paraId="1088F341" w14:textId="77777777" w:rsidR="00675362" w:rsidRDefault="00C46F41" w:rsidP="00837D9E">
      <w:pPr>
        <w:pStyle w:val="Heading1"/>
      </w:pPr>
      <w:bookmarkStart w:id="20" w:name="_Toc432767011"/>
      <w:r>
        <w:t>RSP b</w:t>
      </w:r>
      <w:r w:rsidR="00E26EE3">
        <w:t>usiness</w:t>
      </w:r>
      <w:r w:rsidR="00675362">
        <w:t xml:space="preserve"> development</w:t>
      </w:r>
      <w:r>
        <w:t xml:space="preserve"> methods</w:t>
      </w:r>
      <w:bookmarkEnd w:id="20"/>
    </w:p>
    <w:p w14:paraId="70E8CE91" w14:textId="77777777" w:rsidR="003E2781" w:rsidRDefault="00675362" w:rsidP="00726E0C">
      <w:pPr>
        <w:pStyle w:val="IntroductionText"/>
      </w:pPr>
      <w:r>
        <w:t>RSPs were asked what methods</w:t>
      </w:r>
      <w:r w:rsidR="00BB7DAF">
        <w:t xml:space="preserve"> they typically use to promote</w:t>
      </w:r>
      <w:r>
        <w:t xml:space="preserve"> their R&amp;D-related services and which promotion method is most successful for them.</w:t>
      </w:r>
      <w:r w:rsidR="00376AD5">
        <w:t xml:space="preserve"> </w:t>
      </w:r>
      <w:r w:rsidR="0091778D">
        <w:t>T</w:t>
      </w:r>
      <w:r>
        <w:t>he most common me</w:t>
      </w:r>
      <w:r w:rsidR="00FA0E62">
        <w:t>thods RSPs use to promote</w:t>
      </w:r>
      <w:r>
        <w:t xml:space="preserve"> their R&amp;D-related services is </w:t>
      </w:r>
      <w:r w:rsidR="00726E0C">
        <w:t xml:space="preserve">through </w:t>
      </w:r>
      <w:r>
        <w:t>word of mouth/networking (</w:t>
      </w:r>
      <w:r w:rsidR="003E2781">
        <w:t>cited</w:t>
      </w:r>
      <w:r>
        <w:t xml:space="preserve"> by 75% of </w:t>
      </w:r>
      <w:r w:rsidR="00BB7DAF">
        <w:t xml:space="preserve">respondent </w:t>
      </w:r>
      <w:r>
        <w:t xml:space="preserve">RSPs) </w:t>
      </w:r>
      <w:r w:rsidR="003E2781">
        <w:t>and repeat business (62%)</w:t>
      </w:r>
      <w:r w:rsidR="00726E0C">
        <w:t>. A significant portion of RSPs also use their RSP registration (55%) and tender/grant applications (53%) to promote their R&amp;D-related services.</w:t>
      </w:r>
    </w:p>
    <w:p w14:paraId="2E49753B" w14:textId="77777777" w:rsidR="003E2781" w:rsidRDefault="004213F2" w:rsidP="00726E0C">
      <w:pPr>
        <w:pStyle w:val="ListBullet"/>
      </w:pPr>
      <w:r>
        <w:t>O</w:t>
      </w:r>
      <w:r w:rsidR="003E2781">
        <w:t>ther methods used by RSPs to promote their R&amp;D-related ser</w:t>
      </w:r>
      <w:r w:rsidR="00726E0C">
        <w:t>vices include: website material;</w:t>
      </w:r>
      <w:r w:rsidR="003E2781">
        <w:t xml:space="preserve"> targeted direct market</w:t>
      </w:r>
      <w:r w:rsidR="00BB7DAF">
        <w:t>ing to industry partners</w:t>
      </w:r>
      <w:r w:rsidR="00726E0C">
        <w:t>;</w:t>
      </w:r>
      <w:r w:rsidR="00BB7DAF">
        <w:t xml:space="preserve"> and </w:t>
      </w:r>
      <w:r w:rsidR="003E2781">
        <w:t>seminar and open day presentations.</w:t>
      </w:r>
    </w:p>
    <w:p w14:paraId="53232948" w14:textId="1FE00655" w:rsidR="00882632" w:rsidRDefault="0091778D" w:rsidP="0091778D">
      <w:r>
        <w:t>The usage of each method for promoting R&amp;D-related services largely reflected how successful each method was</w:t>
      </w:r>
      <w:r w:rsidR="009D1D71">
        <w:t>. T</w:t>
      </w:r>
      <w:r>
        <w:t xml:space="preserve">he most commonly used method (word of mouth/networking, cited by 75% of respondent RSPs) </w:t>
      </w:r>
      <w:r w:rsidR="009D1D71">
        <w:t xml:space="preserve">was </w:t>
      </w:r>
      <w:r>
        <w:t>also the most successful (by 50% of RSPs that use</w:t>
      </w:r>
      <w:r w:rsidR="009D1D71">
        <w:t>d</w:t>
      </w:r>
      <w:r>
        <w:t xml:space="preserve"> this method). Other </w:t>
      </w:r>
      <w:r w:rsidR="00882632">
        <w:t xml:space="preserve">commonly used </w:t>
      </w:r>
      <w:r>
        <w:t>methods, such as repeat business</w:t>
      </w:r>
      <w:r w:rsidR="00882632">
        <w:t xml:space="preserve"> (being successful 23% of the time) and</w:t>
      </w:r>
      <w:r>
        <w:t xml:space="preserve"> tender/grant applications</w:t>
      </w:r>
      <w:r w:rsidR="00882632">
        <w:t xml:space="preserve"> (12%),</w:t>
      </w:r>
      <w:r>
        <w:t xml:space="preserve"> tended to have a lower success rate</w:t>
      </w:r>
      <w:r w:rsidR="00882632">
        <w:t>.</w:t>
      </w:r>
    </w:p>
    <w:p w14:paraId="06F388A0" w14:textId="0B111E6A" w:rsidR="0091778D" w:rsidRDefault="00882632" w:rsidP="009D1D71">
      <w:pPr>
        <w:pStyle w:val="ListBullet"/>
      </w:pPr>
      <w:r>
        <w:t xml:space="preserve">While a significant proportion of RSPs reported that they use their RSP registration to promote their R&amp;D-related services, the success rate for this method was much lower at 5%. This could largely be due to the </w:t>
      </w:r>
      <w:r w:rsidR="009D1D71">
        <w:t xml:space="preserve">most commonly cited </w:t>
      </w:r>
      <w:r>
        <w:t>benefit of registration</w:t>
      </w:r>
      <w:r w:rsidR="009D1D71">
        <w:t xml:space="preserve"> being </w:t>
      </w:r>
      <w:r>
        <w:t xml:space="preserve">related to adding credibility and reputation to RSP credentials (81% of RSPs agreed with this statement, covered in more detail in section </w:t>
      </w:r>
      <w:r w:rsidR="005737B8">
        <w:t>VIII</w:t>
      </w:r>
      <w:r>
        <w:t>)</w:t>
      </w:r>
      <w:r w:rsidR="009D1D71">
        <w:t>. As such</w:t>
      </w:r>
      <w:r>
        <w:t xml:space="preserve">, </w:t>
      </w:r>
      <w:r w:rsidR="009D1D71">
        <w:t>this type of benefit</w:t>
      </w:r>
      <w:r>
        <w:t xml:space="preserve"> is of more use in supporting the promotion of R&amp;D services rather than a method for promotion in itself.</w:t>
      </w:r>
    </w:p>
    <w:p w14:paraId="47CD10F4" w14:textId="3D42478F" w:rsidR="00882632" w:rsidRDefault="005737B8" w:rsidP="0091778D">
      <w:r w:rsidRPr="00181D7C">
        <w:t xml:space="preserve">Figure </w:t>
      </w:r>
      <w:r>
        <w:rPr>
          <w:noProof/>
        </w:rPr>
        <w:t>6</w:t>
      </w:r>
      <w:r w:rsidR="00882632">
        <w:t xml:space="preserve"> illustrates the usage and level of success in relation to the different methods of promoting R&amp;D services that RSPs use.</w:t>
      </w:r>
    </w:p>
    <w:p w14:paraId="21104EA3" w14:textId="77777777" w:rsidR="00675362" w:rsidRDefault="00675362" w:rsidP="00675362">
      <w:pPr>
        <w:pStyle w:val="FigureHeading"/>
      </w:pPr>
      <w:bookmarkStart w:id="21" w:name="_Ref431371467"/>
      <w:r w:rsidRPr="00181D7C">
        <w:t xml:space="preserve">Figure </w:t>
      </w:r>
      <w:r w:rsidR="0094275D">
        <w:fldChar w:fldCharType="begin"/>
      </w:r>
      <w:r w:rsidR="0094275D">
        <w:instrText xml:space="preserve"> SEQ Figure \* ARABIC </w:instrText>
      </w:r>
      <w:r w:rsidR="0094275D">
        <w:fldChar w:fldCharType="separate"/>
      </w:r>
      <w:r w:rsidR="0094275D">
        <w:rPr>
          <w:noProof/>
        </w:rPr>
        <w:t>6</w:t>
      </w:r>
      <w:r w:rsidR="0094275D">
        <w:rPr>
          <w:noProof/>
        </w:rPr>
        <w:fldChar w:fldCharType="end"/>
      </w:r>
      <w:bookmarkEnd w:id="21"/>
      <w:r>
        <w:t>: RSP methods of promoting R&amp;D-related services</w:t>
      </w:r>
    </w:p>
    <w:p w14:paraId="68EC8CB6" w14:textId="39AEE6FE" w:rsidR="00A54140" w:rsidRDefault="00A54140" w:rsidP="00A54140">
      <w:pPr>
        <w:pStyle w:val="FigureHeading2"/>
      </w:pPr>
      <w:r>
        <w:t xml:space="preserve">Bases: n=96 RSPs for usage; n=86 RSPs (those that don’t promote their services excluded) for effectiveness </w:t>
      </w:r>
    </w:p>
    <w:p w14:paraId="05E07B43" w14:textId="774BA3A4" w:rsidR="00252FD8" w:rsidRDefault="00252FD8" w:rsidP="00A54140">
      <w:pPr>
        <w:pStyle w:val="FigureHeading2"/>
      </w:pPr>
      <w:r>
        <w:rPr>
          <w:noProof/>
        </w:rPr>
        <w:drawing>
          <wp:inline distT="0" distB="0" distL="0" distR="0" wp14:anchorId="2C3D58F4" wp14:editId="29BA259C">
            <wp:extent cx="5730875" cy="3444240"/>
            <wp:effectExtent l="0" t="0" r="3175" b="3810"/>
            <wp:docPr id="11" name="Picture 11" descr="The following are the methods of promotion outlined in terms of percentages for most successful method and usage of promotion methods respectively.&#10;&#10;The number of observations are 96 and 86 for usage and for effectiveness respectively.&#10;&#10;1. Word of mouth or networking: 52% and 78%&#10;2. Repeat business: 24% and 64%&#10;3. RSP registration through AusIndustry: 6% and 55%&#10;4. Tender or Grant application: 12% and 53%&#10;5. Advertising: 4% and 22%&#10;6. Other: 5% and 12%" title="Figure 6. Scatter graph RSP methods of promoting R&amp;D relate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3444240"/>
                    </a:xfrm>
                    <a:prstGeom prst="rect">
                      <a:avLst/>
                    </a:prstGeom>
                    <a:noFill/>
                  </pic:spPr>
                </pic:pic>
              </a:graphicData>
            </a:graphic>
          </wp:inline>
        </w:drawing>
      </w:r>
    </w:p>
    <w:p w14:paraId="09A58F92" w14:textId="08ED4FFB" w:rsidR="007B547C" w:rsidRDefault="007B547C" w:rsidP="00737962">
      <w:pPr>
        <w:pStyle w:val="Image"/>
      </w:pPr>
    </w:p>
    <w:p w14:paraId="5635A201" w14:textId="77777777" w:rsidR="00E417B1" w:rsidRPr="0028352E" w:rsidRDefault="00E417B1" w:rsidP="00CB5F71">
      <w:pPr>
        <w:pStyle w:val="BoxHeading"/>
      </w:pPr>
      <w:r w:rsidRPr="0028352E">
        <w:t>Further analysis of RSP cohorts</w:t>
      </w:r>
    </w:p>
    <w:p w14:paraId="6294DD59" w14:textId="29E6D437" w:rsidR="00E417B1" w:rsidRDefault="00E417B1" w:rsidP="00E417B1">
      <w:pPr>
        <w:pStyle w:val="BoxText"/>
      </w:pPr>
      <w:r>
        <w:t xml:space="preserve">RSPs with fewer clients were more likely to rely on repeat business, and more likely to regard this as their most successful method of promotion if adopted. By contrast, RSPs with larger client lists were more likely to rely on word-of-mouth and networking, and more likely to regard </w:t>
      </w:r>
      <w:r w:rsidRPr="00206476">
        <w:t>this</w:t>
      </w:r>
      <w:r>
        <w:t xml:space="preserve"> as their most successful method of promotion if adopted.</w:t>
      </w:r>
    </w:p>
    <w:p w14:paraId="3AA0FF2C" w14:textId="5EA21350" w:rsidR="0004283F" w:rsidRDefault="0004283F" w:rsidP="00E417B1">
      <w:pPr>
        <w:pStyle w:val="BoxText"/>
      </w:pPr>
      <w:r>
        <w:t>While word-of-mouth and networking was the most used (and most successful) method of promotion across all client types, RSPs were least likely to rely on (or find success in) this method of promotion when they dealt with government clients.</w:t>
      </w:r>
    </w:p>
    <w:p w14:paraId="72C08458" w14:textId="32836DC7" w:rsidR="0004283F" w:rsidRPr="00E417B1" w:rsidRDefault="0004283F" w:rsidP="00E512A3">
      <w:pPr>
        <w:pStyle w:val="BoxBullet"/>
      </w:pPr>
      <w:r>
        <w:t xml:space="preserve">RSPs dealing with government were more likely than other RSPs to make use of advertising, and </w:t>
      </w:r>
      <w:proofErr w:type="spellStart"/>
      <w:r>
        <w:t>lso</w:t>
      </w:r>
      <w:proofErr w:type="spellEnd"/>
      <w:r>
        <w:t xml:space="preserve"> more likely to consider this method of promotion a successful one.</w:t>
      </w:r>
    </w:p>
    <w:p w14:paraId="2F818B0A" w14:textId="77777777" w:rsidR="00B809B8" w:rsidRPr="00837D9E" w:rsidRDefault="00B809B8" w:rsidP="00837D9E">
      <w:pPr>
        <w:pStyle w:val="Heading1"/>
      </w:pPr>
      <w:bookmarkStart w:id="22" w:name="_Ref423449456"/>
      <w:bookmarkStart w:id="23" w:name="_Toc432767012"/>
      <w:bookmarkEnd w:id="18"/>
      <w:r w:rsidRPr="00837D9E">
        <w:t xml:space="preserve">Future </w:t>
      </w:r>
      <w:r w:rsidR="00C46F41" w:rsidRPr="00837D9E">
        <w:t>b</w:t>
      </w:r>
      <w:r w:rsidRPr="00837D9E">
        <w:t xml:space="preserve">usiness </w:t>
      </w:r>
      <w:r w:rsidR="00C46F41" w:rsidRPr="00837D9E">
        <w:t>o</w:t>
      </w:r>
      <w:r w:rsidRPr="00837D9E">
        <w:t>pportunities</w:t>
      </w:r>
      <w:bookmarkEnd w:id="22"/>
      <w:r w:rsidRPr="00837D9E">
        <w:t xml:space="preserve"> for RSPs</w:t>
      </w:r>
      <w:bookmarkEnd w:id="23"/>
    </w:p>
    <w:p w14:paraId="17BFBE8D" w14:textId="77777777" w:rsidR="00E83617" w:rsidRDefault="00882632" w:rsidP="00E83617">
      <w:pPr>
        <w:pStyle w:val="SingleOptionQuestionText"/>
        <w:numPr>
          <w:ilvl w:val="0"/>
          <w:numId w:val="0"/>
        </w:numPr>
        <w:spacing w:before="120"/>
      </w:pPr>
      <w:r>
        <w:t>A significant majority (</w:t>
      </w:r>
      <w:r w:rsidR="00B809B8">
        <w:t>60%</w:t>
      </w:r>
      <w:r>
        <w:t>)</w:t>
      </w:r>
      <w:r w:rsidR="00B809B8">
        <w:t xml:space="preserve"> of </w:t>
      </w:r>
      <w:r w:rsidR="00BB7DAF">
        <w:t xml:space="preserve">respondent </w:t>
      </w:r>
      <w:r w:rsidR="00B809B8">
        <w:t xml:space="preserve">RSPs indicated </w:t>
      </w:r>
      <w:r w:rsidR="00E83617">
        <w:t xml:space="preserve">that </w:t>
      </w:r>
      <w:r w:rsidR="00B809B8">
        <w:t xml:space="preserve">there </w:t>
      </w:r>
      <w:r w:rsidR="00E83617">
        <w:t xml:space="preserve">was at least one </w:t>
      </w:r>
      <w:r w:rsidR="00E83617" w:rsidRPr="000E49C5">
        <w:t xml:space="preserve">particular </w:t>
      </w:r>
      <w:r w:rsidR="00E83617">
        <w:t xml:space="preserve">industry </w:t>
      </w:r>
      <w:r w:rsidR="00E83617" w:rsidRPr="000E49C5">
        <w:t xml:space="preserve">sector </w:t>
      </w:r>
      <w:r w:rsidR="00E83617">
        <w:t>they</w:t>
      </w:r>
      <w:r w:rsidR="00E83617" w:rsidRPr="000E49C5">
        <w:t xml:space="preserve"> would like to conduct R&amp;D services for, but have not been </w:t>
      </w:r>
      <w:r w:rsidR="00E83617">
        <w:t xml:space="preserve">yet </w:t>
      </w:r>
      <w:r w:rsidR="00E83617" w:rsidRPr="000E49C5">
        <w:t>able to engage</w:t>
      </w:r>
      <w:r w:rsidR="00E83617">
        <w:t xml:space="preserve"> with.</w:t>
      </w:r>
    </w:p>
    <w:p w14:paraId="31FDD860" w14:textId="78F38314" w:rsidR="00B809B8" w:rsidRDefault="00E83617" w:rsidP="00575BC7">
      <w:pPr>
        <w:pStyle w:val="ListBullet"/>
      </w:pPr>
      <w:r>
        <w:t xml:space="preserve">The most common industry sectors that RSPs identified as having potential business opportunities were </w:t>
      </w:r>
      <w:r w:rsidR="00575BC7">
        <w:t xml:space="preserve">in </w:t>
      </w:r>
      <w:r>
        <w:t>the Agriculture, Forestry and Fishing and the Professional, Scientific and Technical Services sectors (with 48% of RSPs identifying each of these</w:t>
      </w:r>
      <w:r w:rsidR="00737962">
        <w:t xml:space="preserve">, </w:t>
      </w:r>
      <w:r w:rsidR="00302B7A">
        <w:t xml:space="preserve">see </w:t>
      </w:r>
      <w:r w:rsidR="005737B8" w:rsidRPr="00181D7C">
        <w:t xml:space="preserve">Figure </w:t>
      </w:r>
      <w:r w:rsidR="005737B8">
        <w:rPr>
          <w:noProof/>
        </w:rPr>
        <w:t>7</w:t>
      </w:r>
      <w:r>
        <w:t xml:space="preserve">). </w:t>
      </w:r>
      <w:r w:rsidR="00B809B8">
        <w:t>A significant proportion of RSPs also nominated</w:t>
      </w:r>
      <w:r w:rsidR="00B73E01">
        <w:t xml:space="preserve"> Manufacturing (45%), Mining (40</w:t>
      </w:r>
      <w:r w:rsidR="00B809B8">
        <w:t xml:space="preserve">%) and Health Care and Social Assistance (38%) as sectors offering potential </w:t>
      </w:r>
      <w:r w:rsidR="00B7640F">
        <w:t>business opportunities</w:t>
      </w:r>
      <w:r w:rsidR="00B809B8">
        <w:t>.</w:t>
      </w:r>
    </w:p>
    <w:p w14:paraId="7262BAB5" w14:textId="01298DDE" w:rsidR="00E83617" w:rsidRDefault="00575BC7" w:rsidP="00575BC7">
      <w:pPr>
        <w:pStyle w:val="ListBullet"/>
      </w:pPr>
      <w:r>
        <w:t>A majority of RSPs identified potential from large businesses (76%), medium-sized businesses (71%) and small businesses (64%)</w:t>
      </w:r>
      <w:r w:rsidR="00737962">
        <w:t xml:space="preserve"> (</w:t>
      </w:r>
      <w:proofErr w:type="gramStart"/>
      <w:r w:rsidR="00737962">
        <w:t>see</w:t>
      </w:r>
      <w:proofErr w:type="gramEnd"/>
      <w:r w:rsidR="00737962">
        <w:t xml:space="preserve"> </w:t>
      </w:r>
      <w:r w:rsidR="005737B8" w:rsidRPr="00181D7C">
        <w:t xml:space="preserve">Figure </w:t>
      </w:r>
      <w:r w:rsidR="005737B8">
        <w:rPr>
          <w:noProof/>
        </w:rPr>
        <w:t>8</w:t>
      </w:r>
      <w:r w:rsidR="00CB5F71">
        <w:rPr>
          <w:noProof/>
        </w:rPr>
        <w:t xml:space="preserve"> on the following page</w:t>
      </w:r>
      <w:r w:rsidR="00737962">
        <w:t>)</w:t>
      </w:r>
      <w:r>
        <w:t>.</w:t>
      </w:r>
    </w:p>
    <w:p w14:paraId="6249A2F5" w14:textId="4BB34411" w:rsidR="00B809B8" w:rsidRDefault="00B809B8" w:rsidP="00737962">
      <w:pPr>
        <w:pStyle w:val="FigureHeading"/>
        <w:spacing w:before="240"/>
      </w:pPr>
      <w:bookmarkStart w:id="24" w:name="_Ref431394445"/>
      <w:r w:rsidRPr="00181D7C">
        <w:t xml:space="preserve">Figure </w:t>
      </w:r>
      <w:r w:rsidR="0094275D">
        <w:fldChar w:fldCharType="begin"/>
      </w:r>
      <w:r w:rsidR="0094275D">
        <w:instrText xml:space="preserve"> SEQ Figure \* ARABIC </w:instrText>
      </w:r>
      <w:r w:rsidR="0094275D">
        <w:fldChar w:fldCharType="separate"/>
      </w:r>
      <w:r w:rsidR="0094275D">
        <w:rPr>
          <w:noProof/>
        </w:rPr>
        <w:t>7</w:t>
      </w:r>
      <w:r w:rsidR="0094275D">
        <w:rPr>
          <w:noProof/>
        </w:rPr>
        <w:fldChar w:fldCharType="end"/>
      </w:r>
      <w:bookmarkEnd w:id="24"/>
      <w:r>
        <w:t xml:space="preserve">: </w:t>
      </w:r>
      <w:r w:rsidR="00737962">
        <w:t>Industry sectors with</w:t>
      </w:r>
      <w:r>
        <w:t xml:space="preserve"> potential </w:t>
      </w:r>
      <w:r w:rsidR="00B7640F">
        <w:t xml:space="preserve">business </w:t>
      </w:r>
      <w:r>
        <w:t>opportunities for RSPs</w:t>
      </w:r>
    </w:p>
    <w:p w14:paraId="78A45AE2" w14:textId="629BADAD" w:rsidR="005C2954" w:rsidRDefault="005C2954" w:rsidP="005C2954">
      <w:pPr>
        <w:pStyle w:val="FigureHeading2"/>
      </w:pPr>
      <w:r>
        <w:t>Base: RSPs who have not yet engaged with sectors they wish to engage with (n=42)</w:t>
      </w:r>
    </w:p>
    <w:p w14:paraId="0962A4A3" w14:textId="36CE2C27" w:rsidR="00252FD8" w:rsidRDefault="00252FD8" w:rsidP="005C2954">
      <w:pPr>
        <w:pStyle w:val="FigureHeading2"/>
      </w:pPr>
      <w:r>
        <w:rPr>
          <w:noProof/>
        </w:rPr>
        <w:drawing>
          <wp:inline distT="0" distB="0" distL="0" distR="0" wp14:anchorId="447F1495" wp14:editId="190AF7E5">
            <wp:extent cx="5730875" cy="4681855"/>
            <wp:effectExtent l="0" t="0" r="3175" b="4445"/>
            <wp:docPr id="13" name="Picture 13" descr="The order of industry sectors with most potential for business opportunities for RSP to least are:&#10;&#10;1. Agriculture, forestry and fishing at 48%&#10;2. Professional, Scientific and Technical services at 48%&#10;3. Manufacturing at 45%&#10;4. Mining at 40%&#10;5. Health care and social assistance at 38%&#10;6. Electric, gas , water and waste services at 29%&#10;7. Arts and recreation services at 19%&#10;8. Transport, postal and warehousing at 17%&#10;9. Education and training at 17%&#10;10. Financial and insurance services at 14%&#10;11. Construction at 12%&#10;12. Retail Trade at 10%&#10;13. Public administration and safety at 10%&#10;14. Wholesale trade at 5%&#10;15. Administrative and support services at 2%" title="Figure 7. Industry sectors with potential business opportunities for RS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4681855"/>
                    </a:xfrm>
                    <a:prstGeom prst="rect">
                      <a:avLst/>
                    </a:prstGeom>
                    <a:noFill/>
                  </pic:spPr>
                </pic:pic>
              </a:graphicData>
            </a:graphic>
          </wp:inline>
        </w:drawing>
      </w:r>
    </w:p>
    <w:p w14:paraId="05801477" w14:textId="7694EED9" w:rsidR="00737962" w:rsidRDefault="00737962" w:rsidP="00737962">
      <w:pPr>
        <w:pStyle w:val="Note"/>
      </w:pPr>
    </w:p>
    <w:p w14:paraId="69C25761" w14:textId="200D5465" w:rsidR="00737962" w:rsidRDefault="00737962" w:rsidP="00737962">
      <w:pPr>
        <w:pStyle w:val="FigureHeading"/>
        <w:spacing w:before="240"/>
      </w:pPr>
      <w:bookmarkStart w:id="25" w:name="_Ref431857493"/>
      <w:r w:rsidRPr="00181D7C">
        <w:t xml:space="preserve">Figure </w:t>
      </w:r>
      <w:r w:rsidR="0094275D">
        <w:fldChar w:fldCharType="begin"/>
      </w:r>
      <w:r w:rsidR="0094275D">
        <w:instrText xml:space="preserve"> SEQ Figure \* ARABIC </w:instrText>
      </w:r>
      <w:r w:rsidR="0094275D">
        <w:fldChar w:fldCharType="separate"/>
      </w:r>
      <w:r w:rsidR="0094275D">
        <w:rPr>
          <w:noProof/>
        </w:rPr>
        <w:t>8</w:t>
      </w:r>
      <w:r w:rsidR="0094275D">
        <w:rPr>
          <w:noProof/>
        </w:rPr>
        <w:fldChar w:fldCharType="end"/>
      </w:r>
      <w:bookmarkEnd w:id="25"/>
      <w:r>
        <w:t>: Clients with potential business opportunities for RSPs</w:t>
      </w:r>
    </w:p>
    <w:p w14:paraId="0792F164" w14:textId="56F9DA6E" w:rsidR="005C2954" w:rsidRDefault="005C2954" w:rsidP="005C2954">
      <w:pPr>
        <w:pStyle w:val="FigureHeading2"/>
      </w:pPr>
      <w:r>
        <w:t>Base: RSPs who have not yet engaged with sectors they wish to engage with (n=42)</w:t>
      </w:r>
    </w:p>
    <w:p w14:paraId="4A3D87A6" w14:textId="177C6AD7" w:rsidR="00252FD8" w:rsidRDefault="00252FD8" w:rsidP="005C2954">
      <w:pPr>
        <w:pStyle w:val="FigureHeading2"/>
      </w:pPr>
      <w:r>
        <w:rPr>
          <w:noProof/>
        </w:rPr>
        <w:drawing>
          <wp:inline distT="0" distB="0" distL="0" distR="0" wp14:anchorId="2EC91074" wp14:editId="59EDA9FE">
            <wp:extent cx="5730875" cy="2877820"/>
            <wp:effectExtent l="0" t="0" r="3175" b="0"/>
            <wp:docPr id="18" name="Picture 18" descr="The order of client types with most potential for business opportunities for RSPs are:&#10;&#10;1. Large businesses at 76%&#10;2. Medium-size business at 71%&#10;3. Small businesses at 64%&#10;4. Federal Government Department at 52%&#10;5. State or Territory Government Department at 48%&#10;6. Local Government at 36%&#10;7. Tertiary institution at 29%&#10;8. Not for profit organisation at 24%&#10;9. Other client type 5%" title="Figure 8. Clients with potential business opportunities for R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2877820"/>
                    </a:xfrm>
                    <a:prstGeom prst="rect">
                      <a:avLst/>
                    </a:prstGeom>
                    <a:noFill/>
                  </pic:spPr>
                </pic:pic>
              </a:graphicData>
            </a:graphic>
          </wp:inline>
        </w:drawing>
      </w:r>
    </w:p>
    <w:p w14:paraId="09DCEC5A" w14:textId="6919017F" w:rsidR="00737962" w:rsidRDefault="00737962" w:rsidP="00737962"/>
    <w:p w14:paraId="0A41DAF6" w14:textId="77777777" w:rsidR="00837D9E" w:rsidRPr="0028352E" w:rsidRDefault="00837D9E" w:rsidP="00CB5F71">
      <w:pPr>
        <w:pStyle w:val="BoxHeading"/>
      </w:pPr>
      <w:r w:rsidRPr="0028352E">
        <w:t>Further analysis of RSP cohorts</w:t>
      </w:r>
    </w:p>
    <w:p w14:paraId="66076F03" w14:textId="3644501B" w:rsidR="001169AD" w:rsidRDefault="001169AD" w:rsidP="00487FF9">
      <w:pPr>
        <w:pStyle w:val="BoxText"/>
      </w:pPr>
      <w:r>
        <w:t xml:space="preserve">RSPs indicating </w:t>
      </w:r>
      <w:r w:rsidR="00302B7A">
        <w:t xml:space="preserve">that </w:t>
      </w:r>
      <w:r>
        <w:t xml:space="preserve">there were </w:t>
      </w:r>
      <w:r>
        <w:rPr>
          <w:i/>
        </w:rPr>
        <w:t>not</w:t>
      </w:r>
      <w:r>
        <w:t xml:space="preserve"> any sectors they would like to provide R&amp;D services for</w:t>
      </w:r>
      <w:r w:rsidR="00302B7A">
        <w:t xml:space="preserve">, </w:t>
      </w:r>
      <w:r>
        <w:t>but have not yet been able to engage with</w:t>
      </w:r>
      <w:r w:rsidR="00302B7A">
        <w:t>,</w:t>
      </w:r>
      <w:r>
        <w:t xml:space="preserve"> tended to be those with larger client lists already (43% had 20 or more clients, compared to 30% of RSPs indicating they had scope to expand into other sectors).</w:t>
      </w:r>
    </w:p>
    <w:p w14:paraId="7B94B634" w14:textId="1FECCBF3" w:rsidR="00AB6A4B" w:rsidRPr="00AB6A4B" w:rsidRDefault="00AB6A4B" w:rsidP="00487FF9">
      <w:pPr>
        <w:pStyle w:val="BoxText"/>
      </w:pPr>
      <w:r>
        <w:t>In addition, the 40% of RSPs indicating there was no desire to expand their activities into further sectors tended to:</w:t>
      </w:r>
    </w:p>
    <w:p w14:paraId="12CE3BD4" w14:textId="51742677" w:rsidR="00AB6A4B" w:rsidRPr="001169AD" w:rsidRDefault="00AB6A4B" w:rsidP="00E512A3">
      <w:pPr>
        <w:pStyle w:val="BoxBullet"/>
      </w:pPr>
      <w:r>
        <w:t>provide services to large and medium</w:t>
      </w:r>
      <w:r w:rsidR="00CB5F71">
        <w:t>,</w:t>
      </w:r>
      <w:r>
        <w:t xml:space="preserve"> rather than small</w:t>
      </w:r>
      <w:r w:rsidR="00CB5F71">
        <w:t>,</w:t>
      </w:r>
      <w:r>
        <w:t xml:space="preserve"> private sector businesses (50% provided services to small businesses of fewer than 20</w:t>
      </w:r>
      <w:r w:rsidR="002E3944">
        <w:t xml:space="preserve"> employees—while 89% of RSPs with some desire to expand are servicing these smaller businesses); and</w:t>
      </w:r>
    </w:p>
    <w:p w14:paraId="59F960FA" w14:textId="1FE8AF0F" w:rsidR="001169AD" w:rsidRDefault="00AB6A4B" w:rsidP="00E512A3">
      <w:pPr>
        <w:pStyle w:val="BoxBullet"/>
      </w:pPr>
      <w:proofErr w:type="gramStart"/>
      <w:r>
        <w:t>use</w:t>
      </w:r>
      <w:proofErr w:type="gramEnd"/>
      <w:r>
        <w:t xml:space="preserve"> fewer means of promoting their services, and were marginally more likely not to promote their services at all (7%, compared to 2%).</w:t>
      </w:r>
    </w:p>
    <w:p w14:paraId="3A4E1A78" w14:textId="1BD30F92" w:rsidR="00AB6A4B" w:rsidRPr="001169AD" w:rsidRDefault="00AB6A4B" w:rsidP="00487FF9">
      <w:pPr>
        <w:pStyle w:val="BoxText"/>
      </w:pPr>
      <w:r>
        <w:t>There was no difference in</w:t>
      </w:r>
      <w:r w:rsidR="00CB5F71">
        <w:t xml:space="preserve"> the</w:t>
      </w:r>
      <w:r>
        <w:t xml:space="preserve"> sector profile between RSPs with a desire to expand into new sectors and RSPs with no desire to expand—both groups </w:t>
      </w:r>
      <w:r w:rsidR="002E3944">
        <w:t xml:space="preserve">currently </w:t>
      </w:r>
      <w:r>
        <w:t xml:space="preserve">provide R&amp;D services to the same </w:t>
      </w:r>
      <w:r w:rsidR="002E3944">
        <w:t xml:space="preserve">set of sectors, </w:t>
      </w:r>
      <w:r w:rsidR="00CB5F71">
        <w:t xml:space="preserve">and </w:t>
      </w:r>
      <w:r w:rsidR="002E3944">
        <w:t>to broadly the same extent.</w:t>
      </w:r>
    </w:p>
    <w:p w14:paraId="31632F58" w14:textId="77777777" w:rsidR="00B809B8" w:rsidRPr="00837D9E" w:rsidRDefault="00B809B8" w:rsidP="00837D9E">
      <w:pPr>
        <w:pStyle w:val="Heading1"/>
      </w:pPr>
      <w:bookmarkStart w:id="26" w:name="_Ref431571746"/>
      <w:bookmarkStart w:id="27" w:name="_Toc432767013"/>
      <w:r w:rsidRPr="00837D9E">
        <w:t>Overall satisfaction with the RSP component of the R&amp;D Tax Incentive Programme</w:t>
      </w:r>
      <w:bookmarkEnd w:id="26"/>
      <w:bookmarkEnd w:id="27"/>
    </w:p>
    <w:p w14:paraId="451C1936" w14:textId="1EA0411C" w:rsidR="00B809B8" w:rsidRDefault="009D1D71" w:rsidP="00EF1EAA">
      <w:r>
        <w:t xml:space="preserve">A significant majority of respondent RSPs (69%) were satisfied overall with their </w:t>
      </w:r>
      <w:r w:rsidR="00B809B8">
        <w:t>registration as an RSP, with on</w:t>
      </w:r>
      <w:r>
        <w:t xml:space="preserve">ly 1% reporting dissatisfaction (see </w:t>
      </w:r>
      <w:r w:rsidR="005737B8" w:rsidRPr="00F35DCB">
        <w:t xml:space="preserve">Figure </w:t>
      </w:r>
      <w:r w:rsidR="005737B8">
        <w:rPr>
          <w:noProof/>
        </w:rPr>
        <w:t>9</w:t>
      </w:r>
      <w:r>
        <w:t>).</w:t>
      </w:r>
    </w:p>
    <w:p w14:paraId="62000914" w14:textId="4F69C215" w:rsidR="00B809B8" w:rsidRDefault="00B809B8" w:rsidP="009D1D71">
      <w:pPr>
        <w:pStyle w:val="ListBullet"/>
      </w:pPr>
      <w:r>
        <w:t xml:space="preserve">Overall satisfaction </w:t>
      </w:r>
      <w:r w:rsidR="003B55C4">
        <w:t xml:space="preserve">with RSP registration </w:t>
      </w:r>
      <w:r w:rsidR="009D1D71">
        <w:t>wa</w:t>
      </w:r>
      <w:r w:rsidR="003B55C4">
        <w:t>s higher</w:t>
      </w:r>
      <w:r>
        <w:t xml:space="preserve"> amongst small and medium sized RSPs (with less than 20 clients)</w:t>
      </w:r>
      <w:r w:rsidR="009D1D71">
        <w:t>,</w:t>
      </w:r>
      <w:r>
        <w:t xml:space="preserve"> with 86% of these RSPs reporting satisfaction with their RSP registration</w:t>
      </w:r>
      <w:r w:rsidR="009D1D71">
        <w:t xml:space="preserve"> (</w:t>
      </w:r>
      <w:r>
        <w:t>c</w:t>
      </w:r>
      <w:r w:rsidR="009D1D71">
        <w:t xml:space="preserve">ompared with 67% of large RSPs </w:t>
      </w:r>
      <w:r>
        <w:t>with 20 or more clients).</w:t>
      </w:r>
    </w:p>
    <w:p w14:paraId="366923A6" w14:textId="78D1F707" w:rsidR="00B809B8" w:rsidRDefault="00B809B8" w:rsidP="00F35DCB">
      <w:pPr>
        <w:pStyle w:val="FigureHeading"/>
      </w:pPr>
      <w:bookmarkStart w:id="28" w:name="_Ref431305564"/>
      <w:r w:rsidRPr="00F35DCB">
        <w:t xml:space="preserve">Figure </w:t>
      </w:r>
      <w:r w:rsidR="0094275D">
        <w:fldChar w:fldCharType="begin"/>
      </w:r>
      <w:r w:rsidR="0094275D">
        <w:instrText xml:space="preserve"> SEQ Figure \* ARABIC </w:instrText>
      </w:r>
      <w:r w:rsidR="0094275D">
        <w:fldChar w:fldCharType="separate"/>
      </w:r>
      <w:r w:rsidR="0094275D">
        <w:rPr>
          <w:noProof/>
        </w:rPr>
        <w:t>9</w:t>
      </w:r>
      <w:r w:rsidR="0094275D">
        <w:rPr>
          <w:noProof/>
        </w:rPr>
        <w:fldChar w:fldCharType="end"/>
      </w:r>
      <w:bookmarkEnd w:id="28"/>
      <w:r w:rsidRPr="00F35DCB">
        <w:t>: Overall satisfaction with registration as a RSP</w:t>
      </w:r>
    </w:p>
    <w:p w14:paraId="490F38C4" w14:textId="1DDEAAC6" w:rsidR="005C2954" w:rsidRDefault="005C2954" w:rsidP="005C2954">
      <w:pPr>
        <w:pStyle w:val="FigureHeading2"/>
      </w:pPr>
      <w:r>
        <w:t>Base: n=71 RSPs</w:t>
      </w:r>
    </w:p>
    <w:p w14:paraId="024A266E" w14:textId="5FA8BF06" w:rsidR="00252FD8" w:rsidRDefault="00252FD8" w:rsidP="005C2954">
      <w:pPr>
        <w:pStyle w:val="FigureHeading2"/>
      </w:pPr>
      <w:r>
        <w:rPr>
          <w:noProof/>
        </w:rPr>
        <w:drawing>
          <wp:inline distT="0" distB="0" distL="0" distR="0" wp14:anchorId="62C86053" wp14:editId="05F187B4">
            <wp:extent cx="5730875" cy="1054735"/>
            <wp:effectExtent l="0" t="0" r="0" b="0"/>
            <wp:docPr id="20" name="Picture 20" descr="The following expresses the proportion of RSPs satisfaction. 71 RSPs were surveyed.&#10;&#10;18% were very satisfied, 51% were satisfied, 30% were dissatisfied and 1% were very dissatisfied.&#10;" title="Figure 9. Overall satisfaction with registration as a R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1054735"/>
                    </a:xfrm>
                    <a:prstGeom prst="rect">
                      <a:avLst/>
                    </a:prstGeom>
                    <a:noFill/>
                  </pic:spPr>
                </pic:pic>
              </a:graphicData>
            </a:graphic>
          </wp:inline>
        </w:drawing>
      </w:r>
    </w:p>
    <w:p w14:paraId="7A8979E8" w14:textId="5CBF8ACB" w:rsidR="00B809B8" w:rsidRDefault="00B809B8" w:rsidP="00F35DCB">
      <w:pPr>
        <w:pStyle w:val="Image"/>
      </w:pPr>
    </w:p>
    <w:p w14:paraId="1AA3E0EB" w14:textId="4B50838D" w:rsidR="00B809B8" w:rsidRDefault="00416744" w:rsidP="005737B8">
      <w:r w:rsidRPr="005737B8">
        <w:t>Two-</w:t>
      </w:r>
      <w:r w:rsidR="00B809B8" w:rsidRPr="005737B8">
        <w:t xml:space="preserve">thirds (67%) of respondent RSPs </w:t>
      </w:r>
      <w:r w:rsidR="003B55C4" w:rsidRPr="005737B8">
        <w:t>reported</w:t>
      </w:r>
      <w:r w:rsidR="00B809B8" w:rsidRPr="005737B8">
        <w:t xml:space="preserve"> they had been registered under the previous Registered Research Agencies (RRA) system under the former R&amp;D Tax Concession.</w:t>
      </w:r>
      <w:r w:rsidR="00376AD5" w:rsidRPr="005737B8">
        <w:t xml:space="preserve"> </w:t>
      </w:r>
      <w:r w:rsidR="005737B8" w:rsidRPr="005737B8">
        <w:t>Of the RSPs that provided an answer</w:t>
      </w:r>
      <w:r w:rsidR="009D1D71" w:rsidRPr="005737B8">
        <w:t xml:space="preserve">, </w:t>
      </w:r>
      <w:r w:rsidR="005737B8" w:rsidRPr="005737B8">
        <w:t>24</w:t>
      </w:r>
      <w:r w:rsidR="00B809B8" w:rsidRPr="005737B8">
        <w:t xml:space="preserve">% considered the current RSP registration was better than the previous RRA system, </w:t>
      </w:r>
      <w:r w:rsidR="005737B8" w:rsidRPr="005737B8">
        <w:t xml:space="preserve">with the remainder reporting that it was about the same. A number of RSPs noted that </w:t>
      </w:r>
      <w:r w:rsidR="00B809B8" w:rsidRPr="005737B8">
        <w:t xml:space="preserve">the RSP administrative processes had been streamlined compared with the </w:t>
      </w:r>
      <w:r w:rsidR="009D1D71" w:rsidRPr="005737B8">
        <w:t xml:space="preserve">previous </w:t>
      </w:r>
      <w:r w:rsidR="00B809B8" w:rsidRPr="005737B8">
        <w:t>RRA system</w:t>
      </w:r>
      <w:r w:rsidR="005737B8" w:rsidRPr="005737B8">
        <w:t>.</w:t>
      </w:r>
    </w:p>
    <w:p w14:paraId="67312B59" w14:textId="2689D79C" w:rsidR="00B809B8" w:rsidRDefault="00B809B8" w:rsidP="00EF1EAA">
      <w:r>
        <w:t>A number of RSPs suggested the RSP component of the R&amp;D Tax Incentive programme should be more actively promoted and marketed by industry and government.</w:t>
      </w:r>
      <w:r w:rsidR="00376AD5">
        <w:t xml:space="preserve"> </w:t>
      </w:r>
      <w:r>
        <w:t xml:space="preserve">One suggested an RSP logo be created that could be used by RSPs </w:t>
      </w:r>
      <w:r w:rsidR="00EF1EAA">
        <w:t>to use i</w:t>
      </w:r>
      <w:r>
        <w:t>n their marketing material</w:t>
      </w:r>
      <w:r w:rsidR="00EF1EAA">
        <w:t>,</w:t>
      </w:r>
      <w:r>
        <w:t xml:space="preserve"> similar to companies with QA or ISO accreditation.</w:t>
      </w:r>
      <w:r w:rsidR="00376AD5">
        <w:t xml:space="preserve"> </w:t>
      </w:r>
      <w:r>
        <w:t>Other s</w:t>
      </w:r>
      <w:r w:rsidR="00EF1EAA">
        <w:t>uggested improvements included:</w:t>
      </w:r>
    </w:p>
    <w:p w14:paraId="6458EB31" w14:textId="65789843" w:rsidR="00B809B8" w:rsidRDefault="00B809B8" w:rsidP="00EF1EAA">
      <w:pPr>
        <w:pStyle w:val="ListBullet"/>
      </w:pPr>
      <w:r>
        <w:t xml:space="preserve">improving the RSP website </w:t>
      </w:r>
      <w:r w:rsidRPr="009B5A99">
        <w:t xml:space="preserve">by providing links to particular research groups and providing </w:t>
      </w:r>
      <w:r>
        <w:t>excel</w:t>
      </w:r>
      <w:r w:rsidRPr="009B5A99">
        <w:t xml:space="preserve"> </w:t>
      </w:r>
      <w:r w:rsidRPr="005151F2">
        <w:t>template</w:t>
      </w:r>
      <w:r>
        <w:t>s</w:t>
      </w:r>
      <w:r w:rsidRPr="005151F2">
        <w:t xml:space="preserve"> </w:t>
      </w:r>
      <w:r>
        <w:t xml:space="preserve">to assist RSPs to </w:t>
      </w:r>
      <w:r w:rsidRPr="009B5A99">
        <w:t>collect</w:t>
      </w:r>
      <w:r>
        <w:t xml:space="preserve"> and report </w:t>
      </w:r>
      <w:r w:rsidRPr="009B5A99">
        <w:t>information</w:t>
      </w:r>
      <w:r>
        <w:t xml:space="preserve"> about the </w:t>
      </w:r>
      <w:r w:rsidR="00EF1EAA">
        <w:t>research categories of projects;</w:t>
      </w:r>
      <w:r w:rsidRPr="009B5A99">
        <w:t xml:space="preserve"> and</w:t>
      </w:r>
    </w:p>
    <w:p w14:paraId="4243AC4A" w14:textId="4F7AA6D7" w:rsidR="00B809B8" w:rsidRPr="009B5A99" w:rsidRDefault="00B809B8" w:rsidP="00EF1EAA">
      <w:pPr>
        <w:pStyle w:val="ListBullet"/>
      </w:pPr>
      <w:proofErr w:type="gramStart"/>
      <w:r>
        <w:t>increasing</w:t>
      </w:r>
      <w:proofErr w:type="gramEnd"/>
      <w:r>
        <w:t xml:space="preserve"> the duration of RSP registration so it </w:t>
      </w:r>
      <w:r w:rsidR="00EF1EAA">
        <w:t>is</w:t>
      </w:r>
      <w:r>
        <w:t xml:space="preserve"> not ne</w:t>
      </w:r>
      <w:r w:rsidR="00EF1EAA">
        <w:t>cessary to register every year.</w:t>
      </w:r>
    </w:p>
    <w:p w14:paraId="61DE1204" w14:textId="7E8CFD4B" w:rsidR="00EF1EAA" w:rsidRDefault="00EF1EAA" w:rsidP="00EF1EAA">
      <w:r>
        <w:t>By far, the most significant benefit</w:t>
      </w:r>
      <w:r w:rsidR="00B809B8">
        <w:t xml:space="preserve"> </w:t>
      </w:r>
      <w:r>
        <w:t xml:space="preserve">of RSP registration (agreed by 81% of respondent RSPs) was </w:t>
      </w:r>
      <w:r w:rsidR="00B809B8" w:rsidRPr="00B853F4">
        <w:t>adding credibility and reputation</w:t>
      </w:r>
      <w:r w:rsidR="00B809B8">
        <w:t xml:space="preserve"> to </w:t>
      </w:r>
      <w:r>
        <w:t>RSP</w:t>
      </w:r>
      <w:r w:rsidR="00B809B8">
        <w:t xml:space="preserve"> credentials</w:t>
      </w:r>
      <w:r>
        <w:t xml:space="preserve"> (</w:t>
      </w:r>
      <w:r w:rsidR="005737B8" w:rsidRPr="00F35DCB">
        <w:t xml:space="preserve">Figure </w:t>
      </w:r>
      <w:r w:rsidR="005737B8">
        <w:t>10</w:t>
      </w:r>
      <w:r w:rsidR="00F35DCB">
        <w:t>, on the following page</w:t>
      </w:r>
      <w:r>
        <w:t xml:space="preserve">). Other key benefits were </w:t>
      </w:r>
      <w:r w:rsidR="00B809B8">
        <w:t>enhancing the visible profile of</w:t>
      </w:r>
      <w:r>
        <w:t xml:space="preserve"> RSPs</w:t>
      </w:r>
      <w:r w:rsidR="00837D9E">
        <w:t xml:space="preserve"> (49</w:t>
      </w:r>
      <w:r w:rsidR="00B809B8">
        <w:t>%</w:t>
      </w:r>
      <w:r>
        <w:t xml:space="preserve">), </w:t>
      </w:r>
      <w:r w:rsidR="00837D9E">
        <w:t>increasing revenue (45</w:t>
      </w:r>
      <w:r w:rsidR="00B809B8">
        <w:t>%</w:t>
      </w:r>
      <w:r>
        <w:t xml:space="preserve">) and </w:t>
      </w:r>
      <w:r w:rsidR="00B809B8">
        <w:t>attracting addi</w:t>
      </w:r>
      <w:r>
        <w:t>tional clients for R&amp;D services</w:t>
      </w:r>
      <w:r w:rsidR="00B809B8">
        <w:t xml:space="preserve"> (38%).</w:t>
      </w:r>
    </w:p>
    <w:p w14:paraId="5044B859" w14:textId="1112D2DE" w:rsidR="008B2327" w:rsidRDefault="00B809B8" w:rsidP="008B2327">
      <w:pPr>
        <w:pStyle w:val="ListBullet"/>
      </w:pPr>
      <w:r>
        <w:t xml:space="preserve">Other benefits of RSP registration cited by </w:t>
      </w:r>
      <w:r w:rsidR="00EF1EAA">
        <w:t xml:space="preserve">respondent </w:t>
      </w:r>
      <w:r>
        <w:t xml:space="preserve">RSPs included raising RSP awareness of other </w:t>
      </w:r>
      <w:r w:rsidRPr="0013311C">
        <w:t>Government programs designed to increase industrial engagement with R&amp;D</w:t>
      </w:r>
      <w:r>
        <w:t xml:space="preserve"> and providing registered RSPs with access to companies previously inaccessible </w:t>
      </w:r>
      <w:r w:rsidR="00EF1EAA">
        <w:t>to them.</w:t>
      </w:r>
    </w:p>
    <w:p w14:paraId="3D05CFC0" w14:textId="5621DC76" w:rsidR="00B809B8" w:rsidRDefault="00B809B8" w:rsidP="00F35DCB">
      <w:pPr>
        <w:pStyle w:val="FigureHeading"/>
      </w:pPr>
      <w:bookmarkStart w:id="29" w:name="_Ref431305156"/>
      <w:r w:rsidRPr="00F35DCB">
        <w:t xml:space="preserve">Figure </w:t>
      </w:r>
      <w:r w:rsidR="0094275D">
        <w:fldChar w:fldCharType="begin"/>
      </w:r>
      <w:r w:rsidR="0094275D">
        <w:instrText xml:space="preserve"> SEQ Figure \* ARABIC </w:instrText>
      </w:r>
      <w:r w:rsidR="0094275D">
        <w:fldChar w:fldCharType="separate"/>
      </w:r>
      <w:r w:rsidR="0094275D">
        <w:rPr>
          <w:noProof/>
        </w:rPr>
        <w:t>10</w:t>
      </w:r>
      <w:r w:rsidR="0094275D">
        <w:rPr>
          <w:noProof/>
        </w:rPr>
        <w:fldChar w:fldCharType="end"/>
      </w:r>
      <w:bookmarkEnd w:id="29"/>
      <w:r w:rsidRPr="00F35DCB">
        <w:t>: The benefits of RSP registration</w:t>
      </w:r>
    </w:p>
    <w:p w14:paraId="6C137108" w14:textId="50602A13" w:rsidR="00252FD8" w:rsidRPr="00F35DCB" w:rsidRDefault="00252FD8" w:rsidP="00F35DCB">
      <w:pPr>
        <w:pStyle w:val="FigureHeading"/>
      </w:pPr>
      <w:r>
        <w:rPr>
          <w:noProof/>
        </w:rPr>
        <w:drawing>
          <wp:inline distT="0" distB="0" distL="0" distR="0" wp14:anchorId="62695F39" wp14:editId="59438980">
            <wp:extent cx="5730875" cy="5401310"/>
            <wp:effectExtent l="0" t="0" r="0" b="0"/>
            <wp:docPr id="22" name="Picture 22" descr="The following illustrates the level of agreement to the statements surveyed by RSPs in response to each benefit of RSP registration. Round parenthesis denotes number of observations.&#10;&#10;1. Adding credibility and reputation to your organisation’s credentials: 16% strongly agree, 65% agree, 10% neither agree nor disagree, 6% disagree, and 3% strongly disagree. (69)&#10;2. Enhancing the visible profile of your organisation:  4% strongly agree, 45% agree, 32% neither agree nor disagree, 16% disagree, and 3% strongly disagree. (69)&#10;3. Increasing revenue for the organisation: 3% strongly agree, 42% agree, 34% neither agree nor disagree, 15% disagree, and 6% strongly disagree. (67)&#10;4. Attracting additional clients for R&amp;D services: 7% strongly agree, 31% agree, 41% neither agree nor disagree, 13% disagree, and 7% strongly disagree. (68)&#10;5. Increasing knowledge and skills within the organisation: 6% strongly agree, 28% agree, 36% neither agree nor disagree, 23% disagree, and 6% strongly disagree. (64)&#10;6. Accessing clients that your organisation would otherwise not have been able to reach: 2% strongly agree, 29% agree, 36% neither agree nor disagree, 26% disagree, and 7% strongly disagree. (69)&#10;7. Finding collaboration opportunities: 0% strongly agree, 29% agree, 44% neither agree nor disagree, 24% disagree, and 3% strongly disagree. (68)&#10;8. Increasing employment levels for the organisation: 1% strongly agree, 26% agree, 44% neither agree nor disagree, 21% disagree, and 8% strongly disagree. (66)&#10;9. Securing investment: 0% strongly agree, 14% agree, 39% neither agree nor disagree, 36% disagree, and 11% strongly disagree. (64) &#10;10. Attracting researchers and employees to join your organisation: 0% strongly agree, 8% agree, 48% neither agree nor disagree, 32% disagree, and 12% strongly disagree. (65)" title="Figure 10. Benefits of RSP reg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0875" cy="5401310"/>
                    </a:xfrm>
                    <a:prstGeom prst="rect">
                      <a:avLst/>
                    </a:prstGeom>
                    <a:noFill/>
                  </pic:spPr>
                </pic:pic>
              </a:graphicData>
            </a:graphic>
          </wp:inline>
        </w:drawing>
      </w:r>
    </w:p>
    <w:p w14:paraId="07C09E0C" w14:textId="77777777" w:rsidR="00CB5F71" w:rsidRPr="006E6750" w:rsidRDefault="00CB5F71" w:rsidP="00CB5F71">
      <w:pPr>
        <w:pStyle w:val="BoxHeading"/>
      </w:pPr>
      <w:r>
        <w:t>Further analysis of RSP cohorts</w:t>
      </w:r>
    </w:p>
    <w:p w14:paraId="037BD6A1" w14:textId="77777777" w:rsidR="00CB5F71" w:rsidRPr="008B2327" w:rsidRDefault="00CB5F71" w:rsidP="00CB5F71">
      <w:pPr>
        <w:pStyle w:val="BoxText"/>
      </w:pPr>
      <w:r>
        <w:t>Benefits of RSP registration were most strongly felt by RSPs providing services to a small number of clients (5 or fewer)—particularly:</w:t>
      </w:r>
    </w:p>
    <w:p w14:paraId="40E58EAB" w14:textId="77777777" w:rsidR="00CB5F71" w:rsidRDefault="00CB5F71" w:rsidP="00CB5F71">
      <w:pPr>
        <w:pStyle w:val="BoxBullet"/>
      </w:pPr>
      <w:r>
        <w:t>increasing employment levels (86% of RSPs with small client lists saw this as a benefit, compared to 28% of RSPs with 5-19 clients, and 11% of RSPs with 20 clients or more);</w:t>
      </w:r>
    </w:p>
    <w:p w14:paraId="419F0818" w14:textId="77777777" w:rsidR="00CB5F71" w:rsidRDefault="00CB5F71" w:rsidP="00CB5F71">
      <w:pPr>
        <w:pStyle w:val="BoxBullet"/>
      </w:pPr>
      <w:r>
        <w:t>increasing knowledge and skills within the organisation (83% of RSPs with small client lists saw this as a benefit, compared to 36% of RSPs with 5-19 clients, and 13% of RSPs with 20 clients or more); and</w:t>
      </w:r>
    </w:p>
    <w:p w14:paraId="0D064F9F" w14:textId="77777777" w:rsidR="00CB5F71" w:rsidRDefault="00CB5F71" w:rsidP="00CB5F71">
      <w:pPr>
        <w:pStyle w:val="BoxBullet"/>
      </w:pPr>
      <w:proofErr w:type="gramStart"/>
      <w:r>
        <w:t>finding</w:t>
      </w:r>
      <w:proofErr w:type="gramEnd"/>
      <w:r>
        <w:t xml:space="preserve"> collaboration opportunities (seen as a benefit by 86% of RSPs with small client lists, compared to 14%-18% of RSPs with larger lists).</w:t>
      </w:r>
    </w:p>
    <w:p w14:paraId="46294481" w14:textId="77777777" w:rsidR="00CB5F71" w:rsidRDefault="00CB5F71" w:rsidP="00CB5F71">
      <w:pPr>
        <w:pStyle w:val="BoxText"/>
      </w:pPr>
      <w:r w:rsidRPr="00AC1148">
        <w:t>RSPs with</w:t>
      </w:r>
      <w:r>
        <w:t xml:space="preserve"> large client lists already (20 or more) were less likely to see benefit in attracting more clients (25%) than RSPs with moderate (79%) or small (83%) numbers of existing clients.</w:t>
      </w:r>
    </w:p>
    <w:p w14:paraId="3835D61D" w14:textId="77777777" w:rsidR="00CB5F71" w:rsidRDefault="00CB5F71" w:rsidP="00CB5F71">
      <w:pPr>
        <w:pStyle w:val="BoxText"/>
        <w:pageBreakBefore/>
      </w:pPr>
      <w:r>
        <w:t xml:space="preserve">Benefits of registration were also more strongly felt amongst RSPs that had </w:t>
      </w:r>
      <w:r w:rsidRPr="009A54CF">
        <w:t>not</w:t>
      </w:r>
      <w:r>
        <w:t xml:space="preserve"> been registered under the previous RRA system. In particular, there was a stronger perception of benefits amongst these “newer” RSPs, such as:</w:t>
      </w:r>
    </w:p>
    <w:p w14:paraId="0463FACB" w14:textId="77777777" w:rsidR="00CB5F71" w:rsidRDefault="00CB5F71" w:rsidP="00CB5F71">
      <w:pPr>
        <w:pStyle w:val="BoxBullet"/>
      </w:pPr>
      <w:r>
        <w:t>enhancing the visible profile of the organisation (67%, compared to 42% of carried-over RRA registrants);</w:t>
      </w:r>
    </w:p>
    <w:p w14:paraId="0A98F293" w14:textId="77777777" w:rsidR="00CB5F71" w:rsidRDefault="00CB5F71" w:rsidP="00CB5F71">
      <w:pPr>
        <w:pStyle w:val="BoxBullet"/>
      </w:pPr>
      <w:r>
        <w:t>increased revenue (57%, compared to 39%); and</w:t>
      </w:r>
    </w:p>
    <w:p w14:paraId="289EA70E" w14:textId="77777777" w:rsidR="00CB5F71" w:rsidRDefault="00CB5F71" w:rsidP="00CB5F71">
      <w:pPr>
        <w:pStyle w:val="BoxBullet"/>
        <w:jc w:val="left"/>
      </w:pPr>
      <w:proofErr w:type="gramStart"/>
      <w:r>
        <w:t>finding</w:t>
      </w:r>
      <w:proofErr w:type="gramEnd"/>
      <w:r>
        <w:t xml:space="preserve"> collaboration opportunities (43%, compared to 21%).</w:t>
      </w:r>
    </w:p>
    <w:p w14:paraId="480E6141" w14:textId="77777777" w:rsidR="003B55C4" w:rsidRDefault="003B55C4" w:rsidP="00EF1EAA">
      <w:r w:rsidRPr="003B55C4">
        <w:t>RSPs were asked to rate the level of administrative and compliance burden associated with the RSP component of the R&amp;D Tax Incentive Programme.</w:t>
      </w:r>
      <w:r w:rsidR="00376AD5">
        <w:t xml:space="preserve"> </w:t>
      </w:r>
      <w:r w:rsidR="00272317">
        <w:t>Of the 70 RSPs that responded to this question:</w:t>
      </w:r>
    </w:p>
    <w:p w14:paraId="6AB5E77B" w14:textId="6CEE40B3" w:rsidR="00272317" w:rsidRDefault="00272317" w:rsidP="00E83617">
      <w:pPr>
        <w:pStyle w:val="ListBullet"/>
      </w:pPr>
      <w:r>
        <w:t xml:space="preserve">21% consider the administrative/ compliance burden is </w:t>
      </w:r>
      <w:r w:rsidRPr="00272317">
        <w:rPr>
          <w:b/>
        </w:rPr>
        <w:t>minimal</w:t>
      </w:r>
      <w:r w:rsidR="00EF1EAA">
        <w:t>;</w:t>
      </w:r>
    </w:p>
    <w:p w14:paraId="5F7E56F6" w14:textId="0B3513D5" w:rsidR="00272317" w:rsidRDefault="00272317" w:rsidP="00E83617">
      <w:pPr>
        <w:pStyle w:val="ListBullet"/>
      </w:pPr>
      <w:r>
        <w:t xml:space="preserve">34% consider the administrative/ compliance burden is </w:t>
      </w:r>
      <w:r w:rsidRPr="00272317">
        <w:rPr>
          <w:b/>
        </w:rPr>
        <w:t>low</w:t>
      </w:r>
      <w:r w:rsidR="00EF1EAA">
        <w:t>;</w:t>
      </w:r>
    </w:p>
    <w:p w14:paraId="0CDB102F" w14:textId="43EE6432" w:rsidR="00272317" w:rsidRDefault="00272317" w:rsidP="009264DA">
      <w:pPr>
        <w:pStyle w:val="ListBullet"/>
        <w:shd w:val="clear" w:color="auto" w:fill="FFFFFF" w:themeFill="background1"/>
      </w:pPr>
      <w:r>
        <w:t xml:space="preserve">36% consider the administrative/ compliance burden is </w:t>
      </w:r>
      <w:r>
        <w:rPr>
          <w:b/>
        </w:rPr>
        <w:t>moderate</w:t>
      </w:r>
      <w:r w:rsidR="00EF1EAA" w:rsidRPr="00EF1EAA">
        <w:t>;</w:t>
      </w:r>
      <w:r w:rsidRPr="00272317">
        <w:t xml:space="preserve"> and</w:t>
      </w:r>
    </w:p>
    <w:p w14:paraId="4B08955E" w14:textId="77777777" w:rsidR="00272317" w:rsidRPr="003B55C4" w:rsidRDefault="00272317" w:rsidP="00E83617">
      <w:pPr>
        <w:pStyle w:val="ListBullet"/>
      </w:pPr>
      <w:r>
        <w:t xml:space="preserve">9% consider the administrative/ compliance burden is </w:t>
      </w:r>
      <w:r>
        <w:rPr>
          <w:b/>
        </w:rPr>
        <w:t>high</w:t>
      </w:r>
      <w:r>
        <w:t>.</w:t>
      </w:r>
    </w:p>
    <w:p w14:paraId="2B27767A" w14:textId="18185762" w:rsidR="006E6750" w:rsidRPr="006E6750" w:rsidRDefault="006E6750" w:rsidP="00CB5F71">
      <w:pPr>
        <w:pStyle w:val="BoxHeading"/>
      </w:pPr>
      <w:r>
        <w:t>Further analysis of RSP cohorts</w:t>
      </w:r>
    </w:p>
    <w:p w14:paraId="08E58631" w14:textId="77777777" w:rsidR="006E6750" w:rsidRDefault="006E6750" w:rsidP="006E6750">
      <w:pPr>
        <w:pStyle w:val="BoxText"/>
      </w:pPr>
      <w:r>
        <w:t>RSPs with larger client lists tended to be more favourably disposed towards their compliance burden, with 67% of RSPs with 20 or more clients rating this burden as ‘minimal’ or ‘low’ (compared to 57% of RSPs with fewer than 5 clients).</w:t>
      </w:r>
    </w:p>
    <w:p w14:paraId="0596E9AC" w14:textId="18FEFDDC" w:rsidR="00637320" w:rsidRPr="00637320" w:rsidRDefault="00637320" w:rsidP="00E512A3">
      <w:pPr>
        <w:pStyle w:val="BoxBullet"/>
      </w:pPr>
      <w:r>
        <w:t xml:space="preserve">However, despite the higher perceived compliance burden, RSPs with </w:t>
      </w:r>
      <w:r>
        <w:rPr>
          <w:i/>
        </w:rPr>
        <w:t>smaller</w:t>
      </w:r>
      <w:r>
        <w:t xml:space="preserve"> client lists were more satisfied </w:t>
      </w:r>
      <w:r>
        <w:rPr>
          <w:i/>
        </w:rPr>
        <w:t>overall</w:t>
      </w:r>
      <w:r>
        <w:t xml:space="preserve"> with their RSP registration. This suggests the higher perceived benefits among these smaller RSPs tends to outweigh the relatively higher perceived cost of compliance.</w:t>
      </w:r>
    </w:p>
    <w:p w14:paraId="6859AE69" w14:textId="77777777" w:rsidR="006E6750" w:rsidRDefault="006E6750" w:rsidP="006E6750">
      <w:pPr>
        <w:pStyle w:val="BoxText"/>
      </w:pPr>
      <w:r>
        <w:t>RSPs with previous RRA registration were also more favourably disposed towards the compliance burden of RSP registration (63% rating the burden as low or minimal, compared to 50% for RSPs with no prior experience of registering under the RRA system).</w:t>
      </w:r>
    </w:p>
    <w:p w14:paraId="6DA685BB" w14:textId="7A03E141" w:rsidR="006E6750" w:rsidRPr="006E6750" w:rsidRDefault="006E6750" w:rsidP="00E512A3">
      <w:pPr>
        <w:pStyle w:val="BoxBullet"/>
      </w:pPr>
      <w:r>
        <w:t xml:space="preserve">However, </w:t>
      </w:r>
      <w:r>
        <w:rPr>
          <w:i/>
        </w:rPr>
        <w:t>overall satisfaction</w:t>
      </w:r>
      <w:r>
        <w:t xml:space="preserve"> with RSP registration was lower among those with prior RRA experience (61%, compared to 77%).</w:t>
      </w:r>
    </w:p>
    <w:p w14:paraId="2915C3A3" w14:textId="3D739C8A" w:rsidR="006155A2" w:rsidRDefault="00B809B8" w:rsidP="00EF1EAA">
      <w:r>
        <w:t>RSPs were asked whether they intended to maintain their registration as an RSP in future years.</w:t>
      </w:r>
      <w:r w:rsidR="00376AD5">
        <w:t xml:space="preserve"> </w:t>
      </w:r>
      <w:r w:rsidR="00272317">
        <w:t>The</w:t>
      </w:r>
      <w:r>
        <w:t xml:space="preserve"> vast majority (96%) of </w:t>
      </w:r>
      <w:r w:rsidR="00272317">
        <w:t xml:space="preserve">respondent </w:t>
      </w:r>
      <w:r>
        <w:t>RSPs indicated they would.</w:t>
      </w:r>
      <w:r w:rsidR="00376AD5">
        <w:t xml:space="preserve"> </w:t>
      </w:r>
      <w:r w:rsidR="00837D9E">
        <w:t>A significant number of RSPs (38</w:t>
      </w:r>
      <w:r w:rsidR="00EF1EAA">
        <w:t xml:space="preserve">) </w:t>
      </w:r>
      <w:r w:rsidR="00272317">
        <w:t xml:space="preserve">indicated that they would be willing to engage in </w:t>
      </w:r>
      <w:r w:rsidR="00272317" w:rsidRPr="00E83617">
        <w:t>further discussions about their RSP experience in relation to research and industry collaboration.</w:t>
      </w:r>
    </w:p>
    <w:sectPr w:rsidR="006155A2" w:rsidSect="00103CBF">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8BDA7" w14:textId="77777777" w:rsidR="007B6BDB" w:rsidRDefault="007B6BDB" w:rsidP="001C4803">
      <w:r>
        <w:separator/>
      </w:r>
    </w:p>
  </w:endnote>
  <w:endnote w:type="continuationSeparator" w:id="0">
    <w:p w14:paraId="4ADDAC48" w14:textId="77777777" w:rsidR="007B6BDB" w:rsidRDefault="007B6BDB" w:rsidP="001C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6703D" w14:textId="77777777" w:rsidR="008B0903" w:rsidRDefault="008B09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B11E4" w14:textId="77777777" w:rsidR="000925EB" w:rsidRPr="00133589" w:rsidRDefault="000925EB" w:rsidP="001C4803">
    <w:pPr>
      <w:pStyle w:val="Footer"/>
    </w:pPr>
    <w:r>
      <w:t>#2885</w:t>
    </w:r>
    <w:r w:rsidRPr="00133589">
      <w:tab/>
    </w:r>
    <w:r w:rsidRPr="00133589">
      <w:rPr>
        <w:noProof/>
      </w:rPr>
      <w:drawing>
        <wp:inline distT="0" distB="0" distL="0" distR="0" wp14:anchorId="7F7479EA" wp14:editId="3276077C">
          <wp:extent cx="1352550" cy="638175"/>
          <wp:effectExtent l="0" t="0" r="0" b="9525"/>
          <wp:docPr id="47" name="Picture 47" title="ORIMA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ma_ReportTemp_NarrowMrg_LogoFooter.jpg"/>
                  <pic:cNvPicPr/>
                </pic:nvPicPr>
                <pic:blipFill rotWithShape="1">
                  <a:blip r:embed="rId1">
                    <a:extLst>
                      <a:ext uri="{28A0092B-C50C-407E-A947-70E740481C1C}">
                        <a14:useLocalDpi xmlns:a14="http://schemas.microsoft.com/office/drawing/2010/main" val="0"/>
                      </a:ext>
                    </a:extLst>
                  </a:blip>
                  <a:srcRect t="5769" r="35676" b="29808"/>
                  <a:stretch/>
                </pic:blipFill>
                <pic:spPr bwMode="auto">
                  <a:xfrm>
                    <a:off x="0" y="0"/>
                    <a:ext cx="1353645" cy="63869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EC230" w14:textId="77777777" w:rsidR="008B0903" w:rsidRDefault="008B0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3AABE" w14:textId="77777777" w:rsidR="007B6BDB" w:rsidRDefault="007B6BDB" w:rsidP="001C4803">
      <w:r>
        <w:separator/>
      </w:r>
    </w:p>
  </w:footnote>
  <w:footnote w:type="continuationSeparator" w:id="0">
    <w:p w14:paraId="6806E0F6" w14:textId="77777777" w:rsidR="007B6BDB" w:rsidRDefault="007B6BDB" w:rsidP="001C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4A0ED" w14:textId="77777777" w:rsidR="008B0903" w:rsidRDefault="008B09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CE616" w14:textId="77777777" w:rsidR="000925EB" w:rsidRPr="00C12273" w:rsidRDefault="000925EB" w:rsidP="001C4803">
    <w:pPr>
      <w:pStyle w:val="Header"/>
    </w:pPr>
    <w:r w:rsidRPr="00C12273">
      <w:t>Commercial-in-Confidence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26C5F" w14:textId="654592A6" w:rsidR="000925EB" w:rsidRPr="00F243CA" w:rsidRDefault="000925EB" w:rsidP="00F243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1E6A5" w14:textId="7C022694" w:rsidR="000925EB" w:rsidRPr="00C12273" w:rsidRDefault="000925EB" w:rsidP="0061360A">
    <w:pPr>
      <w:pStyle w:val="Header"/>
      <w:tabs>
        <w:tab w:val="clear" w:pos="4513"/>
      </w:tabs>
    </w:pPr>
    <w:bookmarkStart w:id="30" w:name="_GoBack"/>
    <w:bookmarkEnd w:id="30"/>
    <w:r>
      <w:tab/>
    </w:r>
    <w:r w:rsidRPr="00181D7C">
      <w:rPr>
        <w:rStyle w:val="PageNumber"/>
      </w:rPr>
      <w:fldChar w:fldCharType="begin"/>
    </w:r>
    <w:r w:rsidRPr="00181D7C">
      <w:rPr>
        <w:rStyle w:val="PageNumber"/>
      </w:rPr>
      <w:instrText xml:space="preserve"> PAGE  </w:instrText>
    </w:r>
    <w:r w:rsidRPr="00181D7C">
      <w:rPr>
        <w:rStyle w:val="PageNumber"/>
      </w:rPr>
      <w:fldChar w:fldCharType="separate"/>
    </w:r>
    <w:r w:rsidR="0094275D">
      <w:rPr>
        <w:rStyle w:val="PageNumber"/>
        <w:noProof/>
      </w:rPr>
      <w:t>2</w:t>
    </w:r>
    <w:r w:rsidRPr="00181D7C">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766455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BE5D8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58296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4AAD7C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CC6401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E17039"/>
    <w:multiLevelType w:val="hybridMultilevel"/>
    <w:tmpl w:val="86FAAABC"/>
    <w:lvl w:ilvl="0" w:tplc="CFA0E77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31F680C"/>
    <w:multiLevelType w:val="hybridMultilevel"/>
    <w:tmpl w:val="B52C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37047F"/>
    <w:multiLevelType w:val="hybridMultilevel"/>
    <w:tmpl w:val="7CAAF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8D5C1D"/>
    <w:multiLevelType w:val="hybridMultilevel"/>
    <w:tmpl w:val="24726ADE"/>
    <w:lvl w:ilvl="0" w:tplc="34002D30">
      <w:start w:val="1"/>
      <w:numFmt w:val="bullet"/>
      <w:pStyle w:val="BoxBullet2"/>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4985D9D"/>
    <w:multiLevelType w:val="hybridMultilevel"/>
    <w:tmpl w:val="2B9EA49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04EF7F52"/>
    <w:multiLevelType w:val="hybridMultilevel"/>
    <w:tmpl w:val="82F0D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CD50A5"/>
    <w:multiLevelType w:val="multilevel"/>
    <w:tmpl w:val="38A8CCB8"/>
    <w:styleLink w:val="AppendixHeadings"/>
    <w:lvl w:ilvl="0">
      <w:start w:val="1"/>
      <w:numFmt w:val="upperRoman"/>
      <w:lvlText w:val="%1."/>
      <w:lvlJc w:val="left"/>
      <w:pPr>
        <w:ind w:left="0" w:firstLine="0"/>
      </w:pPr>
      <w:rPr>
        <w:rFonts w:ascii="Calibri" w:hAnsi="Calibri" w:hint="default"/>
        <w:color w:val="172983"/>
        <w:sz w:val="36"/>
      </w:rPr>
    </w:lvl>
    <w:lvl w:ilvl="1">
      <w:start w:val="1"/>
      <w:numFmt w:val="upperLetter"/>
      <w:lvlText w:val="%2."/>
      <w:lvlJc w:val="left"/>
      <w:pPr>
        <w:ind w:left="0" w:firstLine="0"/>
      </w:pPr>
      <w:rPr>
        <w:rFonts w:asciiTheme="minorHAnsi" w:hAnsiTheme="minorHAnsi" w:hint="default"/>
        <w:color w:val="172983"/>
        <w:sz w:val="32"/>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12" w15:restartNumberingAfterBreak="0">
    <w:nsid w:val="0EC37606"/>
    <w:multiLevelType w:val="hybridMultilevel"/>
    <w:tmpl w:val="9DFC6504"/>
    <w:lvl w:ilvl="0" w:tplc="AB7AF4E4">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3" w15:restartNumberingAfterBreak="0">
    <w:nsid w:val="107D4038"/>
    <w:multiLevelType w:val="multilevel"/>
    <w:tmpl w:val="76B8EAF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D31094"/>
    <w:multiLevelType w:val="hybridMultilevel"/>
    <w:tmpl w:val="49163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D74A3A"/>
    <w:multiLevelType w:val="hybridMultilevel"/>
    <w:tmpl w:val="CB6ECFB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6" w15:restartNumberingAfterBreak="0">
    <w:nsid w:val="1AFA14F8"/>
    <w:multiLevelType w:val="hybridMultilevel"/>
    <w:tmpl w:val="32CC4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CF67A5"/>
    <w:multiLevelType w:val="hybridMultilevel"/>
    <w:tmpl w:val="455660F8"/>
    <w:lvl w:ilvl="0" w:tplc="CDF4C030">
      <w:start w:val="1"/>
      <w:numFmt w:val="decimal"/>
      <w:lvlText w:val="%1."/>
      <w:lvlJc w:val="left"/>
      <w:pPr>
        <w:tabs>
          <w:tab w:val="num" w:pos="2847"/>
        </w:tabs>
        <w:ind w:left="2467" w:hanging="340"/>
      </w:pPr>
      <w:rPr>
        <w:rFonts w:hint="default"/>
        <w:b w:val="0"/>
        <w:strike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C71BB7"/>
    <w:multiLevelType w:val="hybridMultilevel"/>
    <w:tmpl w:val="67BCF18A"/>
    <w:lvl w:ilvl="0" w:tplc="D08AF202">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D526F0"/>
    <w:multiLevelType w:val="multilevel"/>
    <w:tmpl w:val="148CB6A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Restart w:val="1"/>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536DE3"/>
    <w:multiLevelType w:val="hybridMultilevel"/>
    <w:tmpl w:val="E17A95F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1" w15:restartNumberingAfterBreak="0">
    <w:nsid w:val="2F7E2B64"/>
    <w:multiLevelType w:val="hybridMultilevel"/>
    <w:tmpl w:val="88AA656C"/>
    <w:lvl w:ilvl="0" w:tplc="F9641F7A">
      <w:start w:val="1"/>
      <w:numFmt w:val="bullet"/>
      <w:lvlText w:val=""/>
      <w:lvlJc w:val="left"/>
      <w:pPr>
        <w:tabs>
          <w:tab w:val="num" w:pos="720"/>
        </w:tabs>
        <w:ind w:left="720" w:hanging="360"/>
      </w:pPr>
      <w:rPr>
        <w:rFonts w:ascii="Wingdings" w:hAnsi="Wingdings" w:hint="default"/>
      </w:rPr>
    </w:lvl>
    <w:lvl w:ilvl="1" w:tplc="E7E010CA" w:tentative="1">
      <w:start w:val="1"/>
      <w:numFmt w:val="bullet"/>
      <w:lvlText w:val="o"/>
      <w:lvlJc w:val="left"/>
      <w:pPr>
        <w:tabs>
          <w:tab w:val="num" w:pos="1440"/>
        </w:tabs>
        <w:ind w:left="1440" w:hanging="360"/>
      </w:pPr>
      <w:rPr>
        <w:rFonts w:ascii="Courier New" w:hAnsi="Courier New" w:cs="Courier New" w:hint="default"/>
      </w:rPr>
    </w:lvl>
    <w:lvl w:ilvl="2" w:tplc="5666F8CA" w:tentative="1">
      <w:start w:val="1"/>
      <w:numFmt w:val="bullet"/>
      <w:lvlText w:val=""/>
      <w:lvlJc w:val="left"/>
      <w:pPr>
        <w:tabs>
          <w:tab w:val="num" w:pos="2160"/>
        </w:tabs>
        <w:ind w:left="2160" w:hanging="360"/>
      </w:pPr>
      <w:rPr>
        <w:rFonts w:ascii="Wingdings" w:hAnsi="Wingdings" w:hint="default"/>
      </w:rPr>
    </w:lvl>
    <w:lvl w:ilvl="3" w:tplc="0AD85F44" w:tentative="1">
      <w:start w:val="1"/>
      <w:numFmt w:val="bullet"/>
      <w:lvlText w:val=""/>
      <w:lvlJc w:val="left"/>
      <w:pPr>
        <w:tabs>
          <w:tab w:val="num" w:pos="2880"/>
        </w:tabs>
        <w:ind w:left="2880" w:hanging="360"/>
      </w:pPr>
      <w:rPr>
        <w:rFonts w:ascii="Symbol" w:hAnsi="Symbol" w:hint="default"/>
      </w:rPr>
    </w:lvl>
    <w:lvl w:ilvl="4" w:tplc="4530A660" w:tentative="1">
      <w:start w:val="1"/>
      <w:numFmt w:val="bullet"/>
      <w:lvlText w:val="o"/>
      <w:lvlJc w:val="left"/>
      <w:pPr>
        <w:tabs>
          <w:tab w:val="num" w:pos="3600"/>
        </w:tabs>
        <w:ind w:left="3600" w:hanging="360"/>
      </w:pPr>
      <w:rPr>
        <w:rFonts w:ascii="Courier New" w:hAnsi="Courier New" w:cs="Courier New" w:hint="default"/>
      </w:rPr>
    </w:lvl>
    <w:lvl w:ilvl="5" w:tplc="32E28A34" w:tentative="1">
      <w:start w:val="1"/>
      <w:numFmt w:val="bullet"/>
      <w:lvlText w:val=""/>
      <w:lvlJc w:val="left"/>
      <w:pPr>
        <w:tabs>
          <w:tab w:val="num" w:pos="4320"/>
        </w:tabs>
        <w:ind w:left="4320" w:hanging="360"/>
      </w:pPr>
      <w:rPr>
        <w:rFonts w:ascii="Wingdings" w:hAnsi="Wingdings" w:hint="default"/>
      </w:rPr>
    </w:lvl>
    <w:lvl w:ilvl="6" w:tplc="83782586" w:tentative="1">
      <w:start w:val="1"/>
      <w:numFmt w:val="bullet"/>
      <w:lvlText w:val=""/>
      <w:lvlJc w:val="left"/>
      <w:pPr>
        <w:tabs>
          <w:tab w:val="num" w:pos="5040"/>
        </w:tabs>
        <w:ind w:left="5040" w:hanging="360"/>
      </w:pPr>
      <w:rPr>
        <w:rFonts w:ascii="Symbol" w:hAnsi="Symbol" w:hint="default"/>
      </w:rPr>
    </w:lvl>
    <w:lvl w:ilvl="7" w:tplc="0EE6E774" w:tentative="1">
      <w:start w:val="1"/>
      <w:numFmt w:val="bullet"/>
      <w:lvlText w:val="o"/>
      <w:lvlJc w:val="left"/>
      <w:pPr>
        <w:tabs>
          <w:tab w:val="num" w:pos="5760"/>
        </w:tabs>
        <w:ind w:left="5760" w:hanging="360"/>
      </w:pPr>
      <w:rPr>
        <w:rFonts w:ascii="Courier New" w:hAnsi="Courier New" w:cs="Courier New" w:hint="default"/>
      </w:rPr>
    </w:lvl>
    <w:lvl w:ilvl="8" w:tplc="FB8E049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B661F"/>
    <w:multiLevelType w:val="multilevel"/>
    <w:tmpl w:val="221C1376"/>
    <w:styleLink w:val="ReportHeadings"/>
    <w:lvl w:ilvl="0">
      <w:start w:val="1"/>
      <w:numFmt w:val="upperRoman"/>
      <w:pStyle w:val="Heading1"/>
      <w:lvlText w:val="%1."/>
      <w:lvlJc w:val="left"/>
      <w:pPr>
        <w:ind w:left="1702" w:hanging="567"/>
      </w:pPr>
      <w:rPr>
        <w:rFonts w:asciiTheme="minorHAnsi" w:hAnsiTheme="minorHAnsi" w:hint="default"/>
        <w:b/>
        <w:i w:val="0"/>
        <w:strike w:val="0"/>
        <w:dstrike w:val="0"/>
        <w:vanish w:val="0"/>
        <w:color w:val="172983"/>
        <w:sz w:val="40"/>
        <w:vertAlign w:val="baseline"/>
      </w:rPr>
    </w:lvl>
    <w:lvl w:ilvl="1">
      <w:start w:val="1"/>
      <w:numFmt w:val="upperLetter"/>
      <w:pStyle w:val="Heading2"/>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23" w15:restartNumberingAfterBreak="0">
    <w:nsid w:val="32F51DB9"/>
    <w:multiLevelType w:val="hybridMultilevel"/>
    <w:tmpl w:val="17F69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7262A6"/>
    <w:multiLevelType w:val="hybridMultilevel"/>
    <w:tmpl w:val="A5AAF7A6"/>
    <w:lvl w:ilvl="0" w:tplc="99060A4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40775590"/>
    <w:multiLevelType w:val="hybridMultilevel"/>
    <w:tmpl w:val="863AB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2369EE"/>
    <w:multiLevelType w:val="hybridMultilevel"/>
    <w:tmpl w:val="A67EB2EC"/>
    <w:lvl w:ilvl="0" w:tplc="FAF63DF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44761354"/>
    <w:multiLevelType w:val="hybridMultilevel"/>
    <w:tmpl w:val="53FEA8A4"/>
    <w:lvl w:ilvl="0" w:tplc="39DC2F42">
      <w:start w:val="1"/>
      <w:numFmt w:val="bullet"/>
      <w:pStyle w:val="Box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1D40AD"/>
    <w:multiLevelType w:val="multilevel"/>
    <w:tmpl w:val="3C7A706A"/>
    <w:lvl w:ilvl="0">
      <w:start w:val="1"/>
      <w:numFmt w:val="decimal"/>
      <w:pStyle w:val="SingleOptionQuestionText"/>
      <w:lvlText w:val="%1"/>
      <w:lvlJc w:val="left"/>
      <w:pPr>
        <w:ind w:left="3905" w:hanging="360"/>
      </w:pPr>
      <w:rPr>
        <w:rFonts w:hint="default"/>
      </w:rPr>
    </w:lvl>
    <w:lvl w:ilvl="1">
      <w:start w:val="1"/>
      <w:numFmt w:val="decimal"/>
      <w:pStyle w:val="ValueLabel"/>
      <w:lvlText w:val="%2"/>
      <w:lvlJc w:val="left"/>
      <w:pPr>
        <w:ind w:left="792" w:hanging="432"/>
      </w:pPr>
      <w:rPr>
        <w:rFonts w:hint="default"/>
      </w:rPr>
    </w:lvl>
    <w:lvl w:ilvl="2">
      <w:start w:val="1"/>
      <w:numFmt w:val="lowerLetter"/>
      <w:lvlRestart w:val="1"/>
      <w:pStyle w:val="GridLabel"/>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8E4614"/>
    <w:multiLevelType w:val="hybridMultilevel"/>
    <w:tmpl w:val="434C0DAA"/>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30" w15:restartNumberingAfterBreak="0">
    <w:nsid w:val="4E305103"/>
    <w:multiLevelType w:val="hybridMultilevel"/>
    <w:tmpl w:val="EE68C278"/>
    <w:lvl w:ilvl="0" w:tplc="F79A6E66">
      <w:start w:val="1"/>
      <w:numFmt w:val="bullet"/>
      <w:pStyle w:val="BoxBullet3"/>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1" w15:restartNumberingAfterBreak="0">
    <w:nsid w:val="4E427D7C"/>
    <w:multiLevelType w:val="hybridMultilevel"/>
    <w:tmpl w:val="7E1456AA"/>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492687"/>
    <w:multiLevelType w:val="hybridMultilevel"/>
    <w:tmpl w:val="81CCD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FF412B"/>
    <w:multiLevelType w:val="hybridMultilevel"/>
    <w:tmpl w:val="98882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7508C1"/>
    <w:multiLevelType w:val="hybridMultilevel"/>
    <w:tmpl w:val="3CD412EE"/>
    <w:lvl w:ilvl="0" w:tplc="B9324248">
      <w:start w:val="1"/>
      <w:numFmt w:val="bullet"/>
      <w:pStyle w:val="Foot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4356D9"/>
    <w:multiLevelType w:val="hybridMultilevel"/>
    <w:tmpl w:val="FFF4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994BE9"/>
    <w:multiLevelType w:val="hybridMultilevel"/>
    <w:tmpl w:val="B9DE1654"/>
    <w:lvl w:ilvl="0" w:tplc="1822570C">
      <w:start w:val="1"/>
      <w:numFmt w:val="bullet"/>
      <w:pStyle w:val="MRQuestion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4"/>
  </w:num>
  <w:num w:numId="5">
    <w:abstractNumId w:val="18"/>
  </w:num>
  <w:num w:numId="6">
    <w:abstractNumId w:val="12"/>
  </w:num>
  <w:num w:numId="7">
    <w:abstractNumId w:val="13"/>
  </w:num>
  <w:num w:numId="8">
    <w:abstractNumId w:val="11"/>
  </w:num>
  <w:num w:numId="9">
    <w:abstractNumId w:val="22"/>
  </w:num>
  <w:num w:numId="10">
    <w:abstractNumId w:val="36"/>
  </w:num>
  <w:num w:numId="11">
    <w:abstractNumId w:val="27"/>
  </w:num>
  <w:num w:numId="12">
    <w:abstractNumId w:val="8"/>
  </w:num>
  <w:num w:numId="13">
    <w:abstractNumId w:val="30"/>
  </w:num>
  <w:num w:numId="14">
    <w:abstractNumId w:val="14"/>
  </w:num>
  <w:num w:numId="15">
    <w:abstractNumId w:val="28"/>
  </w:num>
  <w:num w:numId="16">
    <w:abstractNumId w:val="23"/>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20"/>
  </w:num>
  <w:num w:numId="21">
    <w:abstractNumId w:val="15"/>
  </w:num>
  <w:num w:numId="22">
    <w:abstractNumId w:val="25"/>
  </w:num>
  <w:num w:numId="23">
    <w:abstractNumId w:val="33"/>
  </w:num>
  <w:num w:numId="24">
    <w:abstractNumId w:val="7"/>
  </w:num>
  <w:num w:numId="25">
    <w:abstractNumId w:val="19"/>
  </w:num>
  <w:num w:numId="26">
    <w:abstractNumId w:val="24"/>
  </w:num>
  <w:num w:numId="27">
    <w:abstractNumId w:val="26"/>
  </w:num>
  <w:num w:numId="28">
    <w:abstractNumId w:val="5"/>
  </w:num>
  <w:num w:numId="29">
    <w:abstractNumId w:val="21"/>
  </w:num>
  <w:num w:numId="30">
    <w:abstractNumId w:val="17"/>
  </w:num>
  <w:num w:numId="31">
    <w:abstractNumId w:val="10"/>
  </w:num>
  <w:num w:numId="32">
    <w:abstractNumId w:val="32"/>
  </w:num>
  <w:num w:numId="33">
    <w:abstractNumId w:val="9"/>
  </w:num>
  <w:num w:numId="34">
    <w:abstractNumId w:val="35"/>
  </w:num>
  <w:num w:numId="35">
    <w:abstractNumId w:val="6"/>
  </w:num>
  <w:num w:numId="36">
    <w:abstractNumId w:val="31"/>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3"/>
  </w:num>
  <w:num w:numId="44">
    <w:abstractNumId w:val="4"/>
  </w:num>
  <w:num w:numId="45">
    <w:abstractNumId w:val="28"/>
  </w:num>
  <w:num w:numId="46">
    <w:abstractNumId w:val="18"/>
  </w:num>
  <w:num w:numId="47">
    <w:abstractNumId w:val="28"/>
  </w:num>
  <w:num w:numId="48">
    <w:abstractNumId w:val="28"/>
  </w:num>
  <w:num w:numId="49">
    <w:abstractNumId w:val="28"/>
  </w:num>
  <w:num w:numId="5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F6"/>
    <w:rsid w:val="00001C7C"/>
    <w:rsid w:val="00003408"/>
    <w:rsid w:val="000039A2"/>
    <w:rsid w:val="00004D8D"/>
    <w:rsid w:val="000061E3"/>
    <w:rsid w:val="00010FCD"/>
    <w:rsid w:val="000159AB"/>
    <w:rsid w:val="00016C1F"/>
    <w:rsid w:val="00024362"/>
    <w:rsid w:val="00030AA7"/>
    <w:rsid w:val="00030FA1"/>
    <w:rsid w:val="0003324E"/>
    <w:rsid w:val="0003334F"/>
    <w:rsid w:val="00040310"/>
    <w:rsid w:val="0004283F"/>
    <w:rsid w:val="0005266C"/>
    <w:rsid w:val="00075CA0"/>
    <w:rsid w:val="00081554"/>
    <w:rsid w:val="000839FA"/>
    <w:rsid w:val="00083A64"/>
    <w:rsid w:val="00083C39"/>
    <w:rsid w:val="000925EB"/>
    <w:rsid w:val="00092F78"/>
    <w:rsid w:val="00094ACD"/>
    <w:rsid w:val="00095397"/>
    <w:rsid w:val="000A05E5"/>
    <w:rsid w:val="000A576F"/>
    <w:rsid w:val="000B1AA2"/>
    <w:rsid w:val="000B1D95"/>
    <w:rsid w:val="000E6E00"/>
    <w:rsid w:val="000F0820"/>
    <w:rsid w:val="001024A8"/>
    <w:rsid w:val="00103988"/>
    <w:rsid w:val="00103CBF"/>
    <w:rsid w:val="00106ACF"/>
    <w:rsid w:val="001169AD"/>
    <w:rsid w:val="00127643"/>
    <w:rsid w:val="0013311C"/>
    <w:rsid w:val="00133589"/>
    <w:rsid w:val="00143FA5"/>
    <w:rsid w:val="0014796F"/>
    <w:rsid w:val="00151876"/>
    <w:rsid w:val="00152740"/>
    <w:rsid w:val="00153860"/>
    <w:rsid w:val="00155504"/>
    <w:rsid w:val="00157E20"/>
    <w:rsid w:val="00160A3A"/>
    <w:rsid w:val="001730DA"/>
    <w:rsid w:val="0018109E"/>
    <w:rsid w:val="00181D7C"/>
    <w:rsid w:val="0018216B"/>
    <w:rsid w:val="001841F4"/>
    <w:rsid w:val="001866C9"/>
    <w:rsid w:val="001A2D7D"/>
    <w:rsid w:val="001B154F"/>
    <w:rsid w:val="001C38A3"/>
    <w:rsid w:val="001C4803"/>
    <w:rsid w:val="001C56C4"/>
    <w:rsid w:val="001D0961"/>
    <w:rsid w:val="001D1C09"/>
    <w:rsid w:val="001E682C"/>
    <w:rsid w:val="0020097E"/>
    <w:rsid w:val="00206476"/>
    <w:rsid w:val="00213229"/>
    <w:rsid w:val="00213F43"/>
    <w:rsid w:val="00221122"/>
    <w:rsid w:val="00222552"/>
    <w:rsid w:val="00226744"/>
    <w:rsid w:val="00236206"/>
    <w:rsid w:val="00237379"/>
    <w:rsid w:val="00242FD6"/>
    <w:rsid w:val="0024431A"/>
    <w:rsid w:val="00252FD8"/>
    <w:rsid w:val="002553DC"/>
    <w:rsid w:val="00255ECE"/>
    <w:rsid w:val="00265868"/>
    <w:rsid w:val="00272317"/>
    <w:rsid w:val="002770FC"/>
    <w:rsid w:val="0028352E"/>
    <w:rsid w:val="0028732D"/>
    <w:rsid w:val="00293059"/>
    <w:rsid w:val="00294141"/>
    <w:rsid w:val="0029623D"/>
    <w:rsid w:val="002A6889"/>
    <w:rsid w:val="002C59A7"/>
    <w:rsid w:val="002D1D61"/>
    <w:rsid w:val="002D3D8A"/>
    <w:rsid w:val="002E142F"/>
    <w:rsid w:val="002E3944"/>
    <w:rsid w:val="00302B7A"/>
    <w:rsid w:val="003038EC"/>
    <w:rsid w:val="00307377"/>
    <w:rsid w:val="003215C5"/>
    <w:rsid w:val="00330704"/>
    <w:rsid w:val="003411D7"/>
    <w:rsid w:val="003469F3"/>
    <w:rsid w:val="003521B6"/>
    <w:rsid w:val="00352517"/>
    <w:rsid w:val="00362CDF"/>
    <w:rsid w:val="00364644"/>
    <w:rsid w:val="00372222"/>
    <w:rsid w:val="00374587"/>
    <w:rsid w:val="00376AD5"/>
    <w:rsid w:val="00377C2D"/>
    <w:rsid w:val="003966B4"/>
    <w:rsid w:val="003A5D8A"/>
    <w:rsid w:val="003B0F22"/>
    <w:rsid w:val="003B2A2C"/>
    <w:rsid w:val="003B55C4"/>
    <w:rsid w:val="003B70F3"/>
    <w:rsid w:val="003B7343"/>
    <w:rsid w:val="003C2544"/>
    <w:rsid w:val="003C70D2"/>
    <w:rsid w:val="003E142E"/>
    <w:rsid w:val="003E17A0"/>
    <w:rsid w:val="003E2781"/>
    <w:rsid w:val="003F7A31"/>
    <w:rsid w:val="00404E49"/>
    <w:rsid w:val="00410800"/>
    <w:rsid w:val="00412E38"/>
    <w:rsid w:val="00413C49"/>
    <w:rsid w:val="00416744"/>
    <w:rsid w:val="004213F2"/>
    <w:rsid w:val="00423AC8"/>
    <w:rsid w:val="00431A1F"/>
    <w:rsid w:val="004335E4"/>
    <w:rsid w:val="004368F2"/>
    <w:rsid w:val="0044355B"/>
    <w:rsid w:val="00457342"/>
    <w:rsid w:val="004575F1"/>
    <w:rsid w:val="00464A5F"/>
    <w:rsid w:val="0046727F"/>
    <w:rsid w:val="0047379F"/>
    <w:rsid w:val="0048221E"/>
    <w:rsid w:val="00482384"/>
    <w:rsid w:val="004859B2"/>
    <w:rsid w:val="00487FF9"/>
    <w:rsid w:val="00497600"/>
    <w:rsid w:val="004A561A"/>
    <w:rsid w:val="004B4EFA"/>
    <w:rsid w:val="004C239F"/>
    <w:rsid w:val="004E241C"/>
    <w:rsid w:val="004F16C1"/>
    <w:rsid w:val="004F36E7"/>
    <w:rsid w:val="004F7AD4"/>
    <w:rsid w:val="0050293B"/>
    <w:rsid w:val="005116FA"/>
    <w:rsid w:val="0051201C"/>
    <w:rsid w:val="00512847"/>
    <w:rsid w:val="005151F2"/>
    <w:rsid w:val="005158B7"/>
    <w:rsid w:val="0051760A"/>
    <w:rsid w:val="00521D9D"/>
    <w:rsid w:val="005379C8"/>
    <w:rsid w:val="0054096F"/>
    <w:rsid w:val="00556BD9"/>
    <w:rsid w:val="00567017"/>
    <w:rsid w:val="005737B8"/>
    <w:rsid w:val="0057421A"/>
    <w:rsid w:val="00574B1E"/>
    <w:rsid w:val="00575BC7"/>
    <w:rsid w:val="00581B44"/>
    <w:rsid w:val="0058400B"/>
    <w:rsid w:val="00585F61"/>
    <w:rsid w:val="005951A2"/>
    <w:rsid w:val="005C0F5E"/>
    <w:rsid w:val="005C1A42"/>
    <w:rsid w:val="005C2954"/>
    <w:rsid w:val="005C4D82"/>
    <w:rsid w:val="005C6D55"/>
    <w:rsid w:val="005C6E25"/>
    <w:rsid w:val="005E10E9"/>
    <w:rsid w:val="00603670"/>
    <w:rsid w:val="00613369"/>
    <w:rsid w:val="0061360A"/>
    <w:rsid w:val="006155A2"/>
    <w:rsid w:val="00630472"/>
    <w:rsid w:val="00632BAD"/>
    <w:rsid w:val="00637320"/>
    <w:rsid w:val="00637364"/>
    <w:rsid w:val="006424C4"/>
    <w:rsid w:val="006513B7"/>
    <w:rsid w:val="00665658"/>
    <w:rsid w:val="00666197"/>
    <w:rsid w:val="00666DB3"/>
    <w:rsid w:val="0067121D"/>
    <w:rsid w:val="00672C44"/>
    <w:rsid w:val="0067493F"/>
    <w:rsid w:val="00675362"/>
    <w:rsid w:val="00681DB4"/>
    <w:rsid w:val="00690E0D"/>
    <w:rsid w:val="006A2C49"/>
    <w:rsid w:val="006A5E7D"/>
    <w:rsid w:val="006B5A61"/>
    <w:rsid w:val="006C3D05"/>
    <w:rsid w:val="006D4B1C"/>
    <w:rsid w:val="006D7E7C"/>
    <w:rsid w:val="006E08D7"/>
    <w:rsid w:val="006E1987"/>
    <w:rsid w:val="006E6750"/>
    <w:rsid w:val="006F0B65"/>
    <w:rsid w:val="006F1BE8"/>
    <w:rsid w:val="0070365B"/>
    <w:rsid w:val="00703D6A"/>
    <w:rsid w:val="00704A98"/>
    <w:rsid w:val="00705B68"/>
    <w:rsid w:val="00713163"/>
    <w:rsid w:val="00726E0C"/>
    <w:rsid w:val="00727363"/>
    <w:rsid w:val="00737962"/>
    <w:rsid w:val="00751C2B"/>
    <w:rsid w:val="00753777"/>
    <w:rsid w:val="0075628F"/>
    <w:rsid w:val="00757FFC"/>
    <w:rsid w:val="00772726"/>
    <w:rsid w:val="00797686"/>
    <w:rsid w:val="007A480B"/>
    <w:rsid w:val="007A491D"/>
    <w:rsid w:val="007B4DBE"/>
    <w:rsid w:val="007B547C"/>
    <w:rsid w:val="007B5914"/>
    <w:rsid w:val="007B6BDB"/>
    <w:rsid w:val="007C1D45"/>
    <w:rsid w:val="007C2899"/>
    <w:rsid w:val="007C7860"/>
    <w:rsid w:val="007C7925"/>
    <w:rsid w:val="007C7DB1"/>
    <w:rsid w:val="007E3548"/>
    <w:rsid w:val="007F10F4"/>
    <w:rsid w:val="007F181B"/>
    <w:rsid w:val="007F50C9"/>
    <w:rsid w:val="00801C49"/>
    <w:rsid w:val="008026C9"/>
    <w:rsid w:val="008026F1"/>
    <w:rsid w:val="0080732A"/>
    <w:rsid w:val="00816654"/>
    <w:rsid w:val="008169AB"/>
    <w:rsid w:val="0082559F"/>
    <w:rsid w:val="008269E7"/>
    <w:rsid w:val="00837D9E"/>
    <w:rsid w:val="0084462E"/>
    <w:rsid w:val="00857896"/>
    <w:rsid w:val="00862003"/>
    <w:rsid w:val="00866C82"/>
    <w:rsid w:val="00870728"/>
    <w:rsid w:val="00872986"/>
    <w:rsid w:val="00873CD8"/>
    <w:rsid w:val="00876A46"/>
    <w:rsid w:val="00882632"/>
    <w:rsid w:val="00884AA7"/>
    <w:rsid w:val="008912C4"/>
    <w:rsid w:val="00894F4E"/>
    <w:rsid w:val="008A4F1C"/>
    <w:rsid w:val="008A5340"/>
    <w:rsid w:val="008B06DD"/>
    <w:rsid w:val="008B0903"/>
    <w:rsid w:val="008B0A82"/>
    <w:rsid w:val="008B2327"/>
    <w:rsid w:val="008B56D6"/>
    <w:rsid w:val="008C5A22"/>
    <w:rsid w:val="008D286B"/>
    <w:rsid w:val="008D7192"/>
    <w:rsid w:val="008D7A7B"/>
    <w:rsid w:val="008E4B0D"/>
    <w:rsid w:val="008E7CF4"/>
    <w:rsid w:val="008F03C6"/>
    <w:rsid w:val="008F20E4"/>
    <w:rsid w:val="008F31F6"/>
    <w:rsid w:val="008F7A29"/>
    <w:rsid w:val="00906E64"/>
    <w:rsid w:val="0091261B"/>
    <w:rsid w:val="0091778D"/>
    <w:rsid w:val="009215A8"/>
    <w:rsid w:val="009252D1"/>
    <w:rsid w:val="009264DA"/>
    <w:rsid w:val="0093002E"/>
    <w:rsid w:val="0094275D"/>
    <w:rsid w:val="00944CA9"/>
    <w:rsid w:val="00945526"/>
    <w:rsid w:val="00951B91"/>
    <w:rsid w:val="009639A5"/>
    <w:rsid w:val="00966D68"/>
    <w:rsid w:val="0096712A"/>
    <w:rsid w:val="00990182"/>
    <w:rsid w:val="00995A03"/>
    <w:rsid w:val="009A54CF"/>
    <w:rsid w:val="009A6811"/>
    <w:rsid w:val="009B0C19"/>
    <w:rsid w:val="009B2579"/>
    <w:rsid w:val="009B5A99"/>
    <w:rsid w:val="009D1D71"/>
    <w:rsid w:val="009E3DAB"/>
    <w:rsid w:val="009F5AF7"/>
    <w:rsid w:val="00A00117"/>
    <w:rsid w:val="00A00147"/>
    <w:rsid w:val="00A01F67"/>
    <w:rsid w:val="00A0556A"/>
    <w:rsid w:val="00A07DEE"/>
    <w:rsid w:val="00A3245F"/>
    <w:rsid w:val="00A34675"/>
    <w:rsid w:val="00A34FD7"/>
    <w:rsid w:val="00A3575D"/>
    <w:rsid w:val="00A408A6"/>
    <w:rsid w:val="00A470C3"/>
    <w:rsid w:val="00A47F1F"/>
    <w:rsid w:val="00A51A7E"/>
    <w:rsid w:val="00A531B8"/>
    <w:rsid w:val="00A53F2A"/>
    <w:rsid w:val="00A54140"/>
    <w:rsid w:val="00A560A6"/>
    <w:rsid w:val="00A603D0"/>
    <w:rsid w:val="00A92708"/>
    <w:rsid w:val="00A935CE"/>
    <w:rsid w:val="00A94351"/>
    <w:rsid w:val="00A96513"/>
    <w:rsid w:val="00A97D5A"/>
    <w:rsid w:val="00AA29EA"/>
    <w:rsid w:val="00AA6C8B"/>
    <w:rsid w:val="00AB4651"/>
    <w:rsid w:val="00AB557A"/>
    <w:rsid w:val="00AB6A4B"/>
    <w:rsid w:val="00AC1148"/>
    <w:rsid w:val="00AC5F4F"/>
    <w:rsid w:val="00AD1CC5"/>
    <w:rsid w:val="00AD2921"/>
    <w:rsid w:val="00AD55BB"/>
    <w:rsid w:val="00AD7BA9"/>
    <w:rsid w:val="00AE5F46"/>
    <w:rsid w:val="00B037E3"/>
    <w:rsid w:val="00B03DF2"/>
    <w:rsid w:val="00B04642"/>
    <w:rsid w:val="00B0613B"/>
    <w:rsid w:val="00B119DB"/>
    <w:rsid w:val="00B3317A"/>
    <w:rsid w:val="00B551E9"/>
    <w:rsid w:val="00B66E7A"/>
    <w:rsid w:val="00B67E9A"/>
    <w:rsid w:val="00B71EF0"/>
    <w:rsid w:val="00B73E01"/>
    <w:rsid w:val="00B7640F"/>
    <w:rsid w:val="00B809B8"/>
    <w:rsid w:val="00B813BA"/>
    <w:rsid w:val="00B84C62"/>
    <w:rsid w:val="00B853F4"/>
    <w:rsid w:val="00B90B30"/>
    <w:rsid w:val="00BB0B67"/>
    <w:rsid w:val="00BB7DAF"/>
    <w:rsid w:val="00BC0D82"/>
    <w:rsid w:val="00BC258C"/>
    <w:rsid w:val="00BD46D4"/>
    <w:rsid w:val="00BE3046"/>
    <w:rsid w:val="00BF5B04"/>
    <w:rsid w:val="00BF7452"/>
    <w:rsid w:val="00C04461"/>
    <w:rsid w:val="00C04655"/>
    <w:rsid w:val="00C12273"/>
    <w:rsid w:val="00C208CD"/>
    <w:rsid w:val="00C20AB1"/>
    <w:rsid w:val="00C344BE"/>
    <w:rsid w:val="00C3597C"/>
    <w:rsid w:val="00C35F24"/>
    <w:rsid w:val="00C46F41"/>
    <w:rsid w:val="00C503EA"/>
    <w:rsid w:val="00C5434E"/>
    <w:rsid w:val="00C6147A"/>
    <w:rsid w:val="00C646EE"/>
    <w:rsid w:val="00C65CB5"/>
    <w:rsid w:val="00C97691"/>
    <w:rsid w:val="00CA0BFE"/>
    <w:rsid w:val="00CA4CC2"/>
    <w:rsid w:val="00CA5419"/>
    <w:rsid w:val="00CB0328"/>
    <w:rsid w:val="00CB1953"/>
    <w:rsid w:val="00CB5F71"/>
    <w:rsid w:val="00CC559F"/>
    <w:rsid w:val="00CD4EDC"/>
    <w:rsid w:val="00CE0089"/>
    <w:rsid w:val="00CE3461"/>
    <w:rsid w:val="00CE7945"/>
    <w:rsid w:val="00CF33C1"/>
    <w:rsid w:val="00D0450C"/>
    <w:rsid w:val="00D0702E"/>
    <w:rsid w:val="00D24D51"/>
    <w:rsid w:val="00D251B4"/>
    <w:rsid w:val="00D25C17"/>
    <w:rsid w:val="00D30D86"/>
    <w:rsid w:val="00D43E4E"/>
    <w:rsid w:val="00D43E91"/>
    <w:rsid w:val="00D4609C"/>
    <w:rsid w:val="00D46B75"/>
    <w:rsid w:val="00D55FFC"/>
    <w:rsid w:val="00D604EE"/>
    <w:rsid w:val="00D660AF"/>
    <w:rsid w:val="00D67542"/>
    <w:rsid w:val="00D814B5"/>
    <w:rsid w:val="00D83A64"/>
    <w:rsid w:val="00D8573B"/>
    <w:rsid w:val="00D95258"/>
    <w:rsid w:val="00DB07C3"/>
    <w:rsid w:val="00DD22ED"/>
    <w:rsid w:val="00DE65C4"/>
    <w:rsid w:val="00DF07AC"/>
    <w:rsid w:val="00DF72C2"/>
    <w:rsid w:val="00E00682"/>
    <w:rsid w:val="00E01D46"/>
    <w:rsid w:val="00E04D25"/>
    <w:rsid w:val="00E17EA9"/>
    <w:rsid w:val="00E22052"/>
    <w:rsid w:val="00E22E02"/>
    <w:rsid w:val="00E26059"/>
    <w:rsid w:val="00E26EE3"/>
    <w:rsid w:val="00E32636"/>
    <w:rsid w:val="00E32928"/>
    <w:rsid w:val="00E346FA"/>
    <w:rsid w:val="00E40097"/>
    <w:rsid w:val="00E417B1"/>
    <w:rsid w:val="00E427C7"/>
    <w:rsid w:val="00E448DE"/>
    <w:rsid w:val="00E512A3"/>
    <w:rsid w:val="00E51E0B"/>
    <w:rsid w:val="00E52470"/>
    <w:rsid w:val="00E572AD"/>
    <w:rsid w:val="00E60DA0"/>
    <w:rsid w:val="00E61BA1"/>
    <w:rsid w:val="00E70D7C"/>
    <w:rsid w:val="00E83617"/>
    <w:rsid w:val="00E85401"/>
    <w:rsid w:val="00E865F8"/>
    <w:rsid w:val="00E93212"/>
    <w:rsid w:val="00EA6995"/>
    <w:rsid w:val="00EC1688"/>
    <w:rsid w:val="00EC5C74"/>
    <w:rsid w:val="00ED487E"/>
    <w:rsid w:val="00EE6EA3"/>
    <w:rsid w:val="00EF1EAA"/>
    <w:rsid w:val="00EF65C3"/>
    <w:rsid w:val="00F130C7"/>
    <w:rsid w:val="00F13661"/>
    <w:rsid w:val="00F243CA"/>
    <w:rsid w:val="00F27E4D"/>
    <w:rsid w:val="00F34F38"/>
    <w:rsid w:val="00F35DCB"/>
    <w:rsid w:val="00F367A6"/>
    <w:rsid w:val="00F41028"/>
    <w:rsid w:val="00F45BCC"/>
    <w:rsid w:val="00F46745"/>
    <w:rsid w:val="00F46994"/>
    <w:rsid w:val="00F56A8E"/>
    <w:rsid w:val="00F64F07"/>
    <w:rsid w:val="00F66BD0"/>
    <w:rsid w:val="00F72C6B"/>
    <w:rsid w:val="00F72F52"/>
    <w:rsid w:val="00F74DF3"/>
    <w:rsid w:val="00F91D6F"/>
    <w:rsid w:val="00FA09A5"/>
    <w:rsid w:val="00FA0E62"/>
    <w:rsid w:val="00FA1C84"/>
    <w:rsid w:val="00FA358C"/>
    <w:rsid w:val="00FA4A3C"/>
    <w:rsid w:val="00FA6C24"/>
    <w:rsid w:val="00FB4414"/>
    <w:rsid w:val="00FB573E"/>
    <w:rsid w:val="00FC3001"/>
    <w:rsid w:val="00FC3F33"/>
    <w:rsid w:val="00FD27D1"/>
    <w:rsid w:val="00FD510E"/>
    <w:rsid w:val="00FE0FA4"/>
    <w:rsid w:val="00FE6DF1"/>
    <w:rsid w:val="00FE7279"/>
    <w:rsid w:val="00FF3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8F8CCB"/>
  <w15:docId w15:val="{75B08027-7E73-4311-9D13-B78A7CEC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AU" w:eastAsia="en-AU" w:bidi="ar-SA"/>
      </w:rPr>
    </w:rPrDefault>
    <w:pPrDefault>
      <w:pPr>
        <w:spacing w:before="24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803"/>
    <w:pPr>
      <w:jc w:val="both"/>
    </w:pPr>
  </w:style>
  <w:style w:type="paragraph" w:styleId="Heading1">
    <w:name w:val="heading 1"/>
    <w:basedOn w:val="Normal"/>
    <w:next w:val="Normal"/>
    <w:link w:val="Heading1Char"/>
    <w:qFormat/>
    <w:rsid w:val="00837D9E"/>
    <w:pPr>
      <w:keepNext/>
      <w:pageBreakBefore/>
      <w:numPr>
        <w:numId w:val="9"/>
      </w:numPr>
      <w:tabs>
        <w:tab w:val="left" w:pos="851"/>
      </w:tabs>
      <w:spacing w:before="0" w:after="240"/>
      <w:ind w:left="851" w:hanging="851"/>
      <w:outlineLvl w:val="0"/>
    </w:pPr>
    <w:rPr>
      <w:rFonts w:eastAsia="Calibri" w:cstheme="majorBidi"/>
      <w:b/>
      <w:color w:val="172983"/>
      <w:sz w:val="40"/>
      <w:szCs w:val="40"/>
    </w:rPr>
  </w:style>
  <w:style w:type="paragraph" w:styleId="Heading2">
    <w:name w:val="heading 2"/>
    <w:basedOn w:val="Normal"/>
    <w:next w:val="Normal"/>
    <w:link w:val="Heading2Char"/>
    <w:qFormat/>
    <w:rsid w:val="00094ACD"/>
    <w:pPr>
      <w:keepNext/>
      <w:numPr>
        <w:ilvl w:val="1"/>
        <w:numId w:val="9"/>
      </w:numPr>
      <w:spacing w:before="600" w:after="240"/>
      <w:outlineLvl w:val="1"/>
    </w:pPr>
    <w:rPr>
      <w:rFonts w:eastAsia="Calibri" w:cstheme="majorBidi"/>
      <w:b/>
      <w:color w:val="172983"/>
      <w:sz w:val="36"/>
      <w:szCs w:val="36"/>
    </w:rPr>
  </w:style>
  <w:style w:type="paragraph" w:styleId="Heading3">
    <w:name w:val="heading 3"/>
    <w:basedOn w:val="Normal"/>
    <w:next w:val="Normal"/>
    <w:link w:val="Heading3Char"/>
    <w:qFormat/>
    <w:rsid w:val="006F0B65"/>
    <w:pPr>
      <w:keepNext/>
      <w:overflowPunct w:val="0"/>
      <w:adjustRightInd w:val="0"/>
      <w:spacing w:before="480" w:after="240"/>
      <w:textAlignment w:val="baseline"/>
      <w:outlineLvl w:val="2"/>
    </w:pPr>
    <w:rPr>
      <w:b/>
      <w:color w:val="172983"/>
      <w:sz w:val="32"/>
      <w:szCs w:val="32"/>
    </w:rPr>
  </w:style>
  <w:style w:type="paragraph" w:styleId="Heading4">
    <w:name w:val="heading 4"/>
    <w:basedOn w:val="Normal"/>
    <w:next w:val="Normal"/>
    <w:link w:val="Heading4Char"/>
    <w:qFormat/>
    <w:rsid w:val="006F0B65"/>
    <w:pPr>
      <w:keepNext/>
      <w:spacing w:before="360" w:after="240"/>
      <w:outlineLvl w:val="3"/>
    </w:pPr>
    <w:rPr>
      <w:b/>
      <w:bCs/>
      <w:i/>
      <w:color w:val="172983"/>
      <w:sz w:val="28"/>
      <w:szCs w:val="28"/>
    </w:rPr>
  </w:style>
  <w:style w:type="paragraph" w:styleId="Heading5">
    <w:name w:val="heading 5"/>
    <w:basedOn w:val="Normal"/>
    <w:next w:val="Normal"/>
    <w:link w:val="Heading5Char"/>
    <w:qFormat/>
    <w:rsid w:val="005C4D82"/>
    <w:pPr>
      <w:spacing w:before="360" w:after="240"/>
      <w:outlineLvl w:val="4"/>
    </w:pPr>
    <w:rPr>
      <w:i/>
      <w:color w:val="172983"/>
      <w:sz w:val="26"/>
      <w:szCs w:val="26"/>
    </w:rPr>
  </w:style>
  <w:style w:type="paragraph" w:styleId="Heading6">
    <w:name w:val="heading 6"/>
    <w:basedOn w:val="Normal"/>
    <w:next w:val="Normal"/>
    <w:link w:val="Heading6Char"/>
    <w:uiPriority w:val="9"/>
    <w:qFormat/>
    <w:rsid w:val="001841F4"/>
    <w:pPr>
      <w:tabs>
        <w:tab w:val="left" w:pos="0"/>
      </w:tabs>
      <w:spacing w:before="3000"/>
      <w:outlineLvl w:val="5"/>
    </w:pPr>
    <w:rPr>
      <w:b/>
      <w:color w:val="172983"/>
      <w:sz w:val="40"/>
      <w:szCs w:val="40"/>
    </w:rPr>
  </w:style>
  <w:style w:type="paragraph" w:styleId="Heading7">
    <w:name w:val="heading 7"/>
    <w:basedOn w:val="ListParagraph"/>
    <w:next w:val="Normal"/>
    <w:link w:val="Heading7Char"/>
    <w:uiPriority w:val="9"/>
    <w:qFormat/>
    <w:rsid w:val="004F7AD4"/>
    <w:pPr>
      <w:spacing w:before="0" w:after="240"/>
      <w:ind w:left="0"/>
      <w:outlineLvl w:val="6"/>
    </w:pPr>
    <w:rPr>
      <w:b/>
      <w:color w:val="172983"/>
      <w:sz w:val="36"/>
      <w:szCs w:val="36"/>
    </w:rPr>
  </w:style>
  <w:style w:type="paragraph" w:styleId="Heading8">
    <w:name w:val="heading 8"/>
    <w:basedOn w:val="ListParagraph"/>
    <w:next w:val="Normal"/>
    <w:link w:val="Heading8Char"/>
    <w:uiPriority w:val="9"/>
    <w:qFormat/>
    <w:rsid w:val="004F7AD4"/>
    <w:pPr>
      <w:spacing w:before="480" w:after="240"/>
      <w:ind w:left="0"/>
      <w:outlineLvl w:val="7"/>
    </w:pPr>
    <w:rPr>
      <w:b/>
      <w:color w:val="172983"/>
      <w:sz w:val="28"/>
      <w:szCs w:val="28"/>
    </w:rPr>
  </w:style>
  <w:style w:type="paragraph" w:styleId="Heading9">
    <w:name w:val="heading 9"/>
    <w:basedOn w:val="Normal"/>
    <w:next w:val="Normal"/>
    <w:link w:val="Heading9Char"/>
    <w:qFormat/>
    <w:rsid w:val="004F7AD4"/>
    <w:pPr>
      <w:spacing w:before="360" w:after="240"/>
      <w:outlineLvl w:val="8"/>
    </w:pPr>
    <w:rPr>
      <w:i/>
      <w:color w:val="17298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C12273"/>
    <w:pPr>
      <w:tabs>
        <w:tab w:val="center" w:pos="4513"/>
        <w:tab w:val="right" w:pos="9026"/>
      </w:tabs>
      <w:spacing w:before="0"/>
    </w:pPr>
  </w:style>
  <w:style w:type="character" w:customStyle="1" w:styleId="HeaderChar">
    <w:name w:val="Header Char"/>
    <w:basedOn w:val="DefaultParagraphFont"/>
    <w:link w:val="Header"/>
    <w:rsid w:val="00C12273"/>
  </w:style>
  <w:style w:type="character" w:customStyle="1" w:styleId="Heading2Char">
    <w:name w:val="Heading 2 Char"/>
    <w:link w:val="Heading2"/>
    <w:rsid w:val="00094ACD"/>
    <w:rPr>
      <w:rFonts w:eastAsia="Calibri" w:cstheme="majorBidi"/>
      <w:b/>
      <w:color w:val="172983"/>
      <w:sz w:val="36"/>
      <w:szCs w:val="36"/>
    </w:rPr>
  </w:style>
  <w:style w:type="character" w:customStyle="1" w:styleId="Heading1Char">
    <w:name w:val="Heading 1 Char"/>
    <w:link w:val="Heading1"/>
    <w:rsid w:val="00837D9E"/>
    <w:rPr>
      <w:rFonts w:eastAsia="Calibri" w:cstheme="majorBidi"/>
      <w:b/>
      <w:color w:val="172983"/>
      <w:sz w:val="40"/>
      <w:szCs w:val="40"/>
    </w:rPr>
  </w:style>
  <w:style w:type="paragraph" w:styleId="FootnoteText">
    <w:name w:val="footnote text"/>
    <w:basedOn w:val="Normal"/>
    <w:link w:val="FootnoteTextChar"/>
    <w:uiPriority w:val="99"/>
    <w:unhideWhenUsed/>
    <w:qFormat/>
    <w:rsid w:val="00413C49"/>
    <w:pPr>
      <w:tabs>
        <w:tab w:val="left" w:pos="426"/>
      </w:tabs>
      <w:spacing w:before="120"/>
      <w:ind w:left="425" w:hanging="425"/>
    </w:pPr>
    <w:rPr>
      <w:sz w:val="20"/>
    </w:rPr>
  </w:style>
  <w:style w:type="character" w:customStyle="1" w:styleId="FootnoteTextChar">
    <w:name w:val="Footnote Text Char"/>
    <w:basedOn w:val="DefaultParagraphFont"/>
    <w:link w:val="FootnoteText"/>
    <w:uiPriority w:val="99"/>
    <w:rsid w:val="00413C49"/>
    <w:rPr>
      <w:sz w:val="20"/>
    </w:rPr>
  </w:style>
  <w:style w:type="character" w:customStyle="1" w:styleId="Heading6Char">
    <w:name w:val="Heading 6 Char"/>
    <w:link w:val="Heading6"/>
    <w:uiPriority w:val="9"/>
    <w:rsid w:val="001841F4"/>
    <w:rPr>
      <w:b/>
      <w:color w:val="172983"/>
      <w:sz w:val="40"/>
      <w:szCs w:val="40"/>
    </w:rPr>
  </w:style>
  <w:style w:type="character" w:customStyle="1" w:styleId="Heading7Char">
    <w:name w:val="Heading 7 Char"/>
    <w:link w:val="Heading7"/>
    <w:uiPriority w:val="9"/>
    <w:rsid w:val="004F7AD4"/>
    <w:rPr>
      <w:b/>
      <w:color w:val="172983"/>
      <w:sz w:val="36"/>
      <w:szCs w:val="36"/>
      <w:lang w:val="en-US"/>
    </w:rPr>
  </w:style>
  <w:style w:type="character" w:customStyle="1" w:styleId="Heading3Char">
    <w:name w:val="Heading 3 Char"/>
    <w:link w:val="Heading3"/>
    <w:rsid w:val="006F0B65"/>
    <w:rPr>
      <w:b/>
      <w:color w:val="172983"/>
      <w:sz w:val="32"/>
      <w:szCs w:val="32"/>
      <w:lang w:val="en-US"/>
    </w:rPr>
  </w:style>
  <w:style w:type="character" w:customStyle="1" w:styleId="Heading4Char">
    <w:name w:val="Heading 4 Char"/>
    <w:link w:val="Heading4"/>
    <w:rsid w:val="006F0B65"/>
    <w:rPr>
      <w:b/>
      <w:bCs/>
      <w:i/>
      <w:color w:val="172983"/>
      <w:sz w:val="28"/>
      <w:szCs w:val="28"/>
      <w:lang w:val="en-US"/>
    </w:rPr>
  </w:style>
  <w:style w:type="character" w:customStyle="1" w:styleId="Heading5Char">
    <w:name w:val="Heading 5 Char"/>
    <w:basedOn w:val="DefaultParagraphFont"/>
    <w:link w:val="Heading5"/>
    <w:rsid w:val="005C4D82"/>
    <w:rPr>
      <w:i/>
      <w:color w:val="172983"/>
      <w:sz w:val="26"/>
      <w:szCs w:val="26"/>
    </w:rPr>
  </w:style>
  <w:style w:type="character" w:customStyle="1" w:styleId="Heading8Char">
    <w:name w:val="Heading 8 Char"/>
    <w:basedOn w:val="DefaultParagraphFont"/>
    <w:link w:val="Heading8"/>
    <w:uiPriority w:val="9"/>
    <w:rsid w:val="004F7AD4"/>
    <w:rPr>
      <w:b/>
      <w:color w:val="172983"/>
      <w:sz w:val="28"/>
      <w:szCs w:val="28"/>
      <w:lang w:val="en-US"/>
    </w:rPr>
  </w:style>
  <w:style w:type="character" w:styleId="FootnoteReference">
    <w:name w:val="footnote reference"/>
    <w:uiPriority w:val="99"/>
    <w:semiHidden/>
    <w:qFormat/>
    <w:rsid w:val="00E61BA1"/>
    <w:rPr>
      <w:vertAlign w:val="superscript"/>
    </w:rPr>
  </w:style>
  <w:style w:type="paragraph" w:styleId="NormalWeb">
    <w:name w:val="Normal (Web)"/>
    <w:basedOn w:val="Normal"/>
    <w:unhideWhenUsed/>
    <w:rsid w:val="00AD7BA9"/>
    <w:rPr>
      <w:rFonts w:ascii="Times New Roman" w:hAnsi="Times New Roman"/>
      <w:sz w:val="24"/>
      <w:szCs w:val="24"/>
    </w:rPr>
  </w:style>
  <w:style w:type="paragraph" w:styleId="ListBullet2">
    <w:name w:val="List Bullet 2"/>
    <w:basedOn w:val="Normal"/>
    <w:unhideWhenUsed/>
    <w:qFormat/>
    <w:rsid w:val="005C6D55"/>
    <w:pPr>
      <w:numPr>
        <w:numId w:val="6"/>
      </w:numPr>
      <w:tabs>
        <w:tab w:val="left" w:pos="851"/>
      </w:tabs>
      <w:spacing w:before="120"/>
      <w:ind w:left="850" w:hanging="425"/>
    </w:pPr>
  </w:style>
  <w:style w:type="paragraph" w:styleId="ListBullet">
    <w:name w:val="List Bullet"/>
    <w:basedOn w:val="Normal"/>
    <w:unhideWhenUsed/>
    <w:qFormat/>
    <w:rsid w:val="00A34FD7"/>
    <w:pPr>
      <w:numPr>
        <w:numId w:val="5"/>
      </w:numPr>
      <w:tabs>
        <w:tab w:val="left" w:pos="426"/>
      </w:tabs>
      <w:spacing w:before="120"/>
    </w:pPr>
  </w:style>
  <w:style w:type="paragraph" w:styleId="ListBullet3">
    <w:name w:val="List Bullet 3"/>
    <w:basedOn w:val="Normal"/>
    <w:qFormat/>
    <w:rsid w:val="005C6D55"/>
    <w:pPr>
      <w:numPr>
        <w:numId w:val="3"/>
      </w:numPr>
      <w:tabs>
        <w:tab w:val="clear" w:pos="926"/>
        <w:tab w:val="num" w:pos="1276"/>
      </w:tabs>
      <w:spacing w:before="120"/>
      <w:ind w:left="1276" w:hanging="425"/>
    </w:pPr>
  </w:style>
  <w:style w:type="paragraph" w:styleId="ListBullet4">
    <w:name w:val="List Bullet 4"/>
    <w:basedOn w:val="Normal"/>
    <w:rsid w:val="00AD7BA9"/>
    <w:pPr>
      <w:numPr>
        <w:numId w:val="2"/>
      </w:numPr>
      <w:contextualSpacing/>
    </w:pPr>
  </w:style>
  <w:style w:type="paragraph" w:styleId="ListBullet5">
    <w:name w:val="List Bullet 5"/>
    <w:basedOn w:val="Normal"/>
    <w:rsid w:val="00AD7BA9"/>
    <w:pPr>
      <w:numPr>
        <w:numId w:val="1"/>
      </w:numPr>
      <w:contextualSpacing/>
    </w:pPr>
  </w:style>
  <w:style w:type="paragraph" w:styleId="BodyText2">
    <w:name w:val="Body Text 2"/>
    <w:basedOn w:val="Normal"/>
    <w:link w:val="BodyText2Char"/>
    <w:rsid w:val="00AD7BA9"/>
    <w:pPr>
      <w:spacing w:after="120" w:line="480" w:lineRule="auto"/>
    </w:pPr>
  </w:style>
  <w:style w:type="character" w:customStyle="1" w:styleId="BodyText2Char">
    <w:name w:val="Body Text 2 Char"/>
    <w:basedOn w:val="DefaultParagraphFont"/>
    <w:link w:val="BodyText2"/>
    <w:rsid w:val="00AD7BA9"/>
  </w:style>
  <w:style w:type="paragraph" w:styleId="BodyText">
    <w:name w:val="Body Text"/>
    <w:basedOn w:val="Normal"/>
    <w:link w:val="BodyTextChar"/>
    <w:rsid w:val="00AD7BA9"/>
    <w:pPr>
      <w:spacing w:after="120"/>
    </w:pPr>
  </w:style>
  <w:style w:type="character" w:customStyle="1" w:styleId="BodyTextChar">
    <w:name w:val="Body Text Char"/>
    <w:basedOn w:val="DefaultParagraphFont"/>
    <w:link w:val="BodyText"/>
    <w:rsid w:val="00AD7BA9"/>
  </w:style>
  <w:style w:type="paragraph" w:styleId="BodyTextFirstIndent">
    <w:name w:val="Body Text First Indent"/>
    <w:basedOn w:val="BodyText"/>
    <w:link w:val="BodyTextFirstIndentChar"/>
    <w:rsid w:val="00AD7BA9"/>
    <w:pPr>
      <w:spacing w:after="0"/>
      <w:ind w:firstLine="360"/>
    </w:pPr>
  </w:style>
  <w:style w:type="character" w:customStyle="1" w:styleId="BodyTextFirstIndentChar">
    <w:name w:val="Body Text First Indent Char"/>
    <w:basedOn w:val="BodyTextChar"/>
    <w:link w:val="BodyTextFirstIndent"/>
    <w:rsid w:val="00AD7BA9"/>
  </w:style>
  <w:style w:type="paragraph" w:styleId="BodyText3">
    <w:name w:val="Body Text 3"/>
    <w:basedOn w:val="Normal"/>
    <w:link w:val="BodyText3Char"/>
    <w:rsid w:val="00AD7BA9"/>
    <w:pPr>
      <w:spacing w:after="120"/>
    </w:pPr>
    <w:rPr>
      <w:sz w:val="16"/>
      <w:szCs w:val="16"/>
    </w:rPr>
  </w:style>
  <w:style w:type="character" w:customStyle="1" w:styleId="BodyText3Char">
    <w:name w:val="Body Text 3 Char"/>
    <w:basedOn w:val="DefaultParagraphFont"/>
    <w:link w:val="BodyText3"/>
    <w:rsid w:val="00AD7BA9"/>
    <w:rPr>
      <w:sz w:val="16"/>
      <w:szCs w:val="16"/>
    </w:rPr>
  </w:style>
  <w:style w:type="paragraph" w:styleId="BlockText">
    <w:name w:val="Block Text"/>
    <w:basedOn w:val="Normal"/>
    <w:rsid w:val="00AD7BA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Footer">
    <w:name w:val="footer"/>
    <w:basedOn w:val="Normal"/>
    <w:link w:val="FooterChar"/>
    <w:unhideWhenUsed/>
    <w:qFormat/>
    <w:rsid w:val="00133589"/>
    <w:pPr>
      <w:tabs>
        <w:tab w:val="right" w:pos="9072"/>
      </w:tabs>
      <w:spacing w:before="0"/>
    </w:pPr>
  </w:style>
  <w:style w:type="character" w:customStyle="1" w:styleId="FooterChar">
    <w:name w:val="Footer Char"/>
    <w:basedOn w:val="DefaultParagraphFont"/>
    <w:link w:val="Footer"/>
    <w:rsid w:val="00133589"/>
  </w:style>
  <w:style w:type="character" w:styleId="Emphasis">
    <w:name w:val="Emphasis"/>
    <w:basedOn w:val="DefaultParagraphFont"/>
    <w:qFormat/>
    <w:rsid w:val="00A3245F"/>
    <w:rPr>
      <w:i/>
      <w:iCs/>
    </w:rPr>
  </w:style>
  <w:style w:type="paragraph" w:customStyle="1" w:styleId="Cover-ClientName">
    <w:name w:val="Cover - Client Name"/>
    <w:basedOn w:val="Normal"/>
    <w:qFormat/>
    <w:rsid w:val="006D4B1C"/>
    <w:pPr>
      <w:spacing w:before="3000"/>
    </w:pPr>
    <w:rPr>
      <w:b/>
      <w:color w:val="172983"/>
      <w:spacing w:val="10"/>
      <w:sz w:val="44"/>
      <w:szCs w:val="44"/>
    </w:rPr>
  </w:style>
  <w:style w:type="paragraph" w:customStyle="1" w:styleId="Cover-ProjectName">
    <w:name w:val="Cover - Project Name"/>
    <w:basedOn w:val="Normal"/>
    <w:qFormat/>
    <w:rsid w:val="006D4B1C"/>
    <w:pPr>
      <w:spacing w:before="1320"/>
    </w:pPr>
    <w:rPr>
      <w:b/>
      <w:color w:val="172983"/>
      <w:sz w:val="44"/>
      <w:szCs w:val="44"/>
    </w:rPr>
  </w:style>
  <w:style w:type="paragraph" w:styleId="BalloonText">
    <w:name w:val="Balloon Text"/>
    <w:basedOn w:val="Normal"/>
    <w:link w:val="BalloonTextChar"/>
    <w:uiPriority w:val="99"/>
    <w:semiHidden/>
    <w:unhideWhenUsed/>
    <w:rsid w:val="004E24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1C"/>
    <w:rPr>
      <w:rFonts w:ascii="Tahoma" w:hAnsi="Tahoma" w:cs="Tahoma"/>
      <w:sz w:val="16"/>
      <w:szCs w:val="16"/>
    </w:rPr>
  </w:style>
  <w:style w:type="character" w:styleId="Hyperlink">
    <w:name w:val="Hyperlink"/>
    <w:basedOn w:val="DefaultParagraphFont"/>
    <w:uiPriority w:val="99"/>
    <w:unhideWhenUsed/>
    <w:rsid w:val="004E241C"/>
    <w:rPr>
      <w:color w:val="0000FF" w:themeColor="hyperlink"/>
      <w:u w:val="single"/>
    </w:rPr>
  </w:style>
  <w:style w:type="paragraph" w:customStyle="1" w:styleId="Footnotebullet">
    <w:name w:val="Footnote bullet"/>
    <w:basedOn w:val="Normal"/>
    <w:qFormat/>
    <w:rsid w:val="00413C49"/>
    <w:pPr>
      <w:numPr>
        <w:numId w:val="4"/>
      </w:numPr>
      <w:tabs>
        <w:tab w:val="left" w:pos="851"/>
      </w:tabs>
      <w:spacing w:before="120"/>
      <w:ind w:left="851" w:hanging="425"/>
    </w:pPr>
    <w:rPr>
      <w:sz w:val="20"/>
      <w:szCs w:val="20"/>
    </w:rPr>
  </w:style>
  <w:style w:type="paragraph" w:styleId="TOC2">
    <w:name w:val="toc 2"/>
    <w:basedOn w:val="Normal"/>
    <w:next w:val="Normal"/>
    <w:autoRedefine/>
    <w:uiPriority w:val="39"/>
    <w:unhideWhenUsed/>
    <w:qFormat/>
    <w:rsid w:val="007F181B"/>
    <w:pPr>
      <w:tabs>
        <w:tab w:val="left" w:pos="851"/>
        <w:tab w:val="right" w:leader="dot" w:pos="8789"/>
      </w:tabs>
      <w:spacing w:before="120"/>
      <w:ind w:left="850" w:right="-329" w:hanging="425"/>
    </w:pPr>
    <w:rPr>
      <w:noProof/>
      <w:color w:val="172983"/>
      <w:sz w:val="24"/>
      <w:szCs w:val="24"/>
    </w:rPr>
  </w:style>
  <w:style w:type="character" w:styleId="Strong">
    <w:name w:val="Strong"/>
    <w:basedOn w:val="DefaultParagraphFont"/>
    <w:uiPriority w:val="22"/>
    <w:qFormat/>
    <w:rsid w:val="001C56C4"/>
    <w:rPr>
      <w:b/>
      <w:bCs/>
    </w:rPr>
  </w:style>
  <w:style w:type="character" w:styleId="BookTitle">
    <w:name w:val="Book Title"/>
    <w:basedOn w:val="DefaultParagraphFont"/>
    <w:qFormat/>
    <w:rsid w:val="006D4B1C"/>
    <w:rPr>
      <w:bCs/>
      <w:caps w:val="0"/>
      <w:smallCaps/>
      <w:spacing w:val="10"/>
    </w:rPr>
  </w:style>
  <w:style w:type="paragraph" w:customStyle="1" w:styleId="FigureHeading">
    <w:name w:val="Figure Heading"/>
    <w:basedOn w:val="Normal"/>
    <w:qFormat/>
    <w:rsid w:val="00330704"/>
    <w:pPr>
      <w:keepNext/>
      <w:spacing w:before="360"/>
      <w:jc w:val="center"/>
    </w:pPr>
    <w:rPr>
      <w:b/>
    </w:rPr>
  </w:style>
  <w:style w:type="paragraph" w:customStyle="1" w:styleId="FigureHeading2">
    <w:name w:val="Figure Heading 2"/>
    <w:basedOn w:val="Normal"/>
    <w:qFormat/>
    <w:rsid w:val="009B2579"/>
    <w:pPr>
      <w:keepNext/>
      <w:spacing w:before="60"/>
      <w:jc w:val="center"/>
    </w:pPr>
    <w:rPr>
      <w:sz w:val="20"/>
      <w:szCs w:val="20"/>
    </w:rPr>
  </w:style>
  <w:style w:type="paragraph" w:customStyle="1" w:styleId="Image">
    <w:name w:val="Image"/>
    <w:basedOn w:val="Normal"/>
    <w:next w:val="Note"/>
    <w:qFormat/>
    <w:rsid w:val="00E52470"/>
    <w:pPr>
      <w:spacing w:before="0" w:after="360"/>
    </w:pPr>
    <w:rPr>
      <w:noProof/>
      <w:sz w:val="20"/>
      <w:szCs w:val="20"/>
    </w:rPr>
  </w:style>
  <w:style w:type="paragraph" w:customStyle="1" w:styleId="Note">
    <w:name w:val="Note"/>
    <w:basedOn w:val="Normal"/>
    <w:next w:val="Normal"/>
    <w:qFormat/>
    <w:rsid w:val="00181D7C"/>
    <w:pPr>
      <w:spacing w:before="120" w:after="480"/>
    </w:pPr>
    <w:rPr>
      <w:sz w:val="20"/>
      <w:szCs w:val="20"/>
    </w:rPr>
  </w:style>
  <w:style w:type="character" w:styleId="PageNumber">
    <w:name w:val="page number"/>
    <w:basedOn w:val="DefaultParagraphFont"/>
    <w:qFormat/>
    <w:rsid w:val="00181D7C"/>
  </w:style>
  <w:style w:type="paragraph" w:styleId="Quote">
    <w:name w:val="Quote"/>
    <w:basedOn w:val="Normal"/>
    <w:link w:val="QuoteChar"/>
    <w:uiPriority w:val="29"/>
    <w:qFormat/>
    <w:rsid w:val="00BF7452"/>
    <w:pPr>
      <w:tabs>
        <w:tab w:val="left" w:pos="426"/>
      </w:tabs>
      <w:ind w:left="426"/>
    </w:pPr>
    <w:rPr>
      <w:i/>
      <w:iCs/>
      <w:color w:val="000000" w:themeColor="text1"/>
    </w:rPr>
  </w:style>
  <w:style w:type="character" w:customStyle="1" w:styleId="QuoteChar">
    <w:name w:val="Quote Char"/>
    <w:basedOn w:val="DefaultParagraphFont"/>
    <w:link w:val="Quote"/>
    <w:uiPriority w:val="29"/>
    <w:rsid w:val="00BF7452"/>
    <w:rPr>
      <w:i/>
      <w:iCs/>
      <w:color w:val="000000" w:themeColor="text1"/>
      <w:lang w:val="en-US"/>
    </w:rPr>
  </w:style>
  <w:style w:type="paragraph" w:styleId="ListNumber">
    <w:name w:val="List Number"/>
    <w:basedOn w:val="Normal"/>
    <w:qFormat/>
    <w:rsid w:val="00C503EA"/>
    <w:pPr>
      <w:numPr>
        <w:numId w:val="7"/>
      </w:numPr>
      <w:tabs>
        <w:tab w:val="left" w:pos="426"/>
      </w:tabs>
      <w:ind w:left="426" w:hanging="426"/>
    </w:pPr>
  </w:style>
  <w:style w:type="paragraph" w:styleId="ListNumber2">
    <w:name w:val="List Number 2"/>
    <w:basedOn w:val="ListNumber"/>
    <w:qFormat/>
    <w:rsid w:val="00AA29EA"/>
    <w:pPr>
      <w:numPr>
        <w:ilvl w:val="1"/>
      </w:numPr>
      <w:tabs>
        <w:tab w:val="clear" w:pos="426"/>
        <w:tab w:val="left" w:pos="851"/>
      </w:tabs>
      <w:spacing w:before="120"/>
      <w:ind w:left="851" w:hanging="425"/>
    </w:pPr>
  </w:style>
  <w:style w:type="paragraph" w:styleId="ListNumber3">
    <w:name w:val="List Number 3"/>
    <w:basedOn w:val="ListNumber"/>
    <w:qFormat/>
    <w:rsid w:val="00330704"/>
    <w:pPr>
      <w:numPr>
        <w:ilvl w:val="2"/>
      </w:numPr>
    </w:pPr>
  </w:style>
  <w:style w:type="paragraph" w:customStyle="1" w:styleId="Footnote">
    <w:name w:val="Footnote"/>
    <w:basedOn w:val="Normal"/>
    <w:qFormat/>
    <w:rsid w:val="00D0702E"/>
    <w:pPr>
      <w:tabs>
        <w:tab w:val="left" w:pos="426"/>
      </w:tabs>
      <w:spacing w:before="120"/>
      <w:ind w:left="425" w:hanging="425"/>
    </w:pPr>
    <w:rPr>
      <w:sz w:val="20"/>
      <w:szCs w:val="20"/>
    </w:rPr>
  </w:style>
  <w:style w:type="paragraph" w:customStyle="1" w:styleId="BoxHeading">
    <w:name w:val="Box Heading"/>
    <w:basedOn w:val="Normal"/>
    <w:next w:val="BoxText"/>
    <w:qForma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rPr>
      <w:b/>
    </w:rPr>
  </w:style>
  <w:style w:type="paragraph" w:customStyle="1" w:styleId="BoxText">
    <w:name w:val="Box Text"/>
    <w:basedOn w:val="Normal"/>
    <w:qForma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style>
  <w:style w:type="paragraph" w:customStyle="1" w:styleId="BoxBullet">
    <w:name w:val="Box Bullet"/>
    <w:basedOn w:val="BoxText"/>
    <w:qFormat/>
    <w:rsid w:val="00E512A3"/>
    <w:pPr>
      <w:numPr>
        <w:numId w:val="11"/>
      </w:numPr>
      <w:tabs>
        <w:tab w:val="left" w:pos="426"/>
      </w:tabs>
      <w:spacing w:before="120"/>
      <w:ind w:left="426" w:hanging="426"/>
    </w:pPr>
  </w:style>
  <w:style w:type="table" w:styleId="TableGrid">
    <w:name w:val="Table Grid"/>
    <w:basedOn w:val="TableNormal"/>
    <w:rsid w:val="009B257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ing">
    <w:name w:val="Column Heading"/>
    <w:basedOn w:val="Normal"/>
    <w:qFormat/>
    <w:rsid w:val="004A561A"/>
    <w:pPr>
      <w:spacing w:before="60" w:after="60"/>
      <w:jc w:val="center"/>
    </w:pPr>
    <w:rPr>
      <w:b/>
    </w:rPr>
  </w:style>
  <w:style w:type="table" w:styleId="TableColumns1">
    <w:name w:val="Table Columns 1"/>
    <w:basedOn w:val="TableNormal"/>
    <w:rsid w:val="009B257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4A561A"/>
    <w:pPr>
      <w:spacing w:before="60" w:after="60"/>
      <w:jc w:val="left"/>
    </w:pPr>
  </w:style>
  <w:style w:type="paragraph" w:customStyle="1" w:styleId="RowHeading">
    <w:name w:val="Row Heading"/>
    <w:basedOn w:val="Normal"/>
    <w:qFormat/>
    <w:rsid w:val="004A561A"/>
    <w:pPr>
      <w:spacing w:before="60" w:after="60"/>
    </w:pPr>
    <w:rPr>
      <w:b/>
    </w:rPr>
  </w:style>
  <w:style w:type="paragraph" w:customStyle="1" w:styleId="TableHeading">
    <w:name w:val="Table Heading"/>
    <w:basedOn w:val="Normal"/>
    <w:next w:val="Normal"/>
    <w:qFormat/>
    <w:rsid w:val="009B2579"/>
    <w:pPr>
      <w:spacing w:after="120"/>
      <w:jc w:val="center"/>
    </w:pPr>
    <w:rPr>
      <w:b/>
    </w:rPr>
  </w:style>
  <w:style w:type="paragraph" w:customStyle="1" w:styleId="CoverDate">
    <w:name w:val="Cover Date"/>
    <w:basedOn w:val="Cover-ProjectName"/>
    <w:qFormat/>
    <w:rsid w:val="004A561A"/>
    <w:rPr>
      <w:color w:val="FF0000"/>
    </w:rPr>
  </w:style>
  <w:style w:type="paragraph" w:customStyle="1" w:styleId="Cover-OtherDescription">
    <w:name w:val="Cover - Other Description"/>
    <w:basedOn w:val="Cover-ProjectName"/>
    <w:qFormat/>
    <w:rsid w:val="006D4B1C"/>
    <w:pPr>
      <w:spacing w:before="3840"/>
    </w:pPr>
  </w:style>
  <w:style w:type="character" w:customStyle="1" w:styleId="Heading9Char">
    <w:name w:val="Heading 9 Char"/>
    <w:basedOn w:val="DefaultParagraphFont"/>
    <w:link w:val="Heading9"/>
    <w:rsid w:val="004F7AD4"/>
    <w:rPr>
      <w:i/>
      <w:color w:val="172983"/>
      <w:sz w:val="26"/>
      <w:szCs w:val="26"/>
    </w:rPr>
  </w:style>
  <w:style w:type="numbering" w:customStyle="1" w:styleId="AppendixHeadings">
    <w:name w:val="Appendix Headings"/>
    <w:uiPriority w:val="99"/>
    <w:rsid w:val="00B66E7A"/>
    <w:pPr>
      <w:numPr>
        <w:numId w:val="8"/>
      </w:numPr>
    </w:pPr>
  </w:style>
  <w:style w:type="paragraph" w:styleId="TOCHeading">
    <w:name w:val="TOC Heading"/>
    <w:basedOn w:val="Normal"/>
    <w:next w:val="Normal"/>
    <w:uiPriority w:val="39"/>
    <w:unhideWhenUsed/>
    <w:qFormat/>
    <w:rsid w:val="007F181B"/>
    <w:pPr>
      <w:keepLines/>
      <w:spacing w:before="0"/>
      <w:jc w:val="center"/>
    </w:pPr>
    <w:rPr>
      <w:b/>
      <w:noProof/>
      <w:color w:val="172983"/>
      <w:sz w:val="36"/>
      <w:szCs w:val="36"/>
    </w:rPr>
  </w:style>
  <w:style w:type="paragraph" w:styleId="TOC1">
    <w:name w:val="toc 1"/>
    <w:basedOn w:val="Normal"/>
    <w:next w:val="Normal"/>
    <w:autoRedefine/>
    <w:uiPriority w:val="39"/>
    <w:unhideWhenUsed/>
    <w:qFormat/>
    <w:rsid w:val="00376AD5"/>
    <w:pPr>
      <w:tabs>
        <w:tab w:val="left" w:pos="426"/>
        <w:tab w:val="right" w:leader="dot" w:pos="8789"/>
      </w:tabs>
      <w:spacing w:after="120"/>
      <w:ind w:right="-329"/>
      <w:jc w:val="left"/>
    </w:pPr>
    <w:rPr>
      <w:noProof/>
      <w:color w:val="172983"/>
      <w:szCs w:val="28"/>
    </w:rPr>
  </w:style>
  <w:style w:type="paragraph" w:styleId="TOC3">
    <w:name w:val="toc 3"/>
    <w:basedOn w:val="Normal"/>
    <w:next w:val="Normal"/>
    <w:autoRedefine/>
    <w:uiPriority w:val="39"/>
    <w:unhideWhenUsed/>
    <w:qFormat/>
    <w:rsid w:val="00133589"/>
    <w:pPr>
      <w:tabs>
        <w:tab w:val="left" w:pos="1276"/>
        <w:tab w:val="right" w:leader="dot" w:pos="8789"/>
      </w:tabs>
      <w:spacing w:before="120"/>
      <w:ind w:left="1276" w:right="-330" w:hanging="425"/>
    </w:pPr>
    <w:rPr>
      <w:noProof/>
      <w:color w:val="172983"/>
    </w:rPr>
  </w:style>
  <w:style w:type="numbering" w:customStyle="1" w:styleId="ReportHeadings">
    <w:name w:val="Report Headings"/>
    <w:uiPriority w:val="99"/>
    <w:rsid w:val="00213F43"/>
    <w:pPr>
      <w:numPr>
        <w:numId w:val="9"/>
      </w:numPr>
    </w:pPr>
  </w:style>
  <w:style w:type="paragraph" w:customStyle="1" w:styleId="TableofContentHeading">
    <w:name w:val="TableofContentHeading"/>
    <w:basedOn w:val="Normal"/>
    <w:qFormat/>
    <w:rsid w:val="004335E4"/>
    <w:pPr>
      <w:spacing w:before="360" w:after="240"/>
      <w:jc w:val="center"/>
    </w:pPr>
    <w:rPr>
      <w:rFonts w:cstheme="minorHAnsi"/>
      <w:b/>
      <w:color w:val="172983"/>
      <w:sz w:val="32"/>
      <w:szCs w:val="32"/>
    </w:rPr>
  </w:style>
  <w:style w:type="paragraph" w:styleId="TOC4">
    <w:name w:val="toc 4"/>
    <w:basedOn w:val="Normal"/>
    <w:next w:val="Normal"/>
    <w:autoRedefine/>
    <w:uiPriority w:val="39"/>
    <w:qFormat/>
    <w:rsid w:val="00133589"/>
    <w:pPr>
      <w:tabs>
        <w:tab w:val="left" w:pos="8647"/>
        <w:tab w:val="right" w:leader="dot" w:pos="9016"/>
      </w:tabs>
      <w:spacing w:after="100"/>
      <w:ind w:right="-330"/>
    </w:pPr>
    <w:rPr>
      <w:noProof/>
      <w:color w:val="172983"/>
      <w:sz w:val="28"/>
      <w:szCs w:val="26"/>
    </w:rPr>
  </w:style>
  <w:style w:type="paragraph" w:styleId="ListParagraph">
    <w:name w:val="List Paragraph"/>
    <w:basedOn w:val="Normal"/>
    <w:uiPriority w:val="34"/>
    <w:qFormat/>
    <w:rsid w:val="00B66E7A"/>
    <w:pPr>
      <w:ind w:left="720"/>
      <w:contextualSpacing/>
    </w:pPr>
  </w:style>
  <w:style w:type="character" w:styleId="CommentReference">
    <w:name w:val="annotation reference"/>
    <w:basedOn w:val="DefaultParagraphFont"/>
    <w:rsid w:val="001C4803"/>
    <w:rPr>
      <w:sz w:val="16"/>
      <w:szCs w:val="16"/>
    </w:rPr>
  </w:style>
  <w:style w:type="paragraph" w:styleId="CommentText">
    <w:name w:val="annotation text"/>
    <w:basedOn w:val="Normal"/>
    <w:link w:val="CommentTextChar"/>
    <w:rsid w:val="001C4803"/>
    <w:rPr>
      <w:sz w:val="20"/>
      <w:szCs w:val="20"/>
    </w:rPr>
  </w:style>
  <w:style w:type="character" w:customStyle="1" w:styleId="CommentTextChar">
    <w:name w:val="Comment Text Char"/>
    <w:basedOn w:val="DefaultParagraphFont"/>
    <w:link w:val="CommentText"/>
    <w:rsid w:val="001C4803"/>
    <w:rPr>
      <w:sz w:val="20"/>
      <w:szCs w:val="20"/>
      <w:lang w:val="en-US"/>
    </w:rPr>
  </w:style>
  <w:style w:type="paragraph" w:styleId="CommentSubject">
    <w:name w:val="annotation subject"/>
    <w:basedOn w:val="CommentText"/>
    <w:next w:val="CommentText"/>
    <w:link w:val="CommentSubjectChar"/>
    <w:semiHidden/>
    <w:unhideWhenUsed/>
    <w:rsid w:val="001C4803"/>
    <w:rPr>
      <w:b/>
      <w:bCs/>
    </w:rPr>
  </w:style>
  <w:style w:type="character" w:customStyle="1" w:styleId="CommentSubjectChar">
    <w:name w:val="Comment Subject Char"/>
    <w:basedOn w:val="CommentTextChar"/>
    <w:link w:val="CommentSubject"/>
    <w:semiHidden/>
    <w:rsid w:val="001C4803"/>
    <w:rPr>
      <w:b/>
      <w:bCs/>
      <w:sz w:val="20"/>
      <w:szCs w:val="20"/>
      <w:lang w:val="en-US"/>
    </w:rPr>
  </w:style>
  <w:style w:type="paragraph" w:customStyle="1" w:styleId="BoxBullet2">
    <w:name w:val="Box Bullet 2"/>
    <w:basedOn w:val="BoxBullet"/>
    <w:qFormat/>
    <w:rsid w:val="001730DA"/>
    <w:pPr>
      <w:numPr>
        <w:numId w:val="12"/>
      </w:numPr>
      <w:tabs>
        <w:tab w:val="clear" w:pos="426"/>
        <w:tab w:val="left" w:pos="851"/>
      </w:tabs>
      <w:ind w:left="0" w:firstLine="426"/>
    </w:pPr>
  </w:style>
  <w:style w:type="paragraph" w:customStyle="1" w:styleId="BoxBullet22">
    <w:name w:val="Box Bullet 2 (2+)"/>
    <w:basedOn w:val="BoxBullet2"/>
    <w:qFormat/>
    <w:rsid w:val="001730DA"/>
    <w:pPr>
      <w:numPr>
        <w:numId w:val="0"/>
      </w:numPr>
      <w:spacing w:before="0"/>
      <w:ind w:firstLine="851"/>
    </w:pPr>
  </w:style>
  <w:style w:type="paragraph" w:customStyle="1" w:styleId="TableNumber">
    <w:name w:val="Table Number"/>
    <w:basedOn w:val="Normal"/>
    <w:qFormat/>
    <w:rsid w:val="004A561A"/>
    <w:pPr>
      <w:spacing w:before="60" w:after="60"/>
      <w:jc w:val="center"/>
    </w:pPr>
  </w:style>
  <w:style w:type="paragraph" w:customStyle="1" w:styleId="BoxBullet3">
    <w:name w:val="Box Bullet 3"/>
    <w:basedOn w:val="Normal"/>
    <w:qFormat/>
    <w:rsid w:val="000159AB"/>
    <w:pPr>
      <w:numPr>
        <w:numId w:val="13"/>
      </w:num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tabs>
        <w:tab w:val="left" w:pos="1276"/>
      </w:tabs>
      <w:spacing w:before="120"/>
      <w:ind w:left="0" w:firstLine="851"/>
      <w:jc w:val="left"/>
    </w:pPr>
  </w:style>
  <w:style w:type="paragraph" w:customStyle="1" w:styleId="BoxBullet32">
    <w:name w:val="Box Bullet 3 (2+)"/>
    <w:basedOn w:val="Normal"/>
    <w:qFormat/>
    <w:rsid w:val="000159A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spacing w:before="0"/>
      <w:ind w:firstLine="1276"/>
      <w:jc w:val="left"/>
    </w:pPr>
  </w:style>
  <w:style w:type="paragraph" w:customStyle="1" w:styleId="IntroductionText">
    <w:name w:val="Introduction Text"/>
    <w:basedOn w:val="Normal"/>
    <w:qFormat/>
    <w:rsid w:val="009252D1"/>
    <w:pPr>
      <w:jc w:val="left"/>
    </w:pPr>
  </w:style>
  <w:style w:type="paragraph" w:customStyle="1" w:styleId="ValueLabel">
    <w:name w:val="Value Label"/>
    <w:basedOn w:val="ListParagraph"/>
    <w:uiPriority w:val="99"/>
    <w:qFormat/>
    <w:rsid w:val="005151F2"/>
    <w:pPr>
      <w:numPr>
        <w:ilvl w:val="1"/>
        <w:numId w:val="15"/>
      </w:numPr>
      <w:tabs>
        <w:tab w:val="left" w:pos="2977"/>
        <w:tab w:val="right" w:leader="underscore" w:pos="4536"/>
      </w:tabs>
      <w:spacing w:before="120"/>
      <w:contextualSpacing w:val="0"/>
      <w:jc w:val="left"/>
    </w:pPr>
    <w:rPr>
      <w:color w:val="0000FF"/>
    </w:rPr>
  </w:style>
  <w:style w:type="paragraph" w:customStyle="1" w:styleId="SingleOptionQuestionText">
    <w:name w:val="Single Option Question Text"/>
    <w:basedOn w:val="ListParagraph"/>
    <w:next w:val="ValueLabel"/>
    <w:uiPriority w:val="99"/>
    <w:qFormat/>
    <w:rsid w:val="005151F2"/>
    <w:pPr>
      <w:keepNext/>
      <w:numPr>
        <w:numId w:val="15"/>
      </w:numPr>
      <w:spacing w:before="480"/>
      <w:contextualSpacing w:val="0"/>
      <w:jc w:val="left"/>
    </w:pPr>
  </w:style>
  <w:style w:type="paragraph" w:customStyle="1" w:styleId="OEQuestionText">
    <w:name w:val="OE Question Text"/>
    <w:basedOn w:val="SingleOptionQuestionText"/>
    <w:next w:val="Normal"/>
    <w:qFormat/>
    <w:rsid w:val="005151F2"/>
  </w:style>
  <w:style w:type="paragraph" w:customStyle="1" w:styleId="GridLabel">
    <w:name w:val="Grid Label"/>
    <w:basedOn w:val="SingleOptionQuestionText"/>
    <w:uiPriority w:val="99"/>
    <w:qFormat/>
    <w:rsid w:val="005151F2"/>
    <w:pPr>
      <w:keepNext w:val="0"/>
      <w:numPr>
        <w:ilvl w:val="2"/>
      </w:numPr>
      <w:spacing w:before="0"/>
    </w:pPr>
    <w:rPr>
      <w:rFonts w:asciiTheme="minorHAnsi" w:hAnsiTheme="minorHAnsi"/>
    </w:rPr>
  </w:style>
  <w:style w:type="character" w:customStyle="1" w:styleId="Pleasegoto">
    <w:name w:val="Please go to..."/>
    <w:basedOn w:val="DefaultParagraphFont"/>
    <w:uiPriority w:val="1"/>
    <w:qFormat/>
    <w:rsid w:val="00412E38"/>
    <w:rPr>
      <w:i/>
      <w:color w:val="708B39"/>
    </w:rPr>
  </w:style>
  <w:style w:type="paragraph" w:customStyle="1" w:styleId="IntroductionHeading1">
    <w:name w:val="Introduction Heading 1"/>
    <w:basedOn w:val="Normal"/>
    <w:next w:val="IntroductionText"/>
    <w:qFormat/>
    <w:rsid w:val="0061360A"/>
    <w:pPr>
      <w:keepNext/>
      <w:tabs>
        <w:tab w:val="left" w:pos="0"/>
      </w:tabs>
      <w:spacing w:before="0" w:after="240"/>
      <w:jc w:val="left"/>
    </w:pPr>
    <w:rPr>
      <w:b/>
      <w:color w:val="172983"/>
      <w:sz w:val="40"/>
      <w:szCs w:val="40"/>
    </w:rPr>
  </w:style>
  <w:style w:type="paragraph" w:customStyle="1" w:styleId="MRQuestionText">
    <w:name w:val="MR Question Text"/>
    <w:basedOn w:val="SingleOptionQuestionText"/>
    <w:next w:val="ValueLabel"/>
    <w:rsid w:val="0061360A"/>
    <w:pPr>
      <w:numPr>
        <w:numId w:val="10"/>
      </w:numPr>
      <w:ind w:left="502"/>
    </w:pPr>
  </w:style>
  <w:style w:type="paragraph" w:customStyle="1" w:styleId="OpenEndedText">
    <w:name w:val="Open Ended Text"/>
    <w:basedOn w:val="Normal"/>
    <w:qFormat/>
    <w:rsid w:val="0061360A"/>
    <w:pPr>
      <w:tabs>
        <w:tab w:val="right" w:leader="underscore" w:pos="9072"/>
      </w:tabs>
      <w:ind w:left="567"/>
      <w:jc w:val="left"/>
    </w:pPr>
    <w:rPr>
      <w:color w:val="0000FF"/>
      <w:sz w:val="20"/>
      <w:szCs w:val="20"/>
    </w:rPr>
  </w:style>
  <w:style w:type="paragraph" w:customStyle="1" w:styleId="GridQuestionText">
    <w:name w:val="Grid Question Text"/>
    <w:basedOn w:val="SingleOptionQuestionText"/>
    <w:next w:val="Normal"/>
    <w:qFormat/>
    <w:rsid w:val="0061360A"/>
    <w:pPr>
      <w:numPr>
        <w:numId w:val="0"/>
      </w:numPr>
      <w:spacing w:after="120"/>
      <w:ind w:left="502" w:hanging="360"/>
    </w:pPr>
  </w:style>
  <w:style w:type="paragraph" w:customStyle="1" w:styleId="GridSub-Heading">
    <w:name w:val="Grid Sub-Heading"/>
    <w:basedOn w:val="ColumnHeading"/>
    <w:qFormat/>
    <w:rsid w:val="0061360A"/>
    <w:pPr>
      <w:spacing w:before="40" w:after="40"/>
    </w:pPr>
    <w:rPr>
      <w:rFonts w:asciiTheme="minorHAnsi" w:hAnsiTheme="minorHAnsi"/>
      <w:bCs/>
      <w:color w:val="FFFFFF" w:themeColor="background1"/>
      <w:sz w:val="18"/>
      <w:szCs w:val="18"/>
    </w:rPr>
  </w:style>
  <w:style w:type="paragraph" w:customStyle="1" w:styleId="GridScale">
    <w:name w:val="Grid Scale"/>
    <w:basedOn w:val="ColumnHeading"/>
    <w:qFormat/>
    <w:rsid w:val="0061360A"/>
    <w:pPr>
      <w:spacing w:before="40" w:after="40"/>
    </w:pPr>
    <w:rPr>
      <w:rFonts w:asciiTheme="minorHAnsi" w:hAnsiTheme="minorHAnsi"/>
      <w:bCs/>
      <w:color w:val="FFFFFF" w:themeColor="background1"/>
      <w:sz w:val="16"/>
      <w:szCs w:val="16"/>
    </w:rPr>
  </w:style>
  <w:style w:type="paragraph" w:customStyle="1" w:styleId="GridOption">
    <w:name w:val="Grid Option"/>
    <w:basedOn w:val="Normal"/>
    <w:qFormat/>
    <w:rsid w:val="0061360A"/>
    <w:pPr>
      <w:spacing w:before="40" w:after="40"/>
      <w:jc w:val="center"/>
    </w:pPr>
    <w:rPr>
      <w:rFonts w:asciiTheme="minorHAnsi" w:hAnsiTheme="minorHAnsi"/>
      <w:color w:val="0000FF"/>
      <w:sz w:val="18"/>
      <w:szCs w:val="18"/>
    </w:rPr>
  </w:style>
  <w:style w:type="character" w:customStyle="1" w:styleId="Pleasespecify">
    <w:name w:val="Please specify"/>
    <w:basedOn w:val="Pleasegoto"/>
    <w:uiPriority w:val="1"/>
    <w:qFormat/>
    <w:rsid w:val="0061360A"/>
    <w:rPr>
      <w:i/>
      <w:color w:val="708B39"/>
    </w:rPr>
  </w:style>
  <w:style w:type="character" w:customStyle="1" w:styleId="Pleaseselectallthatapply">
    <w:name w:val="Please select all that apply"/>
    <w:basedOn w:val="DefaultParagraphFont"/>
    <w:uiPriority w:val="1"/>
    <w:qFormat/>
    <w:rsid w:val="0061360A"/>
    <w:rPr>
      <w:color w:val="708B39"/>
    </w:rPr>
  </w:style>
  <w:style w:type="table" w:customStyle="1" w:styleId="ORIMAgridquestion">
    <w:name w:val="ORIMA_grid_question"/>
    <w:basedOn w:val="TableNormal"/>
    <w:uiPriority w:val="99"/>
    <w:rsid w:val="0061360A"/>
    <w:pPr>
      <w:spacing w:before="0"/>
    </w:pPr>
    <w:tblPr>
      <w:tblStyleRowBandSize w:val="1"/>
    </w:tblPr>
    <w:tblStylePr w:type="firstRow">
      <w:rPr>
        <w:rFonts w:asciiTheme="minorHAnsi" w:hAnsiTheme="minorHAnsi"/>
      </w:rPr>
      <w:tblPr/>
      <w:tcPr>
        <w:shd w:val="clear" w:color="auto" w:fill="172983"/>
      </w:tcPr>
    </w:tblStylePr>
    <w:tblStylePr w:type="firstCol">
      <w:rPr>
        <w:rFonts w:asciiTheme="minorHAnsi" w:hAnsiTheme="minorHAnsi"/>
      </w:rPr>
      <w:tblPr/>
      <w:tcPr>
        <w:tcBorders>
          <w:right w:val="single" w:sz="2" w:space="0" w:color="808080" w:themeColor="background1" w:themeShade="80"/>
        </w:tcBorders>
      </w:tcPr>
    </w:tblStylePr>
    <w:tblStylePr w:type="band1Horz">
      <w:rPr>
        <w:rFonts w:asciiTheme="minorHAnsi" w:hAnsiTheme="minorHAnsi"/>
      </w:rPr>
      <w:tblPr/>
      <w:tcPr>
        <w:tcBorders>
          <w:bottom w:val="single" w:sz="2" w:space="0" w:color="808080" w:themeColor="background1" w:themeShade="80"/>
        </w:tcBorders>
        <w:shd w:val="clear" w:color="auto" w:fill="FFFFFF" w:themeFill="background1"/>
      </w:tcPr>
    </w:tblStylePr>
    <w:tblStylePr w:type="band2Horz">
      <w:rPr>
        <w:rFonts w:asciiTheme="minorHAnsi" w:hAnsiTheme="minorHAnsi"/>
      </w:rPr>
      <w:tblPr/>
      <w:tcPr>
        <w:tcBorders>
          <w:bottom w:val="single" w:sz="2" w:space="0" w:color="808080" w:themeColor="background1" w:themeShade="80"/>
        </w:tcBorders>
        <w:shd w:val="clear" w:color="auto" w:fill="F2F2F2" w:themeFill="background1" w:themeFillShade="F2"/>
      </w:tcPr>
    </w:tblStylePr>
  </w:style>
  <w:style w:type="character" w:customStyle="1" w:styleId="ProgrammingNote">
    <w:name w:val="Programming Note"/>
    <w:basedOn w:val="DefaultParagraphFont"/>
    <w:uiPriority w:val="1"/>
    <w:qFormat/>
    <w:rsid w:val="0061360A"/>
    <w:rPr>
      <w:rFonts w:asciiTheme="minorHAnsi" w:hAnsiTheme="minorHAnsi"/>
      <w:color w:val="4F6228" w:themeColor="accent3" w:themeShade="80"/>
    </w:rPr>
  </w:style>
  <w:style w:type="paragraph" w:customStyle="1" w:styleId="GridLabel2">
    <w:name w:val="Grid Label 2"/>
    <w:basedOn w:val="SingleOptionQuestionText"/>
    <w:qFormat/>
    <w:rsid w:val="0061360A"/>
    <w:pPr>
      <w:keepNext w:val="0"/>
      <w:numPr>
        <w:numId w:val="0"/>
      </w:numPr>
      <w:spacing w:before="0"/>
      <w:ind w:left="284" w:hanging="284"/>
    </w:pPr>
    <w:rPr>
      <w:rFonts w:asciiTheme="minorHAnsi" w:hAnsiTheme="minorHAnsi"/>
    </w:rPr>
  </w:style>
  <w:style w:type="paragraph" w:customStyle="1" w:styleId="InstructionsHeading2">
    <w:name w:val="Instructions Heading 2"/>
    <w:basedOn w:val="Heading2"/>
    <w:rsid w:val="00E26EE3"/>
    <w:pPr>
      <w:numPr>
        <w:ilvl w:val="0"/>
        <w:numId w:val="0"/>
      </w:numPr>
      <w:ind w:left="567" w:hanging="567"/>
      <w:jc w:val="left"/>
    </w:pPr>
    <w:rPr>
      <w:sz w:val="32"/>
      <w:szCs w:val="32"/>
    </w:rPr>
  </w:style>
  <w:style w:type="paragraph" w:customStyle="1" w:styleId="Style1">
    <w:name w:val="Style1"/>
    <w:basedOn w:val="Normal"/>
    <w:qFormat/>
    <w:rsid w:val="00FE7279"/>
    <w:pPr>
      <w:spacing w:before="120" w:after="120" w:line="276" w:lineRule="auto"/>
      <w:jc w:val="left"/>
    </w:pPr>
    <w:rPr>
      <w:rFonts w:asciiTheme="minorHAnsi" w:hAnsiTheme="minorHAnsi"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061274">
      <w:bodyDiv w:val="1"/>
      <w:marLeft w:val="0"/>
      <w:marRight w:val="0"/>
      <w:marTop w:val="0"/>
      <w:marBottom w:val="0"/>
      <w:divBdr>
        <w:top w:val="none" w:sz="0" w:space="0" w:color="auto"/>
        <w:left w:val="none" w:sz="0" w:space="0" w:color="auto"/>
        <w:bottom w:val="none" w:sz="0" w:space="0" w:color="auto"/>
        <w:right w:val="none" w:sz="0" w:space="0" w:color="auto"/>
      </w:divBdr>
    </w:div>
    <w:div w:id="694038627">
      <w:bodyDiv w:val="1"/>
      <w:marLeft w:val="0"/>
      <w:marRight w:val="0"/>
      <w:marTop w:val="0"/>
      <w:marBottom w:val="0"/>
      <w:divBdr>
        <w:top w:val="none" w:sz="0" w:space="0" w:color="auto"/>
        <w:left w:val="none" w:sz="0" w:space="0" w:color="auto"/>
        <w:bottom w:val="none" w:sz="0" w:space="0" w:color="auto"/>
        <w:right w:val="none" w:sz="0" w:space="0" w:color="auto"/>
      </w:divBdr>
    </w:div>
    <w:div w:id="818157181">
      <w:bodyDiv w:val="1"/>
      <w:marLeft w:val="0"/>
      <w:marRight w:val="0"/>
      <w:marTop w:val="0"/>
      <w:marBottom w:val="0"/>
      <w:divBdr>
        <w:top w:val="none" w:sz="0" w:space="0" w:color="auto"/>
        <w:left w:val="none" w:sz="0" w:space="0" w:color="auto"/>
        <w:bottom w:val="none" w:sz="0" w:space="0" w:color="auto"/>
        <w:right w:val="none" w:sz="0" w:space="0" w:color="auto"/>
      </w:divBdr>
    </w:div>
    <w:div w:id="1396468728">
      <w:bodyDiv w:val="1"/>
      <w:marLeft w:val="0"/>
      <w:marRight w:val="0"/>
      <w:marTop w:val="0"/>
      <w:marBottom w:val="0"/>
      <w:divBdr>
        <w:top w:val="none" w:sz="0" w:space="0" w:color="auto"/>
        <w:left w:val="none" w:sz="0" w:space="0" w:color="auto"/>
        <w:bottom w:val="none" w:sz="0" w:space="0" w:color="auto"/>
        <w:right w:val="none" w:sz="0" w:space="0" w:color="auto"/>
      </w:divBdr>
    </w:div>
    <w:div w:id="16245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10.png"/><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trategic%20Research%20Division%20-%20Canberra\Templates\Quantit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BD3F980188E31842A76A5574F993F77A" ma:contentTypeVersion="78" ma:contentTypeDescription="Core Publishing Document, inherited from OOTB document." ma:contentTypeScope="" ma:versionID="44952d08b418dc40725b5fabf11ad310">
  <xsd:schema xmlns:xsd="http://www.w3.org/2001/XMLSchema" xmlns:xs="http://www.w3.org/2001/XMLSchema" xmlns:p="http://schemas.microsoft.com/office/2006/metadata/properties" xmlns:ns1="http://schemas.microsoft.com/sharepoint/v3" xmlns:ns2="cde90b4e-26b2-4127-81f7-41dbe9cc3b40" xmlns:ns3="c0b4bd0a-f6ac-422c-a0b2-ddc3a705a698" targetNamespace="http://schemas.microsoft.com/office/2006/metadata/properties" ma:root="true" ma:fieldsID="53f37ec21eb86df512ba4b237e5d9b60" ns1:_="" ns2:_="" ns3:_="">
    <xsd:import namespace="http://schemas.microsoft.com/sharepoint/v3"/>
    <xsd:import namespace="cde90b4e-26b2-4127-81f7-41dbe9cc3b40"/>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90b4e-26b2-4127-81f7-41dbe9cc3b40"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IncludeInContentRollups xmlns="cde90b4e-26b2-4127-81f7-41dbe9cc3b40">false</IncludeInContentRollups>
    <CorePublishingFileReference xmlns="cde90b4e-26b2-4127-81f7-41dbe9cc3b40">n/a</CorePublishingFileReference>
    <SubjectLookupField xmlns="c0b4bd0a-f6ac-422c-a0b2-ddc3a705a698"/>
    <IncludeInRSSFeeds xmlns="cde90b4e-26b2-4127-81f7-41dbe9cc3b40">false</IncludeInRSSFeeds>
    <CorePublishingDocumentChangeDescription xmlns="cde90b4e-26b2-4127-81f7-41dbe9cc3b40" xsi:nil="true"/>
    <PublishingExpirationDate xmlns="http://schemas.microsoft.com/sharepoint/v3" xsi:nil="true"/>
    <CorePublishingDocumentContact xmlns="cde90b4e-26b2-4127-81f7-41dbe9cc3b40">
      <UserInfo>
        <DisplayName>online</DisplayName>
        <AccountId>189</AccountId>
        <AccountType/>
      </UserInfo>
    </CorePublishingDocumentContact>
    <PublishingStartDate xmlns="http://schemas.microsoft.com/sharepoint/v3" xsi:nil="true"/>
    <IPSCategory xmlns="cde90b4e-26b2-4127-81f7-41dbe9cc3b40">2. What we do</IPSCategory>
    <IncludeInNotificationsAndUpdates xmlns="cde90b4e-26b2-4127-81f7-41dbe9cc3b40">true</IncludeInNotificationsAndUpdates>
    <CorePublishingComments xmlns="cde90b4e-26b2-4127-81f7-41dbe9cc3b40">Earlier departmental program review activities were incorporated into the Review. </CorePublishingComments>
    <DocumentRollupCategory xmlns="c0b4bd0a-f6ac-422c-a0b2-ddc3a705a698"/>
  </documentManagement>
</p:properties>
</file>

<file path=customXml/itemProps1.xml><?xml version="1.0" encoding="utf-8"?>
<ds:datastoreItem xmlns:ds="http://schemas.openxmlformats.org/officeDocument/2006/customXml" ds:itemID="{5036C106-62B4-4696-9949-45C178BC2BED}"/>
</file>

<file path=customXml/itemProps2.xml><?xml version="1.0" encoding="utf-8"?>
<ds:datastoreItem xmlns:ds="http://schemas.openxmlformats.org/officeDocument/2006/customXml" ds:itemID="{CF782F0D-91BA-4B99-8656-4BA30852D928}"/>
</file>

<file path=customXml/itemProps3.xml><?xml version="1.0" encoding="utf-8"?>
<ds:datastoreItem xmlns:ds="http://schemas.openxmlformats.org/officeDocument/2006/customXml" ds:itemID="{4C660AD5-3DD8-44C3-9472-E4DD7A0B636E}"/>
</file>

<file path=customXml/itemProps4.xml><?xml version="1.0" encoding="utf-8"?>
<ds:datastoreItem xmlns:ds="http://schemas.openxmlformats.org/officeDocument/2006/customXml" ds:itemID="{B7B8583A-2A79-44F6-BB32-C3612D19B0CD}"/>
</file>

<file path=docProps/app.xml><?xml version="1.0" encoding="utf-8"?>
<Properties xmlns="http://schemas.openxmlformats.org/officeDocument/2006/extended-properties" xmlns:vt="http://schemas.openxmlformats.org/officeDocument/2006/docPropsVTypes">
  <Template>Quantitative Report Template</Template>
  <TotalTime>1</TotalTime>
  <Pages>20</Pages>
  <Words>4287</Words>
  <Characters>24440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development tax incentive review survey of rsp orima</dc:title>
  <dc:subject/>
  <dc:creator>ORIMA Research</dc:creator>
  <cp:lastModifiedBy>Marshall, Margaret</cp:lastModifiedBy>
  <cp:revision>3</cp:revision>
  <cp:lastPrinted>2016-09-23T00:01:00Z</cp:lastPrinted>
  <dcterms:created xsi:type="dcterms:W3CDTF">2016-09-23T00:00:00Z</dcterms:created>
  <dcterms:modified xsi:type="dcterms:W3CDTF">2016-09-23T00:05:00Z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0x01010097F86F0C24D64525B252BB20BD9D45A700BD3F980188E31842A76A5574F993F77A</vt:lpwstr>
  </property>
</Properties>
</file>