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CFD67" w14:textId="371631E2" w:rsidR="00A648FD" w:rsidRDefault="00010003">
      <w:pPr>
        <w:rPr>
          <w:rFonts w:ascii="Open Sans" w:hAnsi="Open Sans"/>
          <w:b/>
          <w:sz w:val="44"/>
        </w:rPr>
      </w:pPr>
      <w:r>
        <w:rPr>
          <w:noProof/>
          <w:lang w:eastAsia="en-AU"/>
        </w:rPr>
        <w:drawing>
          <wp:anchor distT="0" distB="0" distL="114300" distR="114300" simplePos="0" relativeHeight="251648000" behindDoc="0" locked="0" layoutInCell="1" allowOverlap="1" wp14:anchorId="0051771B" wp14:editId="3EA170F4">
            <wp:simplePos x="0" y="0"/>
            <wp:positionH relativeFrom="column">
              <wp:posOffset>-900578</wp:posOffset>
            </wp:positionH>
            <wp:positionV relativeFrom="page">
              <wp:align>top</wp:align>
            </wp:positionV>
            <wp:extent cx="7585200" cy="3884400"/>
            <wp:effectExtent l="0" t="0" r="0" b="1905"/>
            <wp:wrapTopAndBottom/>
            <wp:docPr id="11" name="Picture 11" descr="Swinburne Iniiversity of Technology - Centre for Transformative Innovation&#10;&#10;Global Properity Through Knowledge and Innovation&#10;&#10;Graphic showing Innovation equals Ideas plus Change" title="Centre for Transformative Innovation - Swinburne Iniiversity of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header-01.png"/>
                    <pic:cNvPicPr/>
                  </pic:nvPicPr>
                  <pic:blipFill>
                    <a:blip r:embed="rId8">
                      <a:extLst>
                        <a:ext uri="{28A0092B-C50C-407E-A947-70E740481C1C}">
                          <a14:useLocalDpi xmlns:a14="http://schemas.microsoft.com/office/drawing/2010/main" val="0"/>
                        </a:ext>
                      </a:extLst>
                    </a:blip>
                    <a:stretch>
                      <a:fillRect/>
                    </a:stretch>
                  </pic:blipFill>
                  <pic:spPr>
                    <a:xfrm>
                      <a:off x="0" y="0"/>
                      <a:ext cx="7585200" cy="3884400"/>
                    </a:xfrm>
                    <a:prstGeom prst="rect">
                      <a:avLst/>
                    </a:prstGeom>
                    <a:effectLst/>
                  </pic:spPr>
                </pic:pic>
              </a:graphicData>
            </a:graphic>
            <wp14:sizeRelH relativeFrom="page">
              <wp14:pctWidth>0</wp14:pctWidth>
            </wp14:sizeRelH>
            <wp14:sizeRelV relativeFrom="page">
              <wp14:pctHeight>0</wp14:pctHeight>
            </wp14:sizeRelV>
          </wp:anchor>
        </w:drawing>
      </w:r>
    </w:p>
    <w:p w14:paraId="38C8C063" w14:textId="30DBF184" w:rsidR="00A648FD" w:rsidRDefault="00A05242" w:rsidP="00262D39">
      <w:pPr>
        <w:pStyle w:val="Title"/>
        <w:rPr>
          <w:sz w:val="24"/>
        </w:rPr>
      </w:pPr>
      <w:r w:rsidRPr="008B0E3B">
        <w:t xml:space="preserve">The Additionality of R&amp;D Tax Policy in Australia </w:t>
      </w:r>
    </w:p>
    <w:p w14:paraId="0889567B" w14:textId="77777777" w:rsidR="00B57182" w:rsidRPr="00D86D93" w:rsidRDefault="00B57182">
      <w:pPr>
        <w:rPr>
          <w:rFonts w:ascii="Open Sans" w:hAnsi="Open Sans"/>
          <w:sz w:val="24"/>
        </w:rPr>
      </w:pPr>
    </w:p>
    <w:p w14:paraId="17C76F39" w14:textId="77777777" w:rsidR="00A05242" w:rsidRDefault="00A05242" w:rsidP="00833C96">
      <w:pPr>
        <w:pStyle w:val="Subtitle"/>
      </w:pPr>
      <w:r>
        <w:t>Russell Thomson and Ahmed Skali</w:t>
      </w:r>
      <w:r w:rsidR="00B57182" w:rsidRPr="00D86D93">
        <w:br/>
      </w:r>
    </w:p>
    <w:p w14:paraId="59029C92" w14:textId="05DD9718" w:rsidR="00A648FD" w:rsidRDefault="00A05242" w:rsidP="00833C96">
      <w:pPr>
        <w:pStyle w:val="Subtitle"/>
      </w:pPr>
      <w:r>
        <w:t>Centre for Transformative Innovation</w:t>
      </w:r>
    </w:p>
    <w:p w14:paraId="543D7616" w14:textId="347946FE" w:rsidR="00A648FD" w:rsidRDefault="00700747" w:rsidP="00833C96">
      <w:pPr>
        <w:pStyle w:val="Subtitle"/>
      </w:pPr>
      <w:r>
        <w:t>February</w:t>
      </w:r>
      <w:r w:rsidR="0074289D">
        <w:t xml:space="preserve"> 2016</w:t>
      </w:r>
    </w:p>
    <w:p w14:paraId="68C67D50" w14:textId="53465967" w:rsidR="00B57182" w:rsidRDefault="00B57182" w:rsidP="00B365B7">
      <w:pPr>
        <w:rPr>
          <w:rFonts w:ascii="Open Sans" w:hAnsi="Open Sans"/>
        </w:rPr>
      </w:pPr>
    </w:p>
    <w:p w14:paraId="0118CE81" w14:textId="64A09E31" w:rsidR="001E4FA3" w:rsidRDefault="00264071" w:rsidP="00A31B51">
      <w:pPr>
        <w:spacing w:before="0"/>
        <w:jc w:val="left"/>
      </w:pPr>
      <w:r>
        <w:rPr>
          <w:rFonts w:ascii="Open Sans" w:hAnsi="Open Sans"/>
          <w:noProof/>
          <w:lang w:eastAsia="en-AU"/>
        </w:rPr>
        <w:drawing>
          <wp:anchor distT="0" distB="0" distL="114300" distR="114300" simplePos="0" relativeHeight="251651072" behindDoc="0" locked="0" layoutInCell="1" allowOverlap="1" wp14:anchorId="09BBBF71" wp14:editId="4E7B2C2A">
            <wp:simplePos x="0" y="0"/>
            <wp:positionH relativeFrom="page">
              <wp:align>left</wp:align>
            </wp:positionH>
            <wp:positionV relativeFrom="paragraph">
              <wp:posOffset>2950210</wp:posOffset>
            </wp:positionV>
            <wp:extent cx="7572375" cy="795020"/>
            <wp:effectExtent l="0" t="0" r="9525" b="5080"/>
            <wp:wrapTopAndBottom/>
            <wp:docPr id="37" name="Picture 37" descr="CRICOS: 0011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2375"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46280">
        <w:rPr>
          <w:rFonts w:ascii="Open Sans" w:hAnsi="Open Sans"/>
        </w:rPr>
        <w:br w:type="page"/>
      </w:r>
      <w:r w:rsidR="001E4FA3" w:rsidRPr="001E4FA3">
        <w:lastRenderedPageBreak/>
        <w:t xml:space="preserve"> </w:t>
      </w:r>
    </w:p>
    <w:p w14:paraId="0055F4E9" w14:textId="66C7D663" w:rsidR="00C21D3F" w:rsidRPr="00D86D93" w:rsidRDefault="00264071" w:rsidP="00B365B7">
      <w:pPr>
        <w:rPr>
          <w:rFonts w:ascii="Open Sans" w:hAnsi="Open Sans"/>
        </w:rPr>
        <w:sectPr w:rsidR="00C21D3F" w:rsidRPr="00D86D93" w:rsidSect="00264071">
          <w:footerReference w:type="default" r:id="rId10"/>
          <w:type w:val="continuous"/>
          <w:pgSz w:w="11906" w:h="16838" w:code="9"/>
          <w:pgMar w:top="567" w:right="4111" w:bottom="0" w:left="1418" w:header="0" w:footer="0" w:gutter="0"/>
          <w:pgNumType w:fmt="lowerRoman" w:start="1"/>
          <w:cols w:space="720"/>
          <w:formProt w:val="0"/>
          <w:titlePg/>
        </w:sectPr>
      </w:pPr>
      <w:r>
        <w:rPr>
          <w:noProof/>
          <w:lang w:eastAsia="en-AU"/>
        </w:rPr>
        <w:drawing>
          <wp:anchor distT="0" distB="0" distL="114300" distR="114300" simplePos="0" relativeHeight="251669504" behindDoc="0" locked="0" layoutInCell="1" allowOverlap="1" wp14:anchorId="0C8D50CF" wp14:editId="7291FCD4">
            <wp:simplePos x="0" y="0"/>
            <wp:positionH relativeFrom="margin">
              <wp:align>left</wp:align>
            </wp:positionH>
            <wp:positionV relativeFrom="paragraph">
              <wp:posOffset>8973185</wp:posOffset>
            </wp:positionV>
            <wp:extent cx="962025" cy="487045"/>
            <wp:effectExtent l="0" t="0" r="9525" b="8255"/>
            <wp:wrapTopAndBottom/>
            <wp:docPr id="50" name="Picture 50" descr="CORP_2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_2H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487045"/>
                    </a:xfrm>
                    <a:prstGeom prst="rect">
                      <a:avLst/>
                    </a:prstGeom>
                    <a:noFill/>
                    <a:ln>
                      <a:noFill/>
                    </a:ln>
                  </pic:spPr>
                </pic:pic>
              </a:graphicData>
            </a:graphic>
            <wp14:sizeRelH relativeFrom="page">
              <wp14:pctWidth>0</wp14:pctWidth>
            </wp14:sizeRelH>
            <wp14:sizeRelV relativeFrom="page">
              <wp14:pctHeight>0</wp14:pctHeight>
            </wp14:sizeRelV>
          </wp:anchor>
        </w:drawing>
      </w:r>
      <w:r w:rsidR="00B33238">
        <w:rPr>
          <w:noProof/>
          <w:lang w:eastAsia="en-AU"/>
        </w:rPr>
        <mc:AlternateContent>
          <mc:Choice Requires="wps">
            <w:drawing>
              <wp:anchor distT="0" distB="0" distL="114300" distR="114300" simplePos="0" relativeHeight="251660288" behindDoc="0" locked="0" layoutInCell="0" allowOverlap="1" wp14:anchorId="74DD6B4B" wp14:editId="0F290C3F">
                <wp:simplePos x="0" y="0"/>
                <wp:positionH relativeFrom="page">
                  <wp:posOffset>1943100</wp:posOffset>
                </wp:positionH>
                <wp:positionV relativeFrom="paragraph">
                  <wp:posOffset>8990965</wp:posOffset>
                </wp:positionV>
                <wp:extent cx="4935855" cy="548640"/>
                <wp:effectExtent l="0" t="0" r="0" b="3810"/>
                <wp:wrapTopAndBottom/>
                <wp:docPr id="53" name="Text Box 53" descr="Report Title&#10;Prepared by: &#10;Wednesday, June 29, 201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585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304AC1" w14:textId="77777777" w:rsidR="00E143D0" w:rsidRDefault="00E143D0" w:rsidP="001E4FA3">
                            <w:pPr>
                              <w:pStyle w:val="Footer"/>
                              <w:rPr>
                                <w:rStyle w:val="PageNumber"/>
                              </w:rPr>
                            </w:pPr>
                            <w:r>
                              <w:t>Report Title</w:t>
                            </w:r>
                            <w:r>
                              <w:tab/>
                            </w:r>
                            <w:r>
                              <w:rPr>
                                <w:rStyle w:val="PageNumber"/>
                              </w:rPr>
                              <w:fldChar w:fldCharType="begin"/>
                            </w:r>
                            <w:r>
                              <w:rPr>
                                <w:rStyle w:val="PageNumber"/>
                              </w:rPr>
                              <w:instrText xml:space="preserve"> PAGE </w:instrText>
                            </w:r>
                            <w:r>
                              <w:rPr>
                                <w:rStyle w:val="PageNumber"/>
                              </w:rPr>
                              <w:fldChar w:fldCharType="separate"/>
                            </w:r>
                            <w:r>
                              <w:rPr>
                                <w:rStyle w:val="PageNumber"/>
                              </w:rPr>
                              <w:t>ii</w:t>
                            </w:r>
                            <w:r>
                              <w:rPr>
                                <w:rStyle w:val="PageNumber"/>
                              </w:rPr>
                              <w:fldChar w:fldCharType="end"/>
                            </w:r>
                          </w:p>
                          <w:p w14:paraId="3AB09692" w14:textId="77777777" w:rsidR="00E143D0" w:rsidRDefault="00E143D0" w:rsidP="001E4FA3">
                            <w:pPr>
                              <w:pStyle w:val="Footer"/>
                              <w:rPr>
                                <w:rStyle w:val="PageNumber"/>
                              </w:rPr>
                            </w:pPr>
                            <w:r>
                              <w:rPr>
                                <w:rStyle w:val="PageNumber"/>
                              </w:rPr>
                              <w:t xml:space="preserve">Prepared by: </w:t>
                            </w:r>
                          </w:p>
                          <w:p w14:paraId="238D2B51" w14:textId="7AF1B25E" w:rsidR="00E143D0" w:rsidRDefault="00E143D0" w:rsidP="001E4FA3">
                            <w:pPr>
                              <w:pStyle w:val="Footer"/>
                            </w:pPr>
                            <w:r>
                              <w:rPr>
                                <w:rStyle w:val="PageNumber"/>
                              </w:rPr>
                              <w:fldChar w:fldCharType="begin"/>
                            </w:r>
                            <w:r>
                              <w:rPr>
                                <w:rStyle w:val="PageNumber"/>
                              </w:rPr>
                              <w:instrText xml:space="preserve"> TIME \@ "dddd, MMMM dd, yyyy" </w:instrText>
                            </w:r>
                            <w:r>
                              <w:rPr>
                                <w:rStyle w:val="PageNumber"/>
                              </w:rPr>
                              <w:fldChar w:fldCharType="separate"/>
                            </w:r>
                            <w:r>
                              <w:rPr>
                                <w:rStyle w:val="PageNumber"/>
                              </w:rPr>
                              <w:t>Wednesday, June 29, 2016</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D6B4B" id="_x0000_t202" coordsize="21600,21600" o:spt="202" path="m,l,21600r21600,l21600,xe">
                <v:stroke joinstyle="miter"/>
                <v:path gradientshapeok="t" o:connecttype="rect"/>
              </v:shapetype>
              <v:shape id="Text Box 53" o:spid="_x0000_s1026" type="#_x0000_t202" alt="Report Title&#10;Prepared by: &#10;Wednesday, June 29, 2016&#10;" style="position:absolute;left:0;text-align:left;margin-left:153pt;margin-top:707.95pt;width:388.65pt;height:43.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" o:allowincell="f" stroked="f">
                <v:textbox inset="0,0,0,0">
                  <w:txbxContent>
                    <w:p w14:paraId="3F304AC1" w14:textId="77777777" w:rsidR="00E143D0" w:rsidRDefault="00E143D0" w:rsidP="001E4FA3">
                      <w:pPr>
                        <w:pStyle w:val="Footer"/>
                        <w:rPr>
                          <w:rStyle w:val="PageNumber"/>
                        </w:rPr>
                      </w:pPr>
                      <w:r>
                        <w:t>Report Title</w:t>
                      </w:r>
                      <w:r>
                        <w:tab/>
                      </w:r>
                      <w:r>
                        <w:rPr>
                          <w:rStyle w:val="PageNumber"/>
                        </w:rPr>
                        <w:fldChar w:fldCharType="begin"/>
                      </w:r>
                      <w:r>
                        <w:rPr>
                          <w:rStyle w:val="PageNumber"/>
                        </w:rPr>
                        <w:instrText xml:space="preserve"> PAGE </w:instrText>
                      </w:r>
                      <w:r>
                        <w:rPr>
                          <w:rStyle w:val="PageNumber"/>
                        </w:rPr>
                        <w:fldChar w:fldCharType="separate"/>
                      </w:r>
                      <w:r>
                        <w:rPr>
                          <w:rStyle w:val="PageNumber"/>
                        </w:rPr>
                        <w:t>ii</w:t>
                      </w:r>
                      <w:r>
                        <w:rPr>
                          <w:rStyle w:val="PageNumber"/>
                        </w:rPr>
                        <w:fldChar w:fldCharType="end"/>
                      </w:r>
                    </w:p>
                    <w:p w14:paraId="3AB09692" w14:textId="77777777" w:rsidR="00E143D0" w:rsidRDefault="00E143D0" w:rsidP="001E4FA3">
                      <w:pPr>
                        <w:pStyle w:val="Footer"/>
                        <w:rPr>
                          <w:rStyle w:val="PageNumber"/>
                        </w:rPr>
                      </w:pPr>
                      <w:r>
                        <w:rPr>
                          <w:rStyle w:val="PageNumber"/>
                        </w:rPr>
                        <w:t xml:space="preserve">Prepared by: </w:t>
                      </w:r>
                    </w:p>
                    <w:p w14:paraId="238D2B51" w14:textId="7AF1B25E" w:rsidR="00E143D0" w:rsidRDefault="00E143D0" w:rsidP="001E4FA3">
                      <w:pPr>
                        <w:pStyle w:val="Footer"/>
                      </w:pPr>
                      <w:r>
                        <w:rPr>
                          <w:rStyle w:val="PageNumber"/>
                        </w:rPr>
                        <w:fldChar w:fldCharType="begin"/>
                      </w:r>
                      <w:r>
                        <w:rPr>
                          <w:rStyle w:val="PageNumber"/>
                        </w:rPr>
                        <w:instrText xml:space="preserve"> TIME \@ "dddd, MMMM dd, yyyy" </w:instrText>
                      </w:r>
                      <w:r>
                        <w:rPr>
                          <w:rStyle w:val="PageNumber"/>
                        </w:rPr>
                        <w:fldChar w:fldCharType="separate"/>
                      </w:r>
                      <w:r>
                        <w:rPr>
                          <w:rStyle w:val="PageNumber"/>
                        </w:rPr>
                        <w:t>Wednesday, June 29, 2016</w:t>
                      </w:r>
                      <w:r>
                        <w:rPr>
                          <w:rStyle w:val="PageNumber"/>
                        </w:rPr>
                        <w:fldChar w:fldCharType="end"/>
                      </w:r>
                    </w:p>
                  </w:txbxContent>
                </v:textbox>
                <w10:wrap type="topAndBottom" anchorx="page"/>
              </v:shape>
            </w:pict>
          </mc:Fallback>
        </mc:AlternateContent>
      </w:r>
    </w:p>
    <w:p w14:paraId="21C24393" w14:textId="77777777" w:rsidR="009F04CF" w:rsidRPr="009F04CF" w:rsidRDefault="009F04CF" w:rsidP="00645548">
      <w:pPr>
        <w:pStyle w:val="Heading1"/>
      </w:pPr>
      <w:r w:rsidRPr="009F04CF">
        <w:lastRenderedPageBreak/>
        <w:t>Executive Summary</w:t>
      </w:r>
    </w:p>
    <w:p w14:paraId="34A72C41" w14:textId="77777777" w:rsidR="008D5201" w:rsidRDefault="009F04CF" w:rsidP="00833C96">
      <w:pPr>
        <w:pStyle w:val="Text"/>
        <w:rPr>
          <w:rFonts w:eastAsia="Calibri"/>
        </w:rPr>
      </w:pPr>
      <w:r w:rsidRPr="00833C96">
        <w:rPr>
          <w:rFonts w:eastAsia="Calibri"/>
        </w:rPr>
        <w:t>The aim of this report is to provide estimates of the rate of additionality associated with R&amp;D tax subsidies</w:t>
      </w:r>
      <w:r w:rsidR="002D5419" w:rsidRPr="00833C96">
        <w:rPr>
          <w:rFonts w:eastAsia="Calibri"/>
        </w:rPr>
        <w:t xml:space="preserve"> in Australia</w:t>
      </w:r>
      <w:r w:rsidR="00B96863" w:rsidRPr="00833C96">
        <w:rPr>
          <w:rFonts w:eastAsia="Calibri"/>
        </w:rPr>
        <w:t xml:space="preserve">. </w:t>
      </w:r>
      <w:r w:rsidR="008D5201">
        <w:rPr>
          <w:rFonts w:eastAsia="Calibri"/>
        </w:rPr>
        <w:t>I</w:t>
      </w:r>
      <w:r w:rsidR="008D5201" w:rsidRPr="00833C96">
        <w:rPr>
          <w:rFonts w:eastAsia="Calibri"/>
        </w:rPr>
        <w:t>n contrast with international evidence</w:t>
      </w:r>
      <w:r w:rsidR="008D5201">
        <w:rPr>
          <w:rFonts w:eastAsia="Calibri"/>
        </w:rPr>
        <w:t xml:space="preserve">, </w:t>
      </w:r>
      <w:r w:rsidR="00B820AC">
        <w:rPr>
          <w:rFonts w:eastAsia="Calibri"/>
        </w:rPr>
        <w:t>several</w:t>
      </w:r>
      <w:r w:rsidR="008D5201" w:rsidRPr="00833C96">
        <w:rPr>
          <w:rFonts w:eastAsia="Calibri"/>
        </w:rPr>
        <w:t xml:space="preserve"> statistical studies </w:t>
      </w:r>
      <w:r w:rsidR="00B820AC">
        <w:rPr>
          <w:rFonts w:eastAsia="Calibri"/>
        </w:rPr>
        <w:t xml:space="preserve">published previously </w:t>
      </w:r>
      <w:r w:rsidR="008D5201" w:rsidRPr="00833C96">
        <w:rPr>
          <w:rFonts w:eastAsia="Calibri"/>
        </w:rPr>
        <w:t>have failed to confirm that research and development (R&amp;D) investment by Australian firms is responsive to tax subsidies.</w:t>
      </w:r>
      <w:r w:rsidR="00C74B08">
        <w:rPr>
          <w:rFonts w:eastAsia="Calibri"/>
        </w:rPr>
        <w:t xml:space="preserve"> </w:t>
      </w:r>
      <w:r w:rsidR="008D7CF1" w:rsidRPr="008D7CF1">
        <w:rPr>
          <w:rFonts w:eastAsia="Calibri"/>
        </w:rPr>
        <w:t>This study uses company-level data from the A</w:t>
      </w:r>
      <w:r w:rsidR="000F2818">
        <w:rPr>
          <w:rFonts w:eastAsia="Calibri"/>
        </w:rPr>
        <w:t xml:space="preserve">ustralian </w:t>
      </w:r>
      <w:r w:rsidR="008D7CF1" w:rsidRPr="008D7CF1">
        <w:rPr>
          <w:rFonts w:eastAsia="Calibri"/>
        </w:rPr>
        <w:t>B</w:t>
      </w:r>
      <w:r w:rsidR="000F2818">
        <w:rPr>
          <w:rFonts w:eastAsia="Calibri"/>
        </w:rPr>
        <w:t xml:space="preserve">ureau of </w:t>
      </w:r>
      <w:r w:rsidR="008D7CF1" w:rsidRPr="008D7CF1">
        <w:rPr>
          <w:rFonts w:eastAsia="Calibri"/>
        </w:rPr>
        <w:t>S</w:t>
      </w:r>
      <w:r w:rsidR="000F2818">
        <w:rPr>
          <w:rFonts w:eastAsia="Calibri"/>
        </w:rPr>
        <w:t>tatistics (ABS)</w:t>
      </w:r>
      <w:r w:rsidR="008D7CF1" w:rsidRPr="008D7CF1">
        <w:rPr>
          <w:rFonts w:eastAsia="Calibri"/>
        </w:rPr>
        <w:t>, which has recently been made available for research purposes. The dataset comprises information from company Business Income Tax returns and Business Activity Statements provided to the Australian Taxation Office, as well as information collected by the ABS from their Business Expenditure on Research and Development survey. The data covers the period 2005 to 2012 and is far more comprehensive than any data that has previously been available.</w:t>
      </w:r>
      <w:r w:rsidR="008D7CF1">
        <w:rPr>
          <w:rFonts w:eastAsia="Calibri"/>
        </w:rPr>
        <w:t xml:space="preserve"> </w:t>
      </w:r>
      <w:r w:rsidR="00AD37BA">
        <w:rPr>
          <w:rFonts w:eastAsia="Calibri"/>
        </w:rPr>
        <w:t xml:space="preserve">Both the R&amp;D Tax Concession and R&amp;D Tax Incentive policies are considered, referred </w:t>
      </w:r>
      <w:r w:rsidR="00E6701C">
        <w:rPr>
          <w:rFonts w:eastAsia="Calibri"/>
        </w:rPr>
        <w:t xml:space="preserve">to </w:t>
      </w:r>
      <w:r w:rsidR="00AD37BA">
        <w:rPr>
          <w:rFonts w:eastAsia="Calibri"/>
        </w:rPr>
        <w:t>collectively as R&amp;D tax subsidies.</w:t>
      </w:r>
    </w:p>
    <w:p w14:paraId="0C5988E4" w14:textId="77777777" w:rsidR="009F04CF" w:rsidRPr="003A0CA0" w:rsidRDefault="005A7418" w:rsidP="00833C96">
      <w:pPr>
        <w:pStyle w:val="Text"/>
        <w:rPr>
          <w:rFonts w:eastAsia="Calibri"/>
          <w:highlight w:val="yellow"/>
        </w:rPr>
      </w:pPr>
      <w:r>
        <w:rPr>
          <w:rFonts w:eastAsia="Calibri"/>
        </w:rPr>
        <w:t>The data reveal that</w:t>
      </w:r>
      <w:r w:rsidR="008D5201">
        <w:rPr>
          <w:rFonts w:eastAsia="Calibri"/>
        </w:rPr>
        <w:t xml:space="preserve"> t</w:t>
      </w:r>
      <w:r w:rsidR="00CD1666" w:rsidRPr="009C6E10">
        <w:rPr>
          <w:rFonts w:eastAsia="Calibri"/>
        </w:rPr>
        <w:t>he average</w:t>
      </w:r>
      <w:r w:rsidR="009C6E10" w:rsidRPr="009C6E10">
        <w:rPr>
          <w:rFonts w:eastAsia="Calibri"/>
        </w:rPr>
        <w:t xml:space="preserve"> R&amp;D active</w:t>
      </w:r>
      <w:r w:rsidR="00CD1666" w:rsidRPr="009C6E10">
        <w:rPr>
          <w:rFonts w:eastAsia="Calibri"/>
        </w:rPr>
        <w:t xml:space="preserve"> firm </w:t>
      </w:r>
      <w:r w:rsidR="004F59E0">
        <w:rPr>
          <w:rFonts w:eastAsia="Calibri"/>
        </w:rPr>
        <w:t xml:space="preserve">which </w:t>
      </w:r>
      <w:r w:rsidR="002F6142">
        <w:rPr>
          <w:rFonts w:eastAsia="Calibri"/>
        </w:rPr>
        <w:t>claims</w:t>
      </w:r>
      <w:r w:rsidR="00CD1666" w:rsidRPr="009C6E10">
        <w:rPr>
          <w:rFonts w:eastAsia="Calibri"/>
        </w:rPr>
        <w:t xml:space="preserve"> </w:t>
      </w:r>
      <w:r w:rsidR="006A1BEE">
        <w:rPr>
          <w:rFonts w:eastAsia="Calibri"/>
        </w:rPr>
        <w:t xml:space="preserve">an </w:t>
      </w:r>
      <w:r w:rsidR="008D5201">
        <w:rPr>
          <w:rFonts w:eastAsia="Calibri"/>
        </w:rPr>
        <w:t>R</w:t>
      </w:r>
      <w:r w:rsidR="005B0A46">
        <w:rPr>
          <w:rFonts w:eastAsia="Calibri"/>
        </w:rPr>
        <w:t>&amp;</w:t>
      </w:r>
      <w:r w:rsidR="008D5201">
        <w:rPr>
          <w:rFonts w:eastAsia="Calibri"/>
        </w:rPr>
        <w:t xml:space="preserve">D </w:t>
      </w:r>
      <w:r w:rsidR="006A1BEE">
        <w:rPr>
          <w:rFonts w:eastAsia="Calibri"/>
        </w:rPr>
        <w:t>t</w:t>
      </w:r>
      <w:r w:rsidR="00CD1666" w:rsidRPr="009C6E10">
        <w:rPr>
          <w:rFonts w:eastAsia="Calibri"/>
        </w:rPr>
        <w:t xml:space="preserve">ax </w:t>
      </w:r>
      <w:r w:rsidR="004F59E0">
        <w:rPr>
          <w:rFonts w:eastAsia="Calibri"/>
        </w:rPr>
        <w:t>subsid</w:t>
      </w:r>
      <w:r w:rsidR="006A1BEE">
        <w:rPr>
          <w:rFonts w:eastAsia="Calibri"/>
        </w:rPr>
        <w:t>y</w:t>
      </w:r>
      <w:r w:rsidR="009C6E10" w:rsidRPr="009C6E10">
        <w:rPr>
          <w:rFonts w:eastAsia="Calibri"/>
        </w:rPr>
        <w:t xml:space="preserve"> </w:t>
      </w:r>
      <w:r w:rsidR="00CD1666" w:rsidRPr="009C6E10">
        <w:rPr>
          <w:rFonts w:eastAsia="Calibri"/>
        </w:rPr>
        <w:t xml:space="preserve">invests </w:t>
      </w:r>
      <w:r w:rsidR="00B820AC">
        <w:rPr>
          <w:rFonts w:eastAsia="Calibri"/>
        </w:rPr>
        <w:t>statistically significantly</w:t>
      </w:r>
      <w:r w:rsidR="009F04CF" w:rsidRPr="009C6E10">
        <w:rPr>
          <w:rFonts w:eastAsia="Calibri"/>
        </w:rPr>
        <w:t xml:space="preserve"> more </w:t>
      </w:r>
      <w:r w:rsidR="00B820AC">
        <w:rPr>
          <w:rFonts w:eastAsia="Calibri"/>
        </w:rPr>
        <w:t xml:space="preserve">in </w:t>
      </w:r>
      <w:r w:rsidR="009F04CF" w:rsidRPr="009C6E10">
        <w:rPr>
          <w:rFonts w:eastAsia="Calibri"/>
        </w:rPr>
        <w:t xml:space="preserve">R&amp;D than </w:t>
      </w:r>
      <w:r w:rsidR="006A1BEE">
        <w:rPr>
          <w:rFonts w:eastAsia="Calibri"/>
        </w:rPr>
        <w:t xml:space="preserve">a </w:t>
      </w:r>
      <w:r w:rsidR="009F04CF" w:rsidRPr="009C6E10">
        <w:rPr>
          <w:rFonts w:eastAsia="Calibri"/>
        </w:rPr>
        <w:t xml:space="preserve">‘similar’ </w:t>
      </w:r>
      <w:r w:rsidR="00CD1666" w:rsidRPr="009C6E10">
        <w:rPr>
          <w:rFonts w:eastAsia="Calibri"/>
        </w:rPr>
        <w:t xml:space="preserve">R&amp;D active firm </w:t>
      </w:r>
      <w:r w:rsidR="009F04CF" w:rsidRPr="009C6E10">
        <w:rPr>
          <w:rFonts w:eastAsia="Calibri"/>
        </w:rPr>
        <w:t xml:space="preserve">which </w:t>
      </w:r>
      <w:r w:rsidR="002F6142">
        <w:rPr>
          <w:rFonts w:eastAsia="Calibri"/>
        </w:rPr>
        <w:t xml:space="preserve">does not claim </w:t>
      </w:r>
      <w:r w:rsidR="00141DF9">
        <w:rPr>
          <w:rFonts w:eastAsia="Calibri"/>
        </w:rPr>
        <w:t xml:space="preserve">a </w:t>
      </w:r>
      <w:r w:rsidR="006A1BEE">
        <w:rPr>
          <w:rFonts w:eastAsia="Calibri"/>
        </w:rPr>
        <w:t xml:space="preserve">tax </w:t>
      </w:r>
      <w:r w:rsidR="002F6142">
        <w:rPr>
          <w:rFonts w:eastAsia="Calibri"/>
        </w:rPr>
        <w:t>subsid</w:t>
      </w:r>
      <w:r w:rsidR="006A1BEE">
        <w:rPr>
          <w:rFonts w:eastAsia="Calibri"/>
        </w:rPr>
        <w:t>y</w:t>
      </w:r>
      <w:r w:rsidR="004F59E0">
        <w:rPr>
          <w:rFonts w:eastAsia="Calibri"/>
        </w:rPr>
        <w:t xml:space="preserve">. </w:t>
      </w:r>
      <w:r w:rsidR="007875CD" w:rsidRPr="00913D03">
        <w:rPr>
          <w:rFonts w:eastAsia="Calibri"/>
        </w:rPr>
        <w:t>This difference can be interpreted as</w:t>
      </w:r>
      <w:r w:rsidR="007875CD" w:rsidRPr="00833C96">
        <w:rPr>
          <w:rFonts w:eastAsia="Calibri"/>
        </w:rPr>
        <w:t xml:space="preserve"> </w:t>
      </w:r>
      <w:r w:rsidR="007875CD">
        <w:rPr>
          <w:rFonts w:eastAsia="Calibri"/>
        </w:rPr>
        <w:t xml:space="preserve">the </w:t>
      </w:r>
      <w:r w:rsidR="007875CD" w:rsidRPr="00833C96">
        <w:rPr>
          <w:rFonts w:eastAsia="Calibri"/>
        </w:rPr>
        <w:t xml:space="preserve">causal effect of tax policy under the assumption that unobservable factors that determine R&amp;D investment do not also influence firms’ decision to </w:t>
      </w:r>
      <w:r w:rsidR="00AD37BA">
        <w:rPr>
          <w:rFonts w:eastAsia="Calibri"/>
        </w:rPr>
        <w:t>claim the tax subsidies.</w:t>
      </w:r>
    </w:p>
    <w:p w14:paraId="61E54D0C" w14:textId="75082F9C" w:rsidR="000F7C80" w:rsidRDefault="004F7446" w:rsidP="00B563A4">
      <w:pPr>
        <w:pStyle w:val="Text"/>
        <w:rPr>
          <w:rFonts w:eastAsia="Calibri"/>
        </w:rPr>
      </w:pPr>
      <w:r w:rsidRPr="00700747">
        <w:rPr>
          <w:rFonts w:eastAsia="Calibri"/>
        </w:rPr>
        <w:t>While the report applies several methods to estimate additionality,</w:t>
      </w:r>
      <w:r>
        <w:rPr>
          <w:rFonts w:eastAsia="Calibri"/>
        </w:rPr>
        <w:t xml:space="preserve"> t</w:t>
      </w:r>
      <w:r w:rsidR="00FB0E16">
        <w:rPr>
          <w:rFonts w:eastAsia="Calibri"/>
        </w:rPr>
        <w:t>he introduction of the R&amp;D Tax Incentive policy in 2012 provides an opportunity to undertake difference</w:t>
      </w:r>
      <w:r>
        <w:rPr>
          <w:rFonts w:eastAsia="Calibri"/>
        </w:rPr>
        <w:noBreakHyphen/>
      </w:r>
      <w:r w:rsidR="00FB0E16">
        <w:rPr>
          <w:rFonts w:eastAsia="Calibri"/>
        </w:rPr>
        <w:t>in</w:t>
      </w:r>
      <w:r>
        <w:rPr>
          <w:rFonts w:eastAsia="Calibri"/>
        </w:rPr>
        <w:noBreakHyphen/>
      </w:r>
      <w:r w:rsidR="00FB0E16">
        <w:rPr>
          <w:rFonts w:eastAsia="Calibri"/>
        </w:rPr>
        <w:t>difference analysis, which is a stronger basis for establishing causality. Difference</w:t>
      </w:r>
      <w:r>
        <w:rPr>
          <w:rFonts w:eastAsia="Calibri"/>
        </w:rPr>
        <w:noBreakHyphen/>
      </w:r>
      <w:r w:rsidR="00FB0E16">
        <w:rPr>
          <w:rFonts w:eastAsia="Calibri"/>
        </w:rPr>
        <w:t>in</w:t>
      </w:r>
      <w:r>
        <w:rPr>
          <w:rFonts w:eastAsia="Calibri"/>
        </w:rPr>
        <w:noBreakHyphen/>
      </w:r>
      <w:r w:rsidR="00FB0E16">
        <w:rPr>
          <w:rFonts w:eastAsia="Calibri"/>
        </w:rPr>
        <w:t xml:space="preserve">difference analysis rests on the assumption that, even though claiming and non-claiming firms exhibit a different level of R&amp;D investment, they exhibit the same trend over time. </w:t>
      </w:r>
    </w:p>
    <w:p w14:paraId="34C9A45F" w14:textId="77777777" w:rsidR="007B0BE7" w:rsidRDefault="00EF4E68" w:rsidP="00B563A4">
      <w:pPr>
        <w:pStyle w:val="Text"/>
        <w:rPr>
          <w:rFonts w:eastAsia="Calibri"/>
        </w:rPr>
      </w:pPr>
      <w:r>
        <w:rPr>
          <w:rFonts w:eastAsia="Calibri"/>
        </w:rPr>
        <w:t>W</w:t>
      </w:r>
      <w:r w:rsidR="007B0BE7">
        <w:rPr>
          <w:rFonts w:eastAsia="Calibri"/>
        </w:rPr>
        <w:t xml:space="preserve">e conclude that R&amp;D tax policy </w:t>
      </w:r>
      <w:r w:rsidR="00913D03">
        <w:rPr>
          <w:rFonts w:eastAsia="Calibri"/>
        </w:rPr>
        <w:t>analysis</w:t>
      </w:r>
      <w:r w:rsidR="007B0BE7">
        <w:rPr>
          <w:rFonts w:eastAsia="Calibri"/>
        </w:rPr>
        <w:t xml:space="preserve"> </w:t>
      </w:r>
      <w:r w:rsidR="00913D03">
        <w:rPr>
          <w:rFonts w:eastAsia="Calibri"/>
        </w:rPr>
        <w:t>should consider</w:t>
      </w:r>
      <w:r w:rsidR="007B0BE7">
        <w:rPr>
          <w:rFonts w:eastAsia="Calibri"/>
        </w:rPr>
        <w:t xml:space="preserve"> </w:t>
      </w:r>
      <w:r w:rsidR="00913D03">
        <w:rPr>
          <w:rFonts w:eastAsia="Calibri"/>
        </w:rPr>
        <w:t xml:space="preserve">plausible </w:t>
      </w:r>
      <w:r w:rsidR="007B0BE7">
        <w:rPr>
          <w:rFonts w:eastAsia="Calibri"/>
        </w:rPr>
        <w:t xml:space="preserve">additionality in the range of </w:t>
      </w:r>
      <w:r w:rsidR="00C74B08">
        <w:rPr>
          <w:rFonts w:eastAsia="Calibri"/>
        </w:rPr>
        <w:t>0.</w:t>
      </w:r>
      <w:r w:rsidR="005D074E">
        <w:rPr>
          <w:rFonts w:eastAsia="Calibri"/>
        </w:rPr>
        <w:t>8</w:t>
      </w:r>
      <w:r w:rsidR="00A8178D">
        <w:rPr>
          <w:rFonts w:eastAsia="Calibri"/>
        </w:rPr>
        <w:t>-1.9</w:t>
      </w:r>
      <w:r w:rsidR="007B0BE7">
        <w:rPr>
          <w:rFonts w:eastAsia="Calibri"/>
        </w:rPr>
        <w:t xml:space="preserve">. </w:t>
      </w:r>
      <w:r w:rsidR="004E0D8F">
        <w:rPr>
          <w:rFonts w:eastAsia="Calibri"/>
        </w:rPr>
        <w:t>This range c</w:t>
      </w:r>
      <w:r w:rsidR="004E0D8F" w:rsidRPr="00833C96">
        <w:rPr>
          <w:rFonts w:eastAsia="Calibri"/>
        </w:rPr>
        <w:t>ompares favourably with estimates from other countries.</w:t>
      </w:r>
      <w:r w:rsidR="004E0D8F">
        <w:rPr>
          <w:rFonts w:eastAsia="Calibri"/>
        </w:rPr>
        <w:t xml:space="preserve"> </w:t>
      </w:r>
      <w:r w:rsidR="000756B2" w:rsidRPr="000756B2">
        <w:rPr>
          <w:rFonts w:eastAsia="Calibri"/>
        </w:rPr>
        <w:t>Further analysis may be desirable to improve the confidence and precision of estimates. Some suggestions for future analysis are offered within the report.</w:t>
      </w:r>
      <w:r w:rsidR="007B0BE7">
        <w:rPr>
          <w:rFonts w:eastAsia="Calibri"/>
        </w:rPr>
        <w:t xml:space="preserve"> </w:t>
      </w:r>
    </w:p>
    <w:p w14:paraId="6936D8CB" w14:textId="77777777" w:rsidR="00645548" w:rsidRDefault="00645548">
      <w:pPr>
        <w:spacing w:before="0"/>
        <w:jc w:val="left"/>
        <w:rPr>
          <w:rFonts w:cs="Arial"/>
          <w:b/>
          <w:kern w:val="28"/>
          <w:sz w:val="28"/>
        </w:rPr>
      </w:pPr>
      <w:r>
        <w:br w:type="page"/>
      </w:r>
    </w:p>
    <w:p w14:paraId="7827D3C3" w14:textId="77777777" w:rsidR="00645548" w:rsidRDefault="00645548" w:rsidP="00645548">
      <w:pPr>
        <w:pStyle w:val="Heading1"/>
      </w:pPr>
      <w:r>
        <w:lastRenderedPageBreak/>
        <w:t xml:space="preserve">Acknowledgements </w:t>
      </w:r>
    </w:p>
    <w:p w14:paraId="2AF3CEE3" w14:textId="77777777" w:rsidR="00645548" w:rsidRPr="00645548" w:rsidRDefault="000823CF" w:rsidP="00645548">
      <w:pPr>
        <w:pStyle w:val="Text"/>
      </w:pPr>
      <w:r>
        <w:t>S</w:t>
      </w:r>
      <w:r w:rsidR="00645548">
        <w:t xml:space="preserve">taff at the Australian Bureau of Statistics and the Department of Industry, </w:t>
      </w:r>
      <w:r w:rsidR="000756B2">
        <w:t xml:space="preserve">Innovation and </w:t>
      </w:r>
      <w:r w:rsidR="00645548">
        <w:t>Science</w:t>
      </w:r>
      <w:r>
        <w:t xml:space="preserve"> made a substantial contribution to this report</w:t>
      </w:r>
      <w:r w:rsidR="00645548">
        <w:t xml:space="preserve">. </w:t>
      </w:r>
      <w:r w:rsidR="000756B2">
        <w:t>We</w:t>
      </w:r>
      <w:r w:rsidR="00645548">
        <w:t xml:space="preserve"> thank </w:t>
      </w:r>
      <w:r>
        <w:t>Malcom Jones and</w:t>
      </w:r>
      <w:r w:rsidR="002C13AF">
        <w:t xml:space="preserve"> </w:t>
      </w:r>
      <w:r w:rsidR="002C13AF" w:rsidRPr="002C13AF">
        <w:t>Antonio</w:t>
      </w:r>
      <w:r w:rsidR="002C13AF">
        <w:t xml:space="preserve"> Balaguer and in particular </w:t>
      </w:r>
      <w:r w:rsidR="00645548">
        <w:t xml:space="preserve">Jared Holt </w:t>
      </w:r>
      <w:r w:rsidR="002C13AF">
        <w:t xml:space="preserve">who advised </w:t>
      </w:r>
      <w:r w:rsidR="00645548">
        <w:t>on details of the</w:t>
      </w:r>
      <w:r w:rsidR="00C74B08">
        <w:t xml:space="preserve"> operation of the</w:t>
      </w:r>
      <w:r w:rsidR="00645548">
        <w:t xml:space="preserve"> ta</w:t>
      </w:r>
      <w:r w:rsidR="0082299E">
        <w:t xml:space="preserve">x subsidy schemes </w:t>
      </w:r>
      <w:r w:rsidR="002C13AF">
        <w:t xml:space="preserve">and </w:t>
      </w:r>
      <w:r w:rsidR="00C74B08">
        <w:t>in</w:t>
      </w:r>
      <w:r w:rsidR="00645548">
        <w:t xml:space="preserve"> </w:t>
      </w:r>
      <w:r w:rsidR="00C74B08">
        <w:t>interpreting firm level</w:t>
      </w:r>
      <w:r w:rsidR="00645548">
        <w:t xml:space="preserve"> data from</w:t>
      </w:r>
      <w:r w:rsidR="001544B6">
        <w:t xml:space="preserve"> the</w:t>
      </w:r>
      <w:r w:rsidR="00645548">
        <w:t xml:space="preserve"> Department of Industry</w:t>
      </w:r>
      <w:r w:rsidR="001544B6">
        <w:t>, Innovation and Science</w:t>
      </w:r>
      <w:r w:rsidR="00645548">
        <w:t xml:space="preserve"> and the Australian Tax </w:t>
      </w:r>
      <w:r w:rsidR="002C13AF">
        <w:t>O</w:t>
      </w:r>
      <w:r w:rsidR="00645548">
        <w:t xml:space="preserve">ffice. We </w:t>
      </w:r>
      <w:r w:rsidR="002C13AF">
        <w:t xml:space="preserve">gratefully </w:t>
      </w:r>
      <w:r w:rsidR="00645548">
        <w:t xml:space="preserve">acknowledge Diane Braskic and David Taylor at the ABS for making available the </w:t>
      </w:r>
      <w:r>
        <w:t xml:space="preserve">unique </w:t>
      </w:r>
      <w:r w:rsidR="00645548">
        <w:t>data</w:t>
      </w:r>
      <w:r>
        <w:t>, without which this analysis would not be possible</w:t>
      </w:r>
      <w:r w:rsidR="002C13AF">
        <w:t>. T</w:t>
      </w:r>
      <w:r w:rsidR="00645548">
        <w:t xml:space="preserve">hanks in particular to Tom Pougher and Adam Hill for their </w:t>
      </w:r>
      <w:r w:rsidR="00C74B08">
        <w:t xml:space="preserve">high level </w:t>
      </w:r>
      <w:r w:rsidR="00645548">
        <w:t xml:space="preserve">expertise in </w:t>
      </w:r>
      <w:r w:rsidR="00C74B08">
        <w:t>executing all required</w:t>
      </w:r>
      <w:r w:rsidR="00645548">
        <w:t xml:space="preserve"> STATA code on the ABS servers. Alfons Palan</w:t>
      </w:r>
      <w:r w:rsidR="0082299E">
        <w:t>g</w:t>
      </w:r>
      <w:r w:rsidR="00645548">
        <w:t xml:space="preserve">karaya and Beth Webster provided expert comments and technical advice. All errors remain the responsibility of the authors. </w:t>
      </w:r>
    </w:p>
    <w:p w14:paraId="66549548" w14:textId="77777777" w:rsidR="009F04CF" w:rsidRPr="009F04CF" w:rsidRDefault="009F04CF" w:rsidP="00B563A4">
      <w:pPr>
        <w:pStyle w:val="Text"/>
        <w:rPr>
          <w:rFonts w:eastAsia="Calibri"/>
        </w:rPr>
      </w:pPr>
      <w:r w:rsidRPr="009F04CF">
        <w:rPr>
          <w:rFonts w:eastAsia="Calibri"/>
        </w:rPr>
        <w:br w:type="page"/>
      </w:r>
    </w:p>
    <w:p w14:paraId="55EFDB8C" w14:textId="77777777" w:rsidR="009F04CF" w:rsidRPr="009F04CF" w:rsidRDefault="009F04CF" w:rsidP="00833C96">
      <w:pPr>
        <w:pStyle w:val="Heading1"/>
      </w:pPr>
      <w:r w:rsidRPr="009F04CF">
        <w:lastRenderedPageBreak/>
        <w:t xml:space="preserve">Introduction </w:t>
      </w:r>
      <w:r w:rsidR="00B563A4">
        <w:t>and summary of results</w:t>
      </w:r>
    </w:p>
    <w:p w14:paraId="6DC67561" w14:textId="77777777" w:rsidR="009F04CF" w:rsidRPr="003B2520" w:rsidRDefault="009F04CF" w:rsidP="003B2520">
      <w:pPr>
        <w:pStyle w:val="Text"/>
        <w:rPr>
          <w:rFonts w:eastAsia="Calibri"/>
        </w:rPr>
      </w:pPr>
      <w:r w:rsidRPr="003B2520">
        <w:rPr>
          <w:rFonts w:eastAsia="Calibri"/>
        </w:rPr>
        <w:t xml:space="preserve">This report was commissioned by the Australian Government Department of Industry, Innovation and Science with the objective of measuring the level of R&amp;D tax programme additionality in Australia. Additionality is the amount of additional R&amp;D investment firms undertake for every dollar of tax revenue forgone. </w:t>
      </w:r>
    </w:p>
    <w:p w14:paraId="7191FD2D" w14:textId="77777777" w:rsidR="009F04CF" w:rsidRPr="003B2520" w:rsidRDefault="009F04CF" w:rsidP="003B2520">
      <w:pPr>
        <w:pStyle w:val="Text"/>
        <w:rPr>
          <w:rFonts w:eastAsia="Calibri"/>
        </w:rPr>
      </w:pPr>
      <w:r w:rsidRPr="003B2520">
        <w:rPr>
          <w:rFonts w:eastAsia="Calibri"/>
        </w:rPr>
        <w:t xml:space="preserve">International evidence suggests business investment in research and development (R&amp;D) is responsive to tax subsidies. However, to date, evidence in the Australian context </w:t>
      </w:r>
      <w:r w:rsidR="006864C6">
        <w:rPr>
          <w:rFonts w:eastAsia="Calibri"/>
        </w:rPr>
        <w:t>has been</w:t>
      </w:r>
      <w:r w:rsidR="003A0F38" w:rsidRPr="003B2520">
        <w:rPr>
          <w:rFonts w:eastAsia="Calibri"/>
        </w:rPr>
        <w:t xml:space="preserve"> </w:t>
      </w:r>
      <w:r w:rsidRPr="003B2520">
        <w:rPr>
          <w:rFonts w:eastAsia="Calibri"/>
        </w:rPr>
        <w:t xml:space="preserve">lacking. The two most comprehensive statistical studies on the additionality of R&amp;D tax subsidies in Australia </w:t>
      </w:r>
      <w:r w:rsidR="006864C6">
        <w:rPr>
          <w:rFonts w:eastAsia="Calibri"/>
        </w:rPr>
        <w:t>were</w:t>
      </w:r>
      <w:r w:rsidRPr="003B2520">
        <w:rPr>
          <w:rFonts w:eastAsia="Calibri"/>
        </w:rPr>
        <w:t xml:space="preserve"> unable to identify any statistically significant effect of tax </w:t>
      </w:r>
      <w:r w:rsidR="006864C6">
        <w:rPr>
          <w:rFonts w:eastAsia="Calibri"/>
        </w:rPr>
        <w:t>subsidies</w:t>
      </w:r>
      <w:r w:rsidRPr="003B2520">
        <w:rPr>
          <w:rFonts w:eastAsia="Calibri"/>
        </w:rPr>
        <w:t xml:space="preserve"> on R&amp;D investment. These are Thomson (2010) and Bureau of Industry Economics (</w:t>
      </w:r>
      <w:r w:rsidR="00626BD0" w:rsidRPr="003B2520">
        <w:rPr>
          <w:rFonts w:eastAsia="Calibri"/>
        </w:rPr>
        <w:t>199</w:t>
      </w:r>
      <w:r w:rsidR="00DC56A5" w:rsidRPr="003B2520">
        <w:rPr>
          <w:rFonts w:eastAsia="Calibri"/>
        </w:rPr>
        <w:t>3</w:t>
      </w:r>
      <w:r w:rsidRPr="003B2520">
        <w:rPr>
          <w:rFonts w:eastAsia="Calibri"/>
        </w:rPr>
        <w:t xml:space="preserve">). </w:t>
      </w:r>
      <w:r w:rsidR="00EF4E68">
        <w:rPr>
          <w:rFonts w:eastAsia="Calibri"/>
        </w:rPr>
        <w:t xml:space="preserve">It has remained an open question as to whether </w:t>
      </w:r>
      <w:r w:rsidRPr="003B2520">
        <w:rPr>
          <w:rFonts w:eastAsia="Calibri"/>
        </w:rPr>
        <w:t>these findings reflect</w:t>
      </w:r>
      <w:r w:rsidR="00EF4E68">
        <w:rPr>
          <w:rFonts w:eastAsia="Calibri"/>
        </w:rPr>
        <w:t>ed</w:t>
      </w:r>
      <w:r w:rsidRPr="003B2520">
        <w:rPr>
          <w:rFonts w:eastAsia="Calibri"/>
        </w:rPr>
        <w:t xml:space="preserve"> shortcomings of the prior studies or some fundamental underlying structural feature of Australian industry or policy environment that renders tax policy less effective.</w:t>
      </w:r>
      <w:r w:rsidR="00EF4E68">
        <w:rPr>
          <w:rFonts w:eastAsia="Calibri"/>
        </w:rPr>
        <w:t xml:space="preserve"> The analysis presented in this report suggests the former and that in fact tax subsidies are effective in inducing additional R&amp;D investment by Australian firms. </w:t>
      </w:r>
    </w:p>
    <w:p w14:paraId="08AA999E" w14:textId="407BD5A5" w:rsidR="009F04CF" w:rsidRDefault="009F04CF" w:rsidP="00E77026">
      <w:pPr>
        <w:pStyle w:val="Text"/>
        <w:rPr>
          <w:rFonts w:eastAsia="Calibri"/>
        </w:rPr>
      </w:pPr>
      <w:r w:rsidRPr="00E77026">
        <w:rPr>
          <w:rFonts w:eastAsia="Calibri"/>
        </w:rPr>
        <w:t xml:space="preserve">The analysis presented </w:t>
      </w:r>
      <w:r w:rsidR="000823CF">
        <w:rPr>
          <w:rFonts w:eastAsia="Calibri"/>
        </w:rPr>
        <w:t>in this report</w:t>
      </w:r>
      <w:r w:rsidRPr="00E77026">
        <w:rPr>
          <w:rFonts w:eastAsia="Calibri"/>
        </w:rPr>
        <w:t xml:space="preserve"> uses new data </w:t>
      </w:r>
      <w:r w:rsidR="000823CF" w:rsidRPr="00E77026">
        <w:rPr>
          <w:rFonts w:eastAsia="Calibri"/>
        </w:rPr>
        <w:t>from the ABS Expanded Analytical Business Longitudinal Database (EABLD)</w:t>
      </w:r>
      <w:r w:rsidR="000823CF">
        <w:rPr>
          <w:rFonts w:eastAsia="Calibri"/>
        </w:rPr>
        <w:t>. The data is considerably more comprehensive than has been used in previous analysis on the same question.</w:t>
      </w:r>
      <w:r w:rsidR="008D5201" w:rsidRPr="00E77026">
        <w:rPr>
          <w:rFonts w:eastAsia="Calibri"/>
        </w:rPr>
        <w:t xml:space="preserve"> </w:t>
      </w:r>
      <w:r w:rsidR="000823CF">
        <w:rPr>
          <w:rFonts w:eastAsia="Calibri"/>
        </w:rPr>
        <w:t>T</w:t>
      </w:r>
      <w:r w:rsidR="000823CF" w:rsidRPr="00E77026">
        <w:rPr>
          <w:rFonts w:eastAsia="Calibri"/>
        </w:rPr>
        <w:t xml:space="preserve">he EABLD </w:t>
      </w:r>
      <w:r w:rsidR="000823CF">
        <w:rPr>
          <w:rFonts w:eastAsia="Calibri"/>
        </w:rPr>
        <w:t xml:space="preserve">allows us to analyse almost the entire </w:t>
      </w:r>
      <w:r w:rsidR="000823CF" w:rsidRPr="00E77026">
        <w:rPr>
          <w:rFonts w:eastAsia="Calibri"/>
        </w:rPr>
        <w:t>population of R&amp;D-active firms for the years 2005 to 2012.</w:t>
      </w:r>
      <w:r w:rsidR="00605AD0">
        <w:rPr>
          <w:rFonts w:eastAsia="Calibri"/>
        </w:rPr>
        <w:t xml:space="preserve"> Analysis considers both the R&amp;D Tax Concession and the R&amp;D Tax Incentive </w:t>
      </w:r>
      <w:r w:rsidR="00605AD0" w:rsidRPr="003B2520">
        <w:rPr>
          <w:rFonts w:eastAsia="Calibri"/>
        </w:rPr>
        <w:t>(which we jointly refer to as R&amp;D tax subsidies)</w:t>
      </w:r>
      <w:r w:rsidR="00605AD0">
        <w:rPr>
          <w:rFonts w:eastAsia="Calibri"/>
        </w:rPr>
        <w:t>.</w:t>
      </w:r>
      <w:r w:rsidR="000823CF">
        <w:rPr>
          <w:rFonts w:eastAsia="Calibri"/>
        </w:rPr>
        <w:t xml:space="preserve"> </w:t>
      </w:r>
      <w:r w:rsidR="00DC56A5" w:rsidRPr="00E77026">
        <w:rPr>
          <w:rFonts w:eastAsia="Calibri"/>
        </w:rPr>
        <w:t>This study would not have been possible without the ongoing and invaluable support from staff at the Australian Bureau of Statistics in developing this important data resource.</w:t>
      </w:r>
    </w:p>
    <w:p w14:paraId="13D3F607" w14:textId="77777777" w:rsidR="00A72A1D" w:rsidRPr="002E0BFA" w:rsidRDefault="00E77026" w:rsidP="00C74B08">
      <w:pPr>
        <w:pStyle w:val="Text"/>
        <w:rPr>
          <w:rFonts w:eastAsia="Calibri"/>
        </w:rPr>
      </w:pPr>
      <w:r w:rsidRPr="009F04CF">
        <w:rPr>
          <w:rFonts w:eastAsia="Calibri"/>
        </w:rPr>
        <w:t xml:space="preserve">The challenge of identifying the causal impact of R&amp;D tax subsidies arises because all </w:t>
      </w:r>
      <w:r w:rsidR="00A72A1D">
        <w:rPr>
          <w:rFonts w:eastAsia="Calibri"/>
        </w:rPr>
        <w:t>identical</w:t>
      </w:r>
      <w:r w:rsidRPr="009F04CF">
        <w:rPr>
          <w:rFonts w:eastAsia="Calibri"/>
        </w:rPr>
        <w:t xml:space="preserve"> firms can access the same benefit from the tax incentive policy. </w:t>
      </w:r>
      <w:r w:rsidR="00A72A1D">
        <w:rPr>
          <w:rFonts w:eastAsia="Calibri"/>
        </w:rPr>
        <w:t>Any statistical relationship between the benefits</w:t>
      </w:r>
      <w:r w:rsidR="00B368CB">
        <w:rPr>
          <w:rFonts w:eastAsia="Calibri"/>
        </w:rPr>
        <w:t xml:space="preserve"> a firm receives</w:t>
      </w:r>
      <w:r w:rsidR="00A72A1D">
        <w:rPr>
          <w:rFonts w:eastAsia="Calibri"/>
        </w:rPr>
        <w:t xml:space="preserve"> from </w:t>
      </w:r>
      <w:r w:rsidR="00B368CB">
        <w:rPr>
          <w:rFonts w:eastAsia="Calibri"/>
        </w:rPr>
        <w:t>subsidies</w:t>
      </w:r>
      <w:r w:rsidR="00A72A1D">
        <w:rPr>
          <w:rFonts w:eastAsia="Calibri"/>
        </w:rPr>
        <w:t xml:space="preserve"> and the amount of R&amp;D they perform tells us little about the effect of policy if the factors that determine </w:t>
      </w:r>
      <w:r w:rsidR="00A72A1D" w:rsidRPr="002E0BFA">
        <w:rPr>
          <w:rFonts w:eastAsia="Calibri"/>
        </w:rPr>
        <w:t>benefit</w:t>
      </w:r>
      <w:r w:rsidR="00B368CB">
        <w:rPr>
          <w:rFonts w:eastAsia="Calibri"/>
        </w:rPr>
        <w:t>s</w:t>
      </w:r>
      <w:r w:rsidR="00A72A1D" w:rsidRPr="002E0BFA">
        <w:rPr>
          <w:rFonts w:eastAsia="Calibri"/>
        </w:rPr>
        <w:t xml:space="preserve"> also influence their R&amp;D investment strategy.</w:t>
      </w:r>
      <w:r w:rsidR="00204B67" w:rsidRPr="002E0BFA">
        <w:rPr>
          <w:rFonts w:eastAsia="Calibri"/>
        </w:rPr>
        <w:t xml:space="preserve"> This problem is known as simultaneity.</w:t>
      </w:r>
      <w:r w:rsidR="00A72A1D" w:rsidRPr="002E0BFA">
        <w:rPr>
          <w:rFonts w:eastAsia="Calibri"/>
        </w:rPr>
        <w:t xml:space="preserve"> </w:t>
      </w:r>
      <w:r w:rsidR="00C74B08" w:rsidRPr="002E0BFA">
        <w:rPr>
          <w:rFonts w:eastAsia="Calibri"/>
        </w:rPr>
        <w:t>For example, firms which do not perform R&amp;D do not benefit from the schemes and therefore do not register. Th</w:t>
      </w:r>
      <w:r w:rsidR="00204B67" w:rsidRPr="002E0BFA">
        <w:rPr>
          <w:rFonts w:eastAsia="Calibri"/>
        </w:rPr>
        <w:t>e</w:t>
      </w:r>
      <w:r w:rsidR="00C74B08" w:rsidRPr="002E0BFA">
        <w:rPr>
          <w:rFonts w:eastAsia="Calibri"/>
        </w:rPr>
        <w:t xml:space="preserve"> </w:t>
      </w:r>
      <w:r w:rsidR="008567B8" w:rsidRPr="002E0BFA">
        <w:rPr>
          <w:rFonts w:eastAsia="Calibri"/>
        </w:rPr>
        <w:t xml:space="preserve">problem </w:t>
      </w:r>
      <w:r w:rsidR="00204B67" w:rsidRPr="002E0BFA">
        <w:rPr>
          <w:rFonts w:eastAsia="Calibri"/>
        </w:rPr>
        <w:t>of simultaneity is</w:t>
      </w:r>
      <w:r w:rsidR="008567B8" w:rsidRPr="002E0BFA">
        <w:rPr>
          <w:rFonts w:eastAsia="Calibri"/>
        </w:rPr>
        <w:t xml:space="preserve"> particularly acute for the R&amp;D Tax Concession policy </w:t>
      </w:r>
      <w:r w:rsidR="00135946">
        <w:rPr>
          <w:rFonts w:eastAsia="Calibri"/>
        </w:rPr>
        <w:t xml:space="preserve">where incremental expenditure over and above the previous </w:t>
      </w:r>
      <w:r w:rsidR="004A0FF6">
        <w:rPr>
          <w:rFonts w:eastAsia="Calibri"/>
        </w:rPr>
        <w:t>three-year</w:t>
      </w:r>
      <w:r w:rsidR="00135946">
        <w:rPr>
          <w:rFonts w:eastAsia="Calibri"/>
        </w:rPr>
        <w:t xml:space="preserve"> average </w:t>
      </w:r>
      <w:r w:rsidR="00C439C8">
        <w:rPr>
          <w:rFonts w:eastAsia="Calibri"/>
        </w:rPr>
        <w:t xml:space="preserve">was </w:t>
      </w:r>
      <w:r w:rsidR="00135946">
        <w:rPr>
          <w:rFonts w:eastAsia="Calibri"/>
        </w:rPr>
        <w:t>eligible for</w:t>
      </w:r>
      <w:r w:rsidR="00402978">
        <w:rPr>
          <w:rFonts w:eastAsia="Calibri"/>
        </w:rPr>
        <w:t xml:space="preserve"> a</w:t>
      </w:r>
      <w:r w:rsidR="00135946">
        <w:rPr>
          <w:rFonts w:eastAsia="Calibri"/>
        </w:rPr>
        <w:t xml:space="preserve"> bonus concessionary rate.</w:t>
      </w:r>
      <w:r w:rsidR="00B368CB">
        <w:rPr>
          <w:rFonts w:eastAsia="Calibri"/>
        </w:rPr>
        <w:t xml:space="preserve"> </w:t>
      </w:r>
    </w:p>
    <w:p w14:paraId="459223CA" w14:textId="77777777" w:rsidR="00C74B08" w:rsidRDefault="007B3344" w:rsidP="00C74B08">
      <w:pPr>
        <w:pStyle w:val="Text"/>
        <w:rPr>
          <w:rFonts w:eastAsia="Calibri"/>
        </w:rPr>
      </w:pPr>
      <w:r>
        <w:rPr>
          <w:rFonts w:eastAsia="Calibri"/>
        </w:rPr>
        <w:t>We</w:t>
      </w:r>
      <w:r w:rsidR="00605AD0">
        <w:rPr>
          <w:rFonts w:eastAsia="Calibri"/>
        </w:rPr>
        <w:t xml:space="preserve"> </w:t>
      </w:r>
      <w:r w:rsidR="00C74B08">
        <w:rPr>
          <w:rFonts w:eastAsia="Calibri"/>
        </w:rPr>
        <w:t xml:space="preserve">focus on the </w:t>
      </w:r>
      <w:r w:rsidR="00C74B08" w:rsidRPr="009F04CF">
        <w:rPr>
          <w:rFonts w:eastAsia="Calibri"/>
        </w:rPr>
        <w:t>intensive margin</w:t>
      </w:r>
      <w:r w:rsidR="00402978">
        <w:rPr>
          <w:rFonts w:eastAsia="Calibri"/>
        </w:rPr>
        <w:t>,</w:t>
      </w:r>
      <w:r w:rsidR="00C74B08">
        <w:rPr>
          <w:rFonts w:eastAsia="Calibri"/>
        </w:rPr>
        <w:t xml:space="preserve"> which is to ask</w:t>
      </w:r>
      <w:r w:rsidR="005B0A46">
        <w:rPr>
          <w:rFonts w:eastAsia="Calibri"/>
        </w:rPr>
        <w:t>:</w:t>
      </w:r>
      <w:r w:rsidR="00C74B08">
        <w:rPr>
          <w:rFonts w:eastAsia="Calibri"/>
        </w:rPr>
        <w:t xml:space="preserve"> given that a firm invests in R&amp;D, do tax subsidies influence the amount of R&amp;D they </w:t>
      </w:r>
      <w:r w:rsidR="005B0A46">
        <w:rPr>
          <w:rFonts w:eastAsia="Calibri"/>
        </w:rPr>
        <w:t>perform</w:t>
      </w:r>
      <w:r w:rsidR="00C74B08">
        <w:rPr>
          <w:rFonts w:eastAsia="Calibri"/>
        </w:rPr>
        <w:t xml:space="preserve">? In principle, </w:t>
      </w:r>
      <w:r w:rsidR="00C74B08" w:rsidRPr="009F04CF">
        <w:rPr>
          <w:rFonts w:eastAsia="Calibri"/>
        </w:rPr>
        <w:t xml:space="preserve">R&amp;D tax incentives </w:t>
      </w:r>
      <w:r w:rsidR="00C74B08">
        <w:rPr>
          <w:rFonts w:eastAsia="Calibri"/>
        </w:rPr>
        <w:t xml:space="preserve">might also </w:t>
      </w:r>
      <w:r w:rsidR="00C74B08" w:rsidRPr="009F04CF">
        <w:rPr>
          <w:rFonts w:eastAsia="Calibri"/>
        </w:rPr>
        <w:t>impact on firms</w:t>
      </w:r>
      <w:r w:rsidR="00C74B08">
        <w:rPr>
          <w:rFonts w:eastAsia="Calibri"/>
          <w:lang w:val="en-US"/>
        </w:rPr>
        <w:t>’</w:t>
      </w:r>
      <w:r w:rsidR="00C74B08">
        <w:rPr>
          <w:rFonts w:eastAsia="Calibri"/>
        </w:rPr>
        <w:t xml:space="preserve"> decision whether or not to do any </w:t>
      </w:r>
      <w:r w:rsidR="00C74B08" w:rsidRPr="009F04CF">
        <w:rPr>
          <w:rFonts w:eastAsia="Calibri"/>
        </w:rPr>
        <w:t>R&amp;D (calle</w:t>
      </w:r>
      <w:r w:rsidR="00062211">
        <w:rPr>
          <w:rFonts w:eastAsia="Calibri"/>
        </w:rPr>
        <w:t xml:space="preserve">d the </w:t>
      </w:r>
      <w:r w:rsidR="001F6DAC">
        <w:rPr>
          <w:rFonts w:eastAsia="Calibri"/>
        </w:rPr>
        <w:t>extensive margin) but this is not assessed here. We present four sta</w:t>
      </w:r>
      <w:r w:rsidR="002E0BFA">
        <w:rPr>
          <w:rFonts w:eastAsia="Calibri"/>
        </w:rPr>
        <w:t xml:space="preserve">tistical approaches, presented in </w:t>
      </w:r>
      <w:r w:rsidR="001F6DAC">
        <w:rPr>
          <w:rFonts w:eastAsia="Calibri"/>
        </w:rPr>
        <w:t xml:space="preserve">decreasing order of how onerous the assumptions required for causal </w:t>
      </w:r>
      <w:r w:rsidR="001F6DAC">
        <w:rPr>
          <w:rFonts w:eastAsia="Calibri"/>
        </w:rPr>
        <w:lastRenderedPageBreak/>
        <w:t>interpretation</w:t>
      </w:r>
      <w:r w:rsidR="00402978">
        <w:rPr>
          <w:rFonts w:eastAsia="Calibri"/>
        </w:rPr>
        <w:t xml:space="preserve"> are</w:t>
      </w:r>
      <w:r w:rsidR="001F6DAC">
        <w:rPr>
          <w:rFonts w:eastAsia="Calibri"/>
        </w:rPr>
        <w:t xml:space="preserve">. </w:t>
      </w:r>
      <w:r w:rsidR="00B23178">
        <w:rPr>
          <w:rFonts w:eastAsia="Calibri"/>
        </w:rPr>
        <w:t>These are ordinary least squares</w:t>
      </w:r>
      <w:r w:rsidR="005B0A46">
        <w:rPr>
          <w:rFonts w:eastAsia="Calibri"/>
        </w:rPr>
        <w:t>;</w:t>
      </w:r>
      <w:r w:rsidR="00B23178">
        <w:rPr>
          <w:rFonts w:eastAsia="Calibri"/>
        </w:rPr>
        <w:t xml:space="preserve"> propensity score matching</w:t>
      </w:r>
      <w:r w:rsidR="005B0A46">
        <w:rPr>
          <w:rFonts w:eastAsia="Calibri"/>
        </w:rPr>
        <w:t>;</w:t>
      </w:r>
      <w:r w:rsidR="00B23178">
        <w:rPr>
          <w:rFonts w:eastAsia="Calibri"/>
        </w:rPr>
        <w:t xml:space="preserve"> </w:t>
      </w:r>
      <w:r w:rsidR="007917BA">
        <w:rPr>
          <w:rFonts w:eastAsia="Calibri"/>
        </w:rPr>
        <w:t>d</w:t>
      </w:r>
      <w:r w:rsidR="00B23178">
        <w:rPr>
          <w:rFonts w:eastAsia="Calibri"/>
        </w:rPr>
        <w:t>ifference-in-difference</w:t>
      </w:r>
      <w:r w:rsidR="005B0A46">
        <w:rPr>
          <w:rFonts w:eastAsia="Calibri"/>
        </w:rPr>
        <w:t>;</w:t>
      </w:r>
      <w:r w:rsidR="00B23178">
        <w:rPr>
          <w:rFonts w:eastAsia="Calibri"/>
        </w:rPr>
        <w:t xml:space="preserve"> and regression discontinuity design. The statistical approaches allow us to estimate the average effect of policy on those affected (i.e., treatment effect on the treated). We then undertake simple counterfactual analysis to estimate the additionality implied by the treatment affect. </w:t>
      </w:r>
    </w:p>
    <w:p w14:paraId="1273CD89" w14:textId="582B7635" w:rsidR="009F04CF" w:rsidRPr="002E0BFA" w:rsidRDefault="00062211" w:rsidP="002E0BFA">
      <w:pPr>
        <w:pStyle w:val="Text"/>
        <w:rPr>
          <w:rFonts w:eastAsia="Calibri"/>
        </w:rPr>
      </w:pPr>
      <w:r w:rsidRPr="002E0BFA">
        <w:rPr>
          <w:rFonts w:eastAsia="Calibri"/>
        </w:rPr>
        <w:t>W</w:t>
      </w:r>
      <w:r w:rsidR="002C13AF" w:rsidRPr="002E0BFA">
        <w:rPr>
          <w:rFonts w:eastAsia="Calibri"/>
        </w:rPr>
        <w:t xml:space="preserve">e </w:t>
      </w:r>
      <w:r w:rsidRPr="002E0BFA">
        <w:rPr>
          <w:rFonts w:eastAsia="Calibri"/>
        </w:rPr>
        <w:t xml:space="preserve">first </w:t>
      </w:r>
      <w:r w:rsidR="002C13AF" w:rsidRPr="002E0BFA">
        <w:rPr>
          <w:rFonts w:eastAsia="Calibri"/>
        </w:rPr>
        <w:t xml:space="preserve">use statistical approaches </w:t>
      </w:r>
      <w:r w:rsidR="00A72A1D" w:rsidRPr="002E0BFA">
        <w:rPr>
          <w:rFonts w:eastAsia="Calibri"/>
        </w:rPr>
        <w:t xml:space="preserve">to compare </w:t>
      </w:r>
      <w:r w:rsidR="002C13AF" w:rsidRPr="002E0BFA">
        <w:rPr>
          <w:rFonts w:eastAsia="Calibri"/>
        </w:rPr>
        <w:t>R&amp;D active firm</w:t>
      </w:r>
      <w:r w:rsidR="00A72A1D" w:rsidRPr="002E0BFA">
        <w:rPr>
          <w:rFonts w:eastAsia="Calibri"/>
        </w:rPr>
        <w:t>s</w:t>
      </w:r>
      <w:r w:rsidR="002C13AF" w:rsidRPr="002E0BFA">
        <w:rPr>
          <w:rFonts w:eastAsia="Calibri"/>
        </w:rPr>
        <w:t xml:space="preserve"> </w:t>
      </w:r>
      <w:r w:rsidR="00A72A1D" w:rsidRPr="002E0BFA">
        <w:rPr>
          <w:rFonts w:eastAsia="Calibri"/>
        </w:rPr>
        <w:t xml:space="preserve">that </w:t>
      </w:r>
      <w:r w:rsidR="002F6142">
        <w:rPr>
          <w:rFonts w:eastAsia="Calibri"/>
        </w:rPr>
        <w:t>claim</w:t>
      </w:r>
      <w:r w:rsidR="002C13AF" w:rsidRPr="002E0BFA">
        <w:rPr>
          <w:rFonts w:eastAsia="Calibri"/>
        </w:rPr>
        <w:t xml:space="preserve"> R</w:t>
      </w:r>
      <w:r w:rsidR="005B0A46">
        <w:rPr>
          <w:rFonts w:eastAsia="Calibri"/>
        </w:rPr>
        <w:t>&amp;</w:t>
      </w:r>
      <w:r w:rsidR="00B368CB">
        <w:rPr>
          <w:rFonts w:eastAsia="Calibri"/>
        </w:rPr>
        <w:t>D t</w:t>
      </w:r>
      <w:r w:rsidR="002C13AF" w:rsidRPr="002E0BFA">
        <w:rPr>
          <w:rFonts w:eastAsia="Calibri"/>
        </w:rPr>
        <w:t xml:space="preserve">ax subsidies </w:t>
      </w:r>
      <w:r w:rsidR="00A72A1D" w:rsidRPr="002E0BFA">
        <w:rPr>
          <w:rFonts w:eastAsia="Calibri"/>
        </w:rPr>
        <w:t xml:space="preserve">with </w:t>
      </w:r>
      <w:r w:rsidR="002C13AF" w:rsidRPr="002E0BFA">
        <w:rPr>
          <w:rFonts w:eastAsia="Calibri"/>
        </w:rPr>
        <w:t xml:space="preserve">‘similar’ R&amp;D active firms which </w:t>
      </w:r>
      <w:r w:rsidR="002F6142">
        <w:rPr>
          <w:rFonts w:eastAsia="Calibri"/>
        </w:rPr>
        <w:t xml:space="preserve">do not claim subsidies. </w:t>
      </w:r>
      <w:r w:rsidR="00DD1D43" w:rsidRPr="002E0BFA">
        <w:rPr>
          <w:rFonts w:eastAsia="Calibri"/>
        </w:rPr>
        <w:t>Using</w:t>
      </w:r>
      <w:r w:rsidR="002C13AF" w:rsidRPr="002E0BFA">
        <w:rPr>
          <w:rFonts w:eastAsia="Calibri"/>
        </w:rPr>
        <w:t xml:space="preserve"> ordinary least squares and matching </w:t>
      </w:r>
      <w:r w:rsidR="00605AD0" w:rsidRPr="00135946">
        <w:rPr>
          <w:rFonts w:eastAsia="Calibri"/>
        </w:rPr>
        <w:t xml:space="preserve">estimators </w:t>
      </w:r>
      <w:r w:rsidR="002C13AF" w:rsidRPr="00135946">
        <w:rPr>
          <w:rFonts w:eastAsia="Calibri"/>
        </w:rPr>
        <w:t>to control for observable firm attributes including</w:t>
      </w:r>
      <w:r w:rsidR="00C74B08" w:rsidRPr="00135946">
        <w:rPr>
          <w:rFonts w:eastAsia="Calibri"/>
        </w:rPr>
        <w:t xml:space="preserve"> industry, company</w:t>
      </w:r>
      <w:r w:rsidR="002C13AF" w:rsidRPr="00135946">
        <w:rPr>
          <w:rFonts w:eastAsia="Calibri"/>
        </w:rPr>
        <w:t xml:space="preserve"> turnover, wage bill and </w:t>
      </w:r>
      <w:r w:rsidR="00C74B08" w:rsidRPr="00135946">
        <w:rPr>
          <w:rFonts w:eastAsia="Calibri"/>
        </w:rPr>
        <w:t xml:space="preserve">any </w:t>
      </w:r>
      <w:r w:rsidR="002C13AF" w:rsidRPr="00135946">
        <w:rPr>
          <w:rFonts w:eastAsia="Calibri"/>
        </w:rPr>
        <w:t>benefits from government R&amp;D grants</w:t>
      </w:r>
      <w:r w:rsidR="005B0A46" w:rsidRPr="00135946">
        <w:rPr>
          <w:rFonts w:eastAsia="Calibri"/>
        </w:rPr>
        <w:t>,</w:t>
      </w:r>
      <w:r w:rsidR="00DD1D43" w:rsidRPr="00135946">
        <w:rPr>
          <w:rFonts w:eastAsia="Calibri"/>
        </w:rPr>
        <w:t xml:space="preserve"> we find that </w:t>
      </w:r>
      <w:r w:rsidR="005B0A46" w:rsidRPr="00135946">
        <w:rPr>
          <w:rFonts w:eastAsia="Calibri"/>
        </w:rPr>
        <w:t xml:space="preserve">claiming </w:t>
      </w:r>
      <w:r w:rsidR="00DD1D43" w:rsidRPr="00135946">
        <w:rPr>
          <w:rFonts w:eastAsia="Calibri"/>
        </w:rPr>
        <w:t>f</w:t>
      </w:r>
      <w:r w:rsidR="002C13AF" w:rsidRPr="00135946">
        <w:rPr>
          <w:rFonts w:eastAsia="Calibri"/>
        </w:rPr>
        <w:t xml:space="preserve">irms invest around </w:t>
      </w:r>
      <w:r w:rsidR="00135946" w:rsidRPr="00135946">
        <w:rPr>
          <w:rFonts w:eastAsia="Calibri"/>
        </w:rPr>
        <w:t>40</w:t>
      </w:r>
      <w:r w:rsidR="00F426A9" w:rsidRPr="00135946">
        <w:rPr>
          <w:rFonts w:eastAsia="Calibri"/>
        </w:rPr>
        <w:t xml:space="preserve"> per</w:t>
      </w:r>
      <w:r w:rsidR="005B0A46">
        <w:rPr>
          <w:rFonts w:eastAsia="Calibri"/>
        </w:rPr>
        <w:t xml:space="preserve"> </w:t>
      </w:r>
      <w:r w:rsidR="00F426A9" w:rsidRPr="002E0BFA">
        <w:rPr>
          <w:rFonts w:eastAsia="Calibri"/>
        </w:rPr>
        <w:t xml:space="preserve">cent </w:t>
      </w:r>
      <w:r w:rsidR="002C13AF" w:rsidRPr="002E0BFA">
        <w:rPr>
          <w:rFonts w:eastAsia="Calibri"/>
        </w:rPr>
        <w:t xml:space="preserve">more R&amp;D than ‘similar’ firms which </w:t>
      </w:r>
      <w:r w:rsidR="00DD1D43" w:rsidRPr="002E0BFA">
        <w:rPr>
          <w:rFonts w:eastAsia="Calibri"/>
        </w:rPr>
        <w:t>are not registered to receive the subsidies</w:t>
      </w:r>
      <w:r w:rsidR="002C13AF" w:rsidRPr="002E0BFA">
        <w:rPr>
          <w:rFonts w:eastAsia="Calibri"/>
        </w:rPr>
        <w:t xml:space="preserve">. This translates to an additionality of approximately </w:t>
      </w:r>
      <w:r w:rsidR="002C13AF" w:rsidRPr="006864C6">
        <w:rPr>
          <w:rFonts w:eastAsia="Calibri"/>
        </w:rPr>
        <w:t>$</w:t>
      </w:r>
      <w:r w:rsidR="00605AD0" w:rsidRPr="002E0BFA">
        <w:rPr>
          <w:rFonts w:eastAsia="Calibri"/>
        </w:rPr>
        <w:t>0.</w:t>
      </w:r>
      <w:r w:rsidR="005D074E">
        <w:rPr>
          <w:rFonts w:eastAsia="Calibri"/>
        </w:rPr>
        <w:t>8</w:t>
      </w:r>
      <w:r w:rsidR="00605AD0" w:rsidRPr="002E0BFA">
        <w:rPr>
          <w:rFonts w:eastAsia="Calibri"/>
        </w:rPr>
        <w:t>-1.</w:t>
      </w:r>
      <w:r w:rsidR="005D074E">
        <w:rPr>
          <w:rFonts w:eastAsia="Calibri"/>
        </w:rPr>
        <w:t>7</w:t>
      </w:r>
      <w:r w:rsidR="002C13AF" w:rsidRPr="002E0BFA">
        <w:rPr>
          <w:rFonts w:eastAsia="Calibri"/>
        </w:rPr>
        <w:t xml:space="preserve"> for every dollar of tax revenue forgone. </w:t>
      </w:r>
      <w:r w:rsidR="00DD1D43" w:rsidRPr="002E0BFA">
        <w:rPr>
          <w:rFonts w:eastAsia="Calibri"/>
        </w:rPr>
        <w:t>This estimate</w:t>
      </w:r>
      <w:r w:rsidR="002C13AF" w:rsidRPr="002E0BFA">
        <w:rPr>
          <w:rFonts w:eastAsia="Calibri"/>
        </w:rPr>
        <w:t xml:space="preserve"> can only be interpreted as the causal impact of tax policy if we assume that there are no unobservable factors that determine both R&amp;D investment and also firms’ registration status. </w:t>
      </w:r>
      <w:r w:rsidR="002C13AF" w:rsidRPr="002F6142">
        <w:rPr>
          <w:rFonts w:eastAsia="Calibri"/>
          <w:i/>
        </w:rPr>
        <w:t>A priori</w:t>
      </w:r>
      <w:r w:rsidR="002C13AF" w:rsidRPr="002E0BFA">
        <w:rPr>
          <w:rFonts w:eastAsia="Calibri"/>
        </w:rPr>
        <w:t xml:space="preserve"> this assumption is plausible</w:t>
      </w:r>
      <w:r w:rsidR="00780648">
        <w:rPr>
          <w:rFonts w:eastAsia="Calibri"/>
        </w:rPr>
        <w:t>,</w:t>
      </w:r>
      <w:r w:rsidR="002C13AF" w:rsidRPr="002E0BFA">
        <w:rPr>
          <w:rFonts w:eastAsia="Calibri"/>
        </w:rPr>
        <w:t xml:space="preserve"> but it is</w:t>
      </w:r>
      <w:r w:rsidR="00605AD0" w:rsidRPr="002E0BFA">
        <w:rPr>
          <w:rFonts w:eastAsia="Calibri"/>
        </w:rPr>
        <w:t xml:space="preserve"> certainly</w:t>
      </w:r>
      <w:r w:rsidR="002C13AF" w:rsidRPr="002E0BFA">
        <w:rPr>
          <w:rFonts w:eastAsia="Calibri"/>
        </w:rPr>
        <w:t xml:space="preserve"> not possible to rule out the possibility that </w:t>
      </w:r>
      <w:r w:rsidR="00605AD0" w:rsidRPr="002E0BFA">
        <w:rPr>
          <w:rFonts w:eastAsia="Calibri"/>
        </w:rPr>
        <w:t xml:space="preserve">such unobservable factors exist. </w:t>
      </w:r>
      <w:r w:rsidR="008A6B6E" w:rsidRPr="002E0BFA">
        <w:rPr>
          <w:rFonts w:eastAsia="Calibri"/>
        </w:rPr>
        <w:t>Approximately 22</w:t>
      </w:r>
      <w:r w:rsidR="00B563A4" w:rsidRPr="002E0BFA">
        <w:rPr>
          <w:rFonts w:eastAsia="Calibri"/>
        </w:rPr>
        <w:t xml:space="preserve"> per</w:t>
      </w:r>
      <w:r w:rsidR="007917BA">
        <w:rPr>
          <w:rFonts w:eastAsia="Calibri"/>
        </w:rPr>
        <w:t xml:space="preserve"> </w:t>
      </w:r>
      <w:r w:rsidR="00B563A4" w:rsidRPr="002E0BFA">
        <w:rPr>
          <w:rFonts w:eastAsia="Calibri"/>
        </w:rPr>
        <w:t>cent of R&amp;D active firms</w:t>
      </w:r>
      <w:r w:rsidR="008A6B6E" w:rsidRPr="002E0BFA">
        <w:rPr>
          <w:rFonts w:eastAsia="Calibri"/>
        </w:rPr>
        <w:t xml:space="preserve"> do not claim an R&amp;D tax subsidy. </w:t>
      </w:r>
      <w:r w:rsidR="00B563A4" w:rsidRPr="002E0BFA">
        <w:rPr>
          <w:rFonts w:eastAsia="Calibri"/>
        </w:rPr>
        <w:t>Companies not claiming are either unaware or ineligible</w:t>
      </w:r>
      <w:r w:rsidR="008A6B6E" w:rsidRPr="002E0BFA">
        <w:rPr>
          <w:rFonts w:eastAsia="Calibri"/>
        </w:rPr>
        <w:t xml:space="preserve">. For example, they may </w:t>
      </w:r>
      <w:r w:rsidR="00B563A4" w:rsidRPr="002E0BFA">
        <w:rPr>
          <w:rFonts w:eastAsia="Calibri"/>
        </w:rPr>
        <w:t xml:space="preserve">perform ineligible R&amp;D activities, perform R&amp;D for other Australian firms, or their R&amp;D </w:t>
      </w:r>
      <w:r w:rsidR="001B225E">
        <w:rPr>
          <w:rFonts w:eastAsia="Calibri"/>
        </w:rPr>
        <w:t xml:space="preserve">may be </w:t>
      </w:r>
      <w:r w:rsidR="00B563A4" w:rsidRPr="002E0BFA">
        <w:rPr>
          <w:rFonts w:eastAsia="Calibri"/>
        </w:rPr>
        <w:t xml:space="preserve">financed </w:t>
      </w:r>
      <w:r w:rsidR="001B225E">
        <w:rPr>
          <w:rFonts w:eastAsia="Calibri"/>
        </w:rPr>
        <w:t>by</w:t>
      </w:r>
      <w:r w:rsidR="001B225E" w:rsidRPr="002E0BFA">
        <w:rPr>
          <w:rFonts w:eastAsia="Calibri"/>
        </w:rPr>
        <w:t xml:space="preserve"> </w:t>
      </w:r>
      <w:r w:rsidR="00B563A4" w:rsidRPr="002E0BFA">
        <w:rPr>
          <w:rFonts w:eastAsia="Calibri"/>
        </w:rPr>
        <w:t xml:space="preserve">other forms of government support and hence is ineligible for the scheme benefits. </w:t>
      </w:r>
    </w:p>
    <w:p w14:paraId="7FA0A961" w14:textId="77777777" w:rsidR="00DD1D43" w:rsidRPr="002E0BFA" w:rsidRDefault="00062211" w:rsidP="002E0BFA">
      <w:pPr>
        <w:pStyle w:val="Text"/>
        <w:rPr>
          <w:rFonts w:eastAsia="Calibri"/>
        </w:rPr>
      </w:pPr>
      <w:r w:rsidRPr="002E0BFA">
        <w:rPr>
          <w:rFonts w:eastAsia="Calibri"/>
        </w:rPr>
        <w:t xml:space="preserve">The introduction of the R&amp;D Tax Incentive policy in 2012 provides an opportunity to undertake difference-in-difference analysis which is a stronger basis for establishing causality. </w:t>
      </w:r>
      <w:r w:rsidR="00DD1D43" w:rsidRPr="002E0BFA">
        <w:rPr>
          <w:rFonts w:eastAsia="Calibri"/>
        </w:rPr>
        <w:t xml:space="preserve">Difference-in-difference </w:t>
      </w:r>
      <w:r w:rsidR="00AE3AC7" w:rsidRPr="002E0BFA">
        <w:rPr>
          <w:rFonts w:eastAsia="Calibri"/>
        </w:rPr>
        <w:t xml:space="preserve">estimators </w:t>
      </w:r>
      <w:r w:rsidR="00DD1D43" w:rsidRPr="002E0BFA">
        <w:rPr>
          <w:rFonts w:eastAsia="Calibri"/>
        </w:rPr>
        <w:t xml:space="preserve">do not rely on the assumption that </w:t>
      </w:r>
      <w:r w:rsidR="00AE3AC7" w:rsidRPr="002E0BFA">
        <w:rPr>
          <w:rFonts w:eastAsia="Calibri"/>
        </w:rPr>
        <w:t xml:space="preserve">there are </w:t>
      </w:r>
      <w:r w:rsidR="00DD1D43" w:rsidRPr="002E0BFA">
        <w:rPr>
          <w:rFonts w:eastAsia="Calibri"/>
        </w:rPr>
        <w:t xml:space="preserve">no </w:t>
      </w:r>
      <w:r w:rsidR="000756B2">
        <w:rPr>
          <w:rFonts w:eastAsia="Calibri"/>
        </w:rPr>
        <w:t>unobservable</w:t>
      </w:r>
      <w:r w:rsidR="000756B2" w:rsidRPr="002E0BFA">
        <w:rPr>
          <w:rFonts w:eastAsia="Calibri"/>
        </w:rPr>
        <w:t xml:space="preserve"> </w:t>
      </w:r>
      <w:r w:rsidR="00DD1D43" w:rsidRPr="002E0BFA">
        <w:rPr>
          <w:rFonts w:eastAsia="Calibri"/>
        </w:rPr>
        <w:t xml:space="preserve">factors </w:t>
      </w:r>
      <w:r w:rsidR="000756B2">
        <w:rPr>
          <w:rFonts w:eastAsia="Calibri"/>
        </w:rPr>
        <w:t xml:space="preserve">that </w:t>
      </w:r>
      <w:r w:rsidR="00DD1D43" w:rsidRPr="002E0BFA">
        <w:rPr>
          <w:rFonts w:eastAsia="Calibri"/>
        </w:rPr>
        <w:t xml:space="preserve">determine both selection and R&amp;D investment. Instead, difference-in-difference is based on </w:t>
      </w:r>
      <w:r w:rsidR="00AE3AC7" w:rsidRPr="002E0BFA">
        <w:rPr>
          <w:rFonts w:eastAsia="Calibri"/>
        </w:rPr>
        <w:t>what is known as the ‘parallel trends assumption’. The parallel trend</w:t>
      </w:r>
      <w:r w:rsidR="00402978">
        <w:rPr>
          <w:rFonts w:eastAsia="Calibri"/>
        </w:rPr>
        <w:t>s</w:t>
      </w:r>
      <w:r w:rsidR="00AE3AC7" w:rsidRPr="002E0BFA">
        <w:rPr>
          <w:rFonts w:eastAsia="Calibri"/>
        </w:rPr>
        <w:t xml:space="preserve"> assumption states that,</w:t>
      </w:r>
      <w:r w:rsidR="00DD1D43" w:rsidRPr="002E0BFA">
        <w:rPr>
          <w:rFonts w:eastAsia="Calibri"/>
        </w:rPr>
        <w:t xml:space="preserve"> </w:t>
      </w:r>
      <w:r w:rsidR="00AE3AC7" w:rsidRPr="002E0BFA">
        <w:rPr>
          <w:rFonts w:eastAsia="Calibri"/>
        </w:rPr>
        <w:t>even though</w:t>
      </w:r>
      <w:r w:rsidR="00DD1D43" w:rsidRPr="002E0BFA">
        <w:rPr>
          <w:rFonts w:eastAsia="Calibri"/>
        </w:rPr>
        <w:t xml:space="preserve"> </w:t>
      </w:r>
      <w:r w:rsidR="00135946">
        <w:rPr>
          <w:rFonts w:eastAsia="Calibri"/>
        </w:rPr>
        <w:t>claiming</w:t>
      </w:r>
      <w:r w:rsidR="00135946" w:rsidRPr="002E0BFA">
        <w:rPr>
          <w:rFonts w:eastAsia="Calibri"/>
        </w:rPr>
        <w:t xml:space="preserve"> </w:t>
      </w:r>
      <w:r w:rsidR="00DD1D43" w:rsidRPr="002E0BFA">
        <w:rPr>
          <w:rFonts w:eastAsia="Calibri"/>
        </w:rPr>
        <w:t>and non-</w:t>
      </w:r>
      <w:r w:rsidR="00135946">
        <w:rPr>
          <w:rFonts w:eastAsia="Calibri"/>
        </w:rPr>
        <w:t>claiming</w:t>
      </w:r>
      <w:r w:rsidR="00135946" w:rsidRPr="002E0BFA">
        <w:rPr>
          <w:rFonts w:eastAsia="Calibri"/>
        </w:rPr>
        <w:t xml:space="preserve"> </w:t>
      </w:r>
      <w:r w:rsidR="00DD1D43" w:rsidRPr="002E0BFA">
        <w:rPr>
          <w:rFonts w:eastAsia="Calibri"/>
        </w:rPr>
        <w:t>firms</w:t>
      </w:r>
      <w:r w:rsidRPr="002E0BFA">
        <w:rPr>
          <w:rFonts w:eastAsia="Calibri"/>
        </w:rPr>
        <w:t xml:space="preserve"> </w:t>
      </w:r>
      <w:r w:rsidR="00DD1D43" w:rsidRPr="002E0BFA">
        <w:rPr>
          <w:rFonts w:eastAsia="Calibri"/>
        </w:rPr>
        <w:t xml:space="preserve">exhibit </w:t>
      </w:r>
      <w:r w:rsidR="00AE3AC7" w:rsidRPr="002E0BFA">
        <w:rPr>
          <w:rFonts w:eastAsia="Calibri"/>
        </w:rPr>
        <w:t xml:space="preserve">a </w:t>
      </w:r>
      <w:r w:rsidR="00DD1D43" w:rsidRPr="002E0BFA">
        <w:rPr>
          <w:rFonts w:eastAsia="Calibri"/>
        </w:rPr>
        <w:t xml:space="preserve">different </w:t>
      </w:r>
      <w:r w:rsidR="00AE3AC7" w:rsidRPr="002E0BFA">
        <w:rPr>
          <w:rFonts w:eastAsia="Calibri"/>
        </w:rPr>
        <w:t xml:space="preserve">level of </w:t>
      </w:r>
      <w:r w:rsidR="00DD1D43" w:rsidRPr="002E0BFA">
        <w:rPr>
          <w:rFonts w:eastAsia="Calibri"/>
        </w:rPr>
        <w:t>R&amp;D investment</w:t>
      </w:r>
      <w:r w:rsidRPr="002E0BFA">
        <w:rPr>
          <w:rFonts w:eastAsia="Calibri"/>
        </w:rPr>
        <w:t xml:space="preserve"> (and this may be driven by unobserved factors that determine the decision to </w:t>
      </w:r>
      <w:r w:rsidR="00135946">
        <w:rPr>
          <w:rFonts w:eastAsia="Calibri"/>
        </w:rPr>
        <w:t>claim</w:t>
      </w:r>
      <w:r w:rsidRPr="002E0BFA">
        <w:rPr>
          <w:rFonts w:eastAsia="Calibri"/>
        </w:rPr>
        <w:t xml:space="preserve">) it is plausible that they </w:t>
      </w:r>
      <w:r w:rsidR="00AE3AC7" w:rsidRPr="002E0BFA">
        <w:rPr>
          <w:rFonts w:eastAsia="Calibri"/>
        </w:rPr>
        <w:t xml:space="preserve">exhibit the same trend over time. I.e., </w:t>
      </w:r>
      <w:r w:rsidRPr="002E0BFA">
        <w:rPr>
          <w:rFonts w:eastAsia="Calibri"/>
        </w:rPr>
        <w:t xml:space="preserve">the assumption is that R&amp;D investment by </w:t>
      </w:r>
      <w:r w:rsidR="00780648">
        <w:rPr>
          <w:rFonts w:eastAsia="Calibri"/>
        </w:rPr>
        <w:t>claiming</w:t>
      </w:r>
      <w:r w:rsidRPr="002E0BFA">
        <w:rPr>
          <w:rFonts w:eastAsia="Calibri"/>
        </w:rPr>
        <w:t xml:space="preserve"> and non-</w:t>
      </w:r>
      <w:r w:rsidR="00780648">
        <w:rPr>
          <w:rFonts w:eastAsia="Calibri"/>
        </w:rPr>
        <w:t>claiming</w:t>
      </w:r>
      <w:r w:rsidRPr="002E0BFA">
        <w:rPr>
          <w:rFonts w:eastAsia="Calibri"/>
        </w:rPr>
        <w:t xml:space="preserve"> firms </w:t>
      </w:r>
      <w:r w:rsidR="00AE3AC7" w:rsidRPr="002E0BFA">
        <w:rPr>
          <w:rFonts w:eastAsia="Calibri"/>
        </w:rPr>
        <w:t>move in</w:t>
      </w:r>
      <w:r w:rsidR="00DD1D43" w:rsidRPr="002E0BFA">
        <w:rPr>
          <w:rFonts w:eastAsia="Calibri"/>
        </w:rPr>
        <w:t xml:space="preserve"> parallel</w:t>
      </w:r>
      <w:r w:rsidR="00AE3AC7" w:rsidRPr="002E0BFA">
        <w:rPr>
          <w:rFonts w:eastAsia="Calibri"/>
        </w:rPr>
        <w:t xml:space="preserve"> over time</w:t>
      </w:r>
      <w:r w:rsidR="00DD1D43" w:rsidRPr="002E0BFA">
        <w:rPr>
          <w:rFonts w:eastAsia="Calibri"/>
        </w:rPr>
        <w:t xml:space="preserve"> </w:t>
      </w:r>
      <w:r w:rsidR="00AE3AC7" w:rsidRPr="002E0BFA">
        <w:rPr>
          <w:rFonts w:eastAsia="Calibri"/>
        </w:rPr>
        <w:t>because they are subject to the same macro-economic conditions</w:t>
      </w:r>
      <w:r w:rsidR="00DD1D43" w:rsidRPr="002E0BFA">
        <w:rPr>
          <w:rFonts w:eastAsia="Calibri"/>
        </w:rPr>
        <w:t xml:space="preserve">. </w:t>
      </w:r>
      <w:r w:rsidR="00AE3AC7" w:rsidRPr="002E0BFA">
        <w:rPr>
          <w:rFonts w:eastAsia="Calibri"/>
        </w:rPr>
        <w:t xml:space="preserve">Using </w:t>
      </w:r>
      <w:r w:rsidR="007917BA">
        <w:rPr>
          <w:rFonts w:eastAsia="Calibri"/>
        </w:rPr>
        <w:t>th</w:t>
      </w:r>
      <w:r w:rsidR="00135946">
        <w:rPr>
          <w:rFonts w:eastAsia="Calibri"/>
        </w:rPr>
        <w:t>e</w:t>
      </w:r>
      <w:r w:rsidR="007917BA">
        <w:rPr>
          <w:rFonts w:eastAsia="Calibri"/>
        </w:rPr>
        <w:t xml:space="preserve"> </w:t>
      </w:r>
      <w:r w:rsidR="00A20A9E">
        <w:rPr>
          <w:rFonts w:eastAsia="Calibri"/>
        </w:rPr>
        <w:t>difference-in-difference</w:t>
      </w:r>
      <w:r w:rsidR="00AE3AC7" w:rsidRPr="002E0BFA">
        <w:rPr>
          <w:rFonts w:eastAsia="Calibri"/>
        </w:rPr>
        <w:t xml:space="preserve"> </w:t>
      </w:r>
      <w:r w:rsidR="00135946">
        <w:rPr>
          <w:rFonts w:eastAsia="Calibri"/>
        </w:rPr>
        <w:t xml:space="preserve">estimator </w:t>
      </w:r>
      <w:r w:rsidR="00AE3AC7" w:rsidRPr="002E0BFA">
        <w:rPr>
          <w:rFonts w:eastAsia="Calibri"/>
        </w:rPr>
        <w:t>we find that the introduction of the R&amp;D tax incentive led to a 14 per</w:t>
      </w:r>
      <w:r w:rsidR="007917BA">
        <w:rPr>
          <w:rFonts w:eastAsia="Calibri"/>
        </w:rPr>
        <w:t xml:space="preserve"> </w:t>
      </w:r>
      <w:r w:rsidR="00AE3AC7" w:rsidRPr="002E0BFA">
        <w:rPr>
          <w:rFonts w:eastAsia="Calibri"/>
        </w:rPr>
        <w:t xml:space="preserve">cent increase in R&amp;D spending by the sample of firms </w:t>
      </w:r>
      <w:r w:rsidR="00780648">
        <w:rPr>
          <w:rFonts w:eastAsia="Calibri"/>
        </w:rPr>
        <w:t>claiming</w:t>
      </w:r>
      <w:r w:rsidR="00AE3AC7" w:rsidRPr="002E0BFA">
        <w:rPr>
          <w:rFonts w:eastAsia="Calibri"/>
        </w:rPr>
        <w:t xml:space="preserve"> in both 2011 and 2012. This translates to an additionality of </w:t>
      </w:r>
      <w:r w:rsidR="00AE3AC7" w:rsidRPr="006864C6">
        <w:rPr>
          <w:rFonts w:eastAsia="Calibri"/>
        </w:rPr>
        <w:t>1.</w:t>
      </w:r>
      <w:r w:rsidR="005D074E">
        <w:rPr>
          <w:rFonts w:eastAsia="Calibri"/>
        </w:rPr>
        <w:t>9</w:t>
      </w:r>
      <w:r w:rsidR="00AE3AC7" w:rsidRPr="002E0BFA">
        <w:rPr>
          <w:rFonts w:eastAsia="Calibri"/>
        </w:rPr>
        <w:t xml:space="preserve"> dollars per dollar of tax revenue </w:t>
      </w:r>
      <w:r w:rsidR="00405489">
        <w:rPr>
          <w:rFonts w:eastAsia="Calibri"/>
        </w:rPr>
        <w:t>forgone</w:t>
      </w:r>
      <w:r w:rsidR="00AE3AC7" w:rsidRPr="002E0BFA">
        <w:rPr>
          <w:rFonts w:eastAsia="Calibri"/>
        </w:rPr>
        <w:t xml:space="preserve"> for </w:t>
      </w:r>
      <w:r w:rsidR="00402978">
        <w:rPr>
          <w:rFonts w:eastAsia="Calibri"/>
        </w:rPr>
        <w:t xml:space="preserve">the </w:t>
      </w:r>
      <w:r w:rsidR="00AE3AC7" w:rsidRPr="002E0BFA">
        <w:rPr>
          <w:rFonts w:eastAsia="Calibri"/>
        </w:rPr>
        <w:t xml:space="preserve">sample of firms for which R&amp;D data is available and that were </w:t>
      </w:r>
      <w:r w:rsidR="00780648">
        <w:rPr>
          <w:rFonts w:eastAsia="Calibri"/>
        </w:rPr>
        <w:t>claiming</w:t>
      </w:r>
      <w:r w:rsidR="00AE3AC7" w:rsidRPr="002E0BFA">
        <w:rPr>
          <w:rFonts w:eastAsia="Calibri"/>
        </w:rPr>
        <w:t xml:space="preserve"> for the tax subsidy schemes in both 2011 and 2012. A falsification test shows that the</w:t>
      </w:r>
      <w:r w:rsidR="00402978">
        <w:rPr>
          <w:rFonts w:eastAsia="Calibri"/>
        </w:rPr>
        <w:t xml:space="preserve"> two</w:t>
      </w:r>
      <w:r w:rsidR="00AE3AC7" w:rsidRPr="002E0BFA">
        <w:rPr>
          <w:rFonts w:eastAsia="Calibri"/>
        </w:rPr>
        <w:t xml:space="preserve"> groups of firms do exhibit parallel trends between 2010 and 2011. </w:t>
      </w:r>
    </w:p>
    <w:p w14:paraId="518ED94F" w14:textId="77777777" w:rsidR="00DD1D43" w:rsidRDefault="00DD1D43" w:rsidP="00DD1D43">
      <w:pPr>
        <w:pStyle w:val="Text"/>
        <w:rPr>
          <w:rFonts w:eastAsia="Calibri"/>
        </w:rPr>
      </w:pPr>
      <w:r>
        <w:rPr>
          <w:rFonts w:eastAsia="Calibri"/>
        </w:rPr>
        <w:t xml:space="preserve">We also considered </w:t>
      </w:r>
      <w:r w:rsidR="00402978">
        <w:rPr>
          <w:rFonts w:eastAsia="Calibri"/>
        </w:rPr>
        <w:t xml:space="preserve">a </w:t>
      </w:r>
      <w:r>
        <w:rPr>
          <w:rFonts w:eastAsia="Calibri"/>
        </w:rPr>
        <w:t>r</w:t>
      </w:r>
      <w:r w:rsidR="009F04CF" w:rsidRPr="003B2520">
        <w:rPr>
          <w:rFonts w:eastAsia="Calibri"/>
        </w:rPr>
        <w:t xml:space="preserve">egression discontinuity </w:t>
      </w:r>
      <w:r>
        <w:rPr>
          <w:rFonts w:eastAsia="Calibri"/>
        </w:rPr>
        <w:t xml:space="preserve">design based on </w:t>
      </w:r>
      <w:r w:rsidR="009F04CF" w:rsidRPr="003B2520">
        <w:rPr>
          <w:rFonts w:eastAsia="Calibri"/>
        </w:rPr>
        <w:t>comparing R&amp;D investment marginally above and below the $20 million turnover threshold</w:t>
      </w:r>
      <w:r w:rsidR="00062211">
        <w:rPr>
          <w:rFonts w:eastAsia="Calibri"/>
        </w:rPr>
        <w:t xml:space="preserve"> which determines </w:t>
      </w:r>
      <w:r w:rsidR="009F04CF" w:rsidRPr="003B2520">
        <w:rPr>
          <w:rFonts w:eastAsia="Calibri"/>
        </w:rPr>
        <w:t xml:space="preserve">whether firms are eligible for a higher rate of </w:t>
      </w:r>
      <w:r>
        <w:rPr>
          <w:rFonts w:eastAsia="Calibri"/>
        </w:rPr>
        <w:t>T</w:t>
      </w:r>
      <w:r w:rsidR="009F04CF" w:rsidRPr="003B2520">
        <w:rPr>
          <w:rFonts w:eastAsia="Calibri"/>
        </w:rPr>
        <w:t xml:space="preserve">ax </w:t>
      </w:r>
      <w:r>
        <w:rPr>
          <w:rFonts w:eastAsia="Calibri"/>
        </w:rPr>
        <w:t>I</w:t>
      </w:r>
      <w:r w:rsidR="009F04CF" w:rsidRPr="003B2520">
        <w:rPr>
          <w:rFonts w:eastAsia="Calibri"/>
        </w:rPr>
        <w:t>ncentive</w:t>
      </w:r>
      <w:r>
        <w:rPr>
          <w:rFonts w:eastAsia="Calibri"/>
        </w:rPr>
        <w:t xml:space="preserve"> </w:t>
      </w:r>
      <w:r w:rsidRPr="003B2520">
        <w:rPr>
          <w:rFonts w:eastAsia="Calibri"/>
        </w:rPr>
        <w:t>(40</w:t>
      </w:r>
      <w:r w:rsidR="00F426A9">
        <w:rPr>
          <w:rFonts w:eastAsia="Calibri"/>
        </w:rPr>
        <w:t xml:space="preserve"> percent </w:t>
      </w:r>
      <w:r w:rsidRPr="003B2520">
        <w:rPr>
          <w:rFonts w:eastAsia="Calibri"/>
        </w:rPr>
        <w:t>vs 45</w:t>
      </w:r>
      <w:r w:rsidR="00F426A9">
        <w:rPr>
          <w:rFonts w:eastAsia="Calibri"/>
        </w:rPr>
        <w:t xml:space="preserve"> percent</w:t>
      </w:r>
      <w:r w:rsidRPr="003B2520">
        <w:rPr>
          <w:rFonts w:eastAsia="Calibri"/>
        </w:rPr>
        <w:t>)</w:t>
      </w:r>
      <w:r w:rsidR="009F04CF" w:rsidRPr="003B2520">
        <w:rPr>
          <w:rFonts w:eastAsia="Calibri"/>
        </w:rPr>
        <w:t xml:space="preserve">. </w:t>
      </w:r>
      <w:r w:rsidR="002E0BFA">
        <w:rPr>
          <w:rFonts w:eastAsia="Calibri"/>
        </w:rPr>
        <w:t xml:space="preserve">Regression discontinuity is, at least in principle, a very powerful </w:t>
      </w:r>
      <w:r w:rsidR="002E0BFA">
        <w:rPr>
          <w:rFonts w:eastAsia="Calibri"/>
        </w:rPr>
        <w:lastRenderedPageBreak/>
        <w:t xml:space="preserve">method for identifying the causal effect of policy, however its application in this context </w:t>
      </w:r>
      <w:r w:rsidR="00B368CB">
        <w:rPr>
          <w:rFonts w:eastAsia="Calibri"/>
        </w:rPr>
        <w:t xml:space="preserve">appears to be </w:t>
      </w:r>
      <w:r w:rsidR="002E0BFA">
        <w:rPr>
          <w:rFonts w:eastAsia="Calibri"/>
        </w:rPr>
        <w:t xml:space="preserve">somewhat inhibited </w:t>
      </w:r>
      <w:r w:rsidR="00B368CB">
        <w:rPr>
          <w:rFonts w:eastAsia="Calibri"/>
        </w:rPr>
        <w:t>by</w:t>
      </w:r>
      <w:r w:rsidR="002E0BFA">
        <w:rPr>
          <w:rFonts w:eastAsia="Calibri"/>
        </w:rPr>
        <w:t xml:space="preserve"> the small number of observations </w:t>
      </w:r>
      <w:r w:rsidR="0074289D">
        <w:rPr>
          <w:rFonts w:eastAsia="Calibri"/>
        </w:rPr>
        <w:t>located near</w:t>
      </w:r>
      <w:r w:rsidR="002E0BFA">
        <w:rPr>
          <w:rFonts w:eastAsia="Calibri"/>
        </w:rPr>
        <w:t xml:space="preserve"> the threshold</w:t>
      </w:r>
      <w:r w:rsidR="007917BA">
        <w:rPr>
          <w:rFonts w:eastAsia="Calibri"/>
        </w:rPr>
        <w:t xml:space="preserve">. The small number of observations is exacerbated as </w:t>
      </w:r>
      <w:r w:rsidR="002E0BFA">
        <w:rPr>
          <w:rFonts w:eastAsia="Calibri"/>
        </w:rPr>
        <w:t xml:space="preserve">only one year of data was available at the time of writing. Using the </w:t>
      </w:r>
      <w:r w:rsidR="009F04CF" w:rsidRPr="003B2520">
        <w:rPr>
          <w:rFonts w:eastAsia="Calibri"/>
        </w:rPr>
        <w:t>regression discontinuity</w:t>
      </w:r>
      <w:r w:rsidR="002E0BFA">
        <w:rPr>
          <w:rFonts w:eastAsia="Calibri"/>
        </w:rPr>
        <w:t xml:space="preserve"> design</w:t>
      </w:r>
      <w:r w:rsidR="009F04CF" w:rsidRPr="003B2520">
        <w:rPr>
          <w:rFonts w:eastAsia="Calibri"/>
        </w:rPr>
        <w:t>, we do not find evidence of a significant effect of the step change in policy generosity.</w:t>
      </w:r>
      <w:r>
        <w:rPr>
          <w:rFonts w:eastAsia="Calibri"/>
        </w:rPr>
        <w:t xml:space="preserve"> However, this may simply reflect the low number of firms close to this turnover threshold meaning the test is of inadequate power. It would be useful to revisit when more years of data are available. </w:t>
      </w:r>
    </w:p>
    <w:p w14:paraId="70339B44" w14:textId="77777777" w:rsidR="008567B8" w:rsidRDefault="008567B8" w:rsidP="00DD1D43">
      <w:pPr>
        <w:pStyle w:val="Text"/>
        <w:rPr>
          <w:rFonts w:eastAsia="Calibri"/>
        </w:rPr>
      </w:pPr>
      <w:r>
        <w:rPr>
          <w:rFonts w:eastAsia="Calibri"/>
        </w:rPr>
        <w:t>There are a number of limitations to these estimates that should be acknowledged</w:t>
      </w:r>
      <w:r w:rsidR="00780BAD">
        <w:rPr>
          <w:rFonts w:eastAsia="Calibri"/>
        </w:rPr>
        <w:t xml:space="preserve"> upfront</w:t>
      </w:r>
      <w:r>
        <w:rPr>
          <w:rFonts w:eastAsia="Calibri"/>
        </w:rPr>
        <w:t>.</w:t>
      </w:r>
      <w:r w:rsidR="00780BAD">
        <w:rPr>
          <w:rFonts w:eastAsia="Calibri"/>
        </w:rPr>
        <w:t xml:space="preserve"> The assumptions behind each estimator are mentioned above.</w:t>
      </w:r>
      <w:r>
        <w:rPr>
          <w:rFonts w:eastAsia="Calibri"/>
        </w:rPr>
        <w:t xml:space="preserve"> </w:t>
      </w:r>
      <w:r w:rsidR="00B368CB">
        <w:rPr>
          <w:rFonts w:eastAsia="Calibri"/>
        </w:rPr>
        <w:t>T</w:t>
      </w:r>
      <w:r w:rsidR="00062211">
        <w:rPr>
          <w:rFonts w:eastAsia="Calibri"/>
        </w:rPr>
        <w:t xml:space="preserve">he analysis focuses on the intensive margin. </w:t>
      </w:r>
      <w:r w:rsidR="00B368CB">
        <w:rPr>
          <w:rFonts w:eastAsia="Calibri"/>
        </w:rPr>
        <w:t>T</w:t>
      </w:r>
      <w:r>
        <w:rPr>
          <w:rFonts w:eastAsia="Calibri"/>
        </w:rPr>
        <w:t xml:space="preserve">he difference-in-difference </w:t>
      </w:r>
      <w:r w:rsidR="00062211">
        <w:rPr>
          <w:rFonts w:eastAsia="Calibri"/>
        </w:rPr>
        <w:t xml:space="preserve">estimates </w:t>
      </w:r>
      <w:r>
        <w:rPr>
          <w:rFonts w:eastAsia="Calibri"/>
        </w:rPr>
        <w:t xml:space="preserve">relate only to the firms that were </w:t>
      </w:r>
      <w:r w:rsidR="00780648">
        <w:rPr>
          <w:rFonts w:eastAsia="Calibri"/>
        </w:rPr>
        <w:t>claiming</w:t>
      </w:r>
      <w:r>
        <w:rPr>
          <w:rFonts w:eastAsia="Calibri"/>
        </w:rPr>
        <w:t xml:space="preserve"> for the Tax Concession in 2011 and the Tax Incentive in 2012. </w:t>
      </w:r>
      <w:r w:rsidR="002E0BFA">
        <w:rPr>
          <w:rFonts w:eastAsia="Calibri"/>
        </w:rPr>
        <w:t xml:space="preserve">We estimate the additionality implied by the statistical estimates of policy impact </w:t>
      </w:r>
      <w:r w:rsidR="00780BAD">
        <w:rPr>
          <w:rFonts w:eastAsia="Calibri"/>
        </w:rPr>
        <w:t xml:space="preserve">using </w:t>
      </w:r>
      <w:r w:rsidR="00B368CB">
        <w:rPr>
          <w:rFonts w:eastAsia="Calibri"/>
        </w:rPr>
        <w:t xml:space="preserve">counterfactual type analysis based on </w:t>
      </w:r>
      <w:r w:rsidR="002E0BFA">
        <w:rPr>
          <w:rFonts w:eastAsia="Calibri"/>
        </w:rPr>
        <w:t xml:space="preserve">a number of simplifying assumptions. </w:t>
      </w:r>
      <w:r>
        <w:rPr>
          <w:rFonts w:eastAsia="Calibri"/>
        </w:rPr>
        <w:t xml:space="preserve">For example, we </w:t>
      </w:r>
      <w:r w:rsidR="002E0BFA">
        <w:rPr>
          <w:rFonts w:eastAsia="Calibri"/>
        </w:rPr>
        <w:t xml:space="preserve">assume all R&amp;D is eligible, </w:t>
      </w:r>
      <w:r>
        <w:rPr>
          <w:rFonts w:eastAsia="Calibri"/>
        </w:rPr>
        <w:t>and we do not model loss making firms</w:t>
      </w:r>
      <w:r w:rsidR="00402978">
        <w:rPr>
          <w:rFonts w:eastAsia="Calibri"/>
        </w:rPr>
        <w:t>’</w:t>
      </w:r>
      <w:r>
        <w:rPr>
          <w:rFonts w:eastAsia="Calibri"/>
        </w:rPr>
        <w:t xml:space="preserve"> differential ability to benefit from the Incentive due to</w:t>
      </w:r>
      <w:r w:rsidR="00B74007">
        <w:rPr>
          <w:rFonts w:eastAsia="Calibri"/>
        </w:rPr>
        <w:t xml:space="preserve"> </w:t>
      </w:r>
      <w:r>
        <w:rPr>
          <w:rFonts w:eastAsia="Calibri"/>
        </w:rPr>
        <w:t>the refundable offset or</w:t>
      </w:r>
      <w:r w:rsidR="00B74007">
        <w:rPr>
          <w:rFonts w:eastAsia="Calibri"/>
        </w:rPr>
        <w:t xml:space="preserve"> time cost</w:t>
      </w:r>
      <w:r w:rsidR="00687DAD">
        <w:rPr>
          <w:rFonts w:eastAsia="Calibri"/>
        </w:rPr>
        <w:t>s of money</w:t>
      </w:r>
      <w:r w:rsidR="00B74007">
        <w:rPr>
          <w:rFonts w:eastAsia="Calibri"/>
        </w:rPr>
        <w:t xml:space="preserve"> associated with</w:t>
      </w:r>
      <w:r>
        <w:rPr>
          <w:rFonts w:eastAsia="Calibri"/>
        </w:rPr>
        <w:t xml:space="preserve"> carry-forward</w:t>
      </w:r>
      <w:r w:rsidR="00B74007">
        <w:rPr>
          <w:rFonts w:eastAsia="Calibri"/>
        </w:rPr>
        <w:t>/backs</w:t>
      </w:r>
      <w:r>
        <w:rPr>
          <w:rFonts w:eastAsia="Calibri"/>
        </w:rPr>
        <w:t xml:space="preserve">. </w:t>
      </w:r>
      <w:r w:rsidR="009D198C">
        <w:rPr>
          <w:rFonts w:eastAsia="Calibri"/>
        </w:rPr>
        <w:t>There is no strong reason to expect this would substantially change the estimated average additionality.</w:t>
      </w:r>
    </w:p>
    <w:p w14:paraId="06D86B4E" w14:textId="77777777" w:rsidR="009F04CF" w:rsidRPr="009F04CF" w:rsidRDefault="009F04CF" w:rsidP="00DD1D43">
      <w:pPr>
        <w:pStyle w:val="Heading1"/>
      </w:pPr>
      <w:r w:rsidRPr="009F04CF">
        <w:t>Background</w:t>
      </w:r>
    </w:p>
    <w:p w14:paraId="37993C85" w14:textId="77777777" w:rsidR="009F04CF" w:rsidRPr="009F04CF" w:rsidRDefault="009F04CF" w:rsidP="00833C96">
      <w:pPr>
        <w:pStyle w:val="Heading2"/>
      </w:pPr>
      <w:r w:rsidRPr="009F04CF">
        <w:t xml:space="preserve">What is ‘additionality’ and how does it relates to policy effectiveness? </w:t>
      </w:r>
    </w:p>
    <w:p w14:paraId="0CB3821A" w14:textId="607EB815" w:rsidR="00994AA3" w:rsidRDefault="00994AA3" w:rsidP="00994AA3">
      <w:pPr>
        <w:pStyle w:val="Text"/>
        <w:rPr>
          <w:rFonts w:eastAsia="Calibri"/>
        </w:rPr>
      </w:pPr>
      <w:r w:rsidRPr="00833C96">
        <w:rPr>
          <w:rFonts w:eastAsia="Calibri"/>
        </w:rPr>
        <w:t>Additionality is the amount of R&amp;D invested for every dollar of tax revenue forgone</w:t>
      </w:r>
      <w:r w:rsidR="00B368CB">
        <w:rPr>
          <w:rFonts w:eastAsia="Calibri"/>
        </w:rPr>
        <w:t xml:space="preserve"> which </w:t>
      </w:r>
      <w:r>
        <w:rPr>
          <w:rFonts w:eastAsia="Calibri"/>
        </w:rPr>
        <w:t>can be written as</w:t>
      </w:r>
      <w:r w:rsidRPr="009F04CF">
        <w:rPr>
          <w:rFonts w:eastAsia="Calibri"/>
        </w:rPr>
        <w:t xml:space="preserve">: </w:t>
      </w:r>
    </w:p>
    <w:p w14:paraId="7868D9F0" w14:textId="4899A851" w:rsidR="00DA24D2" w:rsidRDefault="00DA24D2" w:rsidP="00DA24D2">
      <w:pPr>
        <w:pStyle w:val="Text"/>
        <w:jc w:val="center"/>
        <w:rPr>
          <w:rFonts w:eastAsia="Calibri"/>
        </w:rPr>
      </w:pPr>
      <w:r>
        <w:rPr>
          <w:noProof/>
          <w:lang w:eastAsia="en-AU"/>
        </w:rPr>
        <w:drawing>
          <wp:inline distT="0" distB="0" distL="0" distR="0" wp14:anchorId="49DB0B8F" wp14:editId="3A57AFF6">
            <wp:extent cx="4971429" cy="761905"/>
            <wp:effectExtent l="0" t="0" r="635" b="635"/>
            <wp:docPr id="2" name="Picture 2" descr="Additionality equals begin fraction R&amp;D sub one vertical line one baseline minus R&amp;D sub one vertical line zero over T sub one vertical line zero baseline minus T sub one vertical line one end fraction" title="Additionality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71429" cy="761905"/>
                    </a:xfrm>
                    <a:prstGeom prst="rect">
                      <a:avLst/>
                    </a:prstGeom>
                  </pic:spPr>
                </pic:pic>
              </a:graphicData>
            </a:graphic>
          </wp:inline>
        </w:drawing>
      </w:r>
    </w:p>
    <w:p w14:paraId="5B219B6D" w14:textId="32E5A1B9" w:rsidR="00A8178D" w:rsidRPr="00A8178D" w:rsidRDefault="00A8178D" w:rsidP="00994AA3">
      <w:pPr>
        <w:pStyle w:val="Text"/>
        <w:rPr>
          <w:rFonts w:eastAsia="Calibri"/>
        </w:rPr>
      </w:pPr>
      <w:r w:rsidRPr="009F04CF">
        <w:rPr>
          <w:rFonts w:eastAsia="Calibri"/>
        </w:rPr>
        <w:t>Where</w:t>
      </w:r>
      <w:r>
        <w:rPr>
          <w:rFonts w:eastAsia="Calibri"/>
        </w:rPr>
        <w:t xml:space="preserve"> </w:t>
      </w:r>
      <m:oMath>
        <m:sSub>
          <m:sSubPr>
            <m:ctrlPr>
              <w:rPr>
                <w:rFonts w:ascii="Cambria Math" w:eastAsia="Calibri" w:hAnsi="Cambria Math"/>
              </w:rPr>
            </m:ctrlPr>
          </m:sSubPr>
          <m:e>
            <m:r>
              <m:rPr>
                <m:sty m:val="p"/>
              </m:rPr>
              <w:rPr>
                <w:rFonts w:ascii="Cambria Math" w:eastAsia="Calibri" w:hAnsi="Cambria Math"/>
              </w:rPr>
              <m:t>R&amp;D</m:t>
            </m:r>
          </m:e>
          <m:sub>
            <m:r>
              <m:rPr>
                <m:sty m:val="p"/>
              </m:rPr>
              <w:rPr>
                <w:rFonts w:ascii="Cambria Math" w:eastAsia="Calibri" w:hAnsi="Cambria Math"/>
              </w:rPr>
              <m:t>1|1</m:t>
            </m:r>
          </m:sub>
        </m:sSub>
      </m:oMath>
      <w:r w:rsidRPr="009F04CF">
        <w:rPr>
          <w:rFonts w:eastAsia="Calibri"/>
        </w:rPr>
        <w:t xml:space="preserve"> </w:t>
      </w:r>
      <w:r>
        <w:rPr>
          <w:rFonts w:eastAsia="Calibri"/>
        </w:rPr>
        <w:t>amount of</w:t>
      </w:r>
      <w:r w:rsidRPr="009F04CF">
        <w:rPr>
          <w:rFonts w:eastAsia="Calibri"/>
        </w:rPr>
        <w:t xml:space="preserve"> R&amp;D performed by the </w:t>
      </w:r>
      <w:r>
        <w:rPr>
          <w:rFonts w:eastAsia="Calibri"/>
        </w:rPr>
        <w:t xml:space="preserve">firms which claim the tax subsidy (the </w:t>
      </w:r>
      <w:r w:rsidRPr="009F04CF">
        <w:rPr>
          <w:rFonts w:eastAsia="Calibri"/>
        </w:rPr>
        <w:t>‘treated’</w:t>
      </w:r>
      <w:r>
        <w:rPr>
          <w:rFonts w:eastAsia="Calibri"/>
        </w:rPr>
        <w:t xml:space="preserve"> group) and </w:t>
      </w:r>
      <m:oMath>
        <m:sSub>
          <m:sSubPr>
            <m:ctrlPr>
              <w:rPr>
                <w:rFonts w:ascii="Cambria Math" w:eastAsia="Calibri" w:hAnsi="Cambria Math"/>
              </w:rPr>
            </m:ctrlPr>
          </m:sSubPr>
          <m:e>
            <m:r>
              <m:rPr>
                <m:sty m:val="p"/>
              </m:rPr>
              <w:rPr>
                <w:rFonts w:ascii="Cambria Math" w:eastAsia="Calibri" w:hAnsi="Cambria Math"/>
              </w:rPr>
              <m:t>R&amp;D</m:t>
            </m:r>
          </m:e>
          <m:sub>
            <m:r>
              <m:rPr>
                <m:sty m:val="p"/>
              </m:rPr>
              <w:rPr>
                <w:rFonts w:ascii="Cambria Math" w:eastAsia="Calibri" w:hAnsi="Cambria Math"/>
              </w:rPr>
              <m:t>1|0</m:t>
            </m:r>
          </m:sub>
        </m:sSub>
      </m:oMath>
      <w:r w:rsidRPr="009F04CF">
        <w:rPr>
          <w:rFonts w:eastAsia="Calibri"/>
        </w:rPr>
        <w:t xml:space="preserve"> is </w:t>
      </w:r>
      <w:r>
        <w:rPr>
          <w:rFonts w:eastAsia="Calibri"/>
        </w:rPr>
        <w:t>denotes the amount of R&amp;D</w:t>
      </w:r>
      <w:r w:rsidR="00B23178">
        <w:rPr>
          <w:rFonts w:eastAsia="Calibri"/>
        </w:rPr>
        <w:t xml:space="preserve"> that would </w:t>
      </w:r>
      <w:r w:rsidR="00B23178" w:rsidRPr="009F04CF">
        <w:rPr>
          <w:rFonts w:eastAsia="Calibri"/>
        </w:rPr>
        <w:t>hypothetical</w:t>
      </w:r>
      <w:r w:rsidR="00B23178">
        <w:rPr>
          <w:rFonts w:eastAsia="Calibri"/>
        </w:rPr>
        <w:t>ly be</w:t>
      </w:r>
      <w:r>
        <w:rPr>
          <w:rFonts w:eastAsia="Calibri"/>
        </w:rPr>
        <w:t xml:space="preserve"> invested by the </w:t>
      </w:r>
      <w:r w:rsidRPr="009F04CF">
        <w:rPr>
          <w:rFonts w:eastAsia="Calibri"/>
        </w:rPr>
        <w:t xml:space="preserve">same </w:t>
      </w:r>
      <w:r>
        <w:rPr>
          <w:rFonts w:eastAsia="Calibri"/>
        </w:rPr>
        <w:t xml:space="preserve">group of firms </w:t>
      </w:r>
      <w:r w:rsidRPr="009F04CF">
        <w:rPr>
          <w:rFonts w:eastAsia="Calibri"/>
        </w:rPr>
        <w:t xml:space="preserve">in the absence of </w:t>
      </w:r>
      <w:r w:rsidR="00B23178">
        <w:rPr>
          <w:rFonts w:eastAsia="Calibri"/>
        </w:rPr>
        <w:t>tax subsidies</w:t>
      </w:r>
      <w:r w:rsidRPr="009F04CF">
        <w:rPr>
          <w:rFonts w:eastAsia="Calibri"/>
        </w:rPr>
        <w:t xml:space="preserve">. </w:t>
      </w:r>
      <w:r>
        <w:rPr>
          <w:rFonts w:eastAsia="Calibri"/>
        </w:rPr>
        <w:t xml:space="preserve">Analogously,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1|1</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1|0</m:t>
            </m:r>
          </m:sub>
        </m:sSub>
      </m:oMath>
      <w:r w:rsidRPr="009F04CF">
        <w:rPr>
          <w:rFonts w:eastAsia="Calibri"/>
        </w:rPr>
        <w:t xml:space="preserve"> is </w:t>
      </w:r>
      <w:r w:rsidR="003B5FF6">
        <w:rPr>
          <w:rFonts w:eastAsia="Calibri"/>
        </w:rPr>
        <w:t xml:space="preserve">the amount of </w:t>
      </w:r>
      <w:r w:rsidRPr="009F04CF">
        <w:rPr>
          <w:rFonts w:eastAsia="Calibri"/>
        </w:rPr>
        <w:t xml:space="preserve">tax </w:t>
      </w:r>
      <w:r>
        <w:rPr>
          <w:rFonts w:eastAsia="Calibri"/>
        </w:rPr>
        <w:t xml:space="preserve">revenue </w:t>
      </w:r>
      <w:r w:rsidR="003B5FF6">
        <w:rPr>
          <w:rFonts w:eastAsia="Calibri"/>
        </w:rPr>
        <w:t>forgone due to the policy (which is the negative of the change in the firms’ tax liability)</w:t>
      </w:r>
      <w:r w:rsidRPr="009F04CF">
        <w:rPr>
          <w:rFonts w:eastAsia="Calibri"/>
        </w:rPr>
        <w:t>.</w:t>
      </w:r>
    </w:p>
    <w:p w14:paraId="33548196" w14:textId="77777777" w:rsidR="009F04CF" w:rsidRDefault="009F04CF" w:rsidP="00833C96">
      <w:pPr>
        <w:pStyle w:val="Text"/>
        <w:rPr>
          <w:rFonts w:eastAsia="Calibri"/>
        </w:rPr>
      </w:pPr>
      <w:r w:rsidRPr="00833C96">
        <w:rPr>
          <w:rFonts w:eastAsia="Calibri"/>
        </w:rPr>
        <w:t>Figure 1 provides a graphical representation of how R&amp;D tax subsidies impact on the amount of R&amp;D investment and what we mean by additionality. The x-axis is the amount of R&amp;D activity and the y</w:t>
      </w:r>
      <w:r w:rsidR="00A3321E" w:rsidRPr="00833C96">
        <w:rPr>
          <w:rFonts w:eastAsia="Calibri"/>
        </w:rPr>
        <w:noBreakHyphen/>
      </w:r>
      <w:r w:rsidRPr="00833C96">
        <w:rPr>
          <w:rFonts w:eastAsia="Calibri"/>
        </w:rPr>
        <w:t xml:space="preserve">axis reflects the price. Figure 1 applies to all R&amp;D activity, but for illustrative purposes, we can think of Figure 1 as depicting the market for scientists (the number of scientists employed and their wage, respectively). The supply curve is denoted by S and we depict this as flat (entirely elastic) though it may be upward sloping, for example if the number of scientists and technicians are limited (see Thomson and Jensen 2013). </w:t>
      </w:r>
      <w:r w:rsidR="00994AA3">
        <w:rPr>
          <w:rFonts w:eastAsia="Calibri"/>
        </w:rPr>
        <w:t>T</w:t>
      </w:r>
      <w:r w:rsidRPr="00833C96">
        <w:rPr>
          <w:rFonts w:eastAsia="Calibri"/>
        </w:rPr>
        <w:t xml:space="preserve">he demand </w:t>
      </w:r>
      <w:r w:rsidRPr="00833C96">
        <w:rPr>
          <w:rFonts w:eastAsia="Calibri"/>
        </w:rPr>
        <w:lastRenderedPageBreak/>
        <w:t>curve, the amount of R&amp;D demanded by firms in the absence of any tax subsidy</w:t>
      </w:r>
      <w:r w:rsidR="00994AA3">
        <w:rPr>
          <w:rFonts w:eastAsia="Calibri"/>
        </w:rPr>
        <w:t xml:space="preserve"> is denoted by D</w:t>
      </w:r>
      <w:r w:rsidRPr="00833C96">
        <w:rPr>
          <w:rFonts w:eastAsia="Calibri"/>
        </w:rPr>
        <w:t>. The market equilibrium when firms demand a quantity of R&amp;D equal to R</w:t>
      </w:r>
      <w:r w:rsidRPr="00AF1493">
        <w:rPr>
          <w:rFonts w:eastAsia="Calibri"/>
          <w:vertAlign w:val="subscript"/>
        </w:rPr>
        <w:t>0</w:t>
      </w:r>
      <w:r w:rsidRPr="00833C96">
        <w:rPr>
          <w:rFonts w:eastAsia="Calibri"/>
        </w:rPr>
        <w:t xml:space="preserve"> at a price of P is at point A. An ad valorem tax subsidy paid on firms R&amp;D investment pivots the demand curve outwards. The new equilibrium is at point B, where firms demand a quantity of R&amp;D equal to R</w:t>
      </w:r>
      <w:r w:rsidRPr="00AF1493">
        <w:rPr>
          <w:rFonts w:eastAsia="Calibri"/>
          <w:vertAlign w:val="subscript"/>
        </w:rPr>
        <w:t>1</w:t>
      </w:r>
      <w:r w:rsidRPr="00833C96">
        <w:rPr>
          <w:rFonts w:eastAsia="Calibri"/>
        </w:rPr>
        <w:t xml:space="preserve">. At the new equilibrium firms pay </w:t>
      </w:r>
      <w:r w:rsidRPr="00AF1493">
        <w:rPr>
          <w:rFonts w:eastAsia="Calibri"/>
          <w:i/>
        </w:rPr>
        <w:t>P</w:t>
      </w:r>
      <w:r w:rsidRPr="00AF1493">
        <w:rPr>
          <w:rFonts w:eastAsia="Calibri"/>
          <w:i/>
          <w:vertAlign w:val="subscript"/>
        </w:rPr>
        <w:t>f</w:t>
      </w:r>
      <w:r w:rsidRPr="00833C96">
        <w:rPr>
          <w:rFonts w:eastAsia="Calibri"/>
        </w:rPr>
        <w:t xml:space="preserve"> and the government pays the difference </w:t>
      </w:r>
      <m:oMath>
        <m:d>
          <m:dPr>
            <m:ctrlPr>
              <w:rPr>
                <w:rFonts w:ascii="Cambria Math" w:eastAsia="Calibri" w:hAnsi="Cambria Math"/>
              </w:rPr>
            </m:ctrlPr>
          </m:dPr>
          <m:e>
            <m:r>
              <w:rPr>
                <w:rFonts w:ascii="Cambria Math" w:eastAsia="Calibri" w:hAnsi="Cambria Math"/>
              </w:rPr>
              <m:t>P</m:t>
            </m:r>
            <m:sSub>
              <m:sSubPr>
                <m:ctrlPr>
                  <w:rPr>
                    <w:rFonts w:ascii="Cambria Math" w:eastAsia="Calibri" w:hAnsi="Cambria Math"/>
                  </w:rPr>
                </m:ctrlPr>
              </m:sSubPr>
              <m:e>
                <m:r>
                  <m:rPr>
                    <m:sty m:val="p"/>
                  </m:rPr>
                  <w:rPr>
                    <w:rFonts w:ascii="Cambria Math" w:eastAsia="Calibri" w:hAnsi="Cambria Math"/>
                  </w:rPr>
                  <m:t>-</m:t>
                </m:r>
                <m:r>
                  <w:rPr>
                    <w:rFonts w:ascii="Cambria Math" w:eastAsia="Calibri" w:hAnsi="Cambria Math"/>
                  </w:rPr>
                  <m:t>P</m:t>
                </m:r>
              </m:e>
              <m:sub>
                <m:r>
                  <w:rPr>
                    <w:rFonts w:ascii="Cambria Math" w:eastAsia="Calibri" w:hAnsi="Cambria Math"/>
                  </w:rPr>
                  <m:t>f</m:t>
                </m:r>
              </m:sub>
            </m:sSub>
          </m:e>
        </m:d>
        <m:r>
          <m:rPr>
            <m:sty m:val="p"/>
          </m:rPr>
          <w:rPr>
            <w:rFonts w:ascii="Cambria Math" w:eastAsia="Calibri" w:hAnsi="Cambria Math"/>
          </w:rPr>
          <m:t>.</m:t>
        </m:r>
      </m:oMath>
      <w:r w:rsidRPr="00833C96">
        <w:rPr>
          <w:rFonts w:eastAsia="Calibri"/>
        </w:rPr>
        <w:t xml:space="preserve"> We define additionality as the additional R&amp;D per dollar of tax revenue forgone. In Figure 1, the additional R&amp;D induced is given by </w:t>
      </w:r>
      <w:r w:rsidR="001C7C2D">
        <w:rPr>
          <w:rFonts w:eastAsia="Calibri"/>
        </w:rPr>
        <w:t xml:space="preserve">the </w:t>
      </w:r>
      <w:r w:rsidRPr="00833C96">
        <w:rPr>
          <w:rFonts w:eastAsia="Calibri"/>
        </w:rPr>
        <w:t>area bounded by the points R</w:t>
      </w:r>
      <w:r w:rsidRPr="007D74DC">
        <w:rPr>
          <w:rFonts w:eastAsia="Calibri"/>
          <w:vertAlign w:val="subscript"/>
        </w:rPr>
        <w:t>0</w:t>
      </w:r>
      <w:r w:rsidRPr="00833C96">
        <w:rPr>
          <w:rFonts w:eastAsia="Calibri"/>
        </w:rPr>
        <w:t>R</w:t>
      </w:r>
      <w:r w:rsidRPr="007D74DC">
        <w:rPr>
          <w:rFonts w:eastAsia="Calibri"/>
          <w:vertAlign w:val="subscript"/>
        </w:rPr>
        <w:t>1</w:t>
      </w:r>
      <w:r w:rsidRPr="00833C96">
        <w:rPr>
          <w:rFonts w:eastAsia="Calibri"/>
        </w:rPr>
        <w:t>B</w:t>
      </w:r>
      <w:r w:rsidR="007D74DC">
        <w:rPr>
          <w:rFonts w:eastAsia="Calibri"/>
        </w:rPr>
        <w:t>A</w:t>
      </w:r>
      <w:r w:rsidRPr="00833C96">
        <w:rPr>
          <w:rFonts w:eastAsia="Calibri"/>
        </w:rPr>
        <w:t>. The cost to government in terms of revenue forgone is given by the area bounded by the points PP</w:t>
      </w:r>
      <w:r w:rsidRPr="007D74DC">
        <w:rPr>
          <w:rFonts w:eastAsia="Calibri"/>
          <w:vertAlign w:val="subscript"/>
        </w:rPr>
        <w:t>f</w:t>
      </w:r>
      <w:r w:rsidRPr="00833C96">
        <w:rPr>
          <w:rFonts w:eastAsia="Calibri"/>
        </w:rPr>
        <w:t>C</w:t>
      </w:r>
      <w:r w:rsidR="007D74DC">
        <w:rPr>
          <w:rFonts w:eastAsia="Calibri"/>
        </w:rPr>
        <w:t>B</w:t>
      </w:r>
      <w:r w:rsidRPr="00833C96">
        <w:rPr>
          <w:rFonts w:eastAsia="Calibri"/>
        </w:rPr>
        <w:t>.</w:t>
      </w:r>
    </w:p>
    <w:p w14:paraId="4BFC1AED" w14:textId="77777777" w:rsidR="009F04CF" w:rsidRPr="009F04CF" w:rsidRDefault="009F04CF" w:rsidP="00833C96">
      <w:pPr>
        <w:pStyle w:val="Caption"/>
        <w:rPr>
          <w:rFonts w:eastAsia="Calibri"/>
        </w:rPr>
      </w:pPr>
      <w:r w:rsidRPr="009F04CF">
        <w:rPr>
          <w:rFonts w:eastAsia="Calibri"/>
        </w:rPr>
        <w:t>Figure 1. Graphical Illustration of the impact of R&amp;D tax incentives</w:t>
      </w:r>
    </w:p>
    <w:p w14:paraId="21A1E239" w14:textId="77777777" w:rsidR="009F04CF" w:rsidRPr="009F04CF" w:rsidRDefault="009F04CF" w:rsidP="009F04CF">
      <w:pPr>
        <w:spacing w:line="360" w:lineRule="auto"/>
        <w:ind w:firstLine="720"/>
        <w:jc w:val="center"/>
        <w:rPr>
          <w:rFonts w:ascii="Times New Roman" w:eastAsia="Calibri" w:hAnsi="Times New Roman"/>
          <w:b/>
        </w:rPr>
      </w:pPr>
      <w:r w:rsidRPr="009F04CF">
        <w:rPr>
          <w:rFonts w:ascii="Times New Roman" w:eastAsia="Calibri" w:hAnsi="Times New Roman"/>
          <w:b/>
          <w:noProof/>
          <w:lang w:eastAsia="en-AU"/>
        </w:rPr>
        <w:drawing>
          <wp:inline distT="0" distB="0" distL="0" distR="0" wp14:anchorId="4EF857D6" wp14:editId="35650DAC">
            <wp:extent cx="5149970" cy="4413364"/>
            <wp:effectExtent l="0" t="0" r="0" b="6350"/>
            <wp:docPr id="9" name="Picture 9" title="Figure 1, graphical illustration of the impact of R&amp;D tax incen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D.png"/>
                    <pic:cNvPicPr/>
                  </pic:nvPicPr>
                  <pic:blipFill>
                    <a:blip r:embed="rId13">
                      <a:extLst>
                        <a:ext uri="{28A0092B-C50C-407E-A947-70E740481C1C}">
                          <a14:useLocalDpi xmlns:a14="http://schemas.microsoft.com/office/drawing/2010/main" val="0"/>
                        </a:ext>
                      </a:extLst>
                    </a:blip>
                    <a:stretch>
                      <a:fillRect/>
                    </a:stretch>
                  </pic:blipFill>
                  <pic:spPr>
                    <a:xfrm>
                      <a:off x="0" y="0"/>
                      <a:ext cx="5145431" cy="4409474"/>
                    </a:xfrm>
                    <a:prstGeom prst="rect">
                      <a:avLst/>
                    </a:prstGeom>
                  </pic:spPr>
                </pic:pic>
              </a:graphicData>
            </a:graphic>
          </wp:inline>
        </w:drawing>
      </w:r>
    </w:p>
    <w:p w14:paraId="5A705C4D" w14:textId="77777777" w:rsidR="009F04CF" w:rsidRPr="009F04CF" w:rsidRDefault="00B563A4" w:rsidP="00833C96">
      <w:pPr>
        <w:pStyle w:val="Text"/>
        <w:rPr>
          <w:rFonts w:eastAsia="Calibri"/>
        </w:rPr>
      </w:pPr>
      <w:r>
        <w:rPr>
          <w:rFonts w:eastAsia="Calibri"/>
        </w:rPr>
        <w:t>The R&amp;D Tax Incentive</w:t>
      </w:r>
      <w:r w:rsidRPr="00833C96">
        <w:rPr>
          <w:rFonts w:eastAsia="Calibri"/>
        </w:rPr>
        <w:t xml:space="preserve"> </w:t>
      </w:r>
      <w:r>
        <w:rPr>
          <w:rFonts w:eastAsia="Calibri"/>
        </w:rPr>
        <w:t>is</w:t>
      </w:r>
      <w:r w:rsidR="00DE0D23" w:rsidRPr="00833C96">
        <w:rPr>
          <w:rFonts w:eastAsia="Calibri"/>
        </w:rPr>
        <w:t xml:space="preserve"> an ad valorem (percentage or proportional) subsidy</w:t>
      </w:r>
      <w:r>
        <w:rPr>
          <w:rFonts w:eastAsia="Calibri"/>
        </w:rPr>
        <w:t xml:space="preserve"> and as such,</w:t>
      </w:r>
      <w:r w:rsidR="00DE0D23" w:rsidRPr="00833C96">
        <w:rPr>
          <w:rFonts w:eastAsia="Calibri"/>
        </w:rPr>
        <w:t xml:space="preserve"> the more firms spend on R&amp;D, the more benefit they receive </w:t>
      </w:r>
      <w:r>
        <w:rPr>
          <w:rFonts w:eastAsia="Calibri"/>
        </w:rPr>
        <w:t>(</w:t>
      </w:r>
      <w:r w:rsidR="00DE0D23" w:rsidRPr="00833C96">
        <w:rPr>
          <w:rFonts w:eastAsia="Calibri"/>
        </w:rPr>
        <w:t>and correspondingly the greater the tax revenue forgone</w:t>
      </w:r>
      <w:r>
        <w:rPr>
          <w:rFonts w:eastAsia="Calibri"/>
        </w:rPr>
        <w:t>). For example, with a 10 percent subsidy, there are 1</w:t>
      </w:r>
      <w:r w:rsidR="00DE0D23" w:rsidRPr="00833C96">
        <w:rPr>
          <w:rFonts w:eastAsia="Calibri"/>
        </w:rPr>
        <w:t xml:space="preserve">0 cents revenue forgone for every extra dollar of R&amp;D performed, by policy design. </w:t>
      </w:r>
      <w:r w:rsidR="00DE0D23">
        <w:rPr>
          <w:rFonts w:eastAsia="Calibri"/>
        </w:rPr>
        <w:t xml:space="preserve">On the chart, this would be represented as a shift outward in the R&amp;D demand curve for a fixed subsidy. </w:t>
      </w:r>
      <w:r>
        <w:rPr>
          <w:rFonts w:eastAsia="Calibri"/>
        </w:rPr>
        <w:t xml:space="preserve">In order to estimate the </w:t>
      </w:r>
      <w:r w:rsidR="009F04CF" w:rsidRPr="009F04CF">
        <w:rPr>
          <w:rFonts w:eastAsia="Calibri"/>
        </w:rPr>
        <w:t xml:space="preserve">additionality </w:t>
      </w:r>
      <w:r>
        <w:rPr>
          <w:rFonts w:eastAsia="Calibri"/>
        </w:rPr>
        <w:t>that is caused by a sub</w:t>
      </w:r>
      <w:r w:rsidR="007917BA">
        <w:rPr>
          <w:rFonts w:eastAsia="Calibri"/>
        </w:rPr>
        <w:t>s</w:t>
      </w:r>
      <w:r>
        <w:rPr>
          <w:rFonts w:eastAsia="Calibri"/>
        </w:rPr>
        <w:t>idy</w:t>
      </w:r>
      <w:r w:rsidR="009F04CF" w:rsidRPr="009F04CF">
        <w:rPr>
          <w:rFonts w:eastAsia="Calibri"/>
        </w:rPr>
        <w:t xml:space="preserve">, it is necessary to </w:t>
      </w:r>
      <w:r w:rsidR="008F2167">
        <w:rPr>
          <w:rFonts w:eastAsia="Calibri"/>
        </w:rPr>
        <w:t>have</w:t>
      </w:r>
      <w:r w:rsidR="00DE0D23">
        <w:rPr>
          <w:rFonts w:eastAsia="Calibri"/>
        </w:rPr>
        <w:t xml:space="preserve"> </w:t>
      </w:r>
      <w:r w:rsidR="009F04CF" w:rsidRPr="009F04CF">
        <w:rPr>
          <w:rFonts w:eastAsia="Calibri"/>
        </w:rPr>
        <w:t>exogenous variation in the rate of subsidy</w:t>
      </w:r>
      <w:r>
        <w:rPr>
          <w:rFonts w:eastAsia="Calibri"/>
        </w:rPr>
        <w:t xml:space="preserve"> either</w:t>
      </w:r>
      <w:r w:rsidR="009F04CF" w:rsidRPr="009F04CF">
        <w:rPr>
          <w:rFonts w:eastAsia="Calibri"/>
        </w:rPr>
        <w:t xml:space="preserve"> between firms</w:t>
      </w:r>
      <w:r>
        <w:rPr>
          <w:rFonts w:eastAsia="Calibri"/>
        </w:rPr>
        <w:t xml:space="preserve"> or</w:t>
      </w:r>
      <w:r w:rsidR="009F04CF" w:rsidRPr="009F04CF">
        <w:rPr>
          <w:rFonts w:eastAsia="Calibri"/>
        </w:rPr>
        <w:t xml:space="preserve"> industries or over time. </w:t>
      </w:r>
      <w:r>
        <w:rPr>
          <w:rFonts w:eastAsia="Calibri"/>
        </w:rPr>
        <w:t>In practice, m</w:t>
      </w:r>
      <w:r w:rsidR="009F04CF" w:rsidRPr="009F04CF">
        <w:rPr>
          <w:rFonts w:eastAsia="Calibri"/>
        </w:rPr>
        <w:t xml:space="preserve">ost firm level data reflect a great deal of variation in R&amp;D expenditure between firms, and little or no </w:t>
      </w:r>
      <w:r w:rsidR="009F04CF" w:rsidRPr="009F04CF">
        <w:rPr>
          <w:rFonts w:eastAsia="Calibri"/>
        </w:rPr>
        <w:lastRenderedPageBreak/>
        <w:t xml:space="preserve">exogenous variation in subsidy </w:t>
      </w:r>
      <w:r w:rsidR="00DE0D23">
        <w:rPr>
          <w:rFonts w:eastAsia="Calibri"/>
        </w:rPr>
        <w:t>level (or rate)</w:t>
      </w:r>
      <w:r w:rsidR="009F04CF" w:rsidRPr="009F04CF">
        <w:rPr>
          <w:rFonts w:eastAsia="Calibri"/>
        </w:rPr>
        <w:t>.</w:t>
      </w:r>
      <w:r w:rsidR="00DE0D23">
        <w:rPr>
          <w:rFonts w:eastAsia="Calibri"/>
        </w:rPr>
        <w:t xml:space="preserve"> The empirical challenge is to isolate this variation </w:t>
      </w:r>
      <w:r w:rsidR="008F2167">
        <w:rPr>
          <w:rFonts w:eastAsia="Calibri"/>
        </w:rPr>
        <w:t>in subsidy</w:t>
      </w:r>
      <w:r w:rsidR="002602AC">
        <w:rPr>
          <w:rFonts w:eastAsia="Calibri"/>
        </w:rPr>
        <w:t xml:space="preserve"> </w:t>
      </w:r>
      <w:r w:rsidR="00DE0D23">
        <w:rPr>
          <w:rFonts w:eastAsia="Calibri"/>
        </w:rPr>
        <w:t xml:space="preserve">and </w:t>
      </w:r>
      <w:r w:rsidR="008F2167">
        <w:rPr>
          <w:rFonts w:eastAsia="Calibri"/>
        </w:rPr>
        <w:t>control for</w:t>
      </w:r>
      <w:r w:rsidR="00DE0D23">
        <w:rPr>
          <w:rFonts w:eastAsia="Calibri"/>
        </w:rPr>
        <w:t xml:space="preserve"> variation related to changes in demand for R&amp;D.</w:t>
      </w:r>
    </w:p>
    <w:p w14:paraId="2391EDA3" w14:textId="1662A666" w:rsidR="009F04CF" w:rsidRPr="009F04CF" w:rsidRDefault="009F04CF" w:rsidP="00833C96">
      <w:pPr>
        <w:pStyle w:val="Text"/>
        <w:rPr>
          <w:rFonts w:eastAsia="Calibri"/>
        </w:rPr>
      </w:pPr>
      <w:r w:rsidRPr="009F04CF">
        <w:rPr>
          <w:rFonts w:eastAsia="Calibri"/>
        </w:rPr>
        <w:t xml:space="preserve">Additionality is defined in gross terms. An additionality of 0.7 means private firms only increase their spending by 70 cents for every dollar the government gives them; 30 percent of </w:t>
      </w:r>
      <w:r w:rsidR="006F1D40">
        <w:rPr>
          <w:rFonts w:eastAsia="Calibri"/>
        </w:rPr>
        <w:t xml:space="preserve">private </w:t>
      </w:r>
      <w:r w:rsidRPr="009F04CF">
        <w:rPr>
          <w:rFonts w:eastAsia="Calibri"/>
        </w:rPr>
        <w:t>spending that was already happening has been displaced by the government subsidy</w:t>
      </w:r>
      <w:r w:rsidR="006F1D40">
        <w:rPr>
          <w:rFonts w:eastAsia="Calibri"/>
        </w:rPr>
        <w:t xml:space="preserve">. </w:t>
      </w:r>
      <w:r w:rsidRPr="009F04CF">
        <w:rPr>
          <w:rFonts w:eastAsia="Calibri"/>
        </w:rPr>
        <w:t>An additionality of 1 means the government gives firms $1 and they spend it on R&amp;D – so there are no private investments displaced by government spending. The same gross investment on R&amp;D could be achieved via spending on intra-mural or higher education R&amp;D. In this case, with an additionality of unity</w:t>
      </w:r>
      <w:r w:rsidR="005C563F">
        <w:rPr>
          <w:rFonts w:eastAsia="Calibri"/>
        </w:rPr>
        <w:t xml:space="preserve"> (ignoring administrative costs)</w:t>
      </w:r>
      <w:r w:rsidRPr="009F04CF">
        <w:rPr>
          <w:rFonts w:eastAsia="Calibri"/>
        </w:rPr>
        <w:t xml:space="preserve">, tax incentives provide a means for harnessing market forces to allocate the spending on R&amp;D. That is, in the case of tax incentives, government resources are allocated and spent by private firms in contrast to government or higher education R&amp;D, which must be allocated by other means. There are arguments as to the efficacy of </w:t>
      </w:r>
      <w:r w:rsidR="0032784B">
        <w:rPr>
          <w:rFonts w:eastAsia="Calibri"/>
        </w:rPr>
        <w:t xml:space="preserve">government allocation of R&amp;D spending </w:t>
      </w:r>
      <w:r w:rsidRPr="009F04CF">
        <w:rPr>
          <w:rFonts w:eastAsia="Calibri"/>
        </w:rPr>
        <w:t xml:space="preserve">but these are outside the scope of this report. </w:t>
      </w:r>
      <w:r w:rsidR="00DE0D23">
        <w:rPr>
          <w:rFonts w:eastAsia="Calibri"/>
        </w:rPr>
        <w:t xml:space="preserve">An additionality above unity implies that policy is leveraging more private spending than it is costing government in terms of </w:t>
      </w:r>
      <w:r w:rsidR="00405489">
        <w:rPr>
          <w:rFonts w:eastAsia="Calibri"/>
        </w:rPr>
        <w:t>forgone</w:t>
      </w:r>
      <w:r w:rsidR="00DE0D23">
        <w:rPr>
          <w:rFonts w:eastAsia="Calibri"/>
        </w:rPr>
        <w:t xml:space="preserve"> revenue. The magnitude of the additionality depends on the slope of the R&amp;D demand and supply curve</w:t>
      </w:r>
      <w:r w:rsidR="00DB1B02">
        <w:rPr>
          <w:rFonts w:eastAsia="Calibri"/>
        </w:rPr>
        <w:t>s</w:t>
      </w:r>
      <w:r w:rsidR="00DE0D23">
        <w:rPr>
          <w:rFonts w:eastAsia="Calibri"/>
        </w:rPr>
        <w:t xml:space="preserve">. </w:t>
      </w:r>
    </w:p>
    <w:p w14:paraId="30563CC4" w14:textId="77777777" w:rsidR="009F04CF" w:rsidRPr="009F04CF" w:rsidRDefault="00B23178" w:rsidP="004C6C4D">
      <w:pPr>
        <w:pStyle w:val="Text"/>
        <w:rPr>
          <w:rFonts w:eastAsia="Calibri"/>
        </w:rPr>
      </w:pPr>
      <w:r>
        <w:rPr>
          <w:rFonts w:eastAsia="Calibri"/>
        </w:rPr>
        <w:t>In this report a</w:t>
      </w:r>
      <w:r w:rsidR="004C6C4D">
        <w:rPr>
          <w:rFonts w:eastAsia="Calibri"/>
        </w:rPr>
        <w:t xml:space="preserve">dditionality does not take into account </w:t>
      </w:r>
      <w:r>
        <w:rPr>
          <w:rFonts w:eastAsia="Calibri"/>
        </w:rPr>
        <w:t>potential</w:t>
      </w:r>
      <w:r w:rsidR="004C6C4D">
        <w:rPr>
          <w:rFonts w:eastAsia="Calibri"/>
        </w:rPr>
        <w:t xml:space="preserve"> additional tax </w:t>
      </w:r>
      <w:r>
        <w:rPr>
          <w:rFonts w:eastAsia="Calibri"/>
        </w:rPr>
        <w:t xml:space="preserve">revenue from </w:t>
      </w:r>
      <w:r w:rsidR="004C6C4D">
        <w:rPr>
          <w:rFonts w:eastAsia="Calibri"/>
        </w:rPr>
        <w:t xml:space="preserve">firms that have higher future taxable income due to the </w:t>
      </w:r>
      <w:r>
        <w:rPr>
          <w:rFonts w:eastAsia="Calibri"/>
        </w:rPr>
        <w:t xml:space="preserve">increased </w:t>
      </w:r>
      <w:r w:rsidR="004C6C4D">
        <w:rPr>
          <w:rFonts w:eastAsia="Calibri"/>
        </w:rPr>
        <w:t xml:space="preserve">R&amp;D </w:t>
      </w:r>
      <w:r>
        <w:rPr>
          <w:rFonts w:eastAsia="Calibri"/>
        </w:rPr>
        <w:t xml:space="preserve">investment </w:t>
      </w:r>
      <w:r w:rsidR="004C6C4D">
        <w:rPr>
          <w:rFonts w:eastAsia="Calibri"/>
        </w:rPr>
        <w:t>on account of the policy. Finally, i</w:t>
      </w:r>
      <w:r w:rsidR="009F04CF" w:rsidRPr="009F04CF">
        <w:rPr>
          <w:rFonts w:eastAsia="Calibri"/>
        </w:rPr>
        <w:t xml:space="preserve">t is vitally important to bear in mind that inducing additional R&amp;D is not an end in itself. The rationale for subsidising R&amp;D is to induce positive spill-over benefits to other firms and consumers. If left to themselves, for-profit organisations will under-invest in R&amp;D and thereby forgo welfare-enhancing spill-over benefits. </w:t>
      </w:r>
      <w:r w:rsidR="00A02961">
        <w:rPr>
          <w:rFonts w:eastAsia="Calibri"/>
        </w:rPr>
        <w:t>Sound</w:t>
      </w:r>
      <w:r w:rsidR="009F04CF" w:rsidRPr="009F04CF">
        <w:rPr>
          <w:rFonts w:eastAsia="Calibri"/>
        </w:rPr>
        <w:t xml:space="preserve"> theory and extensive empirical evidence su</w:t>
      </w:r>
      <w:r w:rsidR="00A02961">
        <w:rPr>
          <w:rFonts w:eastAsia="Calibri"/>
        </w:rPr>
        <w:t xml:space="preserve">ggest </w:t>
      </w:r>
      <w:r w:rsidR="009F04CF" w:rsidRPr="009F04CF">
        <w:rPr>
          <w:rFonts w:eastAsia="Calibri"/>
        </w:rPr>
        <w:t>each dollar of R&amp;D investment makes a contribution to the material well-being of Australians considerably greater than one dollar.</w:t>
      </w:r>
    </w:p>
    <w:p w14:paraId="7765E7AB" w14:textId="77777777" w:rsidR="009F04CF" w:rsidRPr="009F04CF" w:rsidRDefault="009F04CF" w:rsidP="00833C96">
      <w:pPr>
        <w:pStyle w:val="Heading2"/>
      </w:pPr>
      <w:r w:rsidRPr="009F04CF">
        <w:t>Australian R&amp;D tax Policy</w:t>
      </w:r>
    </w:p>
    <w:p w14:paraId="1B757B5E" w14:textId="77777777" w:rsidR="009F04CF" w:rsidRPr="009F04CF" w:rsidRDefault="009F04CF" w:rsidP="00833C96">
      <w:pPr>
        <w:pStyle w:val="Text"/>
        <w:rPr>
          <w:rFonts w:eastAsia="Calibri"/>
        </w:rPr>
      </w:pPr>
      <w:r w:rsidRPr="009F04CF">
        <w:rPr>
          <w:rFonts w:eastAsia="Calibri"/>
        </w:rPr>
        <w:t xml:space="preserve">Tax subsidies for R&amp;D were first introduced in Australia with the introduction of the R&amp;D Tax Concession in 1985. </w:t>
      </w:r>
      <w:r w:rsidR="00D34454">
        <w:rPr>
          <w:rFonts w:eastAsia="Calibri"/>
        </w:rPr>
        <w:t>T</w:t>
      </w:r>
      <w:r w:rsidRPr="009F04CF">
        <w:rPr>
          <w:rFonts w:eastAsia="Calibri"/>
        </w:rPr>
        <w:t>he Concession</w:t>
      </w:r>
      <w:r w:rsidR="00D34454">
        <w:rPr>
          <w:rFonts w:eastAsia="Calibri"/>
        </w:rPr>
        <w:t xml:space="preserve"> </w:t>
      </w:r>
      <w:r w:rsidRPr="009F04CF">
        <w:rPr>
          <w:rFonts w:eastAsia="Calibri"/>
        </w:rPr>
        <w:t>provided an allowance of 150 percent; that is, firms could deduct from their taxable income 150 percent of the value of their eligible R&amp;D expenditure. Since its inception, the scheme has undergone a number of reforms. Salient features of the scheme within the time period analysed are outlined below and further details about historical aspects of the policy can be found in Thomson (2010). A chronology of important reforms is discussed below and these are summarised in Table 1.</w:t>
      </w:r>
    </w:p>
    <w:p w14:paraId="050A7C60" w14:textId="77777777" w:rsidR="009F04CF" w:rsidRPr="009F04CF" w:rsidRDefault="009F04CF" w:rsidP="00833C96">
      <w:pPr>
        <w:pStyle w:val="Text"/>
        <w:rPr>
          <w:rFonts w:eastAsia="Calibri"/>
        </w:rPr>
      </w:pPr>
      <w:r w:rsidRPr="009F04CF">
        <w:rPr>
          <w:rFonts w:eastAsia="Calibri"/>
        </w:rPr>
        <w:t xml:space="preserve">The Tax Concession scheme underwent a major reform in 1996. The rate of deduction was cut from 150 per cent to 125 per cent of eligible expenditure and the scope of eligible expenditure was revised. An incremental scheme, known as the 175 per cent premium deduction, was introduced in 2001. Under the incremental scheme, firms could claim an additional 50 per cent deduction on the portion of expenditure exceeding </w:t>
      </w:r>
      <w:r w:rsidRPr="009F04CF">
        <w:rPr>
          <w:rFonts w:eastAsia="Calibri"/>
        </w:rPr>
        <w:lastRenderedPageBreak/>
        <w:t>average nominal expenditure over the prior 3 years. This was in addition to the 125 per cent deduction available on all R&amp;D investment, meaning ‘incremental’ expenditure attracts a 175 per cent deduction in total. The rationale behind the bonus concession is to provide additional incentives while limiting deductions on infra-marginal R&amp;D investment – i.e. investment that would have occurred in the absence of the Concession.</w:t>
      </w:r>
    </w:p>
    <w:p w14:paraId="7E521D54" w14:textId="75474FF8" w:rsidR="009F04CF" w:rsidRPr="009F04CF" w:rsidRDefault="009F04CF" w:rsidP="00833C96">
      <w:pPr>
        <w:pStyle w:val="Text"/>
        <w:rPr>
          <w:rFonts w:eastAsia="Calibri"/>
        </w:rPr>
      </w:pPr>
      <w:r w:rsidRPr="009F04CF">
        <w:rPr>
          <w:rFonts w:eastAsia="Calibri"/>
        </w:rPr>
        <w:t xml:space="preserve">A small businesses tax offset scheme was introduced in </w:t>
      </w:r>
      <w:r w:rsidR="000756B2" w:rsidRPr="009F04CF">
        <w:rPr>
          <w:rFonts w:eastAsia="Calibri"/>
        </w:rPr>
        <w:t>200</w:t>
      </w:r>
      <w:r w:rsidR="000756B2">
        <w:rPr>
          <w:rFonts w:eastAsia="Calibri"/>
        </w:rPr>
        <w:t>1</w:t>
      </w:r>
      <w:r w:rsidRPr="009F04CF">
        <w:rPr>
          <w:rFonts w:eastAsia="Calibri"/>
        </w:rPr>
        <w:t xml:space="preserve">. Under the tax offset scheme, firms with a turnover of less than $5 million can claim the Concession as a tax offset (rebate) of 30c for each dollar of eligible R&amp;D investment, provided the expenditure is between the floor ($20,000) and </w:t>
      </w:r>
      <w:r w:rsidR="005F049A">
        <w:rPr>
          <w:rFonts w:eastAsia="Calibri"/>
        </w:rPr>
        <w:t xml:space="preserve">a maximum (cap) of $1 million. </w:t>
      </w:r>
      <w:r w:rsidRPr="009F04CF">
        <w:rPr>
          <w:rFonts w:eastAsia="Calibri"/>
        </w:rPr>
        <w:t xml:space="preserve">A special scheme for foreign contract R&amp;D was introduced in 2007. Up until 2007, eligibility for the Concession depended on the resultant intellectual property being vested with the researching firm, which reduced the attractiveness of the scheme to an Australian affiliate of a foreign-owned firm </w:t>
      </w:r>
      <w:r w:rsidRPr="009F04CF">
        <w:rPr>
          <w:rFonts w:eastAsia="Calibri"/>
        </w:rPr>
        <w:fldChar w:fldCharType="begin"/>
      </w:r>
      <w:r w:rsidRPr="009F04CF">
        <w:rPr>
          <w:rFonts w:eastAsia="Calibri"/>
        </w:rPr>
        <w:instrText xml:space="preserve"> ADDIN EN.CITE &lt;EndNote&gt;&lt;Cite&gt;&lt;Author&gt;BIE&lt;/Author&gt;&lt;Year&gt;1993&lt;/Year&gt;&lt;RecNum&gt;333&lt;/RecNum&gt;&lt;record&gt;&lt;rec-number&gt;333&lt;/rec-number&gt;&lt;foreign-keys&gt;&lt;key app="EN" db-id="asp0a9d9uvas2pe2spdxs0v1avdafzfrveax"&gt;333&lt;/key&gt;&lt;/foreign-keys&gt;&lt;ref-type name="Generic"&gt;13&lt;/ref-type&gt;&lt;contributors&gt;&lt;authors&gt;&lt;author&gt;BIE&lt;/author&gt;&lt;/authors&gt;&lt;/contributors&gt;&lt;titles&gt;&lt;title&gt;Research Report 50. R&amp;amp;D, Innovation and Competitiveness: An Evaluation of the Research and Development Tax Concession&lt;/title&gt;&lt;/titles&gt;&lt;dates&gt;&lt;year&gt;1993&lt;/year&gt;&lt;/dates&gt;&lt;pub-location&gt;Canberra&lt;/pub-location&gt;&lt;publisher&gt;Bureau of Industry Economics&lt;/publisher&gt;&lt;urls&gt;&lt;/urls&gt;&lt;/record&gt;&lt;/Cite&gt;&lt;Cite&gt;&lt;Author&gt;ATO&lt;/Author&gt;&lt;Year&gt;2002&lt;/Year&gt;&lt;RecNum&gt;505&lt;/RecNum&gt;&lt;record&gt;&lt;rec-number&gt;505&lt;/rec-number&gt;&lt;foreign-keys&gt;&lt;key app="EN" db-id="asp0a9d9uvas2pe2spdxs0v1avdafzfrveax"&gt;505&lt;/key&gt;&lt;/foreign-keys&gt;&lt;ref-type name="Generic"&gt;13&lt;/ref-type&gt;&lt;contributors&gt;&lt;authors&gt;&lt;author&gt;ATO&lt;/author&gt;&lt;/authors&gt;&lt;/contributors&gt;&lt;titles&gt;&lt;title&gt;R&amp;amp;D Tax Concession Information Sheet - &amp;quot;On own behalf &amp;quot; Provisions&lt;/title&gt;&lt;/titles&gt;&lt;dates&gt;&lt;year&gt;2002&lt;/year&gt;&lt;/dates&gt;&lt;pub-location&gt;Canberra&lt;/pub-location&gt;&lt;publisher&gt;Australian Taxation Office&lt;/publisher&gt;&lt;urls&gt;&lt;/urls&gt;&lt;/record&gt;&lt;/Cite&gt;&lt;/EndNote&gt;</w:instrText>
      </w:r>
      <w:r w:rsidRPr="009F04CF">
        <w:rPr>
          <w:rFonts w:eastAsia="Calibri"/>
        </w:rPr>
        <w:fldChar w:fldCharType="separate"/>
      </w:r>
      <w:r w:rsidRPr="009F04CF">
        <w:rPr>
          <w:rFonts w:eastAsia="Calibri"/>
        </w:rPr>
        <w:t>(BIE 1993; ATO 2002)</w:t>
      </w:r>
      <w:r w:rsidRPr="009F04CF">
        <w:rPr>
          <w:rFonts w:eastAsia="Calibri"/>
        </w:rPr>
        <w:fldChar w:fldCharType="end"/>
      </w:r>
      <w:r w:rsidRPr="009F04CF">
        <w:rPr>
          <w:rFonts w:eastAsia="Calibri"/>
        </w:rPr>
        <w:t>.</w:t>
      </w:r>
    </w:p>
    <w:p w14:paraId="2F3C1109" w14:textId="77777777" w:rsidR="009F04CF" w:rsidRPr="009F04CF" w:rsidRDefault="009F04CF" w:rsidP="00833C96">
      <w:pPr>
        <w:pStyle w:val="Text"/>
        <w:rPr>
          <w:rFonts w:eastAsia="Calibri"/>
        </w:rPr>
      </w:pPr>
      <w:r w:rsidRPr="009F04CF">
        <w:rPr>
          <w:rFonts w:eastAsia="Calibri"/>
        </w:rPr>
        <w:t xml:space="preserve">The R&amp;D Tax Incentive has been in place since the 2011/12 financial year and replaces the R&amp;D Tax Concession. It comprises a 45 percent offset (rebate) for small companies (turnover less than $20 million) and a 40 percent offset (rebate) for large companies (turnover greater than $20 million). The 45 percent R&amp;D tax offset </w:t>
      </w:r>
      <w:r w:rsidR="0007003C">
        <w:rPr>
          <w:rFonts w:eastAsia="Calibri"/>
        </w:rPr>
        <w:t>is</w:t>
      </w:r>
      <w:r w:rsidRPr="009F04CF">
        <w:rPr>
          <w:rFonts w:eastAsia="Calibri"/>
        </w:rPr>
        <w:t xml:space="preserve"> a refundable tax offset, which means that if a company’s tax liability is reduced to zero, companies may be entitled to a refund of any unused offset amount. The 40 percent R&amp;D tax offset is non-refundable, which means that companies cannot access a refund for any unused offset amount if their corporate income tax liability has been reduced to zero. However, any excess offsets may be carried forward for use in future income years.</w:t>
      </w:r>
    </w:p>
    <w:p w14:paraId="2E6640F1" w14:textId="77777777" w:rsidR="000756B2" w:rsidRDefault="009F04CF" w:rsidP="003C0141">
      <w:pPr>
        <w:pStyle w:val="Text"/>
        <w:rPr>
          <w:rFonts w:eastAsia="Calibri"/>
        </w:rPr>
      </w:pPr>
      <w:r w:rsidRPr="009F04CF">
        <w:rPr>
          <w:rFonts w:eastAsia="Calibri"/>
        </w:rPr>
        <w:t xml:space="preserve">The </w:t>
      </w:r>
      <w:r w:rsidR="00B368CB">
        <w:rPr>
          <w:rFonts w:eastAsia="Calibri"/>
        </w:rPr>
        <w:t xml:space="preserve">refundable </w:t>
      </w:r>
      <w:r w:rsidRPr="009F04CF">
        <w:rPr>
          <w:rFonts w:eastAsia="Calibri"/>
        </w:rPr>
        <w:t xml:space="preserve">offset has a potentially large impact on the effective relative generosity of the policy for companies which have no taxable profit. If all R&amp;D is expensed, a company with a positive tax liability is only </w:t>
      </w:r>
      <w:r w:rsidRPr="009F04CF">
        <w:rPr>
          <w:rFonts w:eastAsia="Calibri"/>
        </w:rPr>
        <w:lastRenderedPageBreak/>
        <w:t>15 percentage points better off with the Tax Incentive scheme. In contrast, for a company with no tax liability the policy reduces the after tax cost of R&amp;D by a full 45 percent.</w:t>
      </w:r>
    </w:p>
    <w:p w14:paraId="23D619A5" w14:textId="77777777" w:rsidR="003C0141" w:rsidRPr="009F04CF" w:rsidRDefault="003C0141" w:rsidP="003C0141">
      <w:pPr>
        <w:pStyle w:val="Text"/>
        <w:rPr>
          <w:rFonts w:eastAsia="Calibri"/>
        </w:rPr>
      </w:pPr>
      <w:r w:rsidRPr="009F04CF">
        <w:rPr>
          <w:rFonts w:eastAsia="Calibri"/>
        </w:rPr>
        <w:t>Under the R&amp;D Tax Incentive scheme the following expenditures are excluded from receiving the tax subsidies:</w:t>
      </w:r>
    </w:p>
    <w:p w14:paraId="67A29C57" w14:textId="77777777" w:rsidR="003C0141" w:rsidRPr="009F04CF" w:rsidRDefault="003C0141" w:rsidP="00AE3AC7">
      <w:pPr>
        <w:pStyle w:val="Text"/>
        <w:numPr>
          <w:ilvl w:val="0"/>
          <w:numId w:val="34"/>
        </w:numPr>
        <w:spacing w:before="0"/>
        <w:rPr>
          <w:rFonts w:eastAsia="Calibri"/>
        </w:rPr>
      </w:pPr>
      <w:r w:rsidRPr="009F04CF">
        <w:rPr>
          <w:rFonts w:eastAsia="Calibri"/>
        </w:rPr>
        <w:t>Expenditure that is not at risk</w:t>
      </w:r>
    </w:p>
    <w:p w14:paraId="6454A7CB" w14:textId="77777777" w:rsidR="003C0141" w:rsidRPr="009F04CF" w:rsidRDefault="003C0141" w:rsidP="00AE3AC7">
      <w:pPr>
        <w:pStyle w:val="Text"/>
        <w:numPr>
          <w:ilvl w:val="0"/>
          <w:numId w:val="34"/>
        </w:numPr>
        <w:spacing w:before="0"/>
        <w:rPr>
          <w:rFonts w:eastAsia="Calibri"/>
        </w:rPr>
      </w:pPr>
      <w:r w:rsidRPr="009F04CF">
        <w:rPr>
          <w:rFonts w:eastAsia="Calibri"/>
        </w:rPr>
        <w:t>Core technology expenditure</w:t>
      </w:r>
    </w:p>
    <w:p w14:paraId="1EB6100F" w14:textId="77777777" w:rsidR="003C0141" w:rsidRPr="009F04CF" w:rsidRDefault="003C0141" w:rsidP="00AE3AC7">
      <w:pPr>
        <w:pStyle w:val="Text"/>
        <w:numPr>
          <w:ilvl w:val="0"/>
          <w:numId w:val="34"/>
        </w:numPr>
        <w:spacing w:before="0"/>
        <w:rPr>
          <w:rFonts w:eastAsia="Calibri"/>
        </w:rPr>
      </w:pPr>
      <w:r w:rsidRPr="009F04CF">
        <w:rPr>
          <w:rFonts w:eastAsia="Calibri"/>
        </w:rPr>
        <w:t>Expenditure included in the cost of a depreciating asset (decline in value notional deductions may apply however)</w:t>
      </w:r>
    </w:p>
    <w:p w14:paraId="4992C5D9" w14:textId="77777777" w:rsidR="003C0141" w:rsidRPr="009F04CF" w:rsidRDefault="003C0141" w:rsidP="00AE3AC7">
      <w:pPr>
        <w:pStyle w:val="Text"/>
        <w:numPr>
          <w:ilvl w:val="0"/>
          <w:numId w:val="34"/>
        </w:numPr>
        <w:spacing w:before="0"/>
        <w:rPr>
          <w:rFonts w:eastAsia="Calibri"/>
        </w:rPr>
      </w:pPr>
      <w:r w:rsidRPr="009F04CF">
        <w:rPr>
          <w:rFonts w:eastAsia="Calibri"/>
        </w:rPr>
        <w:t xml:space="preserve">Expenditure incurred to acquire or construct a building (or part of a building or an extension, alteration or improvement to a building). </w:t>
      </w:r>
    </w:p>
    <w:p w14:paraId="1EBCEABA" w14:textId="77777777" w:rsidR="003C0141" w:rsidRPr="009F04CF" w:rsidRDefault="003C0141" w:rsidP="00AE3AC7">
      <w:pPr>
        <w:pStyle w:val="Text"/>
        <w:numPr>
          <w:ilvl w:val="0"/>
          <w:numId w:val="34"/>
        </w:numPr>
        <w:spacing w:before="0"/>
        <w:rPr>
          <w:rFonts w:eastAsia="Calibri"/>
        </w:rPr>
      </w:pPr>
      <w:r w:rsidRPr="009F04CF">
        <w:rPr>
          <w:rFonts w:eastAsia="Calibri"/>
        </w:rPr>
        <w:t>Expenditure incurred for interest payable to an entity</w:t>
      </w:r>
    </w:p>
    <w:p w14:paraId="5085B3B1" w14:textId="77777777" w:rsidR="003C0141" w:rsidRPr="00AE3AC7" w:rsidRDefault="003C0141" w:rsidP="00833C96">
      <w:pPr>
        <w:pStyle w:val="Text"/>
        <w:numPr>
          <w:ilvl w:val="0"/>
          <w:numId w:val="34"/>
        </w:numPr>
        <w:spacing w:before="0"/>
        <w:rPr>
          <w:rFonts w:eastAsia="Calibri"/>
        </w:rPr>
      </w:pPr>
      <w:r w:rsidRPr="009F04CF">
        <w:rPr>
          <w:rFonts w:eastAsia="Calibri"/>
        </w:rPr>
        <w:t>Expenditure incurred to an associate in a year, but not paid in that year</w:t>
      </w:r>
    </w:p>
    <w:p w14:paraId="344B6A23" w14:textId="77777777" w:rsidR="003C0141" w:rsidRDefault="00FE65D7" w:rsidP="006864C6">
      <w:pPr>
        <w:pStyle w:val="Text"/>
        <w:rPr>
          <w:rFonts w:eastAsia="Calibri"/>
        </w:rPr>
      </w:pPr>
      <w:r w:rsidRPr="009F04CF">
        <w:rPr>
          <w:rFonts w:eastAsia="Calibri"/>
        </w:rPr>
        <w:t xml:space="preserve">Other tax policy reforms, not directly linked to R&amp;D investment, </w:t>
      </w:r>
      <w:r>
        <w:rPr>
          <w:rFonts w:eastAsia="Calibri"/>
        </w:rPr>
        <w:t xml:space="preserve">can </w:t>
      </w:r>
      <w:r w:rsidRPr="009F04CF">
        <w:rPr>
          <w:rFonts w:eastAsia="Calibri"/>
        </w:rPr>
        <w:t xml:space="preserve">also affect the efficacy of tax subsidies. Importantly, the dividend imputation system acts to dilute the impact of the R&amp;D Tax subsidies because it can lead to ‘clawback of the R&amp;D subsidy to companies through the taxation of their shareholders’ (BIE, 1993). The dividend imputation system was introduced in 1989 and it aims to avoid the double taxation of company profits when they are paid out to shareholders. Under the dividend imputation system, firms are eligible for franking credits commensurate with the company income tax they pay. Franking credits are allocated to shareholders with dividend payments and effectively reduce personal income tax liabilities by the amount already paid by the company. There is some evidence that firms respond less to R&amp;D tax incentives when they operate in a country that also has a dividend imputation system </w:t>
      </w:r>
      <w:r w:rsidRPr="009F04CF">
        <w:rPr>
          <w:rFonts w:eastAsia="Calibri"/>
        </w:rPr>
        <w:fldChar w:fldCharType="begin"/>
      </w:r>
      <w:r w:rsidRPr="009F04CF">
        <w:rPr>
          <w:rFonts w:eastAsia="Calibri"/>
        </w:rPr>
        <w:instrText xml:space="preserve"> ADDIN EN.CITE &lt;EndNote&gt;&lt;Cite&gt;&lt;Author&gt;Thomas&lt;/Author&gt;&lt;Year&gt;2003&lt;/Year&gt;&lt;RecNum&gt;500&lt;/RecNum&gt;&lt;record&gt;&lt;rec-number&gt;500&lt;/rec-number&gt;&lt;foreign-keys&gt;&lt;key app="EN" db-id="asp0a9d9uvas2pe2spdxs0v1avdafzfrveax"&gt;500&lt;/key&gt;&lt;/foreign-keys&gt;&lt;ref-type name="Journal Article"&gt;17&lt;/ref-type&gt;&lt;contributors&gt;&lt;authors&gt;&lt;author&gt;Deborah W Thomas&lt;/author&gt;&lt;author&gt;Tracy S Manly&lt;/author&gt;&lt;author&gt;Craig T Schulman&lt;/author&gt;&lt;/authors&gt;&lt;/contributors&gt;&lt;titles&gt;&lt;title&gt;An International Investigation of the Influence of Dividend Taxation on Research and Development Tax Credits&lt;/title&gt;&lt;secondary-title&gt;The Journal of the American Taxation Association&lt;/secondary-title&gt;&lt;/titles&gt;&lt;periodical&gt;&lt;full-title&gt;The Journal of the American Taxation Association&lt;/full-title&gt;&lt;/periodical&gt;&lt;pages&gt;35-54&lt;/pages&gt;&lt;volume&gt;25&lt;/volume&gt;&lt;number&gt;2&lt;/number&gt;&lt;dates&gt;&lt;year&gt;2003&lt;/year&gt;&lt;/dates&gt;&lt;urls&gt;&lt;/urls&gt;&lt;/record&gt;&lt;/Cite&gt;&lt;/EndNote&gt;</w:instrText>
      </w:r>
      <w:r w:rsidRPr="009F04CF">
        <w:rPr>
          <w:rFonts w:eastAsia="Calibri"/>
        </w:rPr>
        <w:fldChar w:fldCharType="separate"/>
      </w:r>
      <w:r w:rsidRPr="009F04CF">
        <w:rPr>
          <w:rFonts w:eastAsia="Calibri"/>
        </w:rPr>
        <w:t xml:space="preserve">(Thomas </w:t>
      </w:r>
      <w:r w:rsidRPr="009F04CF">
        <w:rPr>
          <w:rFonts w:eastAsia="Calibri"/>
          <w:i/>
        </w:rPr>
        <w:t>et al</w:t>
      </w:r>
      <w:r w:rsidRPr="009F04CF">
        <w:rPr>
          <w:rFonts w:eastAsia="Calibri"/>
        </w:rPr>
        <w:t>., 2003)</w:t>
      </w:r>
      <w:r w:rsidRPr="009F04CF">
        <w:rPr>
          <w:rFonts w:eastAsia="Calibri"/>
        </w:rPr>
        <w:fldChar w:fldCharType="end"/>
      </w:r>
      <w:r w:rsidRPr="009F04CF">
        <w:rPr>
          <w:rFonts w:eastAsia="Calibri"/>
        </w:rPr>
        <w:t xml:space="preserve">. Australia is one of only a handful of countries to allow dividend imputation and this has been proposed as a reason that R&amp;D tax incentives may be less effective here (BIE 1993; Thomson 2010). </w:t>
      </w:r>
    </w:p>
    <w:p w14:paraId="4C339C94" w14:textId="77777777" w:rsidR="003C0141" w:rsidRDefault="00A8178D" w:rsidP="003C0141">
      <w:pPr>
        <w:pStyle w:val="Caption"/>
      </w:pPr>
      <w:r>
        <w:t xml:space="preserve">Table 1. </w:t>
      </w:r>
      <w:r w:rsidR="003C0141">
        <w:t xml:space="preserve">History of the R&amp;D Tax </w:t>
      </w:r>
      <w:r w:rsidR="007D1929">
        <w:t>Subsidies in Australia</w:t>
      </w:r>
    </w:p>
    <w:tbl>
      <w:tblPr>
        <w:tblW w:w="9468" w:type="dxa"/>
        <w:tblCellMar>
          <w:top w:w="57" w:type="dxa"/>
        </w:tblCellMar>
        <w:tblLook w:val="01E0" w:firstRow="1" w:lastRow="1" w:firstColumn="1" w:lastColumn="1" w:noHBand="0" w:noVBand="0"/>
        <w:tblCaption w:val="Table 1, Chronology of the R &amp; D Tax Subsidies in Australia"/>
        <w:tblDescription w:val="Table containing the history of the changes of the R&amp;D Tax Subsidies in Australia. The tax subsidy has been revised indirectly several times by changes in the corporate tax rate with the overall trend being a decrease in the net benefit. Furthermore, tax deductions under the R&amp;D Tax Concession were altered and redesigned, eventually being replaced by the R&amp;D Tax Incentive in 2011 which features a refundable tax offset for S M E companies and non-refundable tax offset for large companies."/>
      </w:tblPr>
      <w:tblGrid>
        <w:gridCol w:w="1112"/>
        <w:gridCol w:w="8356"/>
      </w:tblGrid>
      <w:tr w:rsidR="003C0141" w14:paraId="0804A5DA" w14:textId="77777777" w:rsidTr="00D04A09">
        <w:trPr>
          <w:cantSplit/>
          <w:tblHeader/>
        </w:trPr>
        <w:tc>
          <w:tcPr>
            <w:tcW w:w="1008" w:type="dxa"/>
            <w:tcBorders>
              <w:top w:val="single" w:sz="4" w:space="0" w:color="auto"/>
              <w:bottom w:val="single" w:sz="4" w:space="0" w:color="auto"/>
            </w:tcBorders>
            <w:vAlign w:val="bottom"/>
          </w:tcPr>
          <w:p w14:paraId="730AA7C3" w14:textId="77777777" w:rsidR="003C0141" w:rsidRPr="003C0141" w:rsidRDefault="003C0141">
            <w:pPr>
              <w:keepNext/>
              <w:autoSpaceDE w:val="0"/>
              <w:autoSpaceDN w:val="0"/>
              <w:adjustRightInd w:val="0"/>
              <w:spacing w:after="120" w:line="276" w:lineRule="auto"/>
              <w:rPr>
                <w:b/>
                <w:bCs/>
                <w:i/>
                <w:iCs/>
              </w:rPr>
            </w:pPr>
            <w:r w:rsidRPr="003C0141">
              <w:rPr>
                <w:b/>
              </w:rPr>
              <w:t>Year</w:t>
            </w:r>
          </w:p>
        </w:tc>
        <w:tc>
          <w:tcPr>
            <w:tcW w:w="8460" w:type="dxa"/>
            <w:tcBorders>
              <w:top w:val="single" w:sz="4" w:space="0" w:color="auto"/>
              <w:bottom w:val="single" w:sz="4" w:space="0" w:color="auto"/>
            </w:tcBorders>
            <w:vAlign w:val="bottom"/>
          </w:tcPr>
          <w:p w14:paraId="7AD2E769" w14:textId="77777777" w:rsidR="003C0141" w:rsidRPr="003C0141" w:rsidRDefault="003C0141" w:rsidP="003C0141">
            <w:pPr>
              <w:keepNext/>
              <w:autoSpaceDE w:val="0"/>
              <w:autoSpaceDN w:val="0"/>
              <w:adjustRightInd w:val="0"/>
              <w:spacing w:before="0" w:after="120"/>
              <w:ind w:left="360"/>
              <w:jc w:val="left"/>
              <w:rPr>
                <w:b/>
                <w:color w:val="000000"/>
              </w:rPr>
            </w:pPr>
            <w:r w:rsidRPr="003C0141">
              <w:rPr>
                <w:b/>
              </w:rPr>
              <w:t>Policy Event</w:t>
            </w:r>
          </w:p>
        </w:tc>
      </w:tr>
      <w:tr w:rsidR="003C0141" w14:paraId="6AB1DBA3" w14:textId="77777777" w:rsidTr="00D04A09">
        <w:trPr>
          <w:cantSplit/>
        </w:trPr>
        <w:tc>
          <w:tcPr>
            <w:tcW w:w="1008" w:type="dxa"/>
            <w:tcBorders>
              <w:top w:val="single" w:sz="4" w:space="0" w:color="auto"/>
            </w:tcBorders>
            <w:hideMark/>
          </w:tcPr>
          <w:p w14:paraId="355B55AB" w14:textId="77777777" w:rsidR="003C0141" w:rsidRPr="007D1929" w:rsidRDefault="003C0141" w:rsidP="007D1929">
            <w:pPr>
              <w:pStyle w:val="Tablenumber"/>
              <w:rPr>
                <w:sz w:val="22"/>
                <w:szCs w:val="22"/>
              </w:rPr>
            </w:pPr>
            <w:r w:rsidRPr="007D1929">
              <w:t>1985</w:t>
            </w:r>
          </w:p>
        </w:tc>
        <w:tc>
          <w:tcPr>
            <w:tcW w:w="8460" w:type="dxa"/>
            <w:tcBorders>
              <w:top w:val="single" w:sz="4" w:space="0" w:color="auto"/>
            </w:tcBorders>
            <w:hideMark/>
          </w:tcPr>
          <w:p w14:paraId="0BF240D0" w14:textId="77777777" w:rsidR="003C0141" w:rsidRPr="007D1929" w:rsidRDefault="003C0141" w:rsidP="007D1929">
            <w:pPr>
              <w:pStyle w:val="Tablenumber"/>
              <w:spacing w:after="60"/>
              <w:ind w:left="0"/>
              <w:rPr>
                <w:color w:val="000000"/>
              </w:rPr>
            </w:pPr>
            <w:r w:rsidRPr="007D1929">
              <w:rPr>
                <w:color w:val="000000"/>
              </w:rPr>
              <w:t>R&amp;D Tax Concession established</w:t>
            </w:r>
          </w:p>
          <w:p w14:paraId="67AD2E2C" w14:textId="77777777" w:rsidR="003C0141" w:rsidRPr="007D1929" w:rsidRDefault="003C0141" w:rsidP="007D1929">
            <w:pPr>
              <w:pStyle w:val="Tablenumber"/>
              <w:spacing w:after="60"/>
              <w:ind w:left="0"/>
              <w:rPr>
                <w:color w:val="000000"/>
              </w:rPr>
            </w:pPr>
            <w:r w:rsidRPr="007D1929">
              <w:rPr>
                <w:color w:val="000000"/>
              </w:rPr>
              <w:t>Available to Australian companies</w:t>
            </w:r>
          </w:p>
          <w:p w14:paraId="79D13A2D" w14:textId="77777777" w:rsidR="003C0141" w:rsidRPr="007D1929" w:rsidRDefault="003C0141" w:rsidP="007D1929">
            <w:pPr>
              <w:pStyle w:val="Tablenumber"/>
              <w:spacing w:after="60"/>
              <w:ind w:left="0"/>
              <w:rPr>
                <w:color w:val="000000"/>
                <w:sz w:val="22"/>
                <w:szCs w:val="22"/>
              </w:rPr>
            </w:pPr>
            <w:r w:rsidRPr="007D1929">
              <w:rPr>
                <w:color w:val="000000"/>
              </w:rPr>
              <w:t>Enhanced deduction of 150 per cent on R&amp;D expenditure, resulting in a benefit of 23 cents in the dollar (corporate tax rate was 46 per cent)</w:t>
            </w:r>
          </w:p>
        </w:tc>
      </w:tr>
      <w:tr w:rsidR="003C0141" w14:paraId="2D303E41" w14:textId="77777777" w:rsidTr="00D04A09">
        <w:trPr>
          <w:cantSplit/>
          <w:trHeight w:val="379"/>
        </w:trPr>
        <w:tc>
          <w:tcPr>
            <w:tcW w:w="1008" w:type="dxa"/>
            <w:hideMark/>
          </w:tcPr>
          <w:p w14:paraId="4443EFD4" w14:textId="77777777" w:rsidR="003C0141" w:rsidRPr="007D1929" w:rsidRDefault="003C0141" w:rsidP="007D1929">
            <w:pPr>
              <w:pStyle w:val="Tablenumber"/>
              <w:rPr>
                <w:sz w:val="22"/>
                <w:szCs w:val="22"/>
              </w:rPr>
            </w:pPr>
            <w:r w:rsidRPr="007D1929">
              <w:t>1987</w:t>
            </w:r>
          </w:p>
        </w:tc>
        <w:tc>
          <w:tcPr>
            <w:tcW w:w="8460" w:type="dxa"/>
            <w:hideMark/>
          </w:tcPr>
          <w:p w14:paraId="7D547C44" w14:textId="77777777" w:rsidR="003C0141" w:rsidRPr="007D1929" w:rsidRDefault="003C0141" w:rsidP="007D1929">
            <w:pPr>
              <w:pStyle w:val="Tablenumber"/>
              <w:spacing w:after="60"/>
              <w:ind w:left="0"/>
              <w:rPr>
                <w:color w:val="000000"/>
                <w:sz w:val="22"/>
                <w:szCs w:val="22"/>
              </w:rPr>
            </w:pPr>
            <w:r w:rsidRPr="007D1929">
              <w:rPr>
                <w:color w:val="000000"/>
              </w:rPr>
              <w:t>Corporate tax rate increased to 49 per cent, resulting in an increased benefit of 24.5 cent in the dollar</w:t>
            </w:r>
          </w:p>
        </w:tc>
      </w:tr>
      <w:tr w:rsidR="003C0141" w14:paraId="248FB9AD" w14:textId="77777777" w:rsidTr="00D04A09">
        <w:trPr>
          <w:cantSplit/>
          <w:trHeight w:val="379"/>
        </w:trPr>
        <w:tc>
          <w:tcPr>
            <w:tcW w:w="1008" w:type="dxa"/>
            <w:hideMark/>
          </w:tcPr>
          <w:p w14:paraId="2ED11FB4" w14:textId="77777777" w:rsidR="003C0141" w:rsidRPr="007D1929" w:rsidRDefault="003C0141" w:rsidP="007D1929">
            <w:pPr>
              <w:pStyle w:val="Tablenumber"/>
              <w:rPr>
                <w:sz w:val="22"/>
                <w:szCs w:val="22"/>
              </w:rPr>
            </w:pPr>
            <w:r w:rsidRPr="007D1929">
              <w:t>1988</w:t>
            </w:r>
          </w:p>
        </w:tc>
        <w:tc>
          <w:tcPr>
            <w:tcW w:w="8460" w:type="dxa"/>
            <w:hideMark/>
          </w:tcPr>
          <w:p w14:paraId="27B9F8EF" w14:textId="77777777" w:rsidR="003C0141" w:rsidRPr="007D1929" w:rsidRDefault="003C0141" w:rsidP="007D1929">
            <w:pPr>
              <w:pStyle w:val="Tablenumber"/>
              <w:spacing w:after="60"/>
              <w:ind w:left="0"/>
              <w:rPr>
                <w:color w:val="000000"/>
                <w:sz w:val="22"/>
                <w:szCs w:val="22"/>
              </w:rPr>
            </w:pPr>
            <w:r w:rsidRPr="007D1929">
              <w:rPr>
                <w:color w:val="000000"/>
              </w:rPr>
              <w:t>Corporate tax rate reduced to 39 per cent, resulting in a reduced benefit of 19.5 cents in the dollar</w:t>
            </w:r>
          </w:p>
        </w:tc>
      </w:tr>
      <w:tr w:rsidR="003C0141" w14:paraId="3B694097" w14:textId="77777777" w:rsidTr="00D04A09">
        <w:trPr>
          <w:cantSplit/>
          <w:trHeight w:val="379"/>
        </w:trPr>
        <w:tc>
          <w:tcPr>
            <w:tcW w:w="1008" w:type="dxa"/>
            <w:hideMark/>
          </w:tcPr>
          <w:p w14:paraId="38D2D4F3" w14:textId="77777777" w:rsidR="003C0141" w:rsidRPr="007D1929" w:rsidRDefault="003C0141" w:rsidP="007D1929">
            <w:pPr>
              <w:pStyle w:val="Tablenumber"/>
              <w:rPr>
                <w:sz w:val="22"/>
                <w:szCs w:val="22"/>
              </w:rPr>
            </w:pPr>
            <w:r w:rsidRPr="007D1929">
              <w:t>1993</w:t>
            </w:r>
          </w:p>
        </w:tc>
        <w:tc>
          <w:tcPr>
            <w:tcW w:w="8460" w:type="dxa"/>
            <w:hideMark/>
          </w:tcPr>
          <w:p w14:paraId="0B404379" w14:textId="77777777" w:rsidR="003C0141" w:rsidRPr="007D1929" w:rsidRDefault="003C0141" w:rsidP="007D1929">
            <w:pPr>
              <w:pStyle w:val="Tablenumber"/>
              <w:spacing w:after="60"/>
              <w:ind w:left="0"/>
              <w:rPr>
                <w:color w:val="000000"/>
                <w:sz w:val="22"/>
                <w:szCs w:val="22"/>
              </w:rPr>
            </w:pPr>
            <w:r w:rsidRPr="007D1929">
              <w:rPr>
                <w:color w:val="000000"/>
              </w:rPr>
              <w:t>Corporate tax rate reduced to 33 per cent, resulting in a reduced benefit of 16.5 cents in the dollar</w:t>
            </w:r>
          </w:p>
        </w:tc>
      </w:tr>
      <w:tr w:rsidR="003C0141" w14:paraId="749F184F" w14:textId="77777777" w:rsidTr="00D04A09">
        <w:trPr>
          <w:cantSplit/>
          <w:trHeight w:val="379"/>
        </w:trPr>
        <w:tc>
          <w:tcPr>
            <w:tcW w:w="1008" w:type="dxa"/>
            <w:hideMark/>
          </w:tcPr>
          <w:p w14:paraId="4FDFAD35" w14:textId="77777777" w:rsidR="003C0141" w:rsidRPr="007D1929" w:rsidRDefault="003C0141" w:rsidP="007D1929">
            <w:pPr>
              <w:pStyle w:val="Tablenumber"/>
              <w:rPr>
                <w:sz w:val="22"/>
                <w:szCs w:val="22"/>
              </w:rPr>
            </w:pPr>
            <w:r w:rsidRPr="007D1929">
              <w:t>1995</w:t>
            </w:r>
          </w:p>
        </w:tc>
        <w:tc>
          <w:tcPr>
            <w:tcW w:w="8460" w:type="dxa"/>
            <w:hideMark/>
          </w:tcPr>
          <w:p w14:paraId="5304A79D" w14:textId="77777777" w:rsidR="003C0141" w:rsidRPr="007D1929" w:rsidRDefault="003C0141" w:rsidP="007D1929">
            <w:pPr>
              <w:pStyle w:val="Tablenumber"/>
              <w:spacing w:after="60"/>
              <w:ind w:left="0"/>
              <w:rPr>
                <w:color w:val="000000"/>
                <w:sz w:val="22"/>
                <w:szCs w:val="22"/>
              </w:rPr>
            </w:pPr>
            <w:r w:rsidRPr="007D1929">
              <w:rPr>
                <w:color w:val="000000"/>
              </w:rPr>
              <w:t>Corporate tax rate increased to 36 per cent, resulting in an increased benefit of 18 cents in the dollar</w:t>
            </w:r>
            <w:bookmarkStart w:id="0" w:name="_GoBack"/>
            <w:bookmarkEnd w:id="0"/>
          </w:p>
        </w:tc>
      </w:tr>
      <w:tr w:rsidR="003C0141" w14:paraId="4BAB78A2" w14:textId="77777777" w:rsidTr="00D04A09">
        <w:trPr>
          <w:cantSplit/>
          <w:trHeight w:val="379"/>
        </w:trPr>
        <w:tc>
          <w:tcPr>
            <w:tcW w:w="1008" w:type="dxa"/>
            <w:hideMark/>
          </w:tcPr>
          <w:p w14:paraId="16748C95" w14:textId="77777777" w:rsidR="003C0141" w:rsidRPr="007D1929" w:rsidRDefault="003C0141" w:rsidP="007D1929">
            <w:pPr>
              <w:pStyle w:val="Tablenumber"/>
              <w:rPr>
                <w:color w:val="000000"/>
                <w:sz w:val="22"/>
                <w:szCs w:val="22"/>
              </w:rPr>
            </w:pPr>
            <w:r w:rsidRPr="007D1929">
              <w:lastRenderedPageBreak/>
              <w:t>1996</w:t>
            </w:r>
          </w:p>
        </w:tc>
        <w:tc>
          <w:tcPr>
            <w:tcW w:w="8460" w:type="dxa"/>
            <w:hideMark/>
          </w:tcPr>
          <w:p w14:paraId="1041E99A" w14:textId="77777777" w:rsidR="003C0141" w:rsidRPr="007D1929" w:rsidRDefault="003C0141" w:rsidP="007D1929">
            <w:pPr>
              <w:pStyle w:val="Tablenumber"/>
              <w:spacing w:after="60"/>
              <w:ind w:left="0"/>
              <w:rPr>
                <w:color w:val="000000"/>
                <w:sz w:val="22"/>
                <w:szCs w:val="22"/>
              </w:rPr>
            </w:pPr>
            <w:r w:rsidRPr="007D1929">
              <w:rPr>
                <w:color w:val="000000"/>
              </w:rPr>
              <w:t>Enhanced deduction rate was reduced from 150 to 125 per cent, resulting in a reduced benefit of 9 cents in the dollar (corporate tax rate was 36 per cent)</w:t>
            </w:r>
          </w:p>
        </w:tc>
      </w:tr>
      <w:tr w:rsidR="003C0141" w14:paraId="05333EBE" w14:textId="77777777" w:rsidTr="00D04A09">
        <w:trPr>
          <w:cantSplit/>
          <w:trHeight w:val="795"/>
        </w:trPr>
        <w:tc>
          <w:tcPr>
            <w:tcW w:w="1008" w:type="dxa"/>
            <w:hideMark/>
          </w:tcPr>
          <w:p w14:paraId="0C3FC7D4" w14:textId="77777777" w:rsidR="003C0141" w:rsidRPr="007D1929" w:rsidRDefault="003C0141" w:rsidP="007D1929">
            <w:pPr>
              <w:pStyle w:val="Tablenumber"/>
              <w:rPr>
                <w:color w:val="000000"/>
                <w:sz w:val="22"/>
                <w:szCs w:val="22"/>
              </w:rPr>
            </w:pPr>
            <w:r w:rsidRPr="007D1929">
              <w:rPr>
                <w:color w:val="000000"/>
              </w:rPr>
              <w:t>2001</w:t>
            </w:r>
          </w:p>
        </w:tc>
        <w:tc>
          <w:tcPr>
            <w:tcW w:w="8460" w:type="dxa"/>
            <w:hideMark/>
          </w:tcPr>
          <w:p w14:paraId="05E1D5DA" w14:textId="77777777" w:rsidR="003C0141" w:rsidRPr="007D1929" w:rsidRDefault="003C0141" w:rsidP="007D1929">
            <w:pPr>
              <w:pStyle w:val="Tablenumber"/>
              <w:spacing w:after="60"/>
              <w:ind w:left="0"/>
              <w:rPr>
                <w:color w:val="000000"/>
              </w:rPr>
            </w:pPr>
            <w:r w:rsidRPr="007D1929">
              <w:rPr>
                <w:color w:val="000000"/>
              </w:rPr>
              <w:t>Corporate tax rate reduced to 30 per cent, resulting in a reduced benefit of 7.5 cents in the dollar</w:t>
            </w:r>
          </w:p>
          <w:p w14:paraId="43D5CAC3" w14:textId="77777777" w:rsidR="003C0141" w:rsidRPr="007D1929" w:rsidRDefault="003C0141" w:rsidP="007D1929">
            <w:pPr>
              <w:pStyle w:val="Tablenumber"/>
              <w:spacing w:after="60"/>
              <w:ind w:left="0"/>
              <w:rPr>
                <w:color w:val="000000"/>
              </w:rPr>
            </w:pPr>
            <w:r w:rsidRPr="007D1929">
              <w:rPr>
                <w:color w:val="000000"/>
              </w:rPr>
              <w:t>Introduction of the 175 per cent Premium (Incremental) Tax Concession for additional investment in R&amp;D</w:t>
            </w:r>
          </w:p>
          <w:p w14:paraId="7BD06803" w14:textId="77777777" w:rsidR="003C0141" w:rsidRPr="007D1929" w:rsidRDefault="003C0141" w:rsidP="007D1929">
            <w:pPr>
              <w:pStyle w:val="Tablenumber"/>
              <w:spacing w:after="60"/>
              <w:ind w:left="0"/>
              <w:rPr>
                <w:color w:val="000000"/>
                <w:sz w:val="22"/>
                <w:szCs w:val="22"/>
              </w:rPr>
            </w:pPr>
            <w:r w:rsidRPr="007D1929">
              <w:rPr>
                <w:color w:val="000000"/>
              </w:rPr>
              <w:t>Introduction of a refundable R&amp;D Tax Offset for small companies in tax loss that undertake R&amp;D, enabling them to ‘cash out’ their R&amp;D tax losses</w:t>
            </w:r>
          </w:p>
        </w:tc>
      </w:tr>
      <w:tr w:rsidR="003C0141" w14:paraId="5F4DCF48" w14:textId="77777777" w:rsidTr="00D04A09">
        <w:trPr>
          <w:cantSplit/>
        </w:trPr>
        <w:tc>
          <w:tcPr>
            <w:tcW w:w="1008" w:type="dxa"/>
            <w:hideMark/>
          </w:tcPr>
          <w:p w14:paraId="19FAB80C" w14:textId="77777777" w:rsidR="003C0141" w:rsidRPr="007D1929" w:rsidRDefault="003C0141" w:rsidP="007D1929">
            <w:pPr>
              <w:pStyle w:val="Tablenumber"/>
              <w:rPr>
                <w:color w:val="000000"/>
                <w:sz w:val="22"/>
                <w:szCs w:val="22"/>
              </w:rPr>
            </w:pPr>
            <w:r w:rsidRPr="007D1929">
              <w:rPr>
                <w:color w:val="000000"/>
              </w:rPr>
              <w:t>2007</w:t>
            </w:r>
          </w:p>
        </w:tc>
        <w:tc>
          <w:tcPr>
            <w:tcW w:w="8460" w:type="dxa"/>
            <w:hideMark/>
          </w:tcPr>
          <w:p w14:paraId="4273609A" w14:textId="77777777" w:rsidR="003C0141" w:rsidRPr="007D1929" w:rsidRDefault="003C0141" w:rsidP="007D1929">
            <w:pPr>
              <w:pStyle w:val="Tablenumber"/>
              <w:spacing w:after="60"/>
              <w:ind w:left="0"/>
              <w:rPr>
                <w:color w:val="000000"/>
                <w:sz w:val="22"/>
                <w:szCs w:val="22"/>
              </w:rPr>
            </w:pPr>
            <w:r w:rsidRPr="007D1929">
              <w:rPr>
                <w:color w:val="000000"/>
              </w:rPr>
              <w:t>Introduction of the 175 R&amp;D International Premium, designed to encourage additional R&amp;D investment in Australia by firms in which the IP is held by an overseas company in the same enterprise group</w:t>
            </w:r>
          </w:p>
        </w:tc>
      </w:tr>
      <w:tr w:rsidR="003C0141" w14:paraId="64AB73F6" w14:textId="77777777" w:rsidTr="00D04A09">
        <w:trPr>
          <w:cantSplit/>
        </w:trPr>
        <w:tc>
          <w:tcPr>
            <w:tcW w:w="1008" w:type="dxa"/>
            <w:hideMark/>
          </w:tcPr>
          <w:p w14:paraId="4715E71B" w14:textId="77777777" w:rsidR="003C0141" w:rsidRPr="007D1929" w:rsidRDefault="003C0141" w:rsidP="007D1929">
            <w:pPr>
              <w:pStyle w:val="Tablenumber"/>
              <w:rPr>
                <w:color w:val="000000"/>
                <w:sz w:val="22"/>
                <w:szCs w:val="22"/>
              </w:rPr>
            </w:pPr>
            <w:r w:rsidRPr="007D1929">
              <w:rPr>
                <w:color w:val="000000"/>
              </w:rPr>
              <w:t>2011</w:t>
            </w:r>
          </w:p>
        </w:tc>
        <w:tc>
          <w:tcPr>
            <w:tcW w:w="8460" w:type="dxa"/>
            <w:hideMark/>
          </w:tcPr>
          <w:p w14:paraId="2E4FCA81" w14:textId="77777777" w:rsidR="003C0141" w:rsidRPr="007D1929" w:rsidRDefault="003C0141" w:rsidP="007D1929">
            <w:pPr>
              <w:pStyle w:val="Tablenumber"/>
              <w:spacing w:after="60"/>
              <w:ind w:left="0"/>
              <w:rPr>
                <w:color w:val="000000"/>
              </w:rPr>
            </w:pPr>
            <w:r w:rsidRPr="007D1929">
              <w:rPr>
                <w:color w:val="000000"/>
              </w:rPr>
              <w:t>R&amp;D Tax Incentive replaces the R&amp;D Tax Concession</w:t>
            </w:r>
          </w:p>
          <w:p w14:paraId="46188C95" w14:textId="77777777" w:rsidR="003C0141" w:rsidRPr="007D1929" w:rsidRDefault="003C0141" w:rsidP="007D1929">
            <w:pPr>
              <w:pStyle w:val="Tablenumber"/>
              <w:spacing w:after="60"/>
              <w:ind w:left="0"/>
              <w:rPr>
                <w:color w:val="000000"/>
              </w:rPr>
            </w:pPr>
            <w:r w:rsidRPr="007D1929">
              <w:rPr>
                <w:color w:val="000000"/>
              </w:rPr>
              <w:t>Available to companies that are resident in Australia for tax purposes, and foreign companies in certain circumstances</w:t>
            </w:r>
          </w:p>
          <w:p w14:paraId="36D6022D" w14:textId="77777777" w:rsidR="003C0141" w:rsidRPr="007D1929" w:rsidRDefault="003C0141" w:rsidP="007D1929">
            <w:pPr>
              <w:pStyle w:val="Tablenumber"/>
              <w:spacing w:after="60"/>
              <w:ind w:left="0"/>
              <w:rPr>
                <w:color w:val="000000"/>
              </w:rPr>
            </w:pPr>
            <w:r w:rsidRPr="007D1929">
              <w:rPr>
                <w:color w:val="000000"/>
              </w:rPr>
              <w:t xml:space="preserve">Refundable 45 per cent tax offset available to companies with turnover of less than $20 million, providing </w:t>
            </w:r>
            <w:r w:rsidR="00DB1B02" w:rsidRPr="007D1929">
              <w:rPr>
                <w:color w:val="000000"/>
              </w:rPr>
              <w:t>a</w:t>
            </w:r>
            <w:r w:rsidRPr="007D1929">
              <w:rPr>
                <w:color w:val="000000"/>
              </w:rPr>
              <w:t xml:space="preserve"> </w:t>
            </w:r>
            <w:r w:rsidR="007D1929" w:rsidRPr="007D1929">
              <w:rPr>
                <w:color w:val="000000"/>
              </w:rPr>
              <w:t xml:space="preserve">benefit of 15 </w:t>
            </w:r>
            <w:r w:rsidRPr="007D1929">
              <w:rPr>
                <w:color w:val="000000"/>
              </w:rPr>
              <w:t>to 45 cents in t</w:t>
            </w:r>
            <w:r w:rsidR="007D1929" w:rsidRPr="007D1929">
              <w:rPr>
                <w:color w:val="000000"/>
              </w:rPr>
              <w:t>he dollar for these companies</w:t>
            </w:r>
          </w:p>
          <w:p w14:paraId="4B1E4E37" w14:textId="77777777" w:rsidR="003C0141" w:rsidRPr="007D1929" w:rsidRDefault="003C0141" w:rsidP="007D1929">
            <w:pPr>
              <w:pStyle w:val="Tablenumber"/>
              <w:spacing w:after="60"/>
              <w:ind w:left="0"/>
              <w:rPr>
                <w:color w:val="000000"/>
                <w:sz w:val="22"/>
                <w:szCs w:val="22"/>
              </w:rPr>
            </w:pPr>
            <w:r w:rsidRPr="007D1929">
              <w:rPr>
                <w:color w:val="000000"/>
              </w:rPr>
              <w:t>Non-refundable 40 per cent tax offset available to other companies, resulting in an benefit of 10 cents in the dollar for these companies</w:t>
            </w:r>
          </w:p>
        </w:tc>
      </w:tr>
      <w:tr w:rsidR="003C0141" w14:paraId="25DA2155" w14:textId="77777777" w:rsidTr="00D04A09">
        <w:trPr>
          <w:cantSplit/>
        </w:trPr>
        <w:tc>
          <w:tcPr>
            <w:tcW w:w="1008" w:type="dxa"/>
            <w:tcBorders>
              <w:bottom w:val="single" w:sz="4" w:space="0" w:color="auto"/>
            </w:tcBorders>
            <w:hideMark/>
          </w:tcPr>
          <w:p w14:paraId="208C985C" w14:textId="77777777" w:rsidR="003C0141" w:rsidRPr="007D1929" w:rsidRDefault="003C0141" w:rsidP="007D1929">
            <w:pPr>
              <w:pStyle w:val="Tablenumber"/>
              <w:rPr>
                <w:color w:val="000000"/>
                <w:sz w:val="22"/>
                <w:szCs w:val="22"/>
              </w:rPr>
            </w:pPr>
            <w:r w:rsidRPr="007D1929">
              <w:rPr>
                <w:color w:val="000000"/>
              </w:rPr>
              <w:t>2015</w:t>
            </w:r>
          </w:p>
        </w:tc>
        <w:tc>
          <w:tcPr>
            <w:tcW w:w="8460" w:type="dxa"/>
            <w:tcBorders>
              <w:bottom w:val="single" w:sz="4" w:space="0" w:color="auto"/>
            </w:tcBorders>
            <w:hideMark/>
          </w:tcPr>
          <w:p w14:paraId="4CBDBBCA" w14:textId="77777777" w:rsidR="003C0141" w:rsidRPr="007D1929" w:rsidRDefault="003C0141" w:rsidP="007D1929">
            <w:pPr>
              <w:pStyle w:val="Tablenumber"/>
              <w:spacing w:after="60"/>
              <w:ind w:left="0"/>
              <w:rPr>
                <w:color w:val="000000"/>
                <w:sz w:val="22"/>
                <w:szCs w:val="22"/>
              </w:rPr>
            </w:pPr>
            <w:r w:rsidRPr="007D1929">
              <w:rPr>
                <w:color w:val="000000"/>
              </w:rPr>
              <w:t>$100m R&amp;D expenditure threshold introduced. Companies expending more than $100m on R&amp;D can receive a tax offset at the corporate tax rate for the R&amp;D expenditure in excess of $100m</w:t>
            </w:r>
          </w:p>
        </w:tc>
      </w:tr>
    </w:tbl>
    <w:p w14:paraId="3C3D7167" w14:textId="77777777" w:rsidR="003C0141" w:rsidRDefault="003C0141" w:rsidP="003C0141">
      <w:pPr>
        <w:pStyle w:val="Tablenote"/>
      </w:pPr>
      <w:r>
        <w:t>Source: Department of Industry, Innovation and Science.</w:t>
      </w:r>
    </w:p>
    <w:p w14:paraId="1C3446C0" w14:textId="77777777" w:rsidR="009F04CF" w:rsidRPr="009F04CF" w:rsidRDefault="009F04CF" w:rsidP="00833C96">
      <w:pPr>
        <w:pStyle w:val="Heading2"/>
      </w:pPr>
      <w:r w:rsidRPr="009F04CF">
        <w:t>Evidence of Additionality</w:t>
      </w:r>
    </w:p>
    <w:p w14:paraId="1C8AEE6C" w14:textId="77777777" w:rsidR="009F04CF" w:rsidRPr="009F04CF" w:rsidRDefault="009F04CF" w:rsidP="00833C96">
      <w:pPr>
        <w:pStyle w:val="Text"/>
        <w:rPr>
          <w:rFonts w:eastAsia="Calibri"/>
        </w:rPr>
      </w:pPr>
      <w:r w:rsidRPr="009F04CF">
        <w:rPr>
          <w:rFonts w:eastAsia="Calibri"/>
        </w:rPr>
        <w:t>Most existing studies on the effects of tax policy on private sector R&amp;D have taken one of two approaches: cross-country or firm-level (within-country) analysis.</w:t>
      </w:r>
      <w:r w:rsidR="00DC211E">
        <w:rPr>
          <w:rFonts w:eastAsia="Calibri"/>
        </w:rPr>
        <w:t xml:space="preserve"> </w:t>
      </w:r>
      <w:r w:rsidRPr="009F04CF">
        <w:rPr>
          <w:rFonts w:eastAsia="Calibri"/>
        </w:rPr>
        <w:t xml:space="preserve">Cross-country analysis exploits variation in policy between jurisdictions, and as such aims to disentangle contemporaneous macroeconomic events (Bloom </w:t>
      </w:r>
      <w:r w:rsidRPr="009F04CF">
        <w:rPr>
          <w:rFonts w:eastAsia="Calibri"/>
          <w:i/>
        </w:rPr>
        <w:t>et al.,</w:t>
      </w:r>
      <w:r w:rsidRPr="009F04CF">
        <w:rPr>
          <w:rFonts w:eastAsia="Calibri"/>
        </w:rPr>
        <w:t xml:space="preserve"> 2002). These studies have found an elasticity ranging from 15 per cent in the short run to about unity </w:t>
      </w:r>
      <w:r w:rsidR="006864C6">
        <w:rPr>
          <w:rFonts w:eastAsia="Calibri"/>
        </w:rPr>
        <w:t>in the long run (see Guellec &amp; V</w:t>
      </w:r>
      <w:r w:rsidRPr="009F04CF">
        <w:rPr>
          <w:rFonts w:eastAsia="Calibri"/>
        </w:rPr>
        <w:t xml:space="preserve">an Pottelsberghe, 2003; Falk, 2006). An approach that has been used to evaluate the effect of fiscal incentives using firm-level data is to estimate an investment demand equation with policy shift dummies (Eisner </w:t>
      </w:r>
      <w:r w:rsidRPr="009F04CF">
        <w:rPr>
          <w:rFonts w:eastAsia="Calibri"/>
          <w:i/>
        </w:rPr>
        <w:t>et al.,</w:t>
      </w:r>
      <w:r w:rsidRPr="009F04CF">
        <w:rPr>
          <w:rFonts w:eastAsia="Calibri"/>
        </w:rPr>
        <w:t xml:space="preserve"> 1984; Bernstein, 1986; Thomas </w:t>
      </w:r>
      <w:r w:rsidRPr="009F04CF">
        <w:rPr>
          <w:rFonts w:eastAsia="Calibri"/>
          <w:i/>
        </w:rPr>
        <w:t>et al.,</w:t>
      </w:r>
      <w:r w:rsidRPr="009F04CF">
        <w:rPr>
          <w:rFonts w:eastAsia="Calibri"/>
        </w:rPr>
        <w:t xml:space="preserve"> 2003). This approach does not provide a strong basis for identification as it is difficult to separate the effects of tax policy from other changes over time. </w:t>
      </w:r>
      <w:r w:rsidR="00DC211E">
        <w:rPr>
          <w:rFonts w:eastAsia="Calibri"/>
        </w:rPr>
        <w:t>U</w:t>
      </w:r>
      <w:r w:rsidRPr="009F04CF">
        <w:rPr>
          <w:rFonts w:eastAsia="Calibri"/>
        </w:rPr>
        <w:t xml:space="preserve">sing this approach, Eisner </w:t>
      </w:r>
      <w:r w:rsidRPr="00AF1493">
        <w:rPr>
          <w:rFonts w:eastAsia="Calibri"/>
          <w:i/>
        </w:rPr>
        <w:t>et al.</w:t>
      </w:r>
      <w:r w:rsidRPr="009F04CF">
        <w:rPr>
          <w:rFonts w:eastAsia="Calibri"/>
        </w:rPr>
        <w:t xml:space="preserve"> (1984) failed to observe a significant effect of the tax subsidy in the USA. A second approach</w:t>
      </w:r>
      <w:r w:rsidR="00DC211E">
        <w:rPr>
          <w:rFonts w:eastAsia="Calibri"/>
        </w:rPr>
        <w:t xml:space="preserve"> using firm level data</w:t>
      </w:r>
      <w:r w:rsidRPr="009F04CF">
        <w:rPr>
          <w:rFonts w:eastAsia="Calibri"/>
        </w:rPr>
        <w:t xml:space="preserve"> is to model R&amp;D investment on firms’ effective benefits from the prevailing tax policy in a single country. Since tax policy treats all equivalent firms the same way, variations in firms’ effective benefits from tax subsidies </w:t>
      </w:r>
      <w:r w:rsidR="00DC211E">
        <w:rPr>
          <w:rFonts w:eastAsia="Calibri"/>
        </w:rPr>
        <w:t xml:space="preserve">essentially </w:t>
      </w:r>
      <w:r w:rsidRPr="009F04CF">
        <w:rPr>
          <w:rFonts w:eastAsia="Calibri"/>
        </w:rPr>
        <w:t>arise</w:t>
      </w:r>
      <w:r w:rsidR="00DC211E">
        <w:rPr>
          <w:rFonts w:eastAsia="Calibri"/>
        </w:rPr>
        <w:t xml:space="preserve"> due to </w:t>
      </w:r>
      <w:r w:rsidRPr="009F04CF">
        <w:rPr>
          <w:rFonts w:eastAsia="Calibri"/>
        </w:rPr>
        <w:t xml:space="preserve">differences between firms, typically differences in firms’ profit status and historic R&amp;D investment. Unfortunately, from a statistical perspective, these generally depend on the firm’s current choice of R&amp;D investment (Hall and van Reenen 1999). Results from firm-level analyses have varied widely, with estimates of the short-run elasticity between 0.07 and 0.85, and a long-run elasticity ranging of about unity (Hall, 1992; Dagenais </w:t>
      </w:r>
      <w:r w:rsidRPr="009F04CF">
        <w:rPr>
          <w:rFonts w:eastAsia="Calibri"/>
          <w:i/>
        </w:rPr>
        <w:t>et al.,</w:t>
      </w:r>
      <w:r w:rsidRPr="009F04CF">
        <w:rPr>
          <w:rFonts w:eastAsia="Calibri"/>
        </w:rPr>
        <w:t xml:space="preserve"> 1997).</w:t>
      </w:r>
      <w:r w:rsidR="00DC211E">
        <w:rPr>
          <w:rFonts w:eastAsia="Calibri"/>
        </w:rPr>
        <w:t xml:space="preserve"> </w:t>
      </w:r>
      <w:r w:rsidR="00DC211E" w:rsidRPr="009F04CF">
        <w:rPr>
          <w:rFonts w:eastAsia="Calibri"/>
        </w:rPr>
        <w:t>A summary of estimates from salient papers is provided in Table 2.</w:t>
      </w:r>
    </w:p>
    <w:p w14:paraId="18E96154" w14:textId="77777777" w:rsidR="009F04CF" w:rsidRPr="009F04CF" w:rsidRDefault="009F04CF" w:rsidP="00833C96">
      <w:pPr>
        <w:pStyle w:val="Text"/>
        <w:rPr>
          <w:rFonts w:eastAsia="Calibri"/>
        </w:rPr>
      </w:pPr>
      <w:r w:rsidRPr="009F04CF">
        <w:rPr>
          <w:rFonts w:eastAsia="Calibri"/>
        </w:rPr>
        <w:t xml:space="preserve">Australian R&amp;D tax policy has been subject to a number of studies. Survey evaluations of the Australian R&amp;D Tax Concession found that while the majority of beneficiaries of the policy describe it favourably, approximately 30 per cent concede that their R&amp;D endeavours would be neither smaller nor have been </w:t>
      </w:r>
      <w:r w:rsidRPr="009F04CF">
        <w:rPr>
          <w:rFonts w:eastAsia="Calibri"/>
        </w:rPr>
        <w:lastRenderedPageBreak/>
        <w:t>completed at a slower rate in the absence of the programme (DITR, 2005, 2007a). However, the limitations of basing conclusions on subjective survey results are well-known. A comprehensive assessment of the Australian R&amp;D Tax Concession</w:t>
      </w:r>
      <w:r w:rsidR="00DC211E">
        <w:rPr>
          <w:rFonts w:eastAsia="Calibri"/>
        </w:rPr>
        <w:t xml:space="preserve"> which</w:t>
      </w:r>
      <w:r w:rsidR="00DC211E" w:rsidRPr="00DC211E">
        <w:rPr>
          <w:rFonts w:eastAsia="Calibri"/>
        </w:rPr>
        <w:t xml:space="preserve"> </w:t>
      </w:r>
      <w:r w:rsidR="00DC211E" w:rsidRPr="009F04CF">
        <w:rPr>
          <w:rFonts w:eastAsia="Calibri"/>
        </w:rPr>
        <w:t>reports both survey data as well as analysis of firm financial data</w:t>
      </w:r>
      <w:r w:rsidR="00DC211E">
        <w:rPr>
          <w:rFonts w:eastAsia="Calibri"/>
        </w:rPr>
        <w:t xml:space="preserve"> was</w:t>
      </w:r>
      <w:r w:rsidRPr="009F04CF">
        <w:rPr>
          <w:rFonts w:eastAsia="Calibri"/>
        </w:rPr>
        <w:t xml:space="preserve"> undertaken </w:t>
      </w:r>
      <w:r w:rsidR="00DC211E">
        <w:rPr>
          <w:rFonts w:eastAsia="Calibri"/>
        </w:rPr>
        <w:t xml:space="preserve">in 1993 </w:t>
      </w:r>
      <w:r w:rsidRPr="009F04CF">
        <w:rPr>
          <w:rFonts w:eastAsia="Calibri"/>
        </w:rPr>
        <w:t>by the Bureau of Industry Economics (BIE, 1993). Data used for the statistical analysis include a mix of firms that are registered to receive the credit and other firms, with observably similar characteristics, that are not registered to receive the credit. The data suggest a modest effect over the year the policy was introduced, but not over longer periods and the report cautions that this observed increase may simply be due to reclassification of existing expenditure. The oft-cited inference of the report, namely that the Concession induces between $0.6 and $1 of additional R&amp;D for each dollar of forgone revenue, rests primarily on subjective survey responses (</w:t>
      </w:r>
      <w:r w:rsidR="00EA3232">
        <w:rPr>
          <w:rFonts w:eastAsia="Calibri"/>
        </w:rPr>
        <w:t xml:space="preserve">see </w:t>
      </w:r>
      <w:r w:rsidRPr="009F04CF">
        <w:rPr>
          <w:rFonts w:eastAsia="Calibri"/>
        </w:rPr>
        <w:t>p. 155).</w:t>
      </w:r>
    </w:p>
    <w:p w14:paraId="4C47A0EB" w14:textId="77777777" w:rsidR="009F04CF" w:rsidRPr="009F04CF" w:rsidRDefault="00FE65D7" w:rsidP="00833C96">
      <w:pPr>
        <w:pStyle w:val="Text"/>
        <w:rPr>
          <w:rFonts w:eastAsia="Calibri"/>
        </w:rPr>
      </w:pPr>
      <w:r>
        <w:rPr>
          <w:rFonts w:eastAsia="Calibri"/>
        </w:rPr>
        <w:t>A more recent,</w:t>
      </w:r>
      <w:r w:rsidR="009F04CF" w:rsidRPr="009F04CF">
        <w:rPr>
          <w:rFonts w:eastAsia="Calibri"/>
        </w:rPr>
        <w:t xml:space="preserve"> comprehensive evaluation of R&amp;D tax policy in Australia </w:t>
      </w:r>
      <w:r>
        <w:rPr>
          <w:rFonts w:eastAsia="Calibri"/>
        </w:rPr>
        <w:t xml:space="preserve">also </w:t>
      </w:r>
      <w:r w:rsidR="009F04CF" w:rsidRPr="009F04CF">
        <w:rPr>
          <w:rFonts w:eastAsia="Calibri"/>
        </w:rPr>
        <w:t xml:space="preserve">found no identifiable impact. Thomson (2010) considers an unbalanced panel of financial data of approximately 500 large Australian firms between 1990 and 2005. The role that cost of capital plays in R&amp;D investment decisions is investigated. The measure of cost of capital incorporates both a financial cost </w:t>
      </w:r>
      <w:r w:rsidR="00EA3232">
        <w:rPr>
          <w:rFonts w:eastAsia="Calibri"/>
        </w:rPr>
        <w:t xml:space="preserve">(imputed cost of capital derived from a CAPM model) </w:t>
      </w:r>
      <w:r w:rsidR="009F04CF" w:rsidRPr="009F04CF">
        <w:rPr>
          <w:rFonts w:eastAsia="Calibri"/>
        </w:rPr>
        <w:t>and the impact of the R&amp;D Tax Concession.</w:t>
      </w:r>
      <w:r w:rsidR="00EA3232">
        <w:rPr>
          <w:rFonts w:eastAsia="Calibri"/>
        </w:rPr>
        <w:t xml:space="preserve"> However, only time series variation in tax policy was used because the author did not have access to firms</w:t>
      </w:r>
      <w:r w:rsidR="00204B67">
        <w:rPr>
          <w:rFonts w:eastAsia="Calibri"/>
        </w:rPr>
        <w:t>’</w:t>
      </w:r>
      <w:r w:rsidR="00EA3232">
        <w:rPr>
          <w:rFonts w:eastAsia="Calibri"/>
        </w:rPr>
        <w:t xml:space="preserve"> actual tax claims or registration status.</w:t>
      </w:r>
      <w:r w:rsidR="009F04CF" w:rsidRPr="009F04CF">
        <w:rPr>
          <w:rFonts w:eastAsia="Calibri"/>
        </w:rPr>
        <w:t xml:space="preserve"> R&amp;D investment is not found to be impacted by the measured cost of capital. </w:t>
      </w:r>
    </w:p>
    <w:p w14:paraId="72F52332" w14:textId="77777777" w:rsidR="009F04CF" w:rsidRPr="009F04CF" w:rsidRDefault="009F04CF" w:rsidP="009F04CF">
      <w:pPr>
        <w:spacing w:after="200" w:line="276" w:lineRule="auto"/>
        <w:rPr>
          <w:rFonts w:ascii="Times New Roman" w:eastAsia="Calibri" w:hAnsi="Times New Roman"/>
        </w:rPr>
        <w:sectPr w:rsidR="009F04CF" w:rsidRPr="009F04CF" w:rsidSect="009F04CF">
          <w:footerReference w:type="default" r:id="rId14"/>
          <w:pgSz w:w="11906" w:h="16838" w:code="9"/>
          <w:pgMar w:top="1440" w:right="1134" w:bottom="1440" w:left="1134" w:header="709" w:footer="709" w:gutter="0"/>
          <w:cols w:space="708"/>
          <w:docGrid w:linePitch="360"/>
        </w:sectPr>
      </w:pPr>
    </w:p>
    <w:p w14:paraId="41542E79" w14:textId="77777777" w:rsidR="009F04CF" w:rsidRPr="009F04CF" w:rsidRDefault="009F04CF" w:rsidP="00833C96">
      <w:pPr>
        <w:pStyle w:val="Caption"/>
        <w:rPr>
          <w:rFonts w:eastAsia="Calibri"/>
        </w:rPr>
      </w:pPr>
      <w:r w:rsidRPr="009F04CF">
        <w:rPr>
          <w:rFonts w:eastAsia="Calibri"/>
        </w:rPr>
        <w:lastRenderedPageBreak/>
        <w:t xml:space="preserve"> Table </w:t>
      </w:r>
      <w:r w:rsidR="000756B2">
        <w:rPr>
          <w:rFonts w:eastAsia="Calibri"/>
        </w:rPr>
        <w:t>2</w:t>
      </w:r>
      <w:r w:rsidR="00227712">
        <w:rPr>
          <w:rFonts w:eastAsia="Calibri"/>
          <w:noProof/>
        </w:rPr>
        <w:t>.</w:t>
      </w:r>
      <w:r w:rsidRPr="009F04CF">
        <w:rPr>
          <w:rFonts w:eastAsia="Calibri"/>
        </w:rPr>
        <w:t xml:space="preserve"> Overview of selected previous elasticity estimates</w:t>
      </w:r>
    </w:p>
    <w:tbl>
      <w:tblPr>
        <w:tblW w:w="15012" w:type="dxa"/>
        <w:tblLook w:val="04A0" w:firstRow="1" w:lastRow="0" w:firstColumn="1" w:lastColumn="0" w:noHBand="0" w:noVBand="1"/>
        <w:tblCaption w:val="Table 2, historical overview of selected elasticity estimates as found in research papers as set out in ‘Reference’ section of this report."/>
        <w:tblDescription w:val="The accompanying paragraph summarises the table succinctly"/>
      </w:tblPr>
      <w:tblGrid>
        <w:gridCol w:w="3183"/>
        <w:gridCol w:w="2077"/>
        <w:gridCol w:w="3296"/>
        <w:gridCol w:w="1947"/>
        <w:gridCol w:w="983"/>
        <w:gridCol w:w="2085"/>
        <w:gridCol w:w="1441"/>
      </w:tblGrid>
      <w:tr w:rsidR="00990840" w:rsidRPr="009F04CF" w14:paraId="0A62BC11" w14:textId="77777777" w:rsidTr="00D04A09">
        <w:trPr>
          <w:cantSplit/>
          <w:trHeight w:val="621"/>
          <w:tblHeader/>
        </w:trPr>
        <w:tc>
          <w:tcPr>
            <w:tcW w:w="3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7B4CB" w14:textId="77777777" w:rsidR="00990840" w:rsidRPr="00833C96" w:rsidRDefault="00990840" w:rsidP="00B67570">
            <w:pPr>
              <w:pStyle w:val="Tablenumber"/>
              <w:tabs>
                <w:tab w:val="left" w:pos="2290"/>
              </w:tabs>
              <w:ind w:left="0"/>
              <w:contextualSpacing w:val="0"/>
              <w:rPr>
                <w:b/>
                <w:sz w:val="22"/>
                <w:szCs w:val="22"/>
                <w:u w:val="single"/>
                <w:lang w:eastAsia="en-AU"/>
              </w:rPr>
            </w:pPr>
            <w:r w:rsidRPr="00833C96">
              <w:rPr>
                <w:b/>
                <w:sz w:val="22"/>
                <w:szCs w:val="22"/>
                <w:u w:val="single"/>
                <w:lang w:eastAsia="en-AU"/>
              </w:rPr>
              <w:t xml:space="preserve">Authors </w:t>
            </w:r>
          </w:p>
        </w:tc>
        <w:tc>
          <w:tcPr>
            <w:tcW w:w="2077" w:type="dxa"/>
            <w:tcBorders>
              <w:top w:val="single" w:sz="4" w:space="0" w:color="auto"/>
              <w:left w:val="nil"/>
              <w:bottom w:val="single" w:sz="4" w:space="0" w:color="auto"/>
              <w:right w:val="single" w:sz="4" w:space="0" w:color="auto"/>
            </w:tcBorders>
            <w:shd w:val="clear" w:color="auto" w:fill="auto"/>
            <w:vAlign w:val="center"/>
            <w:hideMark/>
          </w:tcPr>
          <w:p w14:paraId="522FAB9B" w14:textId="77777777" w:rsidR="00990840" w:rsidRPr="00833C96" w:rsidRDefault="00990840" w:rsidP="00B67570">
            <w:pPr>
              <w:pStyle w:val="Tablenumber"/>
              <w:tabs>
                <w:tab w:val="left" w:pos="2290"/>
              </w:tabs>
              <w:ind w:left="0"/>
              <w:contextualSpacing w:val="0"/>
              <w:rPr>
                <w:b/>
                <w:sz w:val="22"/>
                <w:szCs w:val="22"/>
                <w:u w:val="single"/>
                <w:lang w:eastAsia="en-AU"/>
              </w:rPr>
            </w:pPr>
            <w:r w:rsidRPr="00833C96">
              <w:rPr>
                <w:b/>
                <w:sz w:val="22"/>
                <w:szCs w:val="22"/>
                <w:u w:val="single"/>
                <w:lang w:eastAsia="en-AU"/>
              </w:rPr>
              <w:t xml:space="preserve">Policy measure </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14:paraId="09D74DAD" w14:textId="77777777" w:rsidR="00990840" w:rsidRPr="00833C96" w:rsidRDefault="00990840" w:rsidP="00B67570">
            <w:pPr>
              <w:pStyle w:val="Tablenumber"/>
              <w:tabs>
                <w:tab w:val="left" w:pos="2290"/>
              </w:tabs>
              <w:ind w:left="0"/>
              <w:contextualSpacing w:val="0"/>
              <w:rPr>
                <w:b/>
                <w:sz w:val="22"/>
                <w:szCs w:val="22"/>
                <w:u w:val="single"/>
                <w:lang w:eastAsia="en-AU"/>
              </w:rPr>
            </w:pPr>
            <w:r w:rsidRPr="00833C96">
              <w:rPr>
                <w:b/>
                <w:sz w:val="22"/>
                <w:szCs w:val="22"/>
                <w:u w:val="single"/>
                <w:lang w:eastAsia="en-AU"/>
              </w:rPr>
              <w:t xml:space="preserve">Specification </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14:paraId="23CB9CB2" w14:textId="77777777" w:rsidR="00990840" w:rsidRPr="00833C96" w:rsidRDefault="00990840" w:rsidP="00B67570">
            <w:pPr>
              <w:pStyle w:val="Tablenumber"/>
              <w:tabs>
                <w:tab w:val="left" w:pos="2290"/>
              </w:tabs>
              <w:ind w:left="0"/>
              <w:contextualSpacing w:val="0"/>
              <w:rPr>
                <w:b/>
                <w:sz w:val="22"/>
                <w:szCs w:val="22"/>
                <w:u w:val="single"/>
                <w:lang w:eastAsia="en-AU"/>
              </w:rPr>
            </w:pPr>
            <w:r w:rsidRPr="00833C96">
              <w:rPr>
                <w:b/>
                <w:sz w:val="22"/>
                <w:szCs w:val="22"/>
                <w:u w:val="single"/>
                <w:lang w:eastAsia="en-AU"/>
              </w:rPr>
              <w:t xml:space="preserve">Country </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55473101" w14:textId="77777777" w:rsidR="00990840" w:rsidRPr="00833C96" w:rsidRDefault="00990840" w:rsidP="00B67570">
            <w:pPr>
              <w:pStyle w:val="Tablenumber"/>
              <w:tabs>
                <w:tab w:val="left" w:pos="2290"/>
              </w:tabs>
              <w:ind w:left="0"/>
              <w:contextualSpacing w:val="0"/>
              <w:rPr>
                <w:b/>
                <w:sz w:val="22"/>
                <w:szCs w:val="22"/>
                <w:u w:val="single"/>
                <w:lang w:eastAsia="en-AU"/>
              </w:rPr>
            </w:pPr>
            <w:r w:rsidRPr="00833C96">
              <w:rPr>
                <w:b/>
                <w:sz w:val="22"/>
                <w:szCs w:val="22"/>
                <w:u w:val="single"/>
                <w:lang w:eastAsia="en-AU"/>
              </w:rPr>
              <w:t xml:space="preserve">Obs. </w:t>
            </w:r>
          </w:p>
        </w:tc>
        <w:tc>
          <w:tcPr>
            <w:tcW w:w="2085" w:type="dxa"/>
            <w:tcBorders>
              <w:top w:val="single" w:sz="4" w:space="0" w:color="auto"/>
              <w:left w:val="nil"/>
              <w:bottom w:val="single" w:sz="4" w:space="0" w:color="auto"/>
              <w:right w:val="single" w:sz="4" w:space="0" w:color="auto"/>
            </w:tcBorders>
            <w:shd w:val="clear" w:color="auto" w:fill="auto"/>
            <w:vAlign w:val="center"/>
            <w:hideMark/>
          </w:tcPr>
          <w:p w14:paraId="272FD320" w14:textId="77777777" w:rsidR="00990840" w:rsidRPr="00833C96" w:rsidRDefault="00990840" w:rsidP="00B67570">
            <w:pPr>
              <w:pStyle w:val="Tablenumber"/>
              <w:tabs>
                <w:tab w:val="left" w:pos="2290"/>
              </w:tabs>
              <w:ind w:left="0"/>
              <w:contextualSpacing w:val="0"/>
              <w:rPr>
                <w:b/>
                <w:sz w:val="22"/>
                <w:szCs w:val="22"/>
                <w:u w:val="single"/>
                <w:lang w:eastAsia="en-AU"/>
              </w:rPr>
            </w:pPr>
            <w:r w:rsidRPr="00833C96">
              <w:rPr>
                <w:b/>
                <w:sz w:val="22"/>
                <w:szCs w:val="22"/>
                <w:u w:val="single"/>
                <w:lang w:eastAsia="en-AU"/>
              </w:rPr>
              <w:t xml:space="preserve">Price elasticity </w:t>
            </w:r>
          </w:p>
        </w:tc>
        <w:tc>
          <w:tcPr>
            <w:tcW w:w="1441" w:type="dxa"/>
            <w:tcBorders>
              <w:top w:val="single" w:sz="4" w:space="0" w:color="auto"/>
              <w:left w:val="nil"/>
              <w:bottom w:val="single" w:sz="4" w:space="0" w:color="auto"/>
              <w:right w:val="single" w:sz="4" w:space="0" w:color="auto"/>
            </w:tcBorders>
          </w:tcPr>
          <w:p w14:paraId="70C32B58" w14:textId="3B814E82" w:rsidR="00990840" w:rsidRPr="00833C96" w:rsidRDefault="00990840" w:rsidP="00B67570">
            <w:pPr>
              <w:pStyle w:val="Tablenumber"/>
              <w:tabs>
                <w:tab w:val="left" w:pos="2290"/>
              </w:tabs>
              <w:ind w:left="0"/>
              <w:contextualSpacing w:val="0"/>
              <w:rPr>
                <w:b/>
                <w:sz w:val="22"/>
                <w:szCs w:val="22"/>
                <w:u w:val="single"/>
                <w:lang w:eastAsia="en-AU"/>
              </w:rPr>
            </w:pPr>
            <w:r w:rsidRPr="00833C96">
              <w:rPr>
                <w:b/>
                <w:sz w:val="22"/>
                <w:szCs w:val="22"/>
                <w:u w:val="single"/>
                <w:lang w:eastAsia="en-AU"/>
              </w:rPr>
              <w:t>Additionality (approx</w:t>
            </w:r>
            <w:r w:rsidR="003D7431">
              <w:rPr>
                <w:b/>
                <w:sz w:val="22"/>
                <w:szCs w:val="22"/>
                <w:u w:val="single"/>
                <w:lang w:eastAsia="en-AU"/>
              </w:rPr>
              <w:t>.</w:t>
            </w:r>
            <w:r w:rsidRPr="00833C96">
              <w:rPr>
                <w:b/>
                <w:sz w:val="22"/>
                <w:szCs w:val="22"/>
                <w:u w:val="single"/>
                <w:lang w:eastAsia="en-AU"/>
              </w:rPr>
              <w:t>)</w:t>
            </w:r>
            <w:r w:rsidRPr="00833C96">
              <w:rPr>
                <w:b/>
                <w:sz w:val="22"/>
                <w:szCs w:val="22"/>
                <w:u w:val="single"/>
                <w:vertAlign w:val="superscript"/>
                <w:lang w:eastAsia="en-AU"/>
              </w:rPr>
              <w:t>†</w:t>
            </w:r>
          </w:p>
        </w:tc>
      </w:tr>
      <w:tr w:rsidR="00990840" w:rsidRPr="009F04CF" w14:paraId="6ABF48A6" w14:textId="77777777" w:rsidTr="00D04A09">
        <w:trPr>
          <w:cantSplit/>
          <w:trHeight w:val="288"/>
        </w:trPr>
        <w:tc>
          <w:tcPr>
            <w:tcW w:w="3183" w:type="dxa"/>
            <w:tcBorders>
              <w:top w:val="single" w:sz="4" w:space="0" w:color="auto"/>
              <w:left w:val="single" w:sz="4" w:space="0" w:color="auto"/>
              <w:bottom w:val="single" w:sz="4" w:space="0" w:color="auto"/>
              <w:right w:val="single" w:sz="4" w:space="0" w:color="auto"/>
            </w:tcBorders>
            <w:shd w:val="clear" w:color="auto" w:fill="auto"/>
            <w:vAlign w:val="center"/>
          </w:tcPr>
          <w:p w14:paraId="08D59DA3" w14:textId="77777777" w:rsidR="00990840" w:rsidRPr="009F04CF" w:rsidRDefault="00DC56A5" w:rsidP="00B67570">
            <w:pPr>
              <w:pStyle w:val="Tablenumber"/>
              <w:tabs>
                <w:tab w:val="left" w:pos="2290"/>
              </w:tabs>
              <w:ind w:left="0"/>
              <w:contextualSpacing w:val="0"/>
              <w:rPr>
                <w:sz w:val="22"/>
                <w:szCs w:val="22"/>
                <w:lang w:eastAsia="en-AU"/>
              </w:rPr>
            </w:pPr>
            <w:r>
              <w:rPr>
                <w:sz w:val="22"/>
                <w:szCs w:val="22"/>
                <w:lang w:eastAsia="en-AU"/>
              </w:rPr>
              <w:t>BIE (1993</w:t>
            </w:r>
            <w:r w:rsidR="00990840" w:rsidRPr="009F04CF">
              <w:rPr>
                <w:sz w:val="22"/>
                <w:szCs w:val="22"/>
                <w:lang w:eastAsia="en-AU"/>
              </w:rPr>
              <w:t>)</w:t>
            </w:r>
          </w:p>
        </w:tc>
        <w:tc>
          <w:tcPr>
            <w:tcW w:w="2077" w:type="dxa"/>
            <w:tcBorders>
              <w:top w:val="nil"/>
              <w:left w:val="nil"/>
              <w:bottom w:val="single" w:sz="4" w:space="0" w:color="auto"/>
              <w:right w:val="single" w:sz="4" w:space="0" w:color="auto"/>
            </w:tcBorders>
            <w:shd w:val="clear" w:color="auto" w:fill="auto"/>
            <w:vAlign w:val="center"/>
          </w:tcPr>
          <w:p w14:paraId="060D384E" w14:textId="77777777" w:rsidR="00990840" w:rsidRPr="009F04CF" w:rsidRDefault="00990840" w:rsidP="00B67570">
            <w:pPr>
              <w:pStyle w:val="Tablenumber"/>
              <w:tabs>
                <w:tab w:val="left" w:pos="2290"/>
              </w:tabs>
              <w:ind w:left="0"/>
              <w:contextualSpacing w:val="0"/>
              <w:rPr>
                <w:sz w:val="22"/>
                <w:szCs w:val="22"/>
                <w:lang w:eastAsia="en-AU"/>
              </w:rPr>
            </w:pPr>
            <w:r w:rsidRPr="009F04CF">
              <w:rPr>
                <w:sz w:val="22"/>
                <w:szCs w:val="22"/>
                <w:lang w:eastAsia="en-AU"/>
              </w:rPr>
              <w:t>Dummy</w:t>
            </w:r>
          </w:p>
        </w:tc>
        <w:tc>
          <w:tcPr>
            <w:tcW w:w="3296" w:type="dxa"/>
            <w:tcBorders>
              <w:top w:val="single" w:sz="4" w:space="0" w:color="auto"/>
              <w:left w:val="nil"/>
              <w:bottom w:val="single" w:sz="4" w:space="0" w:color="auto"/>
              <w:right w:val="single" w:sz="4" w:space="0" w:color="auto"/>
            </w:tcBorders>
            <w:shd w:val="clear" w:color="auto" w:fill="auto"/>
            <w:vAlign w:val="center"/>
          </w:tcPr>
          <w:p w14:paraId="4435C3C1" w14:textId="77777777" w:rsidR="00990840" w:rsidRPr="009F04CF" w:rsidRDefault="00990840" w:rsidP="00B67570">
            <w:pPr>
              <w:pStyle w:val="Tablenumber"/>
              <w:tabs>
                <w:tab w:val="left" w:pos="2290"/>
              </w:tabs>
              <w:ind w:left="0"/>
              <w:contextualSpacing w:val="0"/>
              <w:rPr>
                <w:sz w:val="22"/>
                <w:szCs w:val="22"/>
                <w:lang w:eastAsia="en-AU"/>
              </w:rPr>
            </w:pPr>
            <w:r w:rsidRPr="009F04CF">
              <w:rPr>
                <w:sz w:val="22"/>
                <w:szCs w:val="22"/>
                <w:lang w:eastAsia="en-AU"/>
              </w:rPr>
              <w:t>R&amp;D demand (levels).</w:t>
            </w:r>
          </w:p>
        </w:tc>
        <w:tc>
          <w:tcPr>
            <w:tcW w:w="1947" w:type="dxa"/>
            <w:tcBorders>
              <w:top w:val="single" w:sz="4" w:space="0" w:color="auto"/>
              <w:left w:val="nil"/>
              <w:bottom w:val="single" w:sz="4" w:space="0" w:color="auto"/>
              <w:right w:val="single" w:sz="4" w:space="0" w:color="auto"/>
            </w:tcBorders>
            <w:shd w:val="clear" w:color="auto" w:fill="auto"/>
            <w:vAlign w:val="center"/>
          </w:tcPr>
          <w:p w14:paraId="5DA39E86" w14:textId="77777777" w:rsidR="00990840" w:rsidRPr="009F04CF" w:rsidRDefault="00990840" w:rsidP="00B67570">
            <w:pPr>
              <w:pStyle w:val="Tablenumber"/>
              <w:tabs>
                <w:tab w:val="left" w:pos="2290"/>
              </w:tabs>
              <w:ind w:left="0"/>
              <w:contextualSpacing w:val="0"/>
              <w:rPr>
                <w:sz w:val="22"/>
                <w:szCs w:val="22"/>
                <w:lang w:eastAsia="en-AU"/>
              </w:rPr>
            </w:pPr>
            <w:r w:rsidRPr="009F04CF">
              <w:rPr>
                <w:sz w:val="22"/>
                <w:szCs w:val="22"/>
                <w:lang w:eastAsia="en-AU"/>
              </w:rPr>
              <w:t>Australia</w:t>
            </w:r>
          </w:p>
        </w:tc>
        <w:tc>
          <w:tcPr>
            <w:tcW w:w="983" w:type="dxa"/>
            <w:tcBorders>
              <w:top w:val="single" w:sz="4" w:space="0" w:color="auto"/>
              <w:left w:val="nil"/>
              <w:bottom w:val="single" w:sz="4" w:space="0" w:color="auto"/>
              <w:right w:val="single" w:sz="4" w:space="0" w:color="auto"/>
            </w:tcBorders>
            <w:shd w:val="clear" w:color="auto" w:fill="auto"/>
            <w:vAlign w:val="center"/>
          </w:tcPr>
          <w:p w14:paraId="69056B98" w14:textId="77777777" w:rsidR="00990840" w:rsidRPr="009F04CF" w:rsidRDefault="00DC56A5" w:rsidP="00B67570">
            <w:pPr>
              <w:pStyle w:val="Tablenumber"/>
              <w:tabs>
                <w:tab w:val="left" w:pos="2290"/>
              </w:tabs>
              <w:ind w:left="0"/>
              <w:contextualSpacing w:val="0"/>
              <w:rPr>
                <w:sz w:val="22"/>
                <w:szCs w:val="22"/>
                <w:lang w:eastAsia="en-AU"/>
              </w:rPr>
            </w:pPr>
            <w:r>
              <w:rPr>
                <w:sz w:val="22"/>
                <w:szCs w:val="22"/>
                <w:lang w:eastAsia="en-AU"/>
              </w:rPr>
              <w:t>1,400</w:t>
            </w:r>
          </w:p>
        </w:tc>
        <w:tc>
          <w:tcPr>
            <w:tcW w:w="2085" w:type="dxa"/>
            <w:tcBorders>
              <w:top w:val="nil"/>
              <w:left w:val="nil"/>
              <w:bottom w:val="single" w:sz="4" w:space="0" w:color="auto"/>
              <w:right w:val="single" w:sz="4" w:space="0" w:color="auto"/>
            </w:tcBorders>
            <w:shd w:val="clear" w:color="auto" w:fill="auto"/>
            <w:vAlign w:val="center"/>
          </w:tcPr>
          <w:p w14:paraId="0FFD9C29" w14:textId="77777777" w:rsidR="00990840" w:rsidRPr="009F04CF" w:rsidRDefault="00990840" w:rsidP="00B67570">
            <w:pPr>
              <w:pStyle w:val="Tablenumber"/>
              <w:tabs>
                <w:tab w:val="left" w:pos="2290"/>
              </w:tabs>
              <w:ind w:left="0"/>
              <w:contextualSpacing w:val="0"/>
              <w:rPr>
                <w:sz w:val="22"/>
                <w:szCs w:val="22"/>
                <w:lang w:eastAsia="en-AU"/>
              </w:rPr>
            </w:pPr>
            <w:r w:rsidRPr="009F04CF">
              <w:rPr>
                <w:sz w:val="22"/>
                <w:szCs w:val="22"/>
                <w:lang w:eastAsia="en-AU"/>
              </w:rPr>
              <w:t>Insignificant</w:t>
            </w:r>
          </w:p>
        </w:tc>
        <w:tc>
          <w:tcPr>
            <w:tcW w:w="1441" w:type="dxa"/>
            <w:tcBorders>
              <w:top w:val="nil"/>
              <w:left w:val="nil"/>
              <w:bottom w:val="single" w:sz="4" w:space="0" w:color="auto"/>
              <w:right w:val="single" w:sz="4" w:space="0" w:color="auto"/>
            </w:tcBorders>
            <w:vAlign w:val="center"/>
          </w:tcPr>
          <w:p w14:paraId="0F5C80A1" w14:textId="77777777" w:rsidR="00990840" w:rsidRPr="009F04CF" w:rsidRDefault="00990840" w:rsidP="00B67570">
            <w:pPr>
              <w:pStyle w:val="Tablenumber"/>
              <w:tabs>
                <w:tab w:val="left" w:pos="2290"/>
              </w:tabs>
              <w:ind w:left="0"/>
              <w:contextualSpacing w:val="0"/>
              <w:rPr>
                <w:sz w:val="22"/>
                <w:szCs w:val="22"/>
                <w:lang w:eastAsia="en-AU"/>
              </w:rPr>
            </w:pPr>
            <w:r>
              <w:rPr>
                <w:sz w:val="22"/>
                <w:szCs w:val="22"/>
                <w:lang w:eastAsia="en-AU"/>
              </w:rPr>
              <w:t>0</w:t>
            </w:r>
          </w:p>
        </w:tc>
      </w:tr>
      <w:tr w:rsidR="00990840" w:rsidRPr="009F04CF" w14:paraId="2890D92F" w14:textId="77777777" w:rsidTr="00D04A09">
        <w:trPr>
          <w:cantSplit/>
          <w:trHeight w:val="288"/>
        </w:trPr>
        <w:tc>
          <w:tcPr>
            <w:tcW w:w="3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2EFEE" w14:textId="77777777" w:rsidR="00990840" w:rsidRPr="009F04CF" w:rsidRDefault="00990840" w:rsidP="00B67570">
            <w:pPr>
              <w:pStyle w:val="Tablenumber"/>
              <w:tabs>
                <w:tab w:val="left" w:pos="2290"/>
              </w:tabs>
              <w:ind w:left="0"/>
              <w:contextualSpacing w:val="0"/>
              <w:rPr>
                <w:sz w:val="22"/>
                <w:szCs w:val="22"/>
                <w:lang w:eastAsia="en-AU"/>
              </w:rPr>
            </w:pPr>
            <w:r w:rsidRPr="009F04CF">
              <w:rPr>
                <w:sz w:val="22"/>
                <w:szCs w:val="22"/>
                <w:lang w:eastAsia="en-AU"/>
              </w:rPr>
              <w:t xml:space="preserve">Thomson (2010) </w:t>
            </w:r>
          </w:p>
        </w:tc>
        <w:tc>
          <w:tcPr>
            <w:tcW w:w="2077" w:type="dxa"/>
            <w:tcBorders>
              <w:top w:val="nil"/>
              <w:left w:val="nil"/>
              <w:bottom w:val="single" w:sz="4" w:space="0" w:color="auto"/>
              <w:right w:val="single" w:sz="4" w:space="0" w:color="auto"/>
            </w:tcBorders>
            <w:shd w:val="clear" w:color="auto" w:fill="auto"/>
            <w:vAlign w:val="center"/>
            <w:hideMark/>
          </w:tcPr>
          <w:p w14:paraId="53CB5F51" w14:textId="77777777" w:rsidR="00990840" w:rsidRPr="009F04CF" w:rsidRDefault="00990840" w:rsidP="00B67570">
            <w:pPr>
              <w:pStyle w:val="Tablenumber"/>
              <w:tabs>
                <w:tab w:val="left" w:pos="2290"/>
              </w:tabs>
              <w:ind w:left="0"/>
              <w:contextualSpacing w:val="0"/>
              <w:rPr>
                <w:sz w:val="22"/>
                <w:szCs w:val="22"/>
                <w:lang w:eastAsia="en-AU"/>
              </w:rPr>
            </w:pPr>
            <w:r w:rsidRPr="009F04CF">
              <w:rPr>
                <w:sz w:val="22"/>
                <w:szCs w:val="22"/>
                <w:lang w:eastAsia="en-AU"/>
              </w:rPr>
              <w:t xml:space="preserve">UCRD </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14:paraId="3C1488CF" w14:textId="77777777" w:rsidR="00990840" w:rsidRPr="009F04CF" w:rsidRDefault="00990840" w:rsidP="00B67570">
            <w:pPr>
              <w:pStyle w:val="Tablenumber"/>
              <w:tabs>
                <w:tab w:val="left" w:pos="2290"/>
              </w:tabs>
              <w:ind w:left="0"/>
              <w:contextualSpacing w:val="0"/>
              <w:rPr>
                <w:sz w:val="22"/>
                <w:szCs w:val="22"/>
                <w:lang w:eastAsia="en-AU"/>
              </w:rPr>
            </w:pPr>
            <w:r w:rsidRPr="009F04CF">
              <w:rPr>
                <w:sz w:val="22"/>
                <w:szCs w:val="22"/>
                <w:lang w:eastAsia="en-AU"/>
              </w:rPr>
              <w:t xml:space="preserve">R&amp;D demand. (PA) </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14:paraId="7AD133A1" w14:textId="77777777" w:rsidR="00990840" w:rsidRPr="009F04CF" w:rsidRDefault="00990840" w:rsidP="00B67570">
            <w:pPr>
              <w:pStyle w:val="Tablenumber"/>
              <w:tabs>
                <w:tab w:val="left" w:pos="2290"/>
              </w:tabs>
              <w:ind w:left="0"/>
              <w:contextualSpacing w:val="0"/>
              <w:rPr>
                <w:sz w:val="22"/>
                <w:szCs w:val="22"/>
                <w:lang w:eastAsia="en-AU"/>
              </w:rPr>
            </w:pPr>
            <w:r w:rsidRPr="009F04CF">
              <w:rPr>
                <w:sz w:val="22"/>
                <w:szCs w:val="22"/>
                <w:lang w:eastAsia="en-AU"/>
              </w:rPr>
              <w:t xml:space="preserve">Australia </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46B69DCD" w14:textId="77777777" w:rsidR="00990840" w:rsidRPr="009F04CF" w:rsidRDefault="00990840" w:rsidP="00B67570">
            <w:pPr>
              <w:pStyle w:val="Tablenumber"/>
              <w:tabs>
                <w:tab w:val="left" w:pos="2290"/>
              </w:tabs>
              <w:ind w:left="0"/>
              <w:contextualSpacing w:val="0"/>
              <w:rPr>
                <w:sz w:val="22"/>
                <w:szCs w:val="22"/>
                <w:lang w:eastAsia="en-AU"/>
              </w:rPr>
            </w:pPr>
            <w:r w:rsidRPr="009F04CF">
              <w:rPr>
                <w:sz w:val="22"/>
                <w:szCs w:val="22"/>
                <w:lang w:eastAsia="en-AU"/>
              </w:rPr>
              <w:t>2,025</w:t>
            </w:r>
          </w:p>
        </w:tc>
        <w:tc>
          <w:tcPr>
            <w:tcW w:w="2085" w:type="dxa"/>
            <w:tcBorders>
              <w:top w:val="nil"/>
              <w:left w:val="nil"/>
              <w:bottom w:val="single" w:sz="4" w:space="0" w:color="auto"/>
              <w:right w:val="single" w:sz="4" w:space="0" w:color="auto"/>
            </w:tcBorders>
            <w:shd w:val="clear" w:color="auto" w:fill="auto"/>
            <w:vAlign w:val="center"/>
            <w:hideMark/>
          </w:tcPr>
          <w:p w14:paraId="66D0941E" w14:textId="77777777" w:rsidR="00990840" w:rsidRPr="009F04CF" w:rsidRDefault="00990840" w:rsidP="00B67570">
            <w:pPr>
              <w:pStyle w:val="Tablenumber"/>
              <w:tabs>
                <w:tab w:val="left" w:pos="2290"/>
              </w:tabs>
              <w:ind w:left="0"/>
              <w:contextualSpacing w:val="0"/>
              <w:rPr>
                <w:sz w:val="22"/>
                <w:szCs w:val="22"/>
                <w:lang w:eastAsia="en-AU"/>
              </w:rPr>
            </w:pPr>
            <w:r w:rsidRPr="009F04CF">
              <w:rPr>
                <w:sz w:val="22"/>
                <w:szCs w:val="22"/>
                <w:lang w:eastAsia="en-AU"/>
              </w:rPr>
              <w:t xml:space="preserve">Insignificant </w:t>
            </w:r>
          </w:p>
        </w:tc>
        <w:tc>
          <w:tcPr>
            <w:tcW w:w="1441" w:type="dxa"/>
            <w:tcBorders>
              <w:top w:val="nil"/>
              <w:left w:val="nil"/>
              <w:bottom w:val="single" w:sz="4" w:space="0" w:color="auto"/>
              <w:right w:val="single" w:sz="4" w:space="0" w:color="auto"/>
            </w:tcBorders>
            <w:vAlign w:val="center"/>
          </w:tcPr>
          <w:p w14:paraId="6ACF2A26" w14:textId="77777777" w:rsidR="00990840" w:rsidRPr="009F04CF" w:rsidRDefault="00990840" w:rsidP="00B67570">
            <w:pPr>
              <w:pStyle w:val="Tablenumber"/>
              <w:tabs>
                <w:tab w:val="left" w:pos="2290"/>
              </w:tabs>
              <w:ind w:left="0"/>
              <w:contextualSpacing w:val="0"/>
              <w:rPr>
                <w:sz w:val="22"/>
                <w:szCs w:val="22"/>
                <w:lang w:eastAsia="en-AU"/>
              </w:rPr>
            </w:pPr>
            <w:r>
              <w:rPr>
                <w:sz w:val="22"/>
                <w:szCs w:val="22"/>
                <w:lang w:eastAsia="en-AU"/>
              </w:rPr>
              <w:t>0</w:t>
            </w:r>
          </w:p>
        </w:tc>
      </w:tr>
      <w:tr w:rsidR="009D6C9E" w:rsidRPr="009F04CF" w14:paraId="0CA7602B" w14:textId="77777777" w:rsidTr="00D04A09">
        <w:trPr>
          <w:cantSplit/>
          <w:trHeight w:val="314"/>
        </w:trPr>
        <w:tc>
          <w:tcPr>
            <w:tcW w:w="3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8B0C5"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Lokshin and Mohnen (2007) </w:t>
            </w:r>
          </w:p>
        </w:tc>
        <w:tc>
          <w:tcPr>
            <w:tcW w:w="2077" w:type="dxa"/>
            <w:vMerge w:val="restart"/>
            <w:tcBorders>
              <w:top w:val="nil"/>
              <w:left w:val="single" w:sz="4" w:space="0" w:color="auto"/>
              <w:bottom w:val="single" w:sz="4" w:space="0" w:color="auto"/>
              <w:right w:val="single" w:sz="4" w:space="0" w:color="auto"/>
            </w:tcBorders>
            <w:shd w:val="clear" w:color="auto" w:fill="auto"/>
            <w:vAlign w:val="center"/>
            <w:hideMark/>
          </w:tcPr>
          <w:p w14:paraId="14D26776"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UCRD </w:t>
            </w:r>
          </w:p>
        </w:tc>
        <w:tc>
          <w:tcPr>
            <w:tcW w:w="3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D7D0F0"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R&amp;D stock demand. </w:t>
            </w:r>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777470"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Netherlands </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BA99B9"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2,615</w:t>
            </w:r>
          </w:p>
        </w:tc>
        <w:tc>
          <w:tcPr>
            <w:tcW w:w="2085" w:type="dxa"/>
            <w:tcBorders>
              <w:top w:val="nil"/>
              <w:left w:val="nil"/>
              <w:bottom w:val="single" w:sz="4" w:space="0" w:color="auto"/>
              <w:right w:val="single" w:sz="4" w:space="0" w:color="auto"/>
            </w:tcBorders>
            <w:shd w:val="clear" w:color="auto" w:fill="auto"/>
            <w:vAlign w:val="center"/>
            <w:hideMark/>
          </w:tcPr>
          <w:p w14:paraId="6EA8080D"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-0.27 (SR) </w:t>
            </w:r>
          </w:p>
        </w:tc>
        <w:tc>
          <w:tcPr>
            <w:tcW w:w="1441" w:type="dxa"/>
            <w:tcBorders>
              <w:top w:val="nil"/>
              <w:left w:val="nil"/>
              <w:bottom w:val="single" w:sz="4" w:space="0" w:color="auto"/>
              <w:right w:val="single" w:sz="4" w:space="0" w:color="auto"/>
            </w:tcBorders>
            <w:vAlign w:val="center"/>
          </w:tcPr>
          <w:p w14:paraId="3F49C8C1" w14:textId="77777777" w:rsidR="009D6C9E" w:rsidRPr="009D6C9E" w:rsidRDefault="009D6C9E" w:rsidP="00B67570">
            <w:pPr>
              <w:pStyle w:val="Tablenumber"/>
              <w:tabs>
                <w:tab w:val="left" w:pos="2290"/>
              </w:tabs>
              <w:ind w:left="0"/>
              <w:contextualSpacing w:val="0"/>
              <w:rPr>
                <w:sz w:val="22"/>
                <w:szCs w:val="22"/>
                <w:lang w:eastAsia="en-AU"/>
              </w:rPr>
            </w:pPr>
            <w:r w:rsidRPr="009D6C9E">
              <w:rPr>
                <w:sz w:val="22"/>
                <w:szCs w:val="22"/>
                <w:lang w:eastAsia="en-AU"/>
              </w:rPr>
              <w:t>0.37</w:t>
            </w:r>
          </w:p>
        </w:tc>
      </w:tr>
      <w:tr w:rsidR="009D6C9E" w:rsidRPr="009F04CF" w14:paraId="6B2BA013" w14:textId="77777777" w:rsidTr="00D04A09">
        <w:trPr>
          <w:cantSplit/>
          <w:trHeight w:val="277"/>
        </w:trPr>
        <w:tc>
          <w:tcPr>
            <w:tcW w:w="3183" w:type="dxa"/>
            <w:vMerge/>
            <w:tcBorders>
              <w:top w:val="single" w:sz="4" w:space="0" w:color="auto"/>
              <w:left w:val="single" w:sz="4" w:space="0" w:color="auto"/>
              <w:bottom w:val="single" w:sz="4" w:space="0" w:color="auto"/>
              <w:right w:val="single" w:sz="4" w:space="0" w:color="auto"/>
            </w:tcBorders>
            <w:vAlign w:val="center"/>
            <w:hideMark/>
          </w:tcPr>
          <w:p w14:paraId="0C21131D" w14:textId="77777777" w:rsidR="009D6C9E" w:rsidRPr="009F04CF" w:rsidRDefault="009D6C9E" w:rsidP="00B67570">
            <w:pPr>
              <w:pStyle w:val="Tablenumber"/>
              <w:tabs>
                <w:tab w:val="left" w:pos="2290"/>
              </w:tabs>
              <w:ind w:left="0"/>
              <w:contextualSpacing w:val="0"/>
              <w:rPr>
                <w:sz w:val="22"/>
                <w:szCs w:val="22"/>
                <w:lang w:eastAsia="en-AU"/>
              </w:rPr>
            </w:pPr>
          </w:p>
        </w:tc>
        <w:tc>
          <w:tcPr>
            <w:tcW w:w="2077" w:type="dxa"/>
            <w:vMerge/>
            <w:tcBorders>
              <w:top w:val="nil"/>
              <w:left w:val="single" w:sz="4" w:space="0" w:color="auto"/>
              <w:bottom w:val="single" w:sz="4" w:space="0" w:color="auto"/>
              <w:right w:val="single" w:sz="4" w:space="0" w:color="auto"/>
            </w:tcBorders>
            <w:vAlign w:val="center"/>
            <w:hideMark/>
          </w:tcPr>
          <w:p w14:paraId="6BE6E991" w14:textId="77777777" w:rsidR="009D6C9E" w:rsidRPr="009F04CF" w:rsidRDefault="009D6C9E" w:rsidP="00B67570">
            <w:pPr>
              <w:pStyle w:val="Tablenumber"/>
              <w:tabs>
                <w:tab w:val="left" w:pos="2290"/>
              </w:tabs>
              <w:ind w:left="0"/>
              <w:contextualSpacing w:val="0"/>
              <w:rPr>
                <w:sz w:val="22"/>
                <w:szCs w:val="22"/>
                <w:lang w:eastAsia="en-AU"/>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14:paraId="149B5C0F" w14:textId="77777777" w:rsidR="009D6C9E" w:rsidRPr="009F04CF" w:rsidRDefault="009D6C9E" w:rsidP="00B67570">
            <w:pPr>
              <w:pStyle w:val="Tablenumber"/>
              <w:tabs>
                <w:tab w:val="left" w:pos="2290"/>
              </w:tabs>
              <w:ind w:left="0"/>
              <w:contextualSpacing w:val="0"/>
              <w:rPr>
                <w:sz w:val="22"/>
                <w:szCs w:val="22"/>
                <w:lang w:eastAsia="en-AU"/>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27277302" w14:textId="77777777" w:rsidR="009D6C9E" w:rsidRPr="009F04CF" w:rsidRDefault="009D6C9E" w:rsidP="00B67570">
            <w:pPr>
              <w:pStyle w:val="Tablenumber"/>
              <w:tabs>
                <w:tab w:val="left" w:pos="2290"/>
              </w:tabs>
              <w:ind w:left="0"/>
              <w:contextualSpacing w:val="0"/>
              <w:rPr>
                <w:sz w:val="22"/>
                <w:szCs w:val="22"/>
                <w:lang w:eastAsia="en-AU"/>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2F73D91D" w14:textId="77777777" w:rsidR="009D6C9E" w:rsidRPr="009F04CF" w:rsidRDefault="009D6C9E" w:rsidP="00B67570">
            <w:pPr>
              <w:pStyle w:val="Tablenumber"/>
              <w:tabs>
                <w:tab w:val="left" w:pos="2290"/>
              </w:tabs>
              <w:ind w:left="0"/>
              <w:contextualSpacing w:val="0"/>
              <w:rPr>
                <w:sz w:val="22"/>
                <w:szCs w:val="22"/>
                <w:lang w:eastAsia="en-AU"/>
              </w:rPr>
            </w:pPr>
          </w:p>
        </w:tc>
        <w:tc>
          <w:tcPr>
            <w:tcW w:w="2085" w:type="dxa"/>
            <w:tcBorders>
              <w:top w:val="nil"/>
              <w:left w:val="nil"/>
              <w:bottom w:val="single" w:sz="4" w:space="0" w:color="auto"/>
              <w:right w:val="single" w:sz="4" w:space="0" w:color="auto"/>
            </w:tcBorders>
            <w:shd w:val="clear" w:color="auto" w:fill="auto"/>
            <w:vAlign w:val="center"/>
            <w:hideMark/>
          </w:tcPr>
          <w:p w14:paraId="0A5CE8A8"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-0.39 (LR) </w:t>
            </w:r>
          </w:p>
        </w:tc>
        <w:tc>
          <w:tcPr>
            <w:tcW w:w="1441" w:type="dxa"/>
            <w:tcBorders>
              <w:top w:val="nil"/>
              <w:left w:val="nil"/>
              <w:bottom w:val="single" w:sz="4" w:space="0" w:color="auto"/>
              <w:right w:val="single" w:sz="4" w:space="0" w:color="auto"/>
            </w:tcBorders>
            <w:vAlign w:val="center"/>
          </w:tcPr>
          <w:p w14:paraId="29563492" w14:textId="77777777" w:rsidR="009D6C9E" w:rsidRPr="009D6C9E" w:rsidRDefault="009D6C9E" w:rsidP="00B67570">
            <w:pPr>
              <w:pStyle w:val="Tablenumber"/>
              <w:tabs>
                <w:tab w:val="left" w:pos="2290"/>
              </w:tabs>
              <w:ind w:left="0"/>
              <w:contextualSpacing w:val="0"/>
              <w:rPr>
                <w:sz w:val="22"/>
                <w:szCs w:val="22"/>
                <w:lang w:eastAsia="en-AU"/>
              </w:rPr>
            </w:pPr>
            <w:r w:rsidRPr="009D6C9E">
              <w:rPr>
                <w:sz w:val="22"/>
                <w:szCs w:val="22"/>
                <w:lang w:eastAsia="en-AU"/>
              </w:rPr>
              <w:t>0.50</w:t>
            </w:r>
          </w:p>
        </w:tc>
      </w:tr>
      <w:tr w:rsidR="009D6C9E" w:rsidRPr="009F04CF" w14:paraId="06597CD6" w14:textId="77777777" w:rsidTr="00D04A09">
        <w:trPr>
          <w:cantSplit/>
          <w:trHeight w:val="381"/>
        </w:trPr>
        <w:tc>
          <w:tcPr>
            <w:tcW w:w="3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8ED58"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Mulkey and Mairesse (2013) </w:t>
            </w:r>
          </w:p>
        </w:tc>
        <w:tc>
          <w:tcPr>
            <w:tcW w:w="2077" w:type="dxa"/>
            <w:tcBorders>
              <w:top w:val="nil"/>
              <w:left w:val="nil"/>
              <w:bottom w:val="single" w:sz="4" w:space="0" w:color="auto"/>
              <w:right w:val="single" w:sz="4" w:space="0" w:color="auto"/>
            </w:tcBorders>
            <w:shd w:val="clear" w:color="auto" w:fill="auto"/>
            <w:vAlign w:val="center"/>
            <w:hideMark/>
          </w:tcPr>
          <w:p w14:paraId="02A606CA"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UCRD </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14:paraId="365F213D"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R&amp;D demand (ECM) </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14:paraId="7A8B014B"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France </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41BD8CD0"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10,850</w:t>
            </w:r>
          </w:p>
        </w:tc>
        <w:tc>
          <w:tcPr>
            <w:tcW w:w="2085" w:type="dxa"/>
            <w:tcBorders>
              <w:top w:val="nil"/>
              <w:left w:val="nil"/>
              <w:bottom w:val="single" w:sz="4" w:space="0" w:color="auto"/>
              <w:right w:val="single" w:sz="4" w:space="0" w:color="auto"/>
            </w:tcBorders>
            <w:shd w:val="clear" w:color="auto" w:fill="auto"/>
            <w:vAlign w:val="center"/>
            <w:hideMark/>
          </w:tcPr>
          <w:p w14:paraId="1FCFD710"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-0.40 (LR) </w:t>
            </w:r>
          </w:p>
        </w:tc>
        <w:tc>
          <w:tcPr>
            <w:tcW w:w="1441" w:type="dxa"/>
            <w:tcBorders>
              <w:top w:val="nil"/>
              <w:left w:val="nil"/>
              <w:bottom w:val="single" w:sz="4" w:space="0" w:color="auto"/>
              <w:right w:val="single" w:sz="4" w:space="0" w:color="auto"/>
            </w:tcBorders>
            <w:vAlign w:val="center"/>
          </w:tcPr>
          <w:p w14:paraId="037A4FF1" w14:textId="77777777" w:rsidR="009D6C9E" w:rsidRPr="009D6C9E" w:rsidRDefault="009D6C9E" w:rsidP="00B67570">
            <w:pPr>
              <w:pStyle w:val="Tablenumber"/>
              <w:tabs>
                <w:tab w:val="left" w:pos="2290"/>
              </w:tabs>
              <w:ind w:left="0"/>
              <w:contextualSpacing w:val="0"/>
              <w:rPr>
                <w:sz w:val="22"/>
                <w:szCs w:val="22"/>
                <w:lang w:eastAsia="en-AU"/>
              </w:rPr>
            </w:pPr>
            <w:r w:rsidRPr="009D6C9E">
              <w:rPr>
                <w:sz w:val="22"/>
                <w:szCs w:val="22"/>
                <w:lang w:eastAsia="en-AU"/>
              </w:rPr>
              <w:t>0.51</w:t>
            </w:r>
          </w:p>
        </w:tc>
      </w:tr>
      <w:tr w:rsidR="009D6C9E" w:rsidRPr="009F04CF" w14:paraId="1055883D" w14:textId="77777777" w:rsidTr="00D04A09">
        <w:trPr>
          <w:cantSplit/>
          <w:trHeight w:val="273"/>
        </w:trPr>
        <w:tc>
          <w:tcPr>
            <w:tcW w:w="3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6DEA2"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Koga (2003) </w:t>
            </w:r>
          </w:p>
        </w:tc>
        <w:tc>
          <w:tcPr>
            <w:tcW w:w="2077" w:type="dxa"/>
            <w:tcBorders>
              <w:top w:val="nil"/>
              <w:left w:val="nil"/>
              <w:bottom w:val="single" w:sz="4" w:space="0" w:color="auto"/>
              <w:right w:val="single" w:sz="4" w:space="0" w:color="auto"/>
            </w:tcBorders>
            <w:shd w:val="clear" w:color="auto" w:fill="auto"/>
            <w:vAlign w:val="center"/>
            <w:hideMark/>
          </w:tcPr>
          <w:p w14:paraId="3267ABDE"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UCRD </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14:paraId="4E393445"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R&amp;D demand (levels) </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14:paraId="039725FE"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Japan </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58993C77"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5,738</w:t>
            </w:r>
          </w:p>
        </w:tc>
        <w:tc>
          <w:tcPr>
            <w:tcW w:w="2085" w:type="dxa"/>
            <w:tcBorders>
              <w:top w:val="nil"/>
              <w:left w:val="nil"/>
              <w:bottom w:val="single" w:sz="4" w:space="0" w:color="auto"/>
              <w:right w:val="single" w:sz="4" w:space="0" w:color="auto"/>
            </w:tcBorders>
            <w:shd w:val="clear" w:color="auto" w:fill="auto"/>
            <w:vAlign w:val="center"/>
            <w:hideMark/>
          </w:tcPr>
          <w:p w14:paraId="09B18E1B"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-0.68</w:t>
            </w:r>
          </w:p>
        </w:tc>
        <w:tc>
          <w:tcPr>
            <w:tcW w:w="1441" w:type="dxa"/>
            <w:tcBorders>
              <w:top w:val="nil"/>
              <w:left w:val="nil"/>
              <w:bottom w:val="single" w:sz="4" w:space="0" w:color="auto"/>
              <w:right w:val="single" w:sz="4" w:space="0" w:color="auto"/>
            </w:tcBorders>
            <w:vAlign w:val="center"/>
          </w:tcPr>
          <w:p w14:paraId="7BA5525C" w14:textId="77777777" w:rsidR="009D6C9E" w:rsidRPr="009D6C9E" w:rsidRDefault="009D6C9E" w:rsidP="00B67570">
            <w:pPr>
              <w:pStyle w:val="Tablenumber"/>
              <w:tabs>
                <w:tab w:val="left" w:pos="2290"/>
              </w:tabs>
              <w:ind w:left="0"/>
              <w:contextualSpacing w:val="0"/>
              <w:rPr>
                <w:sz w:val="22"/>
                <w:szCs w:val="22"/>
                <w:lang w:eastAsia="en-AU"/>
              </w:rPr>
            </w:pPr>
            <w:r w:rsidRPr="009D6C9E">
              <w:rPr>
                <w:sz w:val="22"/>
                <w:szCs w:val="22"/>
                <w:lang w:eastAsia="en-AU"/>
              </w:rPr>
              <w:t>0.80</w:t>
            </w:r>
          </w:p>
        </w:tc>
      </w:tr>
      <w:tr w:rsidR="009D6C9E" w:rsidRPr="009F04CF" w14:paraId="6EF2D7B3" w14:textId="77777777" w:rsidTr="00D04A09">
        <w:trPr>
          <w:cantSplit/>
          <w:trHeight w:val="363"/>
        </w:trPr>
        <w:tc>
          <w:tcPr>
            <w:tcW w:w="3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84688"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Dagenais et al. (1997) </w:t>
            </w:r>
          </w:p>
        </w:tc>
        <w:tc>
          <w:tcPr>
            <w:tcW w:w="2077" w:type="dxa"/>
            <w:vMerge w:val="restart"/>
            <w:tcBorders>
              <w:top w:val="nil"/>
              <w:left w:val="single" w:sz="4" w:space="0" w:color="auto"/>
              <w:bottom w:val="single" w:sz="4" w:space="0" w:color="auto"/>
              <w:right w:val="single" w:sz="4" w:space="0" w:color="auto"/>
            </w:tcBorders>
            <w:shd w:val="clear" w:color="auto" w:fill="auto"/>
            <w:vAlign w:val="center"/>
            <w:hideMark/>
          </w:tcPr>
          <w:p w14:paraId="219695FE"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UCRD </w:t>
            </w:r>
          </w:p>
        </w:tc>
        <w:tc>
          <w:tcPr>
            <w:tcW w:w="3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04E8CC"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R&amp;D stock demand (PA) </w:t>
            </w:r>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63A470"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Canada </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A83DB8"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4,859</w:t>
            </w:r>
          </w:p>
        </w:tc>
        <w:tc>
          <w:tcPr>
            <w:tcW w:w="2085" w:type="dxa"/>
            <w:tcBorders>
              <w:top w:val="nil"/>
              <w:left w:val="nil"/>
              <w:bottom w:val="single" w:sz="4" w:space="0" w:color="auto"/>
              <w:right w:val="single" w:sz="4" w:space="0" w:color="auto"/>
            </w:tcBorders>
            <w:shd w:val="clear" w:color="auto" w:fill="auto"/>
            <w:vAlign w:val="center"/>
            <w:hideMark/>
          </w:tcPr>
          <w:p w14:paraId="32549E4D"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-0.07 (SR) </w:t>
            </w:r>
          </w:p>
        </w:tc>
        <w:tc>
          <w:tcPr>
            <w:tcW w:w="1441" w:type="dxa"/>
            <w:tcBorders>
              <w:top w:val="nil"/>
              <w:left w:val="nil"/>
              <w:bottom w:val="single" w:sz="4" w:space="0" w:color="auto"/>
              <w:right w:val="single" w:sz="4" w:space="0" w:color="auto"/>
            </w:tcBorders>
            <w:vAlign w:val="center"/>
          </w:tcPr>
          <w:p w14:paraId="7349BD5F" w14:textId="77777777" w:rsidR="009D6C9E" w:rsidRPr="009D6C9E" w:rsidRDefault="009D6C9E" w:rsidP="00B67570">
            <w:pPr>
              <w:pStyle w:val="Tablenumber"/>
              <w:tabs>
                <w:tab w:val="left" w:pos="2290"/>
              </w:tabs>
              <w:ind w:left="0"/>
              <w:contextualSpacing w:val="0"/>
              <w:rPr>
                <w:sz w:val="22"/>
                <w:szCs w:val="22"/>
                <w:lang w:eastAsia="en-AU"/>
              </w:rPr>
            </w:pPr>
            <w:r w:rsidRPr="009D6C9E">
              <w:rPr>
                <w:sz w:val="22"/>
                <w:szCs w:val="22"/>
                <w:lang w:eastAsia="en-AU"/>
              </w:rPr>
              <w:t>0.11</w:t>
            </w:r>
          </w:p>
        </w:tc>
      </w:tr>
      <w:tr w:rsidR="009D6C9E" w:rsidRPr="009F04CF" w14:paraId="23DDCB62" w14:textId="77777777" w:rsidTr="00D04A09">
        <w:trPr>
          <w:cantSplit/>
          <w:trHeight w:val="296"/>
        </w:trPr>
        <w:tc>
          <w:tcPr>
            <w:tcW w:w="3183" w:type="dxa"/>
            <w:vMerge/>
            <w:tcBorders>
              <w:top w:val="single" w:sz="4" w:space="0" w:color="auto"/>
              <w:left w:val="single" w:sz="4" w:space="0" w:color="auto"/>
              <w:bottom w:val="single" w:sz="4" w:space="0" w:color="auto"/>
              <w:right w:val="single" w:sz="4" w:space="0" w:color="auto"/>
            </w:tcBorders>
            <w:vAlign w:val="center"/>
            <w:hideMark/>
          </w:tcPr>
          <w:p w14:paraId="7549E755" w14:textId="77777777" w:rsidR="009D6C9E" w:rsidRPr="009F04CF" w:rsidRDefault="009D6C9E" w:rsidP="00B67570">
            <w:pPr>
              <w:pStyle w:val="Tablenumber"/>
              <w:tabs>
                <w:tab w:val="left" w:pos="2290"/>
              </w:tabs>
              <w:ind w:left="0"/>
              <w:contextualSpacing w:val="0"/>
              <w:rPr>
                <w:sz w:val="22"/>
                <w:szCs w:val="22"/>
                <w:lang w:eastAsia="en-AU"/>
              </w:rPr>
            </w:pPr>
          </w:p>
        </w:tc>
        <w:tc>
          <w:tcPr>
            <w:tcW w:w="2077" w:type="dxa"/>
            <w:vMerge/>
            <w:tcBorders>
              <w:top w:val="nil"/>
              <w:left w:val="single" w:sz="4" w:space="0" w:color="auto"/>
              <w:bottom w:val="single" w:sz="4" w:space="0" w:color="auto"/>
              <w:right w:val="single" w:sz="4" w:space="0" w:color="auto"/>
            </w:tcBorders>
            <w:vAlign w:val="center"/>
            <w:hideMark/>
          </w:tcPr>
          <w:p w14:paraId="2F3CAB14" w14:textId="77777777" w:rsidR="009D6C9E" w:rsidRPr="009F04CF" w:rsidRDefault="009D6C9E" w:rsidP="00B67570">
            <w:pPr>
              <w:pStyle w:val="Tablenumber"/>
              <w:tabs>
                <w:tab w:val="left" w:pos="2290"/>
              </w:tabs>
              <w:ind w:left="0"/>
              <w:contextualSpacing w:val="0"/>
              <w:rPr>
                <w:sz w:val="22"/>
                <w:szCs w:val="22"/>
                <w:lang w:eastAsia="en-AU"/>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14:paraId="457BFA34" w14:textId="77777777" w:rsidR="009D6C9E" w:rsidRPr="009F04CF" w:rsidRDefault="009D6C9E" w:rsidP="00B67570">
            <w:pPr>
              <w:pStyle w:val="Tablenumber"/>
              <w:tabs>
                <w:tab w:val="left" w:pos="2290"/>
              </w:tabs>
              <w:ind w:left="0"/>
              <w:contextualSpacing w:val="0"/>
              <w:rPr>
                <w:sz w:val="22"/>
                <w:szCs w:val="22"/>
                <w:lang w:eastAsia="en-AU"/>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403A71DC" w14:textId="77777777" w:rsidR="009D6C9E" w:rsidRPr="009F04CF" w:rsidRDefault="009D6C9E" w:rsidP="00B67570">
            <w:pPr>
              <w:pStyle w:val="Tablenumber"/>
              <w:tabs>
                <w:tab w:val="left" w:pos="2290"/>
              </w:tabs>
              <w:ind w:left="0"/>
              <w:contextualSpacing w:val="0"/>
              <w:rPr>
                <w:sz w:val="22"/>
                <w:szCs w:val="22"/>
                <w:lang w:eastAsia="en-AU"/>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1D2EDE04" w14:textId="77777777" w:rsidR="009D6C9E" w:rsidRPr="009F04CF" w:rsidRDefault="009D6C9E" w:rsidP="00B67570">
            <w:pPr>
              <w:pStyle w:val="Tablenumber"/>
              <w:tabs>
                <w:tab w:val="left" w:pos="2290"/>
              </w:tabs>
              <w:ind w:left="0"/>
              <w:contextualSpacing w:val="0"/>
              <w:rPr>
                <w:sz w:val="22"/>
                <w:szCs w:val="22"/>
                <w:lang w:eastAsia="en-AU"/>
              </w:rPr>
            </w:pPr>
          </w:p>
        </w:tc>
        <w:tc>
          <w:tcPr>
            <w:tcW w:w="2085" w:type="dxa"/>
            <w:tcBorders>
              <w:top w:val="nil"/>
              <w:left w:val="nil"/>
              <w:bottom w:val="single" w:sz="4" w:space="0" w:color="auto"/>
              <w:right w:val="single" w:sz="4" w:space="0" w:color="auto"/>
            </w:tcBorders>
            <w:shd w:val="clear" w:color="auto" w:fill="auto"/>
            <w:vAlign w:val="center"/>
            <w:hideMark/>
          </w:tcPr>
          <w:p w14:paraId="2A07F1CE"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-1.09 (LR) </w:t>
            </w:r>
          </w:p>
        </w:tc>
        <w:tc>
          <w:tcPr>
            <w:tcW w:w="1441" w:type="dxa"/>
            <w:tcBorders>
              <w:top w:val="nil"/>
              <w:left w:val="nil"/>
              <w:bottom w:val="single" w:sz="4" w:space="0" w:color="auto"/>
              <w:right w:val="single" w:sz="4" w:space="0" w:color="auto"/>
            </w:tcBorders>
            <w:vAlign w:val="center"/>
          </w:tcPr>
          <w:p w14:paraId="0DD44813" w14:textId="77777777" w:rsidR="009D6C9E" w:rsidRPr="009D6C9E" w:rsidRDefault="009D6C9E" w:rsidP="00B67570">
            <w:pPr>
              <w:pStyle w:val="Tablenumber"/>
              <w:tabs>
                <w:tab w:val="left" w:pos="2290"/>
              </w:tabs>
              <w:ind w:left="0"/>
              <w:contextualSpacing w:val="0"/>
              <w:rPr>
                <w:sz w:val="22"/>
                <w:szCs w:val="22"/>
                <w:lang w:eastAsia="en-AU"/>
              </w:rPr>
            </w:pPr>
            <w:r w:rsidRPr="009D6C9E">
              <w:rPr>
                <w:sz w:val="22"/>
                <w:szCs w:val="22"/>
                <w:lang w:eastAsia="en-AU"/>
              </w:rPr>
              <w:t>1.05</w:t>
            </w:r>
          </w:p>
        </w:tc>
      </w:tr>
      <w:tr w:rsidR="009D6C9E" w:rsidRPr="009F04CF" w14:paraId="38CBA170" w14:textId="77777777" w:rsidTr="00D04A09">
        <w:trPr>
          <w:cantSplit/>
          <w:trHeight w:val="245"/>
        </w:trPr>
        <w:tc>
          <w:tcPr>
            <w:tcW w:w="3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D03736"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Harris </w:t>
            </w:r>
            <w:r w:rsidRPr="009F04CF">
              <w:rPr>
                <w:i/>
                <w:iCs/>
                <w:sz w:val="22"/>
                <w:szCs w:val="22"/>
                <w:lang w:eastAsia="en-AU"/>
              </w:rPr>
              <w:t xml:space="preserve">et al. </w:t>
            </w:r>
            <w:r w:rsidRPr="009F04CF">
              <w:rPr>
                <w:sz w:val="22"/>
                <w:szCs w:val="22"/>
                <w:lang w:eastAsia="en-AU"/>
              </w:rPr>
              <w:t xml:space="preserve">(2009) </w:t>
            </w:r>
          </w:p>
        </w:tc>
        <w:tc>
          <w:tcPr>
            <w:tcW w:w="2077" w:type="dxa"/>
            <w:vMerge w:val="restart"/>
            <w:tcBorders>
              <w:top w:val="nil"/>
              <w:left w:val="single" w:sz="4" w:space="0" w:color="auto"/>
              <w:bottom w:val="single" w:sz="4" w:space="0" w:color="auto"/>
              <w:right w:val="single" w:sz="4" w:space="0" w:color="auto"/>
            </w:tcBorders>
            <w:shd w:val="clear" w:color="auto" w:fill="auto"/>
            <w:vAlign w:val="center"/>
            <w:hideMark/>
          </w:tcPr>
          <w:p w14:paraId="64E2C677"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UCRD </w:t>
            </w:r>
          </w:p>
        </w:tc>
        <w:tc>
          <w:tcPr>
            <w:tcW w:w="3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E4B7BE"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R&amp;D demand (static and dynamic models). </w:t>
            </w:r>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69DF2B"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Northern Ireland </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A36B15"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2,063</w:t>
            </w:r>
          </w:p>
        </w:tc>
        <w:tc>
          <w:tcPr>
            <w:tcW w:w="2085" w:type="dxa"/>
            <w:tcBorders>
              <w:top w:val="nil"/>
              <w:left w:val="nil"/>
              <w:bottom w:val="single" w:sz="4" w:space="0" w:color="auto"/>
              <w:right w:val="single" w:sz="4" w:space="0" w:color="auto"/>
            </w:tcBorders>
            <w:shd w:val="clear" w:color="auto" w:fill="auto"/>
            <w:vAlign w:val="center"/>
            <w:hideMark/>
          </w:tcPr>
          <w:p w14:paraId="6B4FE522"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-0.21 (SR) </w:t>
            </w:r>
          </w:p>
        </w:tc>
        <w:tc>
          <w:tcPr>
            <w:tcW w:w="1441" w:type="dxa"/>
            <w:tcBorders>
              <w:top w:val="nil"/>
              <w:left w:val="nil"/>
              <w:bottom w:val="single" w:sz="4" w:space="0" w:color="auto"/>
              <w:right w:val="single" w:sz="4" w:space="0" w:color="auto"/>
            </w:tcBorders>
            <w:vAlign w:val="center"/>
          </w:tcPr>
          <w:p w14:paraId="731647C1" w14:textId="77777777" w:rsidR="009D6C9E" w:rsidRPr="009D6C9E" w:rsidRDefault="009D6C9E" w:rsidP="00B67570">
            <w:pPr>
              <w:pStyle w:val="Tablenumber"/>
              <w:tabs>
                <w:tab w:val="left" w:pos="2290"/>
              </w:tabs>
              <w:ind w:left="0"/>
              <w:contextualSpacing w:val="0"/>
              <w:rPr>
                <w:sz w:val="22"/>
                <w:szCs w:val="22"/>
                <w:lang w:eastAsia="en-AU"/>
              </w:rPr>
            </w:pPr>
            <w:r w:rsidRPr="009D6C9E">
              <w:rPr>
                <w:sz w:val="22"/>
                <w:szCs w:val="22"/>
                <w:lang w:eastAsia="en-AU"/>
              </w:rPr>
              <w:t>0.23</w:t>
            </w:r>
          </w:p>
        </w:tc>
      </w:tr>
      <w:tr w:rsidR="009D6C9E" w:rsidRPr="009F04CF" w14:paraId="1417F653" w14:textId="77777777" w:rsidTr="00D04A09">
        <w:trPr>
          <w:cantSplit/>
          <w:trHeight w:val="207"/>
        </w:trPr>
        <w:tc>
          <w:tcPr>
            <w:tcW w:w="3183" w:type="dxa"/>
            <w:vMerge/>
            <w:tcBorders>
              <w:top w:val="single" w:sz="4" w:space="0" w:color="auto"/>
              <w:left w:val="single" w:sz="4" w:space="0" w:color="auto"/>
              <w:bottom w:val="single" w:sz="4" w:space="0" w:color="auto"/>
              <w:right w:val="single" w:sz="4" w:space="0" w:color="auto"/>
            </w:tcBorders>
            <w:vAlign w:val="center"/>
            <w:hideMark/>
          </w:tcPr>
          <w:p w14:paraId="76FD15EF" w14:textId="77777777" w:rsidR="009D6C9E" w:rsidRPr="009F04CF" w:rsidRDefault="009D6C9E" w:rsidP="00B67570">
            <w:pPr>
              <w:pStyle w:val="Tablenumber"/>
              <w:tabs>
                <w:tab w:val="left" w:pos="2290"/>
              </w:tabs>
              <w:ind w:left="0"/>
              <w:contextualSpacing w:val="0"/>
              <w:rPr>
                <w:sz w:val="22"/>
                <w:szCs w:val="22"/>
                <w:lang w:eastAsia="en-AU"/>
              </w:rPr>
            </w:pPr>
          </w:p>
        </w:tc>
        <w:tc>
          <w:tcPr>
            <w:tcW w:w="2077" w:type="dxa"/>
            <w:vMerge/>
            <w:tcBorders>
              <w:top w:val="nil"/>
              <w:left w:val="single" w:sz="4" w:space="0" w:color="auto"/>
              <w:bottom w:val="single" w:sz="4" w:space="0" w:color="auto"/>
              <w:right w:val="single" w:sz="4" w:space="0" w:color="auto"/>
            </w:tcBorders>
            <w:vAlign w:val="center"/>
            <w:hideMark/>
          </w:tcPr>
          <w:p w14:paraId="663F6044" w14:textId="77777777" w:rsidR="009D6C9E" w:rsidRPr="009F04CF" w:rsidRDefault="009D6C9E" w:rsidP="00B67570">
            <w:pPr>
              <w:pStyle w:val="Tablenumber"/>
              <w:tabs>
                <w:tab w:val="left" w:pos="2290"/>
              </w:tabs>
              <w:ind w:left="0"/>
              <w:contextualSpacing w:val="0"/>
              <w:rPr>
                <w:sz w:val="22"/>
                <w:szCs w:val="22"/>
                <w:lang w:eastAsia="en-AU"/>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14:paraId="285D06DE" w14:textId="77777777" w:rsidR="009D6C9E" w:rsidRPr="009F04CF" w:rsidRDefault="009D6C9E" w:rsidP="00B67570">
            <w:pPr>
              <w:pStyle w:val="Tablenumber"/>
              <w:tabs>
                <w:tab w:val="left" w:pos="2290"/>
              </w:tabs>
              <w:ind w:left="0"/>
              <w:contextualSpacing w:val="0"/>
              <w:rPr>
                <w:sz w:val="22"/>
                <w:szCs w:val="22"/>
                <w:lang w:eastAsia="en-AU"/>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13DD3749" w14:textId="77777777" w:rsidR="009D6C9E" w:rsidRPr="009F04CF" w:rsidRDefault="009D6C9E" w:rsidP="00B67570">
            <w:pPr>
              <w:pStyle w:val="Tablenumber"/>
              <w:tabs>
                <w:tab w:val="left" w:pos="2290"/>
              </w:tabs>
              <w:ind w:left="0"/>
              <w:contextualSpacing w:val="0"/>
              <w:rPr>
                <w:sz w:val="22"/>
                <w:szCs w:val="22"/>
                <w:lang w:eastAsia="en-AU"/>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289EADAF" w14:textId="77777777" w:rsidR="009D6C9E" w:rsidRPr="009F04CF" w:rsidRDefault="009D6C9E" w:rsidP="00B67570">
            <w:pPr>
              <w:pStyle w:val="Tablenumber"/>
              <w:tabs>
                <w:tab w:val="left" w:pos="2290"/>
              </w:tabs>
              <w:ind w:left="0"/>
              <w:contextualSpacing w:val="0"/>
              <w:rPr>
                <w:sz w:val="22"/>
                <w:szCs w:val="22"/>
                <w:lang w:eastAsia="en-AU"/>
              </w:rPr>
            </w:pPr>
          </w:p>
        </w:tc>
        <w:tc>
          <w:tcPr>
            <w:tcW w:w="2085" w:type="dxa"/>
            <w:tcBorders>
              <w:top w:val="nil"/>
              <w:left w:val="nil"/>
              <w:bottom w:val="single" w:sz="4" w:space="0" w:color="auto"/>
              <w:right w:val="single" w:sz="4" w:space="0" w:color="auto"/>
            </w:tcBorders>
            <w:shd w:val="clear" w:color="auto" w:fill="auto"/>
            <w:vAlign w:val="center"/>
            <w:hideMark/>
          </w:tcPr>
          <w:p w14:paraId="6A79D4F5"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-1.40 (LR) </w:t>
            </w:r>
          </w:p>
        </w:tc>
        <w:tc>
          <w:tcPr>
            <w:tcW w:w="1441" w:type="dxa"/>
            <w:tcBorders>
              <w:top w:val="nil"/>
              <w:left w:val="nil"/>
              <w:bottom w:val="single" w:sz="4" w:space="0" w:color="auto"/>
              <w:right w:val="single" w:sz="4" w:space="0" w:color="auto"/>
            </w:tcBorders>
            <w:vAlign w:val="center"/>
          </w:tcPr>
          <w:p w14:paraId="5EEBB8A8" w14:textId="77777777" w:rsidR="009D6C9E" w:rsidRPr="009D6C9E" w:rsidRDefault="009D6C9E" w:rsidP="00B67570">
            <w:pPr>
              <w:pStyle w:val="Tablenumber"/>
              <w:tabs>
                <w:tab w:val="left" w:pos="2290"/>
              </w:tabs>
              <w:ind w:left="0"/>
              <w:contextualSpacing w:val="0"/>
              <w:rPr>
                <w:sz w:val="22"/>
                <w:szCs w:val="22"/>
                <w:lang w:eastAsia="en-AU"/>
              </w:rPr>
            </w:pPr>
            <w:r w:rsidRPr="009D6C9E">
              <w:rPr>
                <w:sz w:val="22"/>
                <w:szCs w:val="22"/>
                <w:lang w:eastAsia="en-AU"/>
              </w:rPr>
              <w:t>1.35</w:t>
            </w:r>
          </w:p>
        </w:tc>
      </w:tr>
      <w:tr w:rsidR="009D6C9E" w:rsidRPr="009F04CF" w14:paraId="697C7748" w14:textId="77777777" w:rsidTr="00D04A09">
        <w:trPr>
          <w:cantSplit/>
          <w:trHeight w:val="325"/>
        </w:trPr>
        <w:tc>
          <w:tcPr>
            <w:tcW w:w="3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19A34"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Parisi and Sembenelli (2003) </w:t>
            </w:r>
          </w:p>
        </w:tc>
        <w:tc>
          <w:tcPr>
            <w:tcW w:w="2077" w:type="dxa"/>
            <w:tcBorders>
              <w:top w:val="nil"/>
              <w:left w:val="nil"/>
              <w:bottom w:val="single" w:sz="4" w:space="0" w:color="auto"/>
              <w:right w:val="single" w:sz="4" w:space="0" w:color="auto"/>
            </w:tcBorders>
            <w:shd w:val="clear" w:color="auto" w:fill="auto"/>
            <w:vAlign w:val="center"/>
            <w:hideMark/>
          </w:tcPr>
          <w:p w14:paraId="3395A4BE"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UCRD </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14:paraId="0EDDDD6D"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R&amp;D demand </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14:paraId="70844E40"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Italy </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1EBADB2C"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4,356</w:t>
            </w:r>
          </w:p>
        </w:tc>
        <w:tc>
          <w:tcPr>
            <w:tcW w:w="2085" w:type="dxa"/>
            <w:tcBorders>
              <w:top w:val="nil"/>
              <w:left w:val="nil"/>
              <w:bottom w:val="single" w:sz="4" w:space="0" w:color="auto"/>
              <w:right w:val="single" w:sz="4" w:space="0" w:color="auto"/>
            </w:tcBorders>
            <w:shd w:val="clear" w:color="auto" w:fill="auto"/>
            <w:vAlign w:val="center"/>
            <w:hideMark/>
          </w:tcPr>
          <w:p w14:paraId="0176EC72"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-3.27</w:t>
            </w:r>
          </w:p>
        </w:tc>
        <w:tc>
          <w:tcPr>
            <w:tcW w:w="1441" w:type="dxa"/>
            <w:tcBorders>
              <w:top w:val="nil"/>
              <w:left w:val="nil"/>
              <w:bottom w:val="single" w:sz="4" w:space="0" w:color="auto"/>
              <w:right w:val="single" w:sz="4" w:space="0" w:color="auto"/>
            </w:tcBorders>
            <w:vAlign w:val="center"/>
          </w:tcPr>
          <w:p w14:paraId="4A599380" w14:textId="77777777" w:rsidR="009D6C9E" w:rsidRPr="009D6C9E" w:rsidRDefault="009D6C9E" w:rsidP="00B67570">
            <w:pPr>
              <w:pStyle w:val="Tablenumber"/>
              <w:tabs>
                <w:tab w:val="left" w:pos="2290"/>
              </w:tabs>
              <w:ind w:left="0"/>
              <w:contextualSpacing w:val="0"/>
              <w:rPr>
                <w:sz w:val="22"/>
                <w:szCs w:val="22"/>
                <w:lang w:eastAsia="en-AU"/>
              </w:rPr>
            </w:pPr>
            <w:r>
              <w:rPr>
                <w:sz w:val="22"/>
                <w:szCs w:val="22"/>
                <w:lang w:eastAsia="en-AU"/>
              </w:rPr>
              <w:t>1.7</w:t>
            </w:r>
          </w:p>
        </w:tc>
      </w:tr>
      <w:tr w:rsidR="009D6C9E" w:rsidRPr="009F04CF" w14:paraId="7AF3894F" w14:textId="77777777" w:rsidTr="00D04A09">
        <w:trPr>
          <w:cantSplit/>
          <w:trHeight w:val="259"/>
        </w:trPr>
        <w:tc>
          <w:tcPr>
            <w:tcW w:w="3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F8EC08"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Hall (1993) </w:t>
            </w:r>
          </w:p>
        </w:tc>
        <w:tc>
          <w:tcPr>
            <w:tcW w:w="2077" w:type="dxa"/>
            <w:vMerge w:val="restart"/>
            <w:tcBorders>
              <w:top w:val="nil"/>
              <w:left w:val="single" w:sz="4" w:space="0" w:color="auto"/>
              <w:bottom w:val="single" w:sz="4" w:space="0" w:color="auto"/>
              <w:right w:val="single" w:sz="4" w:space="0" w:color="auto"/>
            </w:tcBorders>
            <w:shd w:val="clear" w:color="auto" w:fill="auto"/>
            <w:vAlign w:val="center"/>
            <w:hideMark/>
          </w:tcPr>
          <w:p w14:paraId="7683D7CE"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Credit rate </w:t>
            </w:r>
          </w:p>
        </w:tc>
        <w:tc>
          <w:tcPr>
            <w:tcW w:w="3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FADF11"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Euler equation </w:t>
            </w:r>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4C51F0"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US </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F037F6"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9,167</w:t>
            </w:r>
          </w:p>
        </w:tc>
        <w:tc>
          <w:tcPr>
            <w:tcW w:w="2085" w:type="dxa"/>
            <w:tcBorders>
              <w:top w:val="nil"/>
              <w:left w:val="nil"/>
              <w:bottom w:val="single" w:sz="4" w:space="0" w:color="auto"/>
              <w:right w:val="single" w:sz="4" w:space="0" w:color="auto"/>
            </w:tcBorders>
            <w:shd w:val="clear" w:color="auto" w:fill="auto"/>
            <w:vAlign w:val="center"/>
            <w:hideMark/>
          </w:tcPr>
          <w:p w14:paraId="699F8EB0"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-0.80-1.50 (SR) </w:t>
            </w:r>
          </w:p>
        </w:tc>
        <w:tc>
          <w:tcPr>
            <w:tcW w:w="1441" w:type="dxa"/>
            <w:tcBorders>
              <w:top w:val="nil"/>
              <w:left w:val="nil"/>
              <w:bottom w:val="single" w:sz="4" w:space="0" w:color="auto"/>
              <w:right w:val="single" w:sz="4" w:space="0" w:color="auto"/>
            </w:tcBorders>
            <w:vAlign w:val="center"/>
          </w:tcPr>
          <w:p w14:paraId="2931EA3A" w14:textId="77777777" w:rsidR="009D6C9E" w:rsidRPr="009D6C9E" w:rsidRDefault="009A7DFE" w:rsidP="00B67570">
            <w:pPr>
              <w:pStyle w:val="Tablenumber"/>
              <w:tabs>
                <w:tab w:val="left" w:pos="2290"/>
              </w:tabs>
              <w:ind w:left="0"/>
              <w:contextualSpacing w:val="0"/>
              <w:rPr>
                <w:sz w:val="22"/>
                <w:szCs w:val="22"/>
                <w:lang w:eastAsia="en-AU"/>
              </w:rPr>
            </w:pPr>
            <w:r>
              <w:rPr>
                <w:sz w:val="22"/>
                <w:szCs w:val="22"/>
                <w:lang w:eastAsia="en-AU"/>
              </w:rPr>
              <w:t>2.0</w:t>
            </w:r>
          </w:p>
        </w:tc>
      </w:tr>
      <w:tr w:rsidR="009D6C9E" w:rsidRPr="009F04CF" w14:paraId="2B172792" w14:textId="77777777" w:rsidTr="00D04A09">
        <w:trPr>
          <w:cantSplit/>
          <w:trHeight w:val="235"/>
        </w:trPr>
        <w:tc>
          <w:tcPr>
            <w:tcW w:w="3183" w:type="dxa"/>
            <w:vMerge/>
            <w:tcBorders>
              <w:top w:val="single" w:sz="4" w:space="0" w:color="auto"/>
              <w:left w:val="single" w:sz="4" w:space="0" w:color="auto"/>
              <w:bottom w:val="single" w:sz="4" w:space="0" w:color="auto"/>
              <w:right w:val="single" w:sz="4" w:space="0" w:color="auto"/>
            </w:tcBorders>
            <w:vAlign w:val="center"/>
            <w:hideMark/>
          </w:tcPr>
          <w:p w14:paraId="6BE79E86" w14:textId="77777777" w:rsidR="009D6C9E" w:rsidRPr="009F04CF" w:rsidRDefault="009D6C9E" w:rsidP="00B67570">
            <w:pPr>
              <w:pStyle w:val="Tablenumber"/>
              <w:tabs>
                <w:tab w:val="left" w:pos="2290"/>
              </w:tabs>
              <w:ind w:left="0"/>
              <w:contextualSpacing w:val="0"/>
              <w:rPr>
                <w:sz w:val="22"/>
                <w:szCs w:val="22"/>
                <w:lang w:eastAsia="en-AU"/>
              </w:rPr>
            </w:pPr>
          </w:p>
        </w:tc>
        <w:tc>
          <w:tcPr>
            <w:tcW w:w="2077" w:type="dxa"/>
            <w:vMerge/>
            <w:tcBorders>
              <w:top w:val="nil"/>
              <w:left w:val="single" w:sz="4" w:space="0" w:color="auto"/>
              <w:bottom w:val="single" w:sz="4" w:space="0" w:color="auto"/>
              <w:right w:val="single" w:sz="4" w:space="0" w:color="auto"/>
            </w:tcBorders>
            <w:vAlign w:val="center"/>
            <w:hideMark/>
          </w:tcPr>
          <w:p w14:paraId="2FB95A11" w14:textId="77777777" w:rsidR="009D6C9E" w:rsidRPr="009F04CF" w:rsidRDefault="009D6C9E" w:rsidP="00B67570">
            <w:pPr>
              <w:pStyle w:val="Tablenumber"/>
              <w:tabs>
                <w:tab w:val="left" w:pos="2290"/>
              </w:tabs>
              <w:ind w:left="0"/>
              <w:contextualSpacing w:val="0"/>
              <w:rPr>
                <w:sz w:val="22"/>
                <w:szCs w:val="22"/>
                <w:lang w:eastAsia="en-AU"/>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14:paraId="74C0FA7D" w14:textId="77777777" w:rsidR="009D6C9E" w:rsidRPr="009F04CF" w:rsidRDefault="009D6C9E" w:rsidP="00B67570">
            <w:pPr>
              <w:pStyle w:val="Tablenumber"/>
              <w:tabs>
                <w:tab w:val="left" w:pos="2290"/>
              </w:tabs>
              <w:ind w:left="0"/>
              <w:contextualSpacing w:val="0"/>
              <w:rPr>
                <w:sz w:val="22"/>
                <w:szCs w:val="22"/>
                <w:lang w:eastAsia="en-AU"/>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2A569615" w14:textId="77777777" w:rsidR="009D6C9E" w:rsidRPr="009F04CF" w:rsidRDefault="009D6C9E" w:rsidP="00B67570">
            <w:pPr>
              <w:pStyle w:val="Tablenumber"/>
              <w:tabs>
                <w:tab w:val="left" w:pos="2290"/>
              </w:tabs>
              <w:ind w:left="0"/>
              <w:contextualSpacing w:val="0"/>
              <w:rPr>
                <w:sz w:val="22"/>
                <w:szCs w:val="22"/>
                <w:lang w:eastAsia="en-AU"/>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6C86318" w14:textId="77777777" w:rsidR="009D6C9E" w:rsidRPr="009F04CF" w:rsidRDefault="009D6C9E" w:rsidP="00B67570">
            <w:pPr>
              <w:pStyle w:val="Tablenumber"/>
              <w:tabs>
                <w:tab w:val="left" w:pos="2290"/>
              </w:tabs>
              <w:ind w:left="0"/>
              <w:contextualSpacing w:val="0"/>
              <w:rPr>
                <w:sz w:val="22"/>
                <w:szCs w:val="22"/>
                <w:lang w:eastAsia="en-AU"/>
              </w:rPr>
            </w:pPr>
          </w:p>
        </w:tc>
        <w:tc>
          <w:tcPr>
            <w:tcW w:w="2085" w:type="dxa"/>
            <w:tcBorders>
              <w:top w:val="nil"/>
              <w:left w:val="nil"/>
              <w:bottom w:val="single" w:sz="4" w:space="0" w:color="auto"/>
              <w:right w:val="single" w:sz="4" w:space="0" w:color="auto"/>
            </w:tcBorders>
            <w:shd w:val="clear" w:color="auto" w:fill="auto"/>
            <w:vAlign w:val="center"/>
            <w:hideMark/>
          </w:tcPr>
          <w:p w14:paraId="608E63C9"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-2-2.7 (LR) </w:t>
            </w:r>
          </w:p>
        </w:tc>
        <w:tc>
          <w:tcPr>
            <w:tcW w:w="1441" w:type="dxa"/>
            <w:tcBorders>
              <w:top w:val="nil"/>
              <w:left w:val="nil"/>
              <w:bottom w:val="single" w:sz="4" w:space="0" w:color="auto"/>
              <w:right w:val="single" w:sz="4" w:space="0" w:color="auto"/>
            </w:tcBorders>
            <w:vAlign w:val="center"/>
          </w:tcPr>
          <w:p w14:paraId="51970E94" w14:textId="5FA3D9AC" w:rsidR="009D6C9E" w:rsidRPr="009D6C9E" w:rsidRDefault="006B682E" w:rsidP="00B67570">
            <w:pPr>
              <w:pStyle w:val="Tablenumber"/>
              <w:tabs>
                <w:tab w:val="left" w:pos="2290"/>
              </w:tabs>
              <w:ind w:left="0"/>
              <w:contextualSpacing w:val="0"/>
              <w:rPr>
                <w:sz w:val="22"/>
                <w:szCs w:val="22"/>
                <w:lang w:eastAsia="en-AU"/>
              </w:rPr>
            </w:pPr>
            <w:r>
              <w:rPr>
                <w:sz w:val="22"/>
                <w:szCs w:val="22"/>
                <w:lang w:eastAsia="en-AU"/>
              </w:rPr>
              <w:t>N/A</w:t>
            </w:r>
          </w:p>
        </w:tc>
      </w:tr>
      <w:tr w:rsidR="009D6C9E" w:rsidRPr="009F04CF" w14:paraId="40B58E04" w14:textId="77777777" w:rsidTr="00D04A09">
        <w:trPr>
          <w:cantSplit/>
          <w:trHeight w:val="339"/>
        </w:trPr>
        <w:tc>
          <w:tcPr>
            <w:tcW w:w="3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55E3C8"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Guellec and Pottelsberghe (2003) </w:t>
            </w:r>
          </w:p>
        </w:tc>
        <w:tc>
          <w:tcPr>
            <w:tcW w:w="2077" w:type="dxa"/>
            <w:vMerge w:val="restart"/>
            <w:tcBorders>
              <w:top w:val="nil"/>
              <w:left w:val="single" w:sz="4" w:space="0" w:color="auto"/>
              <w:bottom w:val="single" w:sz="4" w:space="0" w:color="auto"/>
              <w:right w:val="single" w:sz="4" w:space="0" w:color="auto"/>
            </w:tcBorders>
            <w:shd w:val="clear" w:color="auto" w:fill="auto"/>
            <w:vAlign w:val="center"/>
            <w:hideMark/>
          </w:tcPr>
          <w:p w14:paraId="24103E09"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Tax component of UCRD </w:t>
            </w:r>
          </w:p>
        </w:tc>
        <w:tc>
          <w:tcPr>
            <w:tcW w:w="3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289299"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R&amp;D demand. (PA) </w:t>
            </w:r>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8CBB52"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Cross country </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FAF40E"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199</w:t>
            </w:r>
          </w:p>
        </w:tc>
        <w:tc>
          <w:tcPr>
            <w:tcW w:w="2085" w:type="dxa"/>
            <w:tcBorders>
              <w:top w:val="nil"/>
              <w:left w:val="nil"/>
              <w:bottom w:val="single" w:sz="4" w:space="0" w:color="auto"/>
              <w:right w:val="single" w:sz="4" w:space="0" w:color="auto"/>
            </w:tcBorders>
            <w:shd w:val="clear" w:color="auto" w:fill="auto"/>
            <w:vAlign w:val="center"/>
            <w:hideMark/>
          </w:tcPr>
          <w:p w14:paraId="0071B0EE"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-0.28 (SR) </w:t>
            </w:r>
          </w:p>
        </w:tc>
        <w:tc>
          <w:tcPr>
            <w:tcW w:w="1441" w:type="dxa"/>
            <w:tcBorders>
              <w:top w:val="nil"/>
              <w:left w:val="nil"/>
              <w:bottom w:val="single" w:sz="4" w:space="0" w:color="auto"/>
              <w:right w:val="single" w:sz="4" w:space="0" w:color="auto"/>
            </w:tcBorders>
            <w:vAlign w:val="center"/>
          </w:tcPr>
          <w:p w14:paraId="249D46E5" w14:textId="77777777" w:rsidR="009D6C9E" w:rsidRPr="009D6C9E" w:rsidRDefault="009D6C9E" w:rsidP="00B67570">
            <w:pPr>
              <w:pStyle w:val="Tablenumber"/>
              <w:tabs>
                <w:tab w:val="left" w:pos="2290"/>
              </w:tabs>
              <w:ind w:left="0"/>
              <w:contextualSpacing w:val="0"/>
              <w:rPr>
                <w:sz w:val="22"/>
                <w:szCs w:val="22"/>
                <w:lang w:eastAsia="en-AU"/>
              </w:rPr>
            </w:pPr>
            <w:r w:rsidRPr="009D6C9E">
              <w:rPr>
                <w:sz w:val="22"/>
                <w:szCs w:val="22"/>
                <w:lang w:eastAsia="en-AU"/>
              </w:rPr>
              <w:t>0.37</w:t>
            </w:r>
          </w:p>
        </w:tc>
      </w:tr>
      <w:tr w:rsidR="009D6C9E" w:rsidRPr="009F04CF" w14:paraId="073F5DF4" w14:textId="77777777" w:rsidTr="00D04A09">
        <w:trPr>
          <w:cantSplit/>
          <w:trHeight w:val="272"/>
        </w:trPr>
        <w:tc>
          <w:tcPr>
            <w:tcW w:w="3183" w:type="dxa"/>
            <w:vMerge/>
            <w:tcBorders>
              <w:top w:val="single" w:sz="4" w:space="0" w:color="auto"/>
              <w:left w:val="single" w:sz="4" w:space="0" w:color="auto"/>
              <w:bottom w:val="single" w:sz="4" w:space="0" w:color="auto"/>
              <w:right w:val="single" w:sz="4" w:space="0" w:color="auto"/>
            </w:tcBorders>
            <w:vAlign w:val="center"/>
            <w:hideMark/>
          </w:tcPr>
          <w:p w14:paraId="10161818" w14:textId="77777777" w:rsidR="009D6C9E" w:rsidRPr="009F04CF" w:rsidRDefault="009D6C9E" w:rsidP="00B67570">
            <w:pPr>
              <w:pStyle w:val="Tablenumber"/>
              <w:tabs>
                <w:tab w:val="left" w:pos="2290"/>
              </w:tabs>
              <w:ind w:left="0"/>
              <w:contextualSpacing w:val="0"/>
              <w:rPr>
                <w:sz w:val="22"/>
                <w:szCs w:val="22"/>
                <w:lang w:eastAsia="en-AU"/>
              </w:rPr>
            </w:pPr>
          </w:p>
        </w:tc>
        <w:tc>
          <w:tcPr>
            <w:tcW w:w="2077" w:type="dxa"/>
            <w:vMerge/>
            <w:tcBorders>
              <w:top w:val="nil"/>
              <w:left w:val="single" w:sz="4" w:space="0" w:color="auto"/>
              <w:bottom w:val="single" w:sz="4" w:space="0" w:color="auto"/>
              <w:right w:val="single" w:sz="4" w:space="0" w:color="auto"/>
            </w:tcBorders>
            <w:vAlign w:val="center"/>
            <w:hideMark/>
          </w:tcPr>
          <w:p w14:paraId="3AA70A6A" w14:textId="77777777" w:rsidR="009D6C9E" w:rsidRPr="009F04CF" w:rsidRDefault="009D6C9E" w:rsidP="00B67570">
            <w:pPr>
              <w:pStyle w:val="Tablenumber"/>
              <w:tabs>
                <w:tab w:val="left" w:pos="2290"/>
              </w:tabs>
              <w:ind w:left="0"/>
              <w:contextualSpacing w:val="0"/>
              <w:rPr>
                <w:sz w:val="22"/>
                <w:szCs w:val="22"/>
                <w:lang w:eastAsia="en-AU"/>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14:paraId="3547591A" w14:textId="77777777" w:rsidR="009D6C9E" w:rsidRPr="009F04CF" w:rsidRDefault="009D6C9E" w:rsidP="00B67570">
            <w:pPr>
              <w:pStyle w:val="Tablenumber"/>
              <w:tabs>
                <w:tab w:val="left" w:pos="2290"/>
              </w:tabs>
              <w:ind w:left="0"/>
              <w:contextualSpacing w:val="0"/>
              <w:rPr>
                <w:sz w:val="22"/>
                <w:szCs w:val="22"/>
                <w:lang w:eastAsia="en-AU"/>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0D32170F" w14:textId="77777777" w:rsidR="009D6C9E" w:rsidRPr="009F04CF" w:rsidRDefault="009D6C9E" w:rsidP="00B67570">
            <w:pPr>
              <w:pStyle w:val="Tablenumber"/>
              <w:tabs>
                <w:tab w:val="left" w:pos="2290"/>
              </w:tabs>
              <w:ind w:left="0"/>
              <w:contextualSpacing w:val="0"/>
              <w:rPr>
                <w:sz w:val="22"/>
                <w:szCs w:val="22"/>
                <w:lang w:eastAsia="en-AU"/>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5AB6168" w14:textId="77777777" w:rsidR="009D6C9E" w:rsidRPr="009F04CF" w:rsidRDefault="009D6C9E" w:rsidP="00B67570">
            <w:pPr>
              <w:pStyle w:val="Tablenumber"/>
              <w:tabs>
                <w:tab w:val="left" w:pos="2290"/>
              </w:tabs>
              <w:ind w:left="0"/>
              <w:contextualSpacing w:val="0"/>
              <w:rPr>
                <w:sz w:val="22"/>
                <w:szCs w:val="22"/>
                <w:lang w:eastAsia="en-AU"/>
              </w:rPr>
            </w:pPr>
          </w:p>
        </w:tc>
        <w:tc>
          <w:tcPr>
            <w:tcW w:w="2085" w:type="dxa"/>
            <w:tcBorders>
              <w:top w:val="nil"/>
              <w:left w:val="nil"/>
              <w:bottom w:val="single" w:sz="4" w:space="0" w:color="auto"/>
              <w:right w:val="single" w:sz="4" w:space="0" w:color="auto"/>
            </w:tcBorders>
            <w:shd w:val="clear" w:color="auto" w:fill="auto"/>
            <w:vAlign w:val="center"/>
            <w:hideMark/>
          </w:tcPr>
          <w:p w14:paraId="2AC4AD25"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-0.31 (LR) </w:t>
            </w:r>
          </w:p>
        </w:tc>
        <w:tc>
          <w:tcPr>
            <w:tcW w:w="1441" w:type="dxa"/>
            <w:tcBorders>
              <w:top w:val="nil"/>
              <w:left w:val="nil"/>
              <w:bottom w:val="single" w:sz="4" w:space="0" w:color="auto"/>
              <w:right w:val="single" w:sz="4" w:space="0" w:color="auto"/>
            </w:tcBorders>
            <w:vAlign w:val="center"/>
          </w:tcPr>
          <w:p w14:paraId="56334087" w14:textId="77777777" w:rsidR="009D6C9E" w:rsidRPr="009D6C9E" w:rsidRDefault="009D6C9E" w:rsidP="00B67570">
            <w:pPr>
              <w:pStyle w:val="Tablenumber"/>
              <w:tabs>
                <w:tab w:val="left" w:pos="2290"/>
              </w:tabs>
              <w:ind w:left="0"/>
              <w:contextualSpacing w:val="0"/>
              <w:rPr>
                <w:sz w:val="22"/>
                <w:szCs w:val="22"/>
                <w:lang w:eastAsia="en-AU"/>
              </w:rPr>
            </w:pPr>
            <w:r w:rsidRPr="009D6C9E">
              <w:rPr>
                <w:sz w:val="22"/>
                <w:szCs w:val="22"/>
                <w:lang w:eastAsia="en-AU"/>
              </w:rPr>
              <w:t>0.41</w:t>
            </w:r>
          </w:p>
        </w:tc>
      </w:tr>
      <w:tr w:rsidR="009D6C9E" w:rsidRPr="009F04CF" w14:paraId="50F87418" w14:textId="77777777" w:rsidTr="00D04A09">
        <w:trPr>
          <w:cantSplit/>
          <w:trHeight w:val="221"/>
        </w:trPr>
        <w:tc>
          <w:tcPr>
            <w:tcW w:w="3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040420"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Falk 2006 </w:t>
            </w:r>
          </w:p>
        </w:tc>
        <w:tc>
          <w:tcPr>
            <w:tcW w:w="2077" w:type="dxa"/>
            <w:vMerge w:val="restart"/>
            <w:tcBorders>
              <w:top w:val="nil"/>
              <w:left w:val="single" w:sz="4" w:space="0" w:color="auto"/>
              <w:bottom w:val="single" w:sz="4" w:space="0" w:color="auto"/>
              <w:right w:val="single" w:sz="4" w:space="0" w:color="auto"/>
            </w:tcBorders>
            <w:shd w:val="clear" w:color="auto" w:fill="auto"/>
            <w:vAlign w:val="center"/>
            <w:hideMark/>
          </w:tcPr>
          <w:p w14:paraId="261F1917"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Tax component of UCRD </w:t>
            </w:r>
          </w:p>
        </w:tc>
        <w:tc>
          <w:tcPr>
            <w:tcW w:w="3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125C8D"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R&amp;D demand. (PA) </w:t>
            </w:r>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554DA"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Cross country </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4521E9"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92</w:t>
            </w:r>
          </w:p>
        </w:tc>
        <w:tc>
          <w:tcPr>
            <w:tcW w:w="2085" w:type="dxa"/>
            <w:tcBorders>
              <w:top w:val="nil"/>
              <w:left w:val="nil"/>
              <w:bottom w:val="single" w:sz="4" w:space="0" w:color="auto"/>
              <w:right w:val="single" w:sz="4" w:space="0" w:color="auto"/>
            </w:tcBorders>
            <w:shd w:val="clear" w:color="auto" w:fill="auto"/>
            <w:vAlign w:val="center"/>
            <w:hideMark/>
          </w:tcPr>
          <w:p w14:paraId="3432C502"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-0.22 (SR) </w:t>
            </w:r>
          </w:p>
        </w:tc>
        <w:tc>
          <w:tcPr>
            <w:tcW w:w="1441" w:type="dxa"/>
            <w:tcBorders>
              <w:top w:val="nil"/>
              <w:left w:val="nil"/>
              <w:bottom w:val="single" w:sz="4" w:space="0" w:color="auto"/>
              <w:right w:val="single" w:sz="4" w:space="0" w:color="auto"/>
            </w:tcBorders>
            <w:vAlign w:val="center"/>
          </w:tcPr>
          <w:p w14:paraId="1ABC9DA5" w14:textId="77777777" w:rsidR="009D6C9E" w:rsidRPr="009D6C9E" w:rsidRDefault="009D6C9E" w:rsidP="00B67570">
            <w:pPr>
              <w:pStyle w:val="Tablenumber"/>
              <w:tabs>
                <w:tab w:val="left" w:pos="2290"/>
              </w:tabs>
              <w:ind w:left="0"/>
              <w:contextualSpacing w:val="0"/>
              <w:rPr>
                <w:sz w:val="22"/>
                <w:szCs w:val="22"/>
                <w:lang w:eastAsia="en-AU"/>
              </w:rPr>
            </w:pPr>
            <w:r w:rsidRPr="009D6C9E">
              <w:rPr>
                <w:sz w:val="22"/>
                <w:szCs w:val="22"/>
                <w:lang w:eastAsia="en-AU"/>
              </w:rPr>
              <w:t>0.30</w:t>
            </w:r>
          </w:p>
        </w:tc>
      </w:tr>
      <w:tr w:rsidR="009D6C9E" w:rsidRPr="009F04CF" w14:paraId="31CB895B" w14:textId="77777777" w:rsidTr="00D04A09">
        <w:trPr>
          <w:cantSplit/>
          <w:trHeight w:val="197"/>
        </w:trPr>
        <w:tc>
          <w:tcPr>
            <w:tcW w:w="3183" w:type="dxa"/>
            <w:vMerge/>
            <w:tcBorders>
              <w:top w:val="single" w:sz="4" w:space="0" w:color="auto"/>
              <w:left w:val="single" w:sz="4" w:space="0" w:color="auto"/>
              <w:bottom w:val="single" w:sz="4" w:space="0" w:color="auto"/>
              <w:right w:val="single" w:sz="4" w:space="0" w:color="auto"/>
            </w:tcBorders>
            <w:vAlign w:val="center"/>
            <w:hideMark/>
          </w:tcPr>
          <w:p w14:paraId="668A9C8D" w14:textId="77777777" w:rsidR="009D6C9E" w:rsidRPr="009F04CF" w:rsidRDefault="009D6C9E" w:rsidP="00B67570">
            <w:pPr>
              <w:pStyle w:val="Tablenumber"/>
              <w:tabs>
                <w:tab w:val="left" w:pos="2290"/>
              </w:tabs>
              <w:ind w:left="0"/>
              <w:contextualSpacing w:val="0"/>
              <w:rPr>
                <w:sz w:val="22"/>
                <w:szCs w:val="22"/>
                <w:lang w:eastAsia="en-AU"/>
              </w:rPr>
            </w:pPr>
          </w:p>
        </w:tc>
        <w:tc>
          <w:tcPr>
            <w:tcW w:w="2077" w:type="dxa"/>
            <w:vMerge/>
            <w:tcBorders>
              <w:top w:val="nil"/>
              <w:left w:val="single" w:sz="4" w:space="0" w:color="auto"/>
              <w:bottom w:val="single" w:sz="4" w:space="0" w:color="auto"/>
              <w:right w:val="single" w:sz="4" w:space="0" w:color="auto"/>
            </w:tcBorders>
            <w:vAlign w:val="center"/>
            <w:hideMark/>
          </w:tcPr>
          <w:p w14:paraId="6EA4B346" w14:textId="77777777" w:rsidR="009D6C9E" w:rsidRPr="009F04CF" w:rsidRDefault="009D6C9E" w:rsidP="00B67570">
            <w:pPr>
              <w:pStyle w:val="Tablenumber"/>
              <w:tabs>
                <w:tab w:val="left" w:pos="2290"/>
              </w:tabs>
              <w:ind w:left="0"/>
              <w:contextualSpacing w:val="0"/>
              <w:rPr>
                <w:sz w:val="22"/>
                <w:szCs w:val="22"/>
                <w:lang w:eastAsia="en-AU"/>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14:paraId="3F7E6D68" w14:textId="77777777" w:rsidR="009D6C9E" w:rsidRPr="009F04CF" w:rsidRDefault="009D6C9E" w:rsidP="00B67570">
            <w:pPr>
              <w:pStyle w:val="Tablenumber"/>
              <w:tabs>
                <w:tab w:val="left" w:pos="2290"/>
              </w:tabs>
              <w:ind w:left="0"/>
              <w:contextualSpacing w:val="0"/>
              <w:rPr>
                <w:sz w:val="22"/>
                <w:szCs w:val="22"/>
                <w:lang w:eastAsia="en-AU"/>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7037F4B0" w14:textId="77777777" w:rsidR="009D6C9E" w:rsidRPr="009F04CF" w:rsidRDefault="009D6C9E" w:rsidP="00B67570">
            <w:pPr>
              <w:pStyle w:val="Tablenumber"/>
              <w:tabs>
                <w:tab w:val="left" w:pos="2290"/>
              </w:tabs>
              <w:ind w:left="0"/>
              <w:contextualSpacing w:val="0"/>
              <w:rPr>
                <w:sz w:val="22"/>
                <w:szCs w:val="22"/>
                <w:lang w:eastAsia="en-AU"/>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2DB2EFD6" w14:textId="77777777" w:rsidR="009D6C9E" w:rsidRPr="009F04CF" w:rsidRDefault="009D6C9E" w:rsidP="00B67570">
            <w:pPr>
              <w:pStyle w:val="Tablenumber"/>
              <w:tabs>
                <w:tab w:val="left" w:pos="2290"/>
              </w:tabs>
              <w:ind w:left="0"/>
              <w:contextualSpacing w:val="0"/>
              <w:rPr>
                <w:sz w:val="22"/>
                <w:szCs w:val="22"/>
                <w:lang w:eastAsia="en-AU"/>
              </w:rPr>
            </w:pPr>
          </w:p>
        </w:tc>
        <w:tc>
          <w:tcPr>
            <w:tcW w:w="2085" w:type="dxa"/>
            <w:tcBorders>
              <w:top w:val="nil"/>
              <w:left w:val="nil"/>
              <w:bottom w:val="single" w:sz="4" w:space="0" w:color="auto"/>
              <w:right w:val="single" w:sz="4" w:space="0" w:color="auto"/>
            </w:tcBorders>
            <w:shd w:val="clear" w:color="auto" w:fill="auto"/>
            <w:vAlign w:val="center"/>
            <w:hideMark/>
          </w:tcPr>
          <w:p w14:paraId="44A7ADCC"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-0.84 (LR) </w:t>
            </w:r>
          </w:p>
        </w:tc>
        <w:tc>
          <w:tcPr>
            <w:tcW w:w="1441" w:type="dxa"/>
            <w:tcBorders>
              <w:top w:val="nil"/>
              <w:left w:val="nil"/>
              <w:bottom w:val="single" w:sz="4" w:space="0" w:color="auto"/>
              <w:right w:val="single" w:sz="4" w:space="0" w:color="auto"/>
            </w:tcBorders>
            <w:vAlign w:val="center"/>
          </w:tcPr>
          <w:p w14:paraId="6FC348C4" w14:textId="77777777" w:rsidR="009D6C9E" w:rsidRPr="009D6C9E" w:rsidRDefault="009D6C9E" w:rsidP="00B67570">
            <w:pPr>
              <w:pStyle w:val="Tablenumber"/>
              <w:tabs>
                <w:tab w:val="left" w:pos="2290"/>
              </w:tabs>
              <w:ind w:left="0"/>
              <w:contextualSpacing w:val="0"/>
              <w:rPr>
                <w:sz w:val="22"/>
                <w:szCs w:val="22"/>
                <w:lang w:eastAsia="en-AU"/>
              </w:rPr>
            </w:pPr>
            <w:r w:rsidRPr="009D6C9E">
              <w:rPr>
                <w:sz w:val="22"/>
                <w:szCs w:val="22"/>
                <w:lang w:eastAsia="en-AU"/>
              </w:rPr>
              <w:t>0.89</w:t>
            </w:r>
          </w:p>
        </w:tc>
      </w:tr>
      <w:tr w:rsidR="009D6C9E" w:rsidRPr="009F04CF" w14:paraId="6F9287DD" w14:textId="77777777" w:rsidTr="00D04A09">
        <w:trPr>
          <w:cantSplit/>
          <w:trHeight w:val="301"/>
        </w:trPr>
        <w:tc>
          <w:tcPr>
            <w:tcW w:w="3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612F2A"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Bloom </w:t>
            </w:r>
            <w:r w:rsidRPr="009F04CF">
              <w:rPr>
                <w:i/>
                <w:iCs/>
                <w:sz w:val="22"/>
                <w:szCs w:val="22"/>
                <w:lang w:eastAsia="en-AU"/>
              </w:rPr>
              <w:t xml:space="preserve">et al. </w:t>
            </w:r>
            <w:r w:rsidRPr="009F04CF">
              <w:rPr>
                <w:sz w:val="22"/>
                <w:szCs w:val="22"/>
                <w:lang w:eastAsia="en-AU"/>
              </w:rPr>
              <w:t xml:space="preserve">2002 </w:t>
            </w:r>
          </w:p>
        </w:tc>
        <w:tc>
          <w:tcPr>
            <w:tcW w:w="2077" w:type="dxa"/>
            <w:vMerge w:val="restart"/>
            <w:tcBorders>
              <w:top w:val="nil"/>
              <w:left w:val="single" w:sz="4" w:space="0" w:color="auto"/>
              <w:bottom w:val="single" w:sz="4" w:space="0" w:color="auto"/>
              <w:right w:val="single" w:sz="4" w:space="0" w:color="auto"/>
            </w:tcBorders>
            <w:shd w:val="clear" w:color="auto" w:fill="auto"/>
            <w:vAlign w:val="center"/>
            <w:hideMark/>
          </w:tcPr>
          <w:p w14:paraId="735B468E"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UCRD </w:t>
            </w:r>
          </w:p>
        </w:tc>
        <w:tc>
          <w:tcPr>
            <w:tcW w:w="3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AEAFCC"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R&amp;D demand. (PA) </w:t>
            </w:r>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AE27A"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Cross country </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F3318"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179</w:t>
            </w:r>
          </w:p>
        </w:tc>
        <w:tc>
          <w:tcPr>
            <w:tcW w:w="2085" w:type="dxa"/>
            <w:tcBorders>
              <w:top w:val="nil"/>
              <w:left w:val="nil"/>
              <w:bottom w:val="single" w:sz="4" w:space="0" w:color="auto"/>
              <w:right w:val="single" w:sz="4" w:space="0" w:color="auto"/>
            </w:tcBorders>
            <w:shd w:val="clear" w:color="auto" w:fill="auto"/>
            <w:vAlign w:val="center"/>
            <w:hideMark/>
          </w:tcPr>
          <w:p w14:paraId="5687F237"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-0.16 (SR) </w:t>
            </w:r>
          </w:p>
        </w:tc>
        <w:tc>
          <w:tcPr>
            <w:tcW w:w="1441" w:type="dxa"/>
            <w:tcBorders>
              <w:top w:val="nil"/>
              <w:left w:val="nil"/>
              <w:bottom w:val="single" w:sz="4" w:space="0" w:color="auto"/>
              <w:right w:val="single" w:sz="4" w:space="0" w:color="auto"/>
            </w:tcBorders>
            <w:vAlign w:val="center"/>
          </w:tcPr>
          <w:p w14:paraId="3864014C" w14:textId="77777777" w:rsidR="009D6C9E" w:rsidRPr="009D6C9E" w:rsidRDefault="009D6C9E" w:rsidP="00B67570">
            <w:pPr>
              <w:pStyle w:val="Tablenumber"/>
              <w:tabs>
                <w:tab w:val="left" w:pos="2290"/>
              </w:tabs>
              <w:ind w:left="0"/>
              <w:contextualSpacing w:val="0"/>
              <w:rPr>
                <w:sz w:val="22"/>
                <w:szCs w:val="22"/>
                <w:lang w:eastAsia="en-AU"/>
              </w:rPr>
            </w:pPr>
            <w:r w:rsidRPr="009D6C9E">
              <w:rPr>
                <w:sz w:val="22"/>
                <w:szCs w:val="22"/>
                <w:lang w:eastAsia="en-AU"/>
              </w:rPr>
              <w:t>0.23</w:t>
            </w:r>
          </w:p>
        </w:tc>
      </w:tr>
      <w:tr w:rsidR="009D6C9E" w:rsidRPr="009F04CF" w14:paraId="508B50E3" w14:textId="77777777" w:rsidTr="00D04A09">
        <w:trPr>
          <w:cantSplit/>
          <w:trHeight w:val="263"/>
        </w:trPr>
        <w:tc>
          <w:tcPr>
            <w:tcW w:w="3183" w:type="dxa"/>
            <w:vMerge/>
            <w:tcBorders>
              <w:top w:val="single" w:sz="4" w:space="0" w:color="auto"/>
              <w:left w:val="single" w:sz="4" w:space="0" w:color="auto"/>
              <w:bottom w:val="single" w:sz="4" w:space="0" w:color="auto"/>
              <w:right w:val="single" w:sz="4" w:space="0" w:color="auto"/>
            </w:tcBorders>
            <w:vAlign w:val="center"/>
            <w:hideMark/>
          </w:tcPr>
          <w:p w14:paraId="63731F85" w14:textId="77777777" w:rsidR="009D6C9E" w:rsidRPr="009F04CF" w:rsidRDefault="009D6C9E" w:rsidP="00B67570">
            <w:pPr>
              <w:pStyle w:val="Tablenumber"/>
              <w:tabs>
                <w:tab w:val="left" w:pos="2290"/>
              </w:tabs>
              <w:ind w:left="0"/>
              <w:contextualSpacing w:val="0"/>
              <w:rPr>
                <w:sz w:val="22"/>
                <w:szCs w:val="22"/>
                <w:lang w:eastAsia="en-AU"/>
              </w:rPr>
            </w:pPr>
          </w:p>
        </w:tc>
        <w:tc>
          <w:tcPr>
            <w:tcW w:w="2077" w:type="dxa"/>
            <w:vMerge/>
            <w:tcBorders>
              <w:top w:val="nil"/>
              <w:left w:val="single" w:sz="4" w:space="0" w:color="auto"/>
              <w:bottom w:val="single" w:sz="4" w:space="0" w:color="auto"/>
              <w:right w:val="single" w:sz="4" w:space="0" w:color="auto"/>
            </w:tcBorders>
            <w:vAlign w:val="center"/>
            <w:hideMark/>
          </w:tcPr>
          <w:p w14:paraId="528D2348" w14:textId="77777777" w:rsidR="009D6C9E" w:rsidRPr="009F04CF" w:rsidRDefault="009D6C9E" w:rsidP="00B67570">
            <w:pPr>
              <w:pStyle w:val="Tablenumber"/>
              <w:tabs>
                <w:tab w:val="left" w:pos="2290"/>
              </w:tabs>
              <w:ind w:left="0"/>
              <w:contextualSpacing w:val="0"/>
              <w:rPr>
                <w:sz w:val="22"/>
                <w:szCs w:val="22"/>
                <w:lang w:eastAsia="en-AU"/>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14:paraId="0B8F6590" w14:textId="77777777" w:rsidR="009D6C9E" w:rsidRPr="009F04CF" w:rsidRDefault="009D6C9E" w:rsidP="00B67570">
            <w:pPr>
              <w:pStyle w:val="Tablenumber"/>
              <w:tabs>
                <w:tab w:val="left" w:pos="2290"/>
              </w:tabs>
              <w:ind w:left="0"/>
              <w:contextualSpacing w:val="0"/>
              <w:rPr>
                <w:sz w:val="22"/>
                <w:szCs w:val="22"/>
                <w:lang w:eastAsia="en-AU"/>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17380814" w14:textId="77777777" w:rsidR="009D6C9E" w:rsidRPr="009F04CF" w:rsidRDefault="009D6C9E" w:rsidP="00B67570">
            <w:pPr>
              <w:pStyle w:val="Tablenumber"/>
              <w:tabs>
                <w:tab w:val="left" w:pos="2290"/>
              </w:tabs>
              <w:ind w:left="0"/>
              <w:contextualSpacing w:val="0"/>
              <w:rPr>
                <w:sz w:val="22"/>
                <w:szCs w:val="22"/>
                <w:lang w:eastAsia="en-AU"/>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B9A94AC" w14:textId="77777777" w:rsidR="009D6C9E" w:rsidRPr="009F04CF" w:rsidRDefault="009D6C9E" w:rsidP="00B67570">
            <w:pPr>
              <w:pStyle w:val="Tablenumber"/>
              <w:tabs>
                <w:tab w:val="left" w:pos="2290"/>
              </w:tabs>
              <w:ind w:left="0"/>
              <w:contextualSpacing w:val="0"/>
              <w:rPr>
                <w:sz w:val="22"/>
                <w:szCs w:val="22"/>
                <w:lang w:eastAsia="en-AU"/>
              </w:rPr>
            </w:pPr>
          </w:p>
        </w:tc>
        <w:tc>
          <w:tcPr>
            <w:tcW w:w="2085" w:type="dxa"/>
            <w:tcBorders>
              <w:top w:val="nil"/>
              <w:left w:val="nil"/>
              <w:bottom w:val="single" w:sz="4" w:space="0" w:color="auto"/>
              <w:right w:val="single" w:sz="4" w:space="0" w:color="auto"/>
            </w:tcBorders>
            <w:shd w:val="clear" w:color="auto" w:fill="auto"/>
            <w:vAlign w:val="center"/>
            <w:hideMark/>
          </w:tcPr>
          <w:p w14:paraId="5446672B"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-1.10 (LR) </w:t>
            </w:r>
          </w:p>
        </w:tc>
        <w:tc>
          <w:tcPr>
            <w:tcW w:w="1441" w:type="dxa"/>
            <w:tcBorders>
              <w:top w:val="nil"/>
              <w:left w:val="nil"/>
              <w:bottom w:val="single" w:sz="4" w:space="0" w:color="auto"/>
              <w:right w:val="single" w:sz="4" w:space="0" w:color="auto"/>
            </w:tcBorders>
            <w:vAlign w:val="center"/>
          </w:tcPr>
          <w:p w14:paraId="2BF0D0E9" w14:textId="77777777" w:rsidR="009D6C9E" w:rsidRPr="009D6C9E" w:rsidRDefault="009D6C9E" w:rsidP="00B67570">
            <w:pPr>
              <w:pStyle w:val="Tablenumber"/>
              <w:tabs>
                <w:tab w:val="left" w:pos="2290"/>
              </w:tabs>
              <w:ind w:left="0"/>
              <w:contextualSpacing w:val="0"/>
              <w:rPr>
                <w:sz w:val="22"/>
                <w:szCs w:val="22"/>
                <w:lang w:eastAsia="en-AU"/>
              </w:rPr>
            </w:pPr>
            <w:r w:rsidRPr="009D6C9E">
              <w:rPr>
                <w:sz w:val="22"/>
                <w:szCs w:val="22"/>
                <w:lang w:eastAsia="en-AU"/>
              </w:rPr>
              <w:t>1.06</w:t>
            </w:r>
          </w:p>
        </w:tc>
      </w:tr>
      <w:tr w:rsidR="009D6C9E" w:rsidRPr="009F04CF" w14:paraId="76A4701C" w14:textId="77777777" w:rsidTr="00D04A09">
        <w:trPr>
          <w:cantSplit/>
          <w:trHeight w:val="225"/>
        </w:trPr>
        <w:tc>
          <w:tcPr>
            <w:tcW w:w="3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AAF0EE"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Thomson and Jensen (2014) </w:t>
            </w:r>
          </w:p>
        </w:tc>
        <w:tc>
          <w:tcPr>
            <w:tcW w:w="2077" w:type="dxa"/>
            <w:vMerge w:val="restart"/>
            <w:tcBorders>
              <w:top w:val="nil"/>
              <w:left w:val="single" w:sz="4" w:space="0" w:color="auto"/>
              <w:bottom w:val="single" w:sz="4" w:space="0" w:color="auto"/>
              <w:right w:val="single" w:sz="4" w:space="0" w:color="auto"/>
            </w:tcBorders>
            <w:shd w:val="clear" w:color="auto" w:fill="auto"/>
            <w:vAlign w:val="center"/>
            <w:hideMark/>
          </w:tcPr>
          <w:p w14:paraId="37E9937B"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Tax component of UCRD </w:t>
            </w:r>
          </w:p>
        </w:tc>
        <w:tc>
          <w:tcPr>
            <w:tcW w:w="3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CBB84B"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R&amp;D labour demand (PA &amp; ECM). </w:t>
            </w:r>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69CA39"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Cross country </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7FB04C"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373</w:t>
            </w:r>
          </w:p>
        </w:tc>
        <w:tc>
          <w:tcPr>
            <w:tcW w:w="2085" w:type="dxa"/>
            <w:tcBorders>
              <w:top w:val="nil"/>
              <w:left w:val="nil"/>
              <w:bottom w:val="single" w:sz="4" w:space="0" w:color="auto"/>
              <w:right w:val="single" w:sz="4" w:space="0" w:color="auto"/>
            </w:tcBorders>
            <w:shd w:val="clear" w:color="auto" w:fill="auto"/>
            <w:vAlign w:val="center"/>
            <w:hideMark/>
          </w:tcPr>
          <w:p w14:paraId="5E9B00F1"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-0.19</w:t>
            </w:r>
            <w:r w:rsidR="00206676">
              <w:rPr>
                <w:sz w:val="22"/>
                <w:szCs w:val="22"/>
                <w:lang w:eastAsia="en-AU"/>
              </w:rPr>
              <w:t>-0.32</w:t>
            </w:r>
            <w:r w:rsidRPr="009F04CF">
              <w:rPr>
                <w:sz w:val="22"/>
                <w:szCs w:val="22"/>
                <w:lang w:eastAsia="en-AU"/>
              </w:rPr>
              <w:t xml:space="preserve"> (SR) </w:t>
            </w:r>
          </w:p>
        </w:tc>
        <w:tc>
          <w:tcPr>
            <w:tcW w:w="1441" w:type="dxa"/>
            <w:tcBorders>
              <w:top w:val="nil"/>
              <w:left w:val="nil"/>
              <w:bottom w:val="single" w:sz="4" w:space="0" w:color="auto"/>
              <w:right w:val="single" w:sz="4" w:space="0" w:color="auto"/>
            </w:tcBorders>
            <w:vAlign w:val="center"/>
          </w:tcPr>
          <w:p w14:paraId="7B7FF344" w14:textId="77777777" w:rsidR="009D6C9E" w:rsidRPr="009D6C9E" w:rsidRDefault="009D6C9E" w:rsidP="00B67570">
            <w:pPr>
              <w:pStyle w:val="Tablenumber"/>
              <w:tabs>
                <w:tab w:val="left" w:pos="2290"/>
              </w:tabs>
              <w:ind w:left="0"/>
              <w:contextualSpacing w:val="0"/>
              <w:rPr>
                <w:sz w:val="22"/>
                <w:szCs w:val="22"/>
                <w:lang w:eastAsia="en-AU"/>
              </w:rPr>
            </w:pPr>
            <w:r w:rsidRPr="009D6C9E">
              <w:rPr>
                <w:sz w:val="22"/>
                <w:szCs w:val="22"/>
                <w:lang w:eastAsia="en-AU"/>
              </w:rPr>
              <w:t>0.27</w:t>
            </w:r>
            <w:r w:rsidR="00206676">
              <w:rPr>
                <w:sz w:val="22"/>
                <w:szCs w:val="22"/>
                <w:lang w:eastAsia="en-AU"/>
              </w:rPr>
              <w:t>-0.42</w:t>
            </w:r>
          </w:p>
        </w:tc>
      </w:tr>
      <w:tr w:rsidR="009D6C9E" w:rsidRPr="009F04CF" w14:paraId="7C014FA2" w14:textId="77777777" w:rsidTr="00D04A09">
        <w:trPr>
          <w:cantSplit/>
          <w:trHeight w:val="187"/>
        </w:trPr>
        <w:tc>
          <w:tcPr>
            <w:tcW w:w="3183" w:type="dxa"/>
            <w:vMerge/>
            <w:tcBorders>
              <w:top w:val="single" w:sz="4" w:space="0" w:color="auto"/>
              <w:left w:val="single" w:sz="4" w:space="0" w:color="auto"/>
              <w:bottom w:val="single" w:sz="4" w:space="0" w:color="auto"/>
              <w:right w:val="single" w:sz="4" w:space="0" w:color="auto"/>
            </w:tcBorders>
            <w:vAlign w:val="center"/>
            <w:hideMark/>
          </w:tcPr>
          <w:p w14:paraId="1D6DDE7B" w14:textId="77777777" w:rsidR="009D6C9E" w:rsidRPr="009F04CF" w:rsidRDefault="009D6C9E" w:rsidP="00B67570">
            <w:pPr>
              <w:pStyle w:val="Tablenumber"/>
              <w:tabs>
                <w:tab w:val="left" w:pos="2290"/>
              </w:tabs>
              <w:ind w:left="0"/>
              <w:contextualSpacing w:val="0"/>
              <w:rPr>
                <w:sz w:val="22"/>
                <w:szCs w:val="22"/>
                <w:lang w:eastAsia="en-AU"/>
              </w:rPr>
            </w:pPr>
          </w:p>
        </w:tc>
        <w:tc>
          <w:tcPr>
            <w:tcW w:w="2077" w:type="dxa"/>
            <w:vMerge/>
            <w:tcBorders>
              <w:top w:val="nil"/>
              <w:left w:val="single" w:sz="4" w:space="0" w:color="auto"/>
              <w:bottom w:val="single" w:sz="4" w:space="0" w:color="auto"/>
              <w:right w:val="single" w:sz="4" w:space="0" w:color="auto"/>
            </w:tcBorders>
            <w:vAlign w:val="center"/>
            <w:hideMark/>
          </w:tcPr>
          <w:p w14:paraId="1AFCD559" w14:textId="77777777" w:rsidR="009D6C9E" w:rsidRPr="009F04CF" w:rsidRDefault="009D6C9E" w:rsidP="00B67570">
            <w:pPr>
              <w:pStyle w:val="Tablenumber"/>
              <w:tabs>
                <w:tab w:val="left" w:pos="2290"/>
              </w:tabs>
              <w:ind w:left="0"/>
              <w:contextualSpacing w:val="0"/>
              <w:rPr>
                <w:sz w:val="22"/>
                <w:szCs w:val="22"/>
                <w:lang w:eastAsia="en-AU"/>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14:paraId="709187CD" w14:textId="77777777" w:rsidR="009D6C9E" w:rsidRPr="009F04CF" w:rsidRDefault="009D6C9E" w:rsidP="00B67570">
            <w:pPr>
              <w:pStyle w:val="Tablenumber"/>
              <w:tabs>
                <w:tab w:val="left" w:pos="2290"/>
              </w:tabs>
              <w:ind w:left="0"/>
              <w:contextualSpacing w:val="0"/>
              <w:rPr>
                <w:sz w:val="22"/>
                <w:szCs w:val="22"/>
                <w:lang w:eastAsia="en-AU"/>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1A13C6D3" w14:textId="77777777" w:rsidR="009D6C9E" w:rsidRPr="009F04CF" w:rsidRDefault="009D6C9E" w:rsidP="00B67570">
            <w:pPr>
              <w:pStyle w:val="Tablenumber"/>
              <w:tabs>
                <w:tab w:val="left" w:pos="2290"/>
              </w:tabs>
              <w:ind w:left="0"/>
              <w:contextualSpacing w:val="0"/>
              <w:rPr>
                <w:sz w:val="22"/>
                <w:szCs w:val="22"/>
                <w:lang w:eastAsia="en-AU"/>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03BF502B" w14:textId="77777777" w:rsidR="009D6C9E" w:rsidRPr="009F04CF" w:rsidRDefault="009D6C9E" w:rsidP="00B67570">
            <w:pPr>
              <w:pStyle w:val="Tablenumber"/>
              <w:tabs>
                <w:tab w:val="left" w:pos="2290"/>
              </w:tabs>
              <w:ind w:left="0"/>
              <w:contextualSpacing w:val="0"/>
              <w:rPr>
                <w:sz w:val="22"/>
                <w:szCs w:val="22"/>
                <w:lang w:eastAsia="en-AU"/>
              </w:rPr>
            </w:pPr>
          </w:p>
        </w:tc>
        <w:tc>
          <w:tcPr>
            <w:tcW w:w="2085" w:type="dxa"/>
            <w:tcBorders>
              <w:top w:val="nil"/>
              <w:left w:val="nil"/>
              <w:bottom w:val="single" w:sz="4" w:space="0" w:color="auto"/>
              <w:right w:val="single" w:sz="4" w:space="0" w:color="auto"/>
            </w:tcBorders>
            <w:shd w:val="clear" w:color="auto" w:fill="auto"/>
            <w:vAlign w:val="center"/>
            <w:hideMark/>
          </w:tcPr>
          <w:p w14:paraId="5D7327FC"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-1.30</w:t>
            </w:r>
            <w:r w:rsidR="00206676">
              <w:rPr>
                <w:sz w:val="22"/>
                <w:szCs w:val="22"/>
                <w:lang w:eastAsia="en-AU"/>
              </w:rPr>
              <w:t>-3.3</w:t>
            </w:r>
            <w:r w:rsidRPr="009F04CF">
              <w:rPr>
                <w:sz w:val="22"/>
                <w:szCs w:val="22"/>
                <w:lang w:eastAsia="en-AU"/>
              </w:rPr>
              <w:t xml:space="preserve"> (LR) </w:t>
            </w:r>
          </w:p>
        </w:tc>
        <w:tc>
          <w:tcPr>
            <w:tcW w:w="1441" w:type="dxa"/>
            <w:tcBorders>
              <w:top w:val="nil"/>
              <w:left w:val="nil"/>
              <w:bottom w:val="single" w:sz="4" w:space="0" w:color="auto"/>
              <w:right w:val="single" w:sz="4" w:space="0" w:color="auto"/>
            </w:tcBorders>
            <w:vAlign w:val="center"/>
          </w:tcPr>
          <w:p w14:paraId="25D1C863" w14:textId="77777777" w:rsidR="009D6C9E" w:rsidRPr="009D6C9E" w:rsidRDefault="009D6C9E" w:rsidP="00B67570">
            <w:pPr>
              <w:pStyle w:val="Tablenumber"/>
              <w:tabs>
                <w:tab w:val="left" w:pos="2290"/>
              </w:tabs>
              <w:ind w:left="0"/>
              <w:contextualSpacing w:val="0"/>
              <w:rPr>
                <w:sz w:val="22"/>
                <w:szCs w:val="22"/>
                <w:lang w:eastAsia="en-AU"/>
              </w:rPr>
            </w:pPr>
            <w:r w:rsidRPr="009D6C9E">
              <w:rPr>
                <w:sz w:val="22"/>
                <w:szCs w:val="22"/>
                <w:lang w:eastAsia="en-AU"/>
              </w:rPr>
              <w:t>1.18</w:t>
            </w:r>
            <w:r w:rsidR="00206676">
              <w:rPr>
                <w:sz w:val="22"/>
                <w:szCs w:val="22"/>
                <w:lang w:eastAsia="en-AU"/>
              </w:rPr>
              <w:t>-1.83</w:t>
            </w:r>
          </w:p>
        </w:tc>
      </w:tr>
      <w:tr w:rsidR="009D6C9E" w:rsidRPr="009F04CF" w14:paraId="246A0560" w14:textId="77777777" w:rsidTr="00D04A09">
        <w:trPr>
          <w:cantSplit/>
          <w:trHeight w:val="291"/>
        </w:trPr>
        <w:tc>
          <w:tcPr>
            <w:tcW w:w="3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8F99A"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Wilson 2009 </w:t>
            </w:r>
          </w:p>
        </w:tc>
        <w:tc>
          <w:tcPr>
            <w:tcW w:w="2077" w:type="dxa"/>
            <w:vMerge w:val="restart"/>
            <w:tcBorders>
              <w:top w:val="nil"/>
              <w:left w:val="single" w:sz="4" w:space="0" w:color="auto"/>
              <w:bottom w:val="single" w:sz="4" w:space="0" w:color="auto"/>
              <w:right w:val="single" w:sz="4" w:space="0" w:color="auto"/>
            </w:tcBorders>
            <w:shd w:val="clear" w:color="auto" w:fill="auto"/>
            <w:vAlign w:val="center"/>
            <w:hideMark/>
          </w:tcPr>
          <w:p w14:paraId="456C7D9C"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UCRD </w:t>
            </w:r>
          </w:p>
        </w:tc>
        <w:tc>
          <w:tcPr>
            <w:tcW w:w="3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1B9C64"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R&amp;D demand. (PA) </w:t>
            </w:r>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4B968C"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US states </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DB5A31"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365</w:t>
            </w:r>
          </w:p>
        </w:tc>
        <w:tc>
          <w:tcPr>
            <w:tcW w:w="2085" w:type="dxa"/>
            <w:tcBorders>
              <w:top w:val="nil"/>
              <w:left w:val="nil"/>
              <w:bottom w:val="single" w:sz="4" w:space="0" w:color="auto"/>
              <w:right w:val="single" w:sz="4" w:space="0" w:color="auto"/>
            </w:tcBorders>
            <w:shd w:val="clear" w:color="auto" w:fill="auto"/>
            <w:vAlign w:val="center"/>
            <w:hideMark/>
          </w:tcPr>
          <w:p w14:paraId="441FE1C4"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-1.26-1.43 (SR) </w:t>
            </w:r>
          </w:p>
        </w:tc>
        <w:tc>
          <w:tcPr>
            <w:tcW w:w="1441" w:type="dxa"/>
            <w:tcBorders>
              <w:top w:val="nil"/>
              <w:left w:val="nil"/>
              <w:bottom w:val="single" w:sz="4" w:space="0" w:color="auto"/>
              <w:right w:val="single" w:sz="4" w:space="0" w:color="auto"/>
            </w:tcBorders>
            <w:vAlign w:val="center"/>
          </w:tcPr>
          <w:p w14:paraId="1624FF7C" w14:textId="77777777" w:rsidR="009D6C9E" w:rsidRPr="009D6C9E" w:rsidRDefault="009D6C9E" w:rsidP="00B67570">
            <w:pPr>
              <w:pStyle w:val="Tablenumber"/>
              <w:tabs>
                <w:tab w:val="left" w:pos="2290"/>
              </w:tabs>
              <w:ind w:left="0"/>
              <w:contextualSpacing w:val="0"/>
              <w:rPr>
                <w:sz w:val="22"/>
                <w:szCs w:val="22"/>
                <w:lang w:eastAsia="en-AU"/>
              </w:rPr>
            </w:pPr>
            <w:r w:rsidRPr="009D6C9E">
              <w:rPr>
                <w:sz w:val="22"/>
                <w:szCs w:val="22"/>
                <w:lang w:eastAsia="en-AU"/>
              </w:rPr>
              <w:t>1.19</w:t>
            </w:r>
          </w:p>
        </w:tc>
      </w:tr>
      <w:tr w:rsidR="009D6C9E" w:rsidRPr="009F04CF" w14:paraId="2428A3F3" w14:textId="77777777" w:rsidTr="00D04A09">
        <w:trPr>
          <w:cantSplit/>
          <w:trHeight w:val="253"/>
        </w:trPr>
        <w:tc>
          <w:tcPr>
            <w:tcW w:w="3183" w:type="dxa"/>
            <w:vMerge/>
            <w:tcBorders>
              <w:top w:val="single" w:sz="4" w:space="0" w:color="auto"/>
              <w:left w:val="single" w:sz="4" w:space="0" w:color="auto"/>
              <w:bottom w:val="single" w:sz="4" w:space="0" w:color="auto"/>
              <w:right w:val="single" w:sz="4" w:space="0" w:color="auto"/>
            </w:tcBorders>
            <w:vAlign w:val="center"/>
            <w:hideMark/>
          </w:tcPr>
          <w:p w14:paraId="125CF8BD" w14:textId="77777777" w:rsidR="009D6C9E" w:rsidRPr="009F04CF" w:rsidRDefault="009D6C9E" w:rsidP="00B67570">
            <w:pPr>
              <w:pStyle w:val="Tablenumber"/>
              <w:tabs>
                <w:tab w:val="left" w:pos="2290"/>
              </w:tabs>
              <w:ind w:left="0"/>
              <w:contextualSpacing w:val="0"/>
              <w:rPr>
                <w:sz w:val="22"/>
                <w:szCs w:val="22"/>
                <w:lang w:eastAsia="en-AU"/>
              </w:rPr>
            </w:pPr>
          </w:p>
        </w:tc>
        <w:tc>
          <w:tcPr>
            <w:tcW w:w="2077" w:type="dxa"/>
            <w:vMerge/>
            <w:tcBorders>
              <w:top w:val="nil"/>
              <w:left w:val="single" w:sz="4" w:space="0" w:color="auto"/>
              <w:bottom w:val="single" w:sz="4" w:space="0" w:color="auto"/>
              <w:right w:val="single" w:sz="4" w:space="0" w:color="auto"/>
            </w:tcBorders>
            <w:vAlign w:val="center"/>
            <w:hideMark/>
          </w:tcPr>
          <w:p w14:paraId="13BF1B5E" w14:textId="77777777" w:rsidR="009D6C9E" w:rsidRPr="009F04CF" w:rsidRDefault="009D6C9E" w:rsidP="00B67570">
            <w:pPr>
              <w:pStyle w:val="Tablenumber"/>
              <w:tabs>
                <w:tab w:val="left" w:pos="2290"/>
              </w:tabs>
              <w:ind w:left="0"/>
              <w:contextualSpacing w:val="0"/>
              <w:rPr>
                <w:sz w:val="22"/>
                <w:szCs w:val="22"/>
                <w:lang w:eastAsia="en-AU"/>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14:paraId="25899B2C" w14:textId="77777777" w:rsidR="009D6C9E" w:rsidRPr="009F04CF" w:rsidRDefault="009D6C9E" w:rsidP="00B67570">
            <w:pPr>
              <w:pStyle w:val="Tablenumber"/>
              <w:tabs>
                <w:tab w:val="left" w:pos="2290"/>
              </w:tabs>
              <w:ind w:left="0"/>
              <w:contextualSpacing w:val="0"/>
              <w:rPr>
                <w:sz w:val="22"/>
                <w:szCs w:val="22"/>
                <w:lang w:eastAsia="en-AU"/>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2B12BF67" w14:textId="77777777" w:rsidR="009D6C9E" w:rsidRPr="009F04CF" w:rsidRDefault="009D6C9E" w:rsidP="00B67570">
            <w:pPr>
              <w:pStyle w:val="Tablenumber"/>
              <w:tabs>
                <w:tab w:val="left" w:pos="2290"/>
              </w:tabs>
              <w:ind w:left="0"/>
              <w:contextualSpacing w:val="0"/>
              <w:rPr>
                <w:sz w:val="22"/>
                <w:szCs w:val="22"/>
                <w:lang w:eastAsia="en-AU"/>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094592C9" w14:textId="77777777" w:rsidR="009D6C9E" w:rsidRPr="009F04CF" w:rsidRDefault="009D6C9E" w:rsidP="00B67570">
            <w:pPr>
              <w:pStyle w:val="Tablenumber"/>
              <w:tabs>
                <w:tab w:val="left" w:pos="2290"/>
              </w:tabs>
              <w:ind w:left="0"/>
              <w:contextualSpacing w:val="0"/>
              <w:rPr>
                <w:sz w:val="22"/>
                <w:szCs w:val="22"/>
                <w:lang w:eastAsia="en-AU"/>
              </w:rPr>
            </w:pPr>
          </w:p>
        </w:tc>
        <w:tc>
          <w:tcPr>
            <w:tcW w:w="2085" w:type="dxa"/>
            <w:tcBorders>
              <w:top w:val="nil"/>
              <w:left w:val="nil"/>
              <w:bottom w:val="single" w:sz="4" w:space="0" w:color="auto"/>
              <w:right w:val="single" w:sz="4" w:space="0" w:color="auto"/>
            </w:tcBorders>
            <w:shd w:val="clear" w:color="auto" w:fill="auto"/>
            <w:vAlign w:val="center"/>
            <w:hideMark/>
          </w:tcPr>
          <w:p w14:paraId="4D1CDD9E" w14:textId="77777777" w:rsidR="009D6C9E" w:rsidRPr="009F04CF" w:rsidRDefault="009D6C9E" w:rsidP="00B67570">
            <w:pPr>
              <w:pStyle w:val="Tablenumber"/>
              <w:tabs>
                <w:tab w:val="left" w:pos="2290"/>
              </w:tabs>
              <w:ind w:left="0"/>
              <w:contextualSpacing w:val="0"/>
              <w:rPr>
                <w:sz w:val="22"/>
                <w:szCs w:val="22"/>
                <w:lang w:eastAsia="en-AU"/>
              </w:rPr>
            </w:pPr>
            <w:r w:rsidRPr="009F04CF">
              <w:rPr>
                <w:sz w:val="22"/>
                <w:szCs w:val="22"/>
                <w:lang w:eastAsia="en-AU"/>
              </w:rPr>
              <w:t xml:space="preserve">-2.29-2.58 (LR) </w:t>
            </w:r>
          </w:p>
        </w:tc>
        <w:tc>
          <w:tcPr>
            <w:tcW w:w="1441" w:type="dxa"/>
            <w:tcBorders>
              <w:top w:val="nil"/>
              <w:left w:val="nil"/>
              <w:bottom w:val="single" w:sz="4" w:space="0" w:color="auto"/>
              <w:right w:val="single" w:sz="4" w:space="0" w:color="auto"/>
            </w:tcBorders>
            <w:vAlign w:val="center"/>
          </w:tcPr>
          <w:p w14:paraId="676EE3DE" w14:textId="77777777" w:rsidR="009D6C9E" w:rsidRPr="009D6C9E" w:rsidRDefault="009D6C9E" w:rsidP="00B67570">
            <w:pPr>
              <w:pStyle w:val="Tablenumber"/>
              <w:tabs>
                <w:tab w:val="left" w:pos="2290"/>
              </w:tabs>
              <w:ind w:left="0"/>
              <w:contextualSpacing w:val="0"/>
              <w:rPr>
                <w:sz w:val="22"/>
                <w:szCs w:val="22"/>
                <w:lang w:eastAsia="en-AU"/>
              </w:rPr>
            </w:pPr>
            <w:r w:rsidRPr="009D6C9E">
              <w:rPr>
                <w:sz w:val="22"/>
                <w:szCs w:val="22"/>
                <w:lang w:eastAsia="en-AU"/>
              </w:rPr>
              <w:t>1.64</w:t>
            </w:r>
          </w:p>
        </w:tc>
      </w:tr>
    </w:tbl>
    <w:p w14:paraId="4626751F" w14:textId="77777777" w:rsidR="009F04CF" w:rsidRPr="00206676" w:rsidRDefault="009F04CF" w:rsidP="00206676">
      <w:pPr>
        <w:pStyle w:val="Tablenote"/>
      </w:pPr>
      <w:r w:rsidRPr="006077EC">
        <w:rPr>
          <w:rFonts w:eastAsia="Calibri"/>
        </w:rPr>
        <w:t xml:space="preserve">Notes: papers ordered by long run elasticity estimate. Abbreviations: </w:t>
      </w:r>
      <w:r w:rsidRPr="009856AD">
        <w:rPr>
          <w:rFonts w:eastAsia="Calibri"/>
          <w:u w:val="single"/>
        </w:rPr>
        <w:t>Policy measure</w:t>
      </w:r>
      <w:r w:rsidRPr="006077EC">
        <w:rPr>
          <w:rFonts w:eastAsia="Calibri"/>
        </w:rPr>
        <w:t xml:space="preserve">: UCRD user cost of R&amp;D. </w:t>
      </w:r>
      <w:r w:rsidRPr="009856AD">
        <w:rPr>
          <w:rFonts w:eastAsia="Calibri"/>
          <w:u w:val="single"/>
        </w:rPr>
        <w:t>Specification:</w:t>
      </w:r>
      <w:r w:rsidRPr="006077EC">
        <w:rPr>
          <w:rFonts w:eastAsia="Calibri"/>
        </w:rPr>
        <w:t xml:space="preserve"> partial adjustment (PA), error correction model (ECM), no dynamics modelled </w:t>
      </w:r>
      <w:r w:rsidRPr="00206676">
        <w:rPr>
          <w:rFonts w:eastAsia="Calibri"/>
        </w:rPr>
        <w:t>(levels); Price elasticity: LR long run, SR short run</w:t>
      </w:r>
      <w:r w:rsidR="00990840" w:rsidRPr="009856AD">
        <w:rPr>
          <w:rFonts w:eastAsia="Calibri"/>
          <w:u w:val="single"/>
        </w:rPr>
        <w:t>. Additionality</w:t>
      </w:r>
      <w:r w:rsidR="00206676">
        <w:rPr>
          <w:rFonts w:eastAsia="Calibri"/>
        </w:rPr>
        <w:t xml:space="preserve"> </w:t>
      </w:r>
      <w:r w:rsidR="009856AD">
        <w:rPr>
          <w:rFonts w:eastAsia="Calibri"/>
        </w:rPr>
        <w:t xml:space="preserve">except in the case of Hall 1993, these are </w:t>
      </w:r>
      <w:r w:rsidR="00206676">
        <w:rPr>
          <w:rFonts w:eastAsia="Calibri"/>
        </w:rPr>
        <w:t>approximated using</w:t>
      </w:r>
      <w:r w:rsidR="00206676">
        <w:t xml:space="preserve"> </w:t>
      </w:r>
      <m:oMath>
        <m:f>
          <m:fPr>
            <m:ctrlPr>
              <w:rPr>
                <w:rFonts w:ascii="Cambria Math" w:hAnsi="Cambria Math"/>
                <w:i/>
              </w:rPr>
            </m:ctrlPr>
          </m:fPr>
          <m:num>
            <m:r>
              <w:rPr>
                <w:rFonts w:ascii="Cambria Math" w:hAnsi="Cambria Math"/>
              </w:rPr>
              <m:t>dR</m:t>
            </m:r>
          </m:num>
          <m:den>
            <m:r>
              <w:rPr>
                <w:rFonts w:ascii="Cambria Math" w:hAnsi="Cambria Math"/>
              </w:rPr>
              <m:t>d(sR)</m:t>
            </m:r>
          </m:den>
        </m:f>
        <m:r>
          <w:rPr>
            <w:rFonts w:ascii="Cambria Math" w:hAnsi="Cambria Math"/>
          </w:rPr>
          <m:t>=</m:t>
        </m:r>
        <m:f>
          <m:fPr>
            <m:ctrlPr>
              <w:rPr>
                <w:rFonts w:ascii="Cambria Math" w:hAnsi="Cambria Math"/>
                <w:i/>
              </w:rPr>
            </m:ctrlPr>
          </m:fPr>
          <m:num>
            <m:r>
              <w:rPr>
                <w:rFonts w:ascii="Cambria Math" w:hAnsi="Cambria Math"/>
              </w:rPr>
              <m:t>η</m:t>
            </m:r>
          </m:num>
          <m:den>
            <m:r>
              <w:rPr>
                <w:rFonts w:ascii="Cambria Math" w:hAnsi="Cambria Math"/>
              </w:rPr>
              <m:t>1-s-ηs</m:t>
            </m:r>
          </m:den>
        </m:f>
      </m:oMath>
      <w:r w:rsidR="00206676">
        <w:t xml:space="preserve">.where </w:t>
      </w:r>
      <w:r w:rsidR="00206676" w:rsidRPr="00206676">
        <w:t>s is unity less after tax cost</w:t>
      </w:r>
      <w:r w:rsidR="00206676">
        <w:t xml:space="preserve"> and </w:t>
      </w:r>
      <m:oMath>
        <m:r>
          <w:rPr>
            <w:rFonts w:ascii="Cambria Math" w:hAnsi="Cambria Math"/>
          </w:rPr>
          <m:t>η</m:t>
        </m:r>
      </m:oMath>
      <w:r w:rsidR="00206676">
        <w:t xml:space="preserve"> </w:t>
      </w:r>
      <w:r w:rsidR="00206676" w:rsidRPr="00206676">
        <w:t>the elasticity of R&amp;D with respect to tax-price</w:t>
      </w:r>
      <w:r w:rsidR="009856AD">
        <w:t xml:space="preserve"> (see Thomson </w:t>
      </w:r>
      <w:r w:rsidR="00634DD5">
        <w:t>forthcoming</w:t>
      </w:r>
      <w:r w:rsidR="009856AD">
        <w:t>)</w:t>
      </w:r>
      <w:r w:rsidR="0070354F">
        <w:t xml:space="preserve">. Approximated at the hypothetical margin where </w:t>
      </w:r>
      <w:r w:rsidR="00206676">
        <w:t>R&amp;D</w:t>
      </w:r>
      <w:r w:rsidR="00EA6F47">
        <w:t xml:space="preserve"> </w:t>
      </w:r>
      <w:r w:rsidR="0070354F">
        <w:t>is expensed (</w:t>
      </w:r>
      <w:r w:rsidR="00206676">
        <w:t>s given by unity less corporate income tax rate</w:t>
      </w:r>
      <w:r w:rsidR="00EA6F47">
        <w:t xml:space="preserve"> </w:t>
      </w:r>
      <w:r w:rsidR="0070354F">
        <w:t xml:space="preserve">using the </w:t>
      </w:r>
      <w:r w:rsidR="00EA6F47">
        <w:t xml:space="preserve">midpoint of sample corporate income tax rates in the absence of sample weighted average). </w:t>
      </w:r>
    </w:p>
    <w:p w14:paraId="4C6809EA" w14:textId="77777777" w:rsidR="006077EC" w:rsidRPr="00206676" w:rsidRDefault="006077EC" w:rsidP="00206676">
      <w:pPr>
        <w:pStyle w:val="Tablenote"/>
        <w:rPr>
          <w:rFonts w:eastAsia="Calibri"/>
        </w:rPr>
        <w:sectPr w:rsidR="006077EC" w:rsidRPr="00206676" w:rsidSect="000D4158">
          <w:pgSz w:w="16838" w:h="11906" w:orient="landscape" w:code="9"/>
          <w:pgMar w:top="1021" w:right="1021" w:bottom="680" w:left="1021" w:header="709" w:footer="709" w:gutter="0"/>
          <w:cols w:space="708"/>
          <w:docGrid w:linePitch="360"/>
        </w:sectPr>
      </w:pPr>
    </w:p>
    <w:p w14:paraId="4E51462D" w14:textId="77777777" w:rsidR="009F04CF" w:rsidRPr="00206676" w:rsidRDefault="009F04CF" w:rsidP="00206676">
      <w:pPr>
        <w:pStyle w:val="Tablenote"/>
        <w:rPr>
          <w:rFonts w:eastAsia="Calibri"/>
        </w:rPr>
        <w:sectPr w:rsidR="009F04CF" w:rsidRPr="00206676" w:rsidSect="000D4158">
          <w:type w:val="continuous"/>
          <w:pgSz w:w="16838" w:h="11906" w:orient="landscape" w:code="9"/>
          <w:pgMar w:top="1440" w:right="1440" w:bottom="1440" w:left="1440" w:header="709" w:footer="709" w:gutter="0"/>
          <w:cols w:space="708"/>
          <w:docGrid w:linePitch="360"/>
        </w:sectPr>
      </w:pPr>
    </w:p>
    <w:p w14:paraId="1EFE02F8" w14:textId="77777777" w:rsidR="009F04CF" w:rsidRPr="009F04CF" w:rsidRDefault="009F04CF" w:rsidP="00E77026">
      <w:pPr>
        <w:pStyle w:val="Heading1"/>
      </w:pPr>
      <w:r w:rsidRPr="009F04CF">
        <w:lastRenderedPageBreak/>
        <w:t>Data</w:t>
      </w:r>
    </w:p>
    <w:p w14:paraId="11C496AC" w14:textId="77777777" w:rsidR="009F04CF" w:rsidRPr="00E77026" w:rsidRDefault="009F04CF" w:rsidP="00833C96">
      <w:pPr>
        <w:pStyle w:val="Text"/>
        <w:rPr>
          <w:rFonts w:eastAsia="Calibri"/>
        </w:rPr>
      </w:pPr>
      <w:r w:rsidRPr="009F04CF">
        <w:rPr>
          <w:rFonts w:eastAsia="Calibri"/>
        </w:rPr>
        <w:t xml:space="preserve">The data </w:t>
      </w:r>
      <w:r w:rsidRPr="00E77026">
        <w:rPr>
          <w:rFonts w:eastAsia="Calibri"/>
        </w:rPr>
        <w:t xml:space="preserve">used for this study are the most comprehensive that have been available to researchers </w:t>
      </w:r>
      <w:r w:rsidR="00DF44C3">
        <w:rPr>
          <w:rFonts w:eastAsia="Calibri"/>
        </w:rPr>
        <w:t xml:space="preserve">looking at the Australian context </w:t>
      </w:r>
      <w:r w:rsidRPr="00E77026">
        <w:rPr>
          <w:rFonts w:eastAsia="Calibri"/>
        </w:rPr>
        <w:t xml:space="preserve">to date. The data for this study is from the ABS </w:t>
      </w:r>
      <w:r w:rsidR="00E77026" w:rsidRPr="00E77026">
        <w:rPr>
          <w:rFonts w:eastAsia="Calibri"/>
        </w:rPr>
        <w:t>Expanded Analytical Business Longitudinal Database (EABLD).</w:t>
      </w:r>
      <w:r w:rsidRPr="00E77026">
        <w:rPr>
          <w:rFonts w:eastAsia="Calibri"/>
        </w:rPr>
        <w:t xml:space="preserve"> We restrict our attention to enterprise groups </w:t>
      </w:r>
      <w:r w:rsidR="008722B9">
        <w:rPr>
          <w:rFonts w:eastAsia="Calibri"/>
        </w:rPr>
        <w:t xml:space="preserve">for </w:t>
      </w:r>
      <w:r w:rsidRPr="00E77026">
        <w:rPr>
          <w:rFonts w:eastAsia="Calibri"/>
        </w:rPr>
        <w:t xml:space="preserve">which </w:t>
      </w:r>
      <w:r w:rsidR="0029416F" w:rsidRPr="00E77026">
        <w:rPr>
          <w:rFonts w:eastAsia="Calibri"/>
        </w:rPr>
        <w:t xml:space="preserve">data for wage bill and sales are available. </w:t>
      </w:r>
    </w:p>
    <w:p w14:paraId="3DD50F43" w14:textId="24129975" w:rsidR="0029416F" w:rsidRDefault="00135946" w:rsidP="00634DD5">
      <w:pPr>
        <w:pStyle w:val="Text"/>
        <w:rPr>
          <w:rFonts w:eastAsia="Calibri"/>
        </w:rPr>
      </w:pPr>
      <w:r>
        <w:rPr>
          <w:rFonts w:eastAsia="Calibri"/>
        </w:rPr>
        <w:t>The main variable of interest is</w:t>
      </w:r>
      <w:r w:rsidR="009F04CF" w:rsidRPr="009F04CF">
        <w:rPr>
          <w:rFonts w:eastAsia="Calibri"/>
        </w:rPr>
        <w:t xml:space="preserve"> </w:t>
      </w:r>
      <w:r>
        <w:rPr>
          <w:rFonts w:eastAsia="Calibri"/>
        </w:rPr>
        <w:t xml:space="preserve">business expenditure on R&amp;D from the </w:t>
      </w:r>
      <w:r w:rsidR="009F04CF" w:rsidRPr="009F04CF">
        <w:rPr>
          <w:rFonts w:eastAsia="Calibri"/>
        </w:rPr>
        <w:t xml:space="preserve">ABS </w:t>
      </w:r>
      <w:r w:rsidR="009F04CF" w:rsidRPr="009F04CF">
        <w:rPr>
          <w:rFonts w:eastAsia="Calibri"/>
          <w:i/>
        </w:rPr>
        <w:t>Business Expenditure on R&amp;D survey</w:t>
      </w:r>
      <w:r w:rsidR="009F04CF" w:rsidRPr="009F04CF">
        <w:rPr>
          <w:rFonts w:eastAsia="Calibri"/>
        </w:rPr>
        <w:t xml:space="preserve"> (BERD). The business expenditure survey uses standard consistent definition of R&amp;D activity. </w:t>
      </w:r>
      <w:r w:rsidR="003561AD">
        <w:rPr>
          <w:rFonts w:eastAsia="Calibri"/>
        </w:rPr>
        <w:t xml:space="preserve">Between 2005-06 and </w:t>
      </w:r>
      <w:r w:rsidR="003561AD" w:rsidRPr="003561AD">
        <w:rPr>
          <w:rFonts w:eastAsia="Calibri"/>
        </w:rPr>
        <w:t>2011</w:t>
      </w:r>
      <w:r w:rsidR="006B682E">
        <w:rPr>
          <w:rFonts w:eastAsia="Calibri"/>
        </w:rPr>
        <w:t xml:space="preserve"> to 20</w:t>
      </w:r>
      <w:r w:rsidR="003561AD" w:rsidRPr="003561AD">
        <w:rPr>
          <w:rFonts w:eastAsia="Calibri"/>
        </w:rPr>
        <w:t xml:space="preserve">12 the Survey of R&amp;D, Businesses aimed to be a complete enumeration of businesses within the Australian business sector (i.e. all businesses and the private non-profit institutions mainly serving them) with intramural expenditure on R&amp;D of $100,000 or more during the reference period. </w:t>
      </w:r>
      <w:r w:rsidR="009F04CF" w:rsidRPr="009F04CF">
        <w:rPr>
          <w:rFonts w:eastAsia="Calibri"/>
        </w:rPr>
        <w:t xml:space="preserve">R&amp;D investment data </w:t>
      </w:r>
      <w:r w:rsidR="0029416F">
        <w:rPr>
          <w:rFonts w:eastAsia="Calibri"/>
        </w:rPr>
        <w:t>cover</w:t>
      </w:r>
      <w:r w:rsidR="009F04CF" w:rsidRPr="009F04CF">
        <w:rPr>
          <w:rFonts w:eastAsia="Calibri"/>
        </w:rPr>
        <w:t xml:space="preserve"> approximately 5</w:t>
      </w:r>
      <w:r w:rsidR="001B225E">
        <w:rPr>
          <w:rFonts w:eastAsia="Calibri"/>
        </w:rPr>
        <w:t>000</w:t>
      </w:r>
      <w:r w:rsidR="0029416F">
        <w:rPr>
          <w:rFonts w:eastAsia="Calibri"/>
        </w:rPr>
        <w:t>-60</w:t>
      </w:r>
      <w:r w:rsidR="009F04CF" w:rsidRPr="009F04CF">
        <w:rPr>
          <w:rFonts w:eastAsia="Calibri"/>
        </w:rPr>
        <w:t>00 firms</w:t>
      </w:r>
      <w:r w:rsidR="00CB6F88">
        <w:rPr>
          <w:rFonts w:eastAsia="Calibri"/>
        </w:rPr>
        <w:t xml:space="preserve"> per year</w:t>
      </w:r>
      <w:r w:rsidR="009F04CF" w:rsidRPr="009F04CF">
        <w:rPr>
          <w:rFonts w:eastAsia="Calibri"/>
        </w:rPr>
        <w:t xml:space="preserve"> prior to 2012 and for a</w:t>
      </w:r>
      <w:r w:rsidR="0029416F">
        <w:rPr>
          <w:rFonts w:eastAsia="Calibri"/>
        </w:rPr>
        <w:t xml:space="preserve">pproximately 2500 firms in 2012 after the shift to the sample approach. </w:t>
      </w:r>
    </w:p>
    <w:p w14:paraId="31B761D2" w14:textId="77777777" w:rsidR="005D3CFD" w:rsidRDefault="00135946" w:rsidP="00634DD5">
      <w:pPr>
        <w:pStyle w:val="Text"/>
        <w:rPr>
          <w:rFonts w:eastAsia="Calibri"/>
        </w:rPr>
      </w:pPr>
      <w:r>
        <w:rPr>
          <w:rFonts w:eastAsia="Calibri"/>
        </w:rPr>
        <w:t xml:space="preserve">Note that it is not possible to use registered or claimed R&amp;D expenditure since </w:t>
      </w:r>
      <w:r w:rsidR="009D6C9E">
        <w:rPr>
          <w:rFonts w:eastAsia="Calibri"/>
        </w:rPr>
        <w:t xml:space="preserve">the definition of </w:t>
      </w:r>
      <w:r>
        <w:rPr>
          <w:rFonts w:eastAsia="Calibri"/>
        </w:rPr>
        <w:t xml:space="preserve">eligible </w:t>
      </w:r>
      <w:r w:rsidR="009D6C9E">
        <w:rPr>
          <w:rFonts w:eastAsia="Calibri"/>
        </w:rPr>
        <w:t xml:space="preserve">R&amp;D </w:t>
      </w:r>
      <w:r>
        <w:rPr>
          <w:rFonts w:eastAsia="Calibri"/>
        </w:rPr>
        <w:t xml:space="preserve">under each scheme has been revised at various points of policy reform (including over the transition to the R&amp;D Tax Incentive) </w:t>
      </w:r>
      <w:r w:rsidR="008722B9">
        <w:rPr>
          <w:rFonts w:eastAsia="Calibri"/>
        </w:rPr>
        <w:t xml:space="preserve">and </w:t>
      </w:r>
      <w:r w:rsidR="009D6C9E">
        <w:rPr>
          <w:rFonts w:eastAsia="Calibri"/>
        </w:rPr>
        <w:t>varied with policy. O</w:t>
      </w:r>
      <w:r w:rsidR="009F04CF" w:rsidRPr="009F04CF">
        <w:rPr>
          <w:rFonts w:eastAsia="Calibri"/>
        </w:rPr>
        <w:t xml:space="preserve">ur analysis </w:t>
      </w:r>
      <w:r w:rsidR="009D6C9E">
        <w:rPr>
          <w:rFonts w:eastAsia="Calibri"/>
        </w:rPr>
        <w:t xml:space="preserve">is therefore based on those firms for which data on </w:t>
      </w:r>
      <w:r w:rsidR="009F04CF" w:rsidRPr="009F04CF">
        <w:rPr>
          <w:rFonts w:eastAsia="Calibri"/>
        </w:rPr>
        <w:t xml:space="preserve">R&amp;D investment </w:t>
      </w:r>
      <w:r w:rsidR="009D6C9E">
        <w:rPr>
          <w:rFonts w:eastAsia="Calibri"/>
        </w:rPr>
        <w:t xml:space="preserve">is available in the </w:t>
      </w:r>
      <w:r w:rsidR="009F04CF" w:rsidRPr="009F04CF">
        <w:rPr>
          <w:rFonts w:eastAsia="Calibri"/>
        </w:rPr>
        <w:t>BERD</w:t>
      </w:r>
      <w:r w:rsidR="009D6C9E">
        <w:rPr>
          <w:rFonts w:eastAsia="Calibri"/>
        </w:rPr>
        <w:t xml:space="preserve"> survey</w:t>
      </w:r>
      <w:r w:rsidR="009F04CF" w:rsidRPr="009F04CF">
        <w:rPr>
          <w:rFonts w:eastAsia="Calibri"/>
        </w:rPr>
        <w:t xml:space="preserve">. Table 3 shows that the number of R&amp;D-performing firms is very similar across the three sources, such that the BERD survey is very likely to pick up a large and representative portion of R&amp;D-performing firms. Table 3 displays the number of </w:t>
      </w:r>
      <w:r w:rsidR="008722B9" w:rsidRPr="009F04CF">
        <w:rPr>
          <w:rFonts w:eastAsia="Calibri"/>
        </w:rPr>
        <w:t>firms for</w:t>
      </w:r>
      <w:r w:rsidR="009F04CF" w:rsidRPr="009F04CF">
        <w:rPr>
          <w:rFonts w:eastAsia="Calibri"/>
        </w:rPr>
        <w:t xml:space="preserve"> which we have R&amp;D data for the last three financial years from each source. For brevity, we show data from the last three financial years only but the same trends are visible across the entire time coverage of the dataset (financial years 2005 to 2012).</w:t>
      </w:r>
    </w:p>
    <w:p w14:paraId="63307F04" w14:textId="02862DC6" w:rsidR="00A64A6C" w:rsidRPr="00634DD5" w:rsidRDefault="00A64A6C" w:rsidP="00A64A6C">
      <w:pPr>
        <w:pStyle w:val="Caption"/>
        <w:rPr>
          <w:rFonts w:eastAsia="Calibri"/>
        </w:rPr>
      </w:pPr>
      <w:r w:rsidRPr="009F04CF">
        <w:rPr>
          <w:lang w:eastAsia="en-AU"/>
        </w:rPr>
        <w:t>Table 3. Number of Businesses for which R&amp;D Data is available, by Source.</w:t>
      </w:r>
      <w:r w:rsidR="006C17F2">
        <w:rPr>
          <w:lang w:eastAsia="en-AU"/>
        </w:rPr>
        <w:t xml:space="preserve"> Table shows </w:t>
      </w:r>
      <w:r w:rsidR="006C17F2" w:rsidRPr="00132325">
        <w:rPr>
          <w:lang w:eastAsia="en-AU"/>
        </w:rPr>
        <w:t>Panel (a). All Businesses.</w:t>
      </w:r>
    </w:p>
    <w:tbl>
      <w:tblPr>
        <w:tblW w:w="5423" w:type="dxa"/>
        <w:jc w:val="center"/>
        <w:tblLook w:val="04A0" w:firstRow="1" w:lastRow="0" w:firstColumn="1" w:lastColumn="0" w:noHBand="0" w:noVBand="1"/>
        <w:tblCaption w:val="Table 3. Number of Businesses for which R &amp; D Data is available, by Source."/>
        <w:tblDescription w:val="The number of businesses for which there is R&amp;D tax data captured in the BERD has decreased from 5472 in the 2009/2010 financial year to 2671 in the 2011/2012 financial year.&#10;The number of businesses for which there is R&amp;D tax data captured by the Department of Industry has increased from 7907 in the 2009/2010 financial year to 9072 in the 2011/2012 financial year.&#10;The number of businesses for which there is R&amp;D tax data captured through company tax returns has increased from 6731 in the 2009/2010 financial year to 7303 in the 2011/2012 financial year."/>
      </w:tblPr>
      <w:tblGrid>
        <w:gridCol w:w="1581"/>
        <w:gridCol w:w="1004"/>
        <w:gridCol w:w="1243"/>
        <w:gridCol w:w="1595"/>
      </w:tblGrid>
      <w:tr w:rsidR="009F04CF" w:rsidRPr="009F04CF" w14:paraId="13CCA1A6" w14:textId="77777777" w:rsidTr="00D04A09">
        <w:trPr>
          <w:cantSplit/>
          <w:trHeight w:val="300"/>
          <w:tblHeader/>
          <w:jc w:val="center"/>
        </w:trPr>
        <w:tc>
          <w:tcPr>
            <w:tcW w:w="1581" w:type="dxa"/>
            <w:tcBorders>
              <w:top w:val="single" w:sz="4" w:space="0" w:color="auto"/>
              <w:left w:val="nil"/>
              <w:bottom w:val="single" w:sz="4" w:space="0" w:color="auto"/>
              <w:right w:val="nil"/>
            </w:tcBorders>
            <w:shd w:val="clear" w:color="auto" w:fill="auto"/>
            <w:noWrap/>
            <w:vAlign w:val="bottom"/>
            <w:hideMark/>
          </w:tcPr>
          <w:p w14:paraId="201A8F4F" w14:textId="6A3DD735" w:rsidR="009F04CF" w:rsidRPr="009F04CF" w:rsidRDefault="006C17F2" w:rsidP="00A64A6C">
            <w:pPr>
              <w:pStyle w:val="Tablenumber"/>
              <w:ind w:left="0"/>
              <w:rPr>
                <w:lang w:eastAsia="en-AU"/>
              </w:rPr>
            </w:pPr>
            <w:r>
              <w:rPr>
                <w:lang w:eastAsia="en-AU"/>
              </w:rPr>
              <w:t>Financial Year</w:t>
            </w:r>
          </w:p>
        </w:tc>
        <w:tc>
          <w:tcPr>
            <w:tcW w:w="1004" w:type="dxa"/>
            <w:tcBorders>
              <w:top w:val="single" w:sz="4" w:space="0" w:color="auto"/>
              <w:left w:val="nil"/>
              <w:bottom w:val="single" w:sz="4" w:space="0" w:color="auto"/>
              <w:right w:val="nil"/>
            </w:tcBorders>
            <w:shd w:val="clear" w:color="auto" w:fill="auto"/>
            <w:noWrap/>
            <w:vAlign w:val="bottom"/>
            <w:hideMark/>
          </w:tcPr>
          <w:p w14:paraId="35F881AC" w14:textId="77777777" w:rsidR="009F04CF" w:rsidRPr="009F04CF" w:rsidRDefault="009F04CF" w:rsidP="00A64A6C">
            <w:pPr>
              <w:pStyle w:val="Tablenumber"/>
              <w:ind w:left="0"/>
              <w:rPr>
                <w:lang w:eastAsia="en-AU"/>
              </w:rPr>
            </w:pPr>
            <w:r w:rsidRPr="009F04CF">
              <w:rPr>
                <w:lang w:eastAsia="en-AU"/>
              </w:rPr>
              <w:t>BERD</w:t>
            </w:r>
          </w:p>
        </w:tc>
        <w:tc>
          <w:tcPr>
            <w:tcW w:w="1243" w:type="dxa"/>
            <w:tcBorders>
              <w:top w:val="single" w:sz="4" w:space="0" w:color="auto"/>
              <w:left w:val="nil"/>
              <w:bottom w:val="single" w:sz="4" w:space="0" w:color="auto"/>
              <w:right w:val="nil"/>
            </w:tcBorders>
            <w:shd w:val="clear" w:color="auto" w:fill="auto"/>
            <w:noWrap/>
            <w:vAlign w:val="bottom"/>
            <w:hideMark/>
          </w:tcPr>
          <w:p w14:paraId="19937143" w14:textId="77777777" w:rsidR="009F04CF" w:rsidRPr="009F04CF" w:rsidRDefault="00936C46" w:rsidP="00A64A6C">
            <w:pPr>
              <w:pStyle w:val="Tablenumber"/>
              <w:ind w:left="0"/>
              <w:rPr>
                <w:lang w:eastAsia="en-AU"/>
              </w:rPr>
            </w:pPr>
            <w:r>
              <w:rPr>
                <w:lang w:eastAsia="en-AU"/>
              </w:rPr>
              <w:t xml:space="preserve">Dept. </w:t>
            </w:r>
            <w:r w:rsidR="009F04CF" w:rsidRPr="009F04CF">
              <w:rPr>
                <w:lang w:eastAsia="en-AU"/>
              </w:rPr>
              <w:t>Industry</w:t>
            </w:r>
          </w:p>
        </w:tc>
        <w:tc>
          <w:tcPr>
            <w:tcW w:w="1595" w:type="dxa"/>
            <w:tcBorders>
              <w:top w:val="single" w:sz="4" w:space="0" w:color="auto"/>
              <w:left w:val="nil"/>
              <w:bottom w:val="single" w:sz="4" w:space="0" w:color="auto"/>
              <w:right w:val="nil"/>
            </w:tcBorders>
            <w:shd w:val="clear" w:color="auto" w:fill="auto"/>
            <w:noWrap/>
            <w:vAlign w:val="bottom"/>
            <w:hideMark/>
          </w:tcPr>
          <w:p w14:paraId="486CDFA5" w14:textId="77777777" w:rsidR="009F04CF" w:rsidRPr="009F04CF" w:rsidRDefault="00936C46" w:rsidP="00A64A6C">
            <w:pPr>
              <w:pStyle w:val="Tablenumber"/>
              <w:ind w:left="0"/>
              <w:rPr>
                <w:lang w:eastAsia="en-AU"/>
              </w:rPr>
            </w:pPr>
            <w:r>
              <w:rPr>
                <w:lang w:eastAsia="en-AU"/>
              </w:rPr>
              <w:t>Company tax return</w:t>
            </w:r>
          </w:p>
        </w:tc>
      </w:tr>
      <w:tr w:rsidR="009F04CF" w:rsidRPr="009F04CF" w14:paraId="365A5199" w14:textId="77777777" w:rsidTr="00D04A09">
        <w:trPr>
          <w:cantSplit/>
          <w:trHeight w:val="300"/>
          <w:jc w:val="center"/>
        </w:trPr>
        <w:tc>
          <w:tcPr>
            <w:tcW w:w="1581" w:type="dxa"/>
            <w:tcBorders>
              <w:top w:val="nil"/>
              <w:left w:val="nil"/>
              <w:bottom w:val="nil"/>
              <w:right w:val="nil"/>
            </w:tcBorders>
            <w:shd w:val="clear" w:color="auto" w:fill="auto"/>
            <w:noWrap/>
            <w:vAlign w:val="bottom"/>
            <w:hideMark/>
          </w:tcPr>
          <w:p w14:paraId="2C621594" w14:textId="77777777" w:rsidR="009F04CF" w:rsidRPr="009F04CF" w:rsidRDefault="009F04CF" w:rsidP="00A64A6C">
            <w:pPr>
              <w:pStyle w:val="Tablenumber"/>
              <w:ind w:left="0"/>
              <w:rPr>
                <w:lang w:eastAsia="en-AU"/>
              </w:rPr>
            </w:pPr>
            <w:r w:rsidRPr="009F04CF">
              <w:rPr>
                <w:lang w:eastAsia="en-AU"/>
              </w:rPr>
              <w:t>2009/2010</w:t>
            </w:r>
          </w:p>
        </w:tc>
        <w:tc>
          <w:tcPr>
            <w:tcW w:w="1004" w:type="dxa"/>
            <w:tcBorders>
              <w:top w:val="nil"/>
              <w:left w:val="nil"/>
              <w:bottom w:val="nil"/>
              <w:right w:val="nil"/>
            </w:tcBorders>
            <w:shd w:val="clear" w:color="auto" w:fill="auto"/>
            <w:noWrap/>
            <w:vAlign w:val="bottom"/>
            <w:hideMark/>
          </w:tcPr>
          <w:p w14:paraId="49E2920D" w14:textId="77777777" w:rsidR="009F04CF" w:rsidRPr="009F04CF" w:rsidRDefault="008142C3" w:rsidP="00A64A6C">
            <w:pPr>
              <w:pStyle w:val="Tablenumber"/>
              <w:ind w:left="0"/>
              <w:rPr>
                <w:lang w:eastAsia="en-AU"/>
              </w:rPr>
            </w:pPr>
            <w:r>
              <w:rPr>
                <w:lang w:eastAsia="en-AU"/>
              </w:rPr>
              <w:t>5472</w:t>
            </w:r>
          </w:p>
        </w:tc>
        <w:tc>
          <w:tcPr>
            <w:tcW w:w="1243" w:type="dxa"/>
            <w:tcBorders>
              <w:top w:val="nil"/>
              <w:left w:val="nil"/>
              <w:bottom w:val="nil"/>
              <w:right w:val="nil"/>
            </w:tcBorders>
            <w:shd w:val="clear" w:color="auto" w:fill="auto"/>
            <w:noWrap/>
            <w:vAlign w:val="bottom"/>
            <w:hideMark/>
          </w:tcPr>
          <w:p w14:paraId="1409DAE9" w14:textId="77777777" w:rsidR="009F04CF" w:rsidRPr="009F04CF" w:rsidRDefault="008142C3" w:rsidP="00A64A6C">
            <w:pPr>
              <w:pStyle w:val="Tablenumber"/>
              <w:ind w:left="0"/>
              <w:rPr>
                <w:lang w:eastAsia="en-AU"/>
              </w:rPr>
            </w:pPr>
            <w:r>
              <w:rPr>
                <w:lang w:eastAsia="en-AU"/>
              </w:rPr>
              <w:t>7907</w:t>
            </w:r>
          </w:p>
        </w:tc>
        <w:tc>
          <w:tcPr>
            <w:tcW w:w="1595" w:type="dxa"/>
            <w:tcBorders>
              <w:top w:val="nil"/>
              <w:left w:val="nil"/>
              <w:bottom w:val="nil"/>
              <w:right w:val="nil"/>
            </w:tcBorders>
            <w:shd w:val="clear" w:color="auto" w:fill="auto"/>
            <w:noWrap/>
            <w:vAlign w:val="bottom"/>
            <w:hideMark/>
          </w:tcPr>
          <w:p w14:paraId="591FDC7B" w14:textId="77777777" w:rsidR="009F04CF" w:rsidRPr="009F04CF" w:rsidRDefault="008142C3" w:rsidP="00A64A6C">
            <w:pPr>
              <w:pStyle w:val="Tablenumber"/>
              <w:ind w:left="0"/>
              <w:rPr>
                <w:lang w:eastAsia="en-AU"/>
              </w:rPr>
            </w:pPr>
            <w:r>
              <w:rPr>
                <w:lang w:eastAsia="en-AU"/>
              </w:rPr>
              <w:t>6731</w:t>
            </w:r>
          </w:p>
        </w:tc>
      </w:tr>
      <w:tr w:rsidR="009F04CF" w:rsidRPr="009F04CF" w14:paraId="618264D5" w14:textId="77777777" w:rsidTr="00D04A09">
        <w:trPr>
          <w:cantSplit/>
          <w:trHeight w:val="300"/>
          <w:jc w:val="center"/>
        </w:trPr>
        <w:tc>
          <w:tcPr>
            <w:tcW w:w="1581" w:type="dxa"/>
            <w:tcBorders>
              <w:top w:val="nil"/>
              <w:left w:val="nil"/>
              <w:bottom w:val="nil"/>
              <w:right w:val="nil"/>
            </w:tcBorders>
            <w:shd w:val="clear" w:color="auto" w:fill="auto"/>
            <w:noWrap/>
            <w:vAlign w:val="bottom"/>
            <w:hideMark/>
          </w:tcPr>
          <w:p w14:paraId="41F9182C" w14:textId="77777777" w:rsidR="009F04CF" w:rsidRPr="009F04CF" w:rsidRDefault="009F04CF" w:rsidP="00A64A6C">
            <w:pPr>
              <w:pStyle w:val="Tablenumber"/>
              <w:ind w:left="0"/>
              <w:rPr>
                <w:lang w:eastAsia="en-AU"/>
              </w:rPr>
            </w:pPr>
            <w:r w:rsidRPr="009F04CF">
              <w:rPr>
                <w:lang w:eastAsia="en-AU"/>
              </w:rPr>
              <w:t>2010/2011</w:t>
            </w:r>
          </w:p>
        </w:tc>
        <w:tc>
          <w:tcPr>
            <w:tcW w:w="1004" w:type="dxa"/>
            <w:tcBorders>
              <w:top w:val="nil"/>
              <w:left w:val="nil"/>
              <w:bottom w:val="nil"/>
              <w:right w:val="nil"/>
            </w:tcBorders>
            <w:shd w:val="clear" w:color="auto" w:fill="auto"/>
            <w:noWrap/>
            <w:vAlign w:val="bottom"/>
            <w:hideMark/>
          </w:tcPr>
          <w:p w14:paraId="0C2135AA" w14:textId="77777777" w:rsidR="009F04CF" w:rsidRPr="009F04CF" w:rsidRDefault="008142C3" w:rsidP="00A64A6C">
            <w:pPr>
              <w:pStyle w:val="Tablenumber"/>
              <w:ind w:left="0"/>
              <w:rPr>
                <w:lang w:eastAsia="en-AU"/>
              </w:rPr>
            </w:pPr>
            <w:r>
              <w:rPr>
                <w:lang w:eastAsia="en-AU"/>
              </w:rPr>
              <w:t>5825</w:t>
            </w:r>
          </w:p>
        </w:tc>
        <w:tc>
          <w:tcPr>
            <w:tcW w:w="1243" w:type="dxa"/>
            <w:tcBorders>
              <w:top w:val="nil"/>
              <w:left w:val="nil"/>
              <w:bottom w:val="nil"/>
              <w:right w:val="nil"/>
            </w:tcBorders>
            <w:shd w:val="clear" w:color="auto" w:fill="auto"/>
            <w:noWrap/>
            <w:vAlign w:val="bottom"/>
            <w:hideMark/>
          </w:tcPr>
          <w:p w14:paraId="711480E3" w14:textId="77777777" w:rsidR="009F04CF" w:rsidRPr="009F04CF" w:rsidRDefault="008142C3" w:rsidP="00A64A6C">
            <w:pPr>
              <w:pStyle w:val="Tablenumber"/>
              <w:ind w:left="0"/>
              <w:rPr>
                <w:lang w:eastAsia="en-AU"/>
              </w:rPr>
            </w:pPr>
            <w:r>
              <w:rPr>
                <w:lang w:eastAsia="en-AU"/>
              </w:rPr>
              <w:t>8398</w:t>
            </w:r>
          </w:p>
        </w:tc>
        <w:tc>
          <w:tcPr>
            <w:tcW w:w="1595" w:type="dxa"/>
            <w:tcBorders>
              <w:top w:val="nil"/>
              <w:left w:val="nil"/>
              <w:bottom w:val="nil"/>
              <w:right w:val="nil"/>
            </w:tcBorders>
            <w:shd w:val="clear" w:color="auto" w:fill="auto"/>
            <w:noWrap/>
            <w:vAlign w:val="bottom"/>
            <w:hideMark/>
          </w:tcPr>
          <w:p w14:paraId="3AA18544" w14:textId="77777777" w:rsidR="009F04CF" w:rsidRPr="009F04CF" w:rsidRDefault="008142C3" w:rsidP="00A64A6C">
            <w:pPr>
              <w:pStyle w:val="Tablenumber"/>
              <w:ind w:left="0"/>
              <w:rPr>
                <w:lang w:eastAsia="en-AU"/>
              </w:rPr>
            </w:pPr>
            <w:r>
              <w:rPr>
                <w:lang w:eastAsia="en-AU"/>
              </w:rPr>
              <w:t>7267</w:t>
            </w:r>
          </w:p>
        </w:tc>
      </w:tr>
      <w:tr w:rsidR="009F04CF" w:rsidRPr="009F04CF" w14:paraId="73473116" w14:textId="77777777" w:rsidTr="00D04A09">
        <w:trPr>
          <w:cantSplit/>
          <w:trHeight w:val="300"/>
          <w:jc w:val="center"/>
        </w:trPr>
        <w:tc>
          <w:tcPr>
            <w:tcW w:w="1581" w:type="dxa"/>
            <w:tcBorders>
              <w:top w:val="nil"/>
              <w:left w:val="nil"/>
              <w:bottom w:val="single" w:sz="4" w:space="0" w:color="auto"/>
              <w:right w:val="nil"/>
            </w:tcBorders>
            <w:shd w:val="clear" w:color="auto" w:fill="auto"/>
            <w:noWrap/>
            <w:vAlign w:val="bottom"/>
            <w:hideMark/>
          </w:tcPr>
          <w:p w14:paraId="62632521" w14:textId="77777777" w:rsidR="009F04CF" w:rsidRPr="009F04CF" w:rsidRDefault="009F04CF" w:rsidP="00A64A6C">
            <w:pPr>
              <w:pStyle w:val="Tablenumber"/>
              <w:ind w:left="0"/>
              <w:rPr>
                <w:lang w:eastAsia="en-AU"/>
              </w:rPr>
            </w:pPr>
            <w:r w:rsidRPr="009F04CF">
              <w:rPr>
                <w:lang w:eastAsia="en-AU"/>
              </w:rPr>
              <w:t>2011/2012</w:t>
            </w:r>
          </w:p>
        </w:tc>
        <w:tc>
          <w:tcPr>
            <w:tcW w:w="1004" w:type="dxa"/>
            <w:tcBorders>
              <w:top w:val="nil"/>
              <w:left w:val="nil"/>
              <w:bottom w:val="single" w:sz="4" w:space="0" w:color="auto"/>
              <w:right w:val="nil"/>
            </w:tcBorders>
            <w:shd w:val="clear" w:color="auto" w:fill="auto"/>
            <w:noWrap/>
            <w:vAlign w:val="bottom"/>
            <w:hideMark/>
          </w:tcPr>
          <w:p w14:paraId="10945675" w14:textId="77777777" w:rsidR="009F04CF" w:rsidRPr="009F04CF" w:rsidRDefault="008142C3" w:rsidP="00A64A6C">
            <w:pPr>
              <w:pStyle w:val="Tablenumber"/>
              <w:ind w:left="0"/>
              <w:rPr>
                <w:lang w:eastAsia="en-AU"/>
              </w:rPr>
            </w:pPr>
            <w:r>
              <w:rPr>
                <w:lang w:eastAsia="en-AU"/>
              </w:rPr>
              <w:t>2671</w:t>
            </w:r>
          </w:p>
        </w:tc>
        <w:tc>
          <w:tcPr>
            <w:tcW w:w="1243" w:type="dxa"/>
            <w:tcBorders>
              <w:top w:val="nil"/>
              <w:left w:val="nil"/>
              <w:bottom w:val="single" w:sz="4" w:space="0" w:color="auto"/>
              <w:right w:val="nil"/>
            </w:tcBorders>
            <w:shd w:val="clear" w:color="auto" w:fill="auto"/>
            <w:noWrap/>
            <w:vAlign w:val="bottom"/>
            <w:hideMark/>
          </w:tcPr>
          <w:p w14:paraId="25C57676" w14:textId="77777777" w:rsidR="009F04CF" w:rsidRPr="009F04CF" w:rsidRDefault="008142C3" w:rsidP="00A64A6C">
            <w:pPr>
              <w:pStyle w:val="Tablenumber"/>
              <w:ind w:left="0"/>
              <w:rPr>
                <w:lang w:eastAsia="en-AU"/>
              </w:rPr>
            </w:pPr>
            <w:r>
              <w:rPr>
                <w:lang w:eastAsia="en-AU"/>
              </w:rPr>
              <w:t>9072</w:t>
            </w:r>
          </w:p>
        </w:tc>
        <w:tc>
          <w:tcPr>
            <w:tcW w:w="1595" w:type="dxa"/>
            <w:tcBorders>
              <w:top w:val="nil"/>
              <w:left w:val="nil"/>
              <w:bottom w:val="single" w:sz="4" w:space="0" w:color="auto"/>
              <w:right w:val="nil"/>
            </w:tcBorders>
            <w:shd w:val="clear" w:color="auto" w:fill="auto"/>
            <w:noWrap/>
            <w:vAlign w:val="bottom"/>
            <w:hideMark/>
          </w:tcPr>
          <w:p w14:paraId="235E49F0" w14:textId="77777777" w:rsidR="009F04CF" w:rsidRPr="009F04CF" w:rsidRDefault="008142C3" w:rsidP="00A64A6C">
            <w:pPr>
              <w:pStyle w:val="Tablenumber"/>
              <w:ind w:left="0"/>
              <w:rPr>
                <w:lang w:eastAsia="en-AU"/>
              </w:rPr>
            </w:pPr>
            <w:r>
              <w:rPr>
                <w:lang w:eastAsia="en-AU"/>
              </w:rPr>
              <w:t>7303</w:t>
            </w:r>
          </w:p>
        </w:tc>
      </w:tr>
    </w:tbl>
    <w:p w14:paraId="0D32FBFA" w14:textId="77777777" w:rsidR="009F04CF" w:rsidRPr="009F04CF" w:rsidRDefault="009F04CF" w:rsidP="00A82693">
      <w:pPr>
        <w:pStyle w:val="Heading2"/>
      </w:pPr>
      <w:r w:rsidRPr="009F04CF">
        <w:t>Claiming and non-claiming firms</w:t>
      </w:r>
    </w:p>
    <w:p w14:paraId="77F95758" w14:textId="5D17E68F" w:rsidR="009F04CF" w:rsidRDefault="00EA3232" w:rsidP="00100460">
      <w:pPr>
        <w:pStyle w:val="Text"/>
        <w:rPr>
          <w:rFonts w:ascii="Times New Roman" w:eastAsia="Calibri" w:hAnsi="Times New Roman"/>
        </w:rPr>
      </w:pPr>
      <w:r w:rsidRPr="00100460">
        <w:rPr>
          <w:rFonts w:eastAsia="Calibri"/>
        </w:rPr>
        <w:t>As in the case of the BIE (1993) study, several methods applied in this report involve</w:t>
      </w:r>
      <w:r w:rsidR="009F04CF" w:rsidRPr="00100460">
        <w:rPr>
          <w:rFonts w:eastAsia="Calibri"/>
        </w:rPr>
        <w:t xml:space="preserve"> comparing firms which claim R&amp;D tax subsidies with those that do not. </w:t>
      </w:r>
      <w:r w:rsidRPr="00100460">
        <w:rPr>
          <w:rFonts w:eastAsia="Calibri"/>
        </w:rPr>
        <w:t>I</w:t>
      </w:r>
      <w:r w:rsidR="009F04CF" w:rsidRPr="00100460">
        <w:rPr>
          <w:rFonts w:eastAsia="Calibri"/>
        </w:rPr>
        <w:t>t is important to consider whether this is a valid comparison</w:t>
      </w:r>
      <w:r w:rsidR="005D4725" w:rsidRPr="00100460">
        <w:rPr>
          <w:rFonts w:eastAsia="Calibri"/>
        </w:rPr>
        <w:t>.</w:t>
      </w:r>
      <w:r w:rsidR="009F04CF" w:rsidRPr="00100460">
        <w:rPr>
          <w:rFonts w:eastAsia="Calibri"/>
        </w:rPr>
        <w:t xml:space="preserve"> </w:t>
      </w:r>
      <w:r w:rsidRPr="00100460">
        <w:rPr>
          <w:rFonts w:eastAsia="Calibri"/>
        </w:rPr>
        <w:t xml:space="preserve">We begin by providing a statistical overview of the two groups. </w:t>
      </w:r>
      <w:r w:rsidR="006B682E">
        <w:rPr>
          <w:rFonts w:eastAsia="Calibri"/>
        </w:rPr>
        <w:t xml:space="preserve">For the period 2005 to </w:t>
      </w:r>
      <w:r w:rsidR="009F04CF" w:rsidRPr="00100460">
        <w:rPr>
          <w:rFonts w:eastAsia="Calibri"/>
        </w:rPr>
        <w:t>2012</w:t>
      </w:r>
      <w:r w:rsidR="001B225E" w:rsidRPr="009D198C">
        <w:rPr>
          <w:rFonts w:eastAsia="Calibri"/>
        </w:rPr>
        <w:t>,</w:t>
      </w:r>
      <w:r w:rsidR="009F04CF" w:rsidRPr="00100460">
        <w:rPr>
          <w:rFonts w:eastAsia="Calibri"/>
        </w:rPr>
        <w:t xml:space="preserve"> 2</w:t>
      </w:r>
      <w:r w:rsidR="00960C93" w:rsidRPr="00100460">
        <w:rPr>
          <w:rFonts w:eastAsia="Calibri"/>
        </w:rPr>
        <w:t>2</w:t>
      </w:r>
      <w:r w:rsidR="009F04CF" w:rsidRPr="00100460">
        <w:rPr>
          <w:rFonts w:eastAsia="Calibri"/>
        </w:rPr>
        <w:t xml:space="preserve"> percent of R&amp;D active firms do not claim any R&amp;D tax subsidy. Companies not claiming are </w:t>
      </w:r>
      <w:r w:rsidR="009F04CF" w:rsidRPr="00100460">
        <w:rPr>
          <w:rFonts w:eastAsia="Calibri"/>
        </w:rPr>
        <w:lastRenderedPageBreak/>
        <w:t xml:space="preserve">either unaware or ineligible. Survey evidence suggests that many firms remain unaware of R&amp;D support programs even many </w:t>
      </w:r>
      <w:r w:rsidR="00936C46" w:rsidRPr="00100460">
        <w:rPr>
          <w:rFonts w:eastAsia="Calibri"/>
        </w:rPr>
        <w:t>years after they are introduced</w:t>
      </w:r>
      <w:r w:rsidR="009F04CF" w:rsidRPr="00100460">
        <w:rPr>
          <w:rFonts w:eastAsia="Calibri"/>
        </w:rPr>
        <w:t xml:space="preserve"> (Thomson and Webster 2012). There are a number of reasons that firms may be ineligible to claim the tax subsidy.</w:t>
      </w:r>
      <w:r w:rsidR="00214462" w:rsidRPr="00100460">
        <w:rPr>
          <w:rFonts w:eastAsia="Calibri"/>
        </w:rPr>
        <w:t xml:space="preserve"> First,</w:t>
      </w:r>
      <w:r w:rsidR="009F04CF" w:rsidRPr="00100460">
        <w:rPr>
          <w:rFonts w:eastAsia="Calibri"/>
        </w:rPr>
        <w:t xml:space="preserve"> </w:t>
      </w:r>
      <w:r w:rsidR="00214462" w:rsidRPr="00100460">
        <w:rPr>
          <w:rFonts w:eastAsia="Calibri"/>
        </w:rPr>
        <w:t xml:space="preserve">not all R&amp;D activities are eligible. </w:t>
      </w:r>
      <w:r w:rsidR="001B225E" w:rsidRPr="009D198C">
        <w:rPr>
          <w:rFonts w:eastAsia="Calibri"/>
        </w:rPr>
        <w:t>For example, some</w:t>
      </w:r>
      <w:r w:rsidR="001B225E" w:rsidRPr="00100460">
        <w:rPr>
          <w:rFonts w:eastAsia="Calibri"/>
        </w:rPr>
        <w:t xml:space="preserve"> R&amp;D activities are not eligible such as software development and social science research. </w:t>
      </w:r>
      <w:r w:rsidR="009F04CF" w:rsidRPr="00100460">
        <w:rPr>
          <w:rFonts w:eastAsia="Calibri"/>
        </w:rPr>
        <w:t xml:space="preserve">R&amp;D financed by other Australian firms </w:t>
      </w:r>
      <w:r w:rsidR="00214462" w:rsidRPr="00100460">
        <w:rPr>
          <w:rFonts w:eastAsia="Calibri"/>
        </w:rPr>
        <w:t>is not eligible</w:t>
      </w:r>
      <w:r w:rsidR="009F04CF" w:rsidRPr="00100460">
        <w:rPr>
          <w:rFonts w:eastAsia="Calibri"/>
        </w:rPr>
        <w:t xml:space="preserve">. </w:t>
      </w:r>
      <w:r w:rsidR="001B225E" w:rsidRPr="009D198C">
        <w:rPr>
          <w:rFonts w:eastAsia="Calibri"/>
        </w:rPr>
        <w:t xml:space="preserve">Lastly, </w:t>
      </w:r>
      <w:r w:rsidR="001B225E" w:rsidRPr="00100460">
        <w:rPr>
          <w:rFonts w:eastAsia="Calibri"/>
        </w:rPr>
        <w:t xml:space="preserve">clawback provisions </w:t>
      </w:r>
      <w:r w:rsidR="001B225E" w:rsidRPr="009D198C">
        <w:rPr>
          <w:rFonts w:eastAsia="Calibri"/>
        </w:rPr>
        <w:t xml:space="preserve">act to prevent </w:t>
      </w:r>
      <w:r w:rsidR="001B225E" w:rsidRPr="00100460">
        <w:rPr>
          <w:rFonts w:eastAsia="Calibri"/>
        </w:rPr>
        <w:t xml:space="preserve">companies receiving </w:t>
      </w:r>
      <w:r w:rsidR="001B225E" w:rsidRPr="009D198C">
        <w:rPr>
          <w:rFonts w:eastAsia="Calibri"/>
        </w:rPr>
        <w:t xml:space="preserve">a benefit on amounts received through </w:t>
      </w:r>
      <w:r w:rsidR="001B225E" w:rsidRPr="00100460">
        <w:rPr>
          <w:rFonts w:eastAsia="Calibri"/>
        </w:rPr>
        <w:t xml:space="preserve">other </w:t>
      </w:r>
      <w:r w:rsidR="001B225E" w:rsidRPr="009D198C">
        <w:rPr>
          <w:rFonts w:eastAsia="Calibri"/>
        </w:rPr>
        <w:t xml:space="preserve">sources of </w:t>
      </w:r>
      <w:r w:rsidR="001B225E" w:rsidRPr="00100460">
        <w:rPr>
          <w:rFonts w:eastAsia="Calibri"/>
        </w:rPr>
        <w:t xml:space="preserve">government </w:t>
      </w:r>
      <w:r w:rsidR="001B225E" w:rsidRPr="009D198C">
        <w:rPr>
          <w:rFonts w:eastAsia="Calibri"/>
        </w:rPr>
        <w:t xml:space="preserve">support. Although companies would be eligible in these instances, they may opt not </w:t>
      </w:r>
      <w:r w:rsidR="001B225E" w:rsidRPr="00100460">
        <w:rPr>
          <w:rFonts w:eastAsia="Calibri"/>
        </w:rPr>
        <w:t xml:space="preserve">to </w:t>
      </w:r>
      <w:r w:rsidR="001B225E" w:rsidRPr="009D198C">
        <w:rPr>
          <w:rFonts w:eastAsia="Calibri"/>
        </w:rPr>
        <w:t>claim under the programme as it is more beneficial to pursue other funding sources (such as government grants).</w:t>
      </w:r>
      <w:r w:rsidR="001B225E" w:rsidRPr="00100460">
        <w:rPr>
          <w:rFonts w:eastAsia="Calibri"/>
        </w:rPr>
        <w:t xml:space="preserve"> </w:t>
      </w:r>
      <w:r w:rsidR="009F04CF" w:rsidRPr="00A82693">
        <w:rPr>
          <w:rStyle w:val="TextChar"/>
          <w:rFonts w:eastAsia="Calibri"/>
        </w:rPr>
        <w:t xml:space="preserve">Table 4 shows a breakdown of firms by claiming status and grant recipient status. </w:t>
      </w:r>
    </w:p>
    <w:p w14:paraId="3398CDA5" w14:textId="77777777" w:rsidR="00A82693" w:rsidRDefault="00A82693" w:rsidP="00936C46">
      <w:pPr>
        <w:pStyle w:val="Caption"/>
        <w:rPr>
          <w:lang w:eastAsia="en-AU"/>
        </w:rPr>
      </w:pPr>
      <w:r w:rsidRPr="00A82693">
        <w:rPr>
          <w:lang w:eastAsia="en-AU"/>
        </w:rPr>
        <w:t xml:space="preserve">Table 4. Claiming Status </w:t>
      </w:r>
      <w:r w:rsidR="00936C46">
        <w:rPr>
          <w:lang w:eastAsia="en-AU"/>
        </w:rPr>
        <w:t xml:space="preserve">for R&amp;D tax subsidies </w:t>
      </w:r>
      <w:r w:rsidRPr="00A82693">
        <w:rPr>
          <w:lang w:eastAsia="en-AU"/>
        </w:rPr>
        <w:t xml:space="preserve">and </w:t>
      </w:r>
      <w:r w:rsidR="00936C46">
        <w:rPr>
          <w:lang w:eastAsia="en-AU"/>
        </w:rPr>
        <w:t>other forms of government support</w:t>
      </w:r>
    </w:p>
    <w:tbl>
      <w:tblPr>
        <w:tblW w:w="4857" w:type="dxa"/>
        <w:jc w:val="center"/>
        <w:tblLook w:val="04A0" w:firstRow="1" w:lastRow="0" w:firstColumn="1" w:lastColumn="0" w:noHBand="0" w:noVBand="1"/>
        <w:tblCaption w:val="Table 4. The Claiming Status for R &amp; D tax subsidies and other forms of government support"/>
        <w:tblDescription w:val="Of the companies that are recipients of other forms of government support, 5816 claimed a R&amp;D Tax subsidy with 3,181 not claiming. Of those that did not receive any government support, 24,757 have claimed and 1,288 did not claim a R&amp;D tax subsidy."/>
      </w:tblPr>
      <w:tblGrid>
        <w:gridCol w:w="1592"/>
        <w:gridCol w:w="1489"/>
        <w:gridCol w:w="1776"/>
      </w:tblGrid>
      <w:tr w:rsidR="00A82693" w:rsidRPr="009F04CF" w14:paraId="300CA4CC" w14:textId="77777777" w:rsidTr="00D04A09">
        <w:trPr>
          <w:cantSplit/>
          <w:trHeight w:val="300"/>
          <w:tblHeader/>
          <w:jc w:val="center"/>
        </w:trPr>
        <w:tc>
          <w:tcPr>
            <w:tcW w:w="1592" w:type="dxa"/>
            <w:tcBorders>
              <w:top w:val="single" w:sz="4" w:space="0" w:color="auto"/>
              <w:left w:val="nil"/>
              <w:bottom w:val="single" w:sz="4" w:space="0" w:color="auto"/>
              <w:right w:val="nil"/>
            </w:tcBorders>
            <w:shd w:val="clear" w:color="auto" w:fill="auto"/>
            <w:noWrap/>
            <w:vAlign w:val="center"/>
            <w:hideMark/>
          </w:tcPr>
          <w:p w14:paraId="08160464" w14:textId="77777777" w:rsidR="00A82693" w:rsidRPr="009F04CF" w:rsidRDefault="00A82693" w:rsidP="005A1FBD">
            <w:pPr>
              <w:pStyle w:val="Tablenumber"/>
              <w:rPr>
                <w:lang w:eastAsia="en-AU"/>
              </w:rPr>
            </w:pPr>
          </w:p>
        </w:tc>
        <w:tc>
          <w:tcPr>
            <w:tcW w:w="1489" w:type="dxa"/>
            <w:tcBorders>
              <w:top w:val="single" w:sz="4" w:space="0" w:color="auto"/>
              <w:left w:val="nil"/>
              <w:bottom w:val="single" w:sz="4" w:space="0" w:color="auto"/>
              <w:right w:val="nil"/>
            </w:tcBorders>
            <w:shd w:val="clear" w:color="auto" w:fill="auto"/>
            <w:noWrap/>
            <w:vAlign w:val="center"/>
            <w:hideMark/>
          </w:tcPr>
          <w:p w14:paraId="4FB334D0" w14:textId="77777777" w:rsidR="00A82693" w:rsidRPr="00A82693" w:rsidRDefault="00A82693" w:rsidP="005A1FBD">
            <w:pPr>
              <w:pStyle w:val="Tablenumber"/>
              <w:rPr>
                <w:b/>
                <w:lang w:eastAsia="en-AU"/>
              </w:rPr>
            </w:pPr>
            <w:r w:rsidRPr="00A82693">
              <w:rPr>
                <w:b/>
                <w:lang w:eastAsia="en-AU"/>
              </w:rPr>
              <w:t>Claiming</w:t>
            </w:r>
          </w:p>
        </w:tc>
        <w:tc>
          <w:tcPr>
            <w:tcW w:w="1776" w:type="dxa"/>
            <w:tcBorders>
              <w:top w:val="single" w:sz="4" w:space="0" w:color="auto"/>
              <w:left w:val="nil"/>
              <w:bottom w:val="single" w:sz="4" w:space="0" w:color="auto"/>
              <w:right w:val="nil"/>
            </w:tcBorders>
            <w:shd w:val="clear" w:color="auto" w:fill="auto"/>
            <w:noWrap/>
            <w:vAlign w:val="center"/>
            <w:hideMark/>
          </w:tcPr>
          <w:p w14:paraId="28FDEA27" w14:textId="77777777" w:rsidR="00A82693" w:rsidRPr="00A82693" w:rsidRDefault="00A82693" w:rsidP="005A1FBD">
            <w:pPr>
              <w:pStyle w:val="Tablenumber"/>
              <w:rPr>
                <w:b/>
                <w:lang w:eastAsia="en-AU"/>
              </w:rPr>
            </w:pPr>
            <w:r w:rsidRPr="00A82693">
              <w:rPr>
                <w:b/>
                <w:lang w:eastAsia="en-AU"/>
              </w:rPr>
              <w:t>Not Claiming</w:t>
            </w:r>
          </w:p>
        </w:tc>
      </w:tr>
      <w:tr w:rsidR="00A82693" w:rsidRPr="009F04CF" w14:paraId="66D54A6C" w14:textId="77777777" w:rsidTr="00D04A09">
        <w:trPr>
          <w:cantSplit/>
          <w:trHeight w:val="300"/>
          <w:jc w:val="center"/>
        </w:trPr>
        <w:tc>
          <w:tcPr>
            <w:tcW w:w="1592" w:type="dxa"/>
            <w:tcBorders>
              <w:top w:val="single" w:sz="4" w:space="0" w:color="auto"/>
              <w:left w:val="nil"/>
              <w:bottom w:val="nil"/>
            </w:tcBorders>
            <w:shd w:val="clear" w:color="auto" w:fill="auto"/>
            <w:noWrap/>
            <w:vAlign w:val="center"/>
            <w:hideMark/>
          </w:tcPr>
          <w:p w14:paraId="701AFCA6" w14:textId="77777777" w:rsidR="00A82693" w:rsidRPr="00A82693" w:rsidRDefault="00A82693" w:rsidP="005A1FBD">
            <w:pPr>
              <w:pStyle w:val="Tablenumber"/>
              <w:rPr>
                <w:b/>
                <w:lang w:eastAsia="en-AU"/>
              </w:rPr>
            </w:pPr>
            <w:r w:rsidRPr="00A82693">
              <w:rPr>
                <w:b/>
                <w:lang w:eastAsia="en-AU"/>
              </w:rPr>
              <w:t>Grants &gt; 0</w:t>
            </w:r>
          </w:p>
        </w:tc>
        <w:tc>
          <w:tcPr>
            <w:tcW w:w="1489" w:type="dxa"/>
            <w:tcBorders>
              <w:top w:val="single" w:sz="4" w:space="0" w:color="auto"/>
              <w:bottom w:val="nil"/>
            </w:tcBorders>
            <w:shd w:val="clear" w:color="auto" w:fill="auto"/>
            <w:noWrap/>
            <w:vAlign w:val="center"/>
            <w:hideMark/>
          </w:tcPr>
          <w:p w14:paraId="565B64A3" w14:textId="77777777" w:rsidR="00A82693" w:rsidRPr="009F04CF" w:rsidRDefault="0029416F" w:rsidP="005A1FBD">
            <w:pPr>
              <w:pStyle w:val="Tablenumber"/>
              <w:rPr>
                <w:lang w:eastAsia="en-AU"/>
              </w:rPr>
            </w:pPr>
            <w:r>
              <w:rPr>
                <w:lang w:eastAsia="en-AU"/>
              </w:rPr>
              <w:t>5,816</w:t>
            </w:r>
          </w:p>
        </w:tc>
        <w:tc>
          <w:tcPr>
            <w:tcW w:w="1776" w:type="dxa"/>
            <w:tcBorders>
              <w:top w:val="single" w:sz="4" w:space="0" w:color="auto"/>
              <w:bottom w:val="nil"/>
              <w:right w:val="nil"/>
            </w:tcBorders>
            <w:shd w:val="clear" w:color="auto" w:fill="auto"/>
            <w:noWrap/>
            <w:vAlign w:val="center"/>
            <w:hideMark/>
          </w:tcPr>
          <w:p w14:paraId="0B30B67B" w14:textId="77777777" w:rsidR="00A82693" w:rsidRPr="009F04CF" w:rsidRDefault="0029416F" w:rsidP="005A1FBD">
            <w:pPr>
              <w:pStyle w:val="Tablenumber"/>
              <w:rPr>
                <w:lang w:eastAsia="en-AU"/>
              </w:rPr>
            </w:pPr>
            <w:r>
              <w:rPr>
                <w:lang w:eastAsia="en-AU"/>
              </w:rPr>
              <w:t>3,181</w:t>
            </w:r>
          </w:p>
        </w:tc>
      </w:tr>
      <w:tr w:rsidR="00A82693" w:rsidRPr="009F04CF" w14:paraId="5EF170B9" w14:textId="77777777" w:rsidTr="00D04A09">
        <w:trPr>
          <w:cantSplit/>
          <w:trHeight w:val="300"/>
          <w:jc w:val="center"/>
        </w:trPr>
        <w:tc>
          <w:tcPr>
            <w:tcW w:w="1592" w:type="dxa"/>
            <w:tcBorders>
              <w:top w:val="nil"/>
              <w:left w:val="nil"/>
              <w:bottom w:val="single" w:sz="4" w:space="0" w:color="auto"/>
            </w:tcBorders>
            <w:shd w:val="clear" w:color="auto" w:fill="auto"/>
            <w:noWrap/>
            <w:vAlign w:val="center"/>
            <w:hideMark/>
          </w:tcPr>
          <w:p w14:paraId="1F9504DA" w14:textId="77777777" w:rsidR="00A82693" w:rsidRPr="00A82693" w:rsidRDefault="00A82693" w:rsidP="005A1FBD">
            <w:pPr>
              <w:pStyle w:val="Tablenumber"/>
              <w:rPr>
                <w:b/>
                <w:lang w:eastAsia="en-AU"/>
              </w:rPr>
            </w:pPr>
            <w:r w:rsidRPr="00A82693">
              <w:rPr>
                <w:b/>
                <w:lang w:eastAsia="en-AU"/>
              </w:rPr>
              <w:t>Grants = 0</w:t>
            </w:r>
          </w:p>
        </w:tc>
        <w:tc>
          <w:tcPr>
            <w:tcW w:w="1489" w:type="dxa"/>
            <w:tcBorders>
              <w:top w:val="nil"/>
              <w:bottom w:val="single" w:sz="4" w:space="0" w:color="auto"/>
            </w:tcBorders>
            <w:shd w:val="clear" w:color="auto" w:fill="auto"/>
            <w:noWrap/>
            <w:vAlign w:val="center"/>
            <w:hideMark/>
          </w:tcPr>
          <w:p w14:paraId="32E7DD16" w14:textId="77777777" w:rsidR="00A82693" w:rsidRPr="009F04CF" w:rsidRDefault="0029416F" w:rsidP="006F1D40">
            <w:pPr>
              <w:pStyle w:val="Tablenumber"/>
              <w:rPr>
                <w:lang w:eastAsia="en-AU"/>
              </w:rPr>
            </w:pPr>
            <w:r>
              <w:rPr>
                <w:lang w:eastAsia="en-AU"/>
              </w:rPr>
              <w:t>24,757</w:t>
            </w:r>
          </w:p>
        </w:tc>
        <w:tc>
          <w:tcPr>
            <w:tcW w:w="1776" w:type="dxa"/>
            <w:tcBorders>
              <w:top w:val="nil"/>
              <w:bottom w:val="single" w:sz="4" w:space="0" w:color="auto"/>
              <w:right w:val="nil"/>
            </w:tcBorders>
            <w:shd w:val="clear" w:color="auto" w:fill="auto"/>
            <w:noWrap/>
            <w:vAlign w:val="center"/>
            <w:hideMark/>
          </w:tcPr>
          <w:p w14:paraId="0419702F" w14:textId="77777777" w:rsidR="00A82693" w:rsidRPr="009F04CF" w:rsidRDefault="0029416F" w:rsidP="005A1FBD">
            <w:pPr>
              <w:pStyle w:val="Tablenumber"/>
              <w:rPr>
                <w:lang w:eastAsia="en-AU"/>
              </w:rPr>
            </w:pPr>
            <w:r>
              <w:rPr>
                <w:lang w:eastAsia="en-AU"/>
              </w:rPr>
              <w:t>1,288</w:t>
            </w:r>
          </w:p>
        </w:tc>
      </w:tr>
    </w:tbl>
    <w:p w14:paraId="6F7E4524" w14:textId="26665709" w:rsidR="009F04CF" w:rsidRDefault="009F04CF" w:rsidP="00A82693">
      <w:pPr>
        <w:pStyle w:val="Text"/>
        <w:rPr>
          <w:rFonts w:eastAsia="Calibri"/>
        </w:rPr>
      </w:pPr>
      <w:r w:rsidRPr="00A82693">
        <w:rPr>
          <w:rFonts w:eastAsia="Calibri"/>
        </w:rPr>
        <w:t xml:space="preserve">Table 5 shows the distribution of </w:t>
      </w:r>
      <w:r w:rsidR="00960C93">
        <w:rPr>
          <w:rFonts w:eastAsia="Calibri"/>
        </w:rPr>
        <w:t xml:space="preserve">surveyed </w:t>
      </w:r>
      <w:r w:rsidRPr="00A82693">
        <w:rPr>
          <w:rFonts w:eastAsia="Calibri"/>
        </w:rPr>
        <w:t xml:space="preserve">firms across the two schemes over time. Over </w:t>
      </w:r>
      <w:r w:rsidR="006B682E">
        <w:rPr>
          <w:rFonts w:eastAsia="Calibri"/>
        </w:rPr>
        <w:t>the observation period of 2005 to</w:t>
      </w:r>
      <w:r w:rsidRPr="00A82693">
        <w:rPr>
          <w:rFonts w:eastAsia="Calibri"/>
        </w:rPr>
        <w:t xml:space="preserve"> 2012, the number of firms claiming the Concession appears to rise steadily from 2,</w:t>
      </w:r>
      <w:r w:rsidR="001E2152">
        <w:rPr>
          <w:rFonts w:eastAsia="Calibri"/>
        </w:rPr>
        <w:t>969</w:t>
      </w:r>
      <w:r w:rsidRPr="00A82693">
        <w:rPr>
          <w:rFonts w:eastAsia="Calibri"/>
        </w:rPr>
        <w:t xml:space="preserve"> in 2005 to </w:t>
      </w:r>
      <w:r w:rsidR="001E2152">
        <w:rPr>
          <w:rFonts w:eastAsia="Calibri"/>
        </w:rPr>
        <w:t>4,597</w:t>
      </w:r>
      <w:r w:rsidRPr="00A82693">
        <w:rPr>
          <w:rFonts w:eastAsia="Calibri"/>
        </w:rPr>
        <w:t xml:space="preserve"> in 2011. </w:t>
      </w:r>
      <w:r w:rsidR="00C00A0D">
        <w:rPr>
          <w:rFonts w:eastAsia="Calibri"/>
        </w:rPr>
        <w:t xml:space="preserve">In addition, the proportion of R&amp;D active firms, not claiming the subsidy </w:t>
      </w:r>
      <w:r w:rsidR="00C24E7A">
        <w:rPr>
          <w:rFonts w:eastAsia="Calibri"/>
        </w:rPr>
        <w:t xml:space="preserve">decreased </w:t>
      </w:r>
      <w:r w:rsidR="00C00A0D">
        <w:rPr>
          <w:rFonts w:eastAsia="Calibri"/>
        </w:rPr>
        <w:t>in the 6 years to 2011 (from 0.</w:t>
      </w:r>
      <w:r w:rsidR="00C24E7A">
        <w:rPr>
          <w:rFonts w:eastAsia="Calibri"/>
        </w:rPr>
        <w:t xml:space="preserve">29 </w:t>
      </w:r>
      <w:r w:rsidR="00C00A0D">
        <w:rPr>
          <w:rFonts w:eastAsia="Calibri"/>
        </w:rPr>
        <w:t>in 2005 to 0.</w:t>
      </w:r>
      <w:r w:rsidR="00C24E7A">
        <w:rPr>
          <w:rFonts w:eastAsia="Calibri"/>
        </w:rPr>
        <w:t xml:space="preserve">16 </w:t>
      </w:r>
      <w:r w:rsidR="00C00A0D">
        <w:rPr>
          <w:rFonts w:eastAsia="Calibri"/>
        </w:rPr>
        <w:t>in 2011).</w:t>
      </w:r>
      <w:r w:rsidR="00135946">
        <w:rPr>
          <w:rFonts w:eastAsia="Calibri"/>
        </w:rPr>
        <w:t xml:space="preserve"> The pattern of increasing policy uptake could be driven by several factors, though it is consistent with a process of learning and adoption as non-claiming firms learn about the policy and begin to claim it. </w:t>
      </w:r>
      <w:r w:rsidRPr="00A82693">
        <w:rPr>
          <w:rFonts w:eastAsia="Calibri"/>
        </w:rPr>
        <w:t xml:space="preserve">Because the BERD became a survey of a sample of firms in 2012, we do not have information on all R&amp;D-performing firms in 2012. </w:t>
      </w:r>
    </w:p>
    <w:p w14:paraId="5A2F7169" w14:textId="77777777" w:rsidR="001E2152" w:rsidRDefault="001E2152" w:rsidP="001E2152">
      <w:pPr>
        <w:pStyle w:val="Caption"/>
        <w:rPr>
          <w:rFonts w:eastAsia="Calibri"/>
        </w:rPr>
      </w:pPr>
      <w:r w:rsidRPr="009F04CF">
        <w:rPr>
          <w:lang w:eastAsia="en-AU"/>
        </w:rPr>
        <w:t xml:space="preserve">Table 5. </w:t>
      </w:r>
      <w:r>
        <w:rPr>
          <w:lang w:eastAsia="en-AU"/>
        </w:rPr>
        <w:t>R&amp;D Active F</w:t>
      </w:r>
      <w:r w:rsidRPr="009F04CF">
        <w:rPr>
          <w:lang w:eastAsia="en-AU"/>
        </w:rPr>
        <w:t>irms Claiming Concession, Incentive or Neither.</w:t>
      </w:r>
    </w:p>
    <w:tbl>
      <w:tblPr>
        <w:tblW w:w="5000" w:type="pct"/>
        <w:tblLayout w:type="fixed"/>
        <w:tblLook w:val="04A0" w:firstRow="1" w:lastRow="0" w:firstColumn="1" w:lastColumn="0" w:noHBand="0" w:noVBand="1"/>
        <w:tblCaption w:val="Table 5, R&amp;D Active Firms Claiming Concession, Incentive or Neither."/>
        <w:tblDescription w:val="Table showing the overall trend of companies claiming the R&amp;D Tax Concession, the R&amp;D Tax Incentive or neither from 2005 to 2012 according to the sample representative firms in the BERD survey. &#10;2,969 companies claimed the R&amp;D Tax Concession in 2005 which increased to 4,597 in 2011.   This dramatically decreased to 368 in 2012 with the introduction of the &#10;R&amp;D Tax Incentive.&#10;The number of companies claiming the R&amp;D Tax Incentive in 2012 was 1,646.&#10;The proportion of companies not claiming has fallen from 0.29 in 2005, to a historical low of 0.16 in 2011. This figure has increased to 0.2 in 2012."/>
      </w:tblPr>
      <w:tblGrid>
        <w:gridCol w:w="1557"/>
        <w:gridCol w:w="1777"/>
        <w:gridCol w:w="1480"/>
        <w:gridCol w:w="1246"/>
        <w:gridCol w:w="1271"/>
        <w:gridCol w:w="1695"/>
      </w:tblGrid>
      <w:tr w:rsidR="00FF65B1" w:rsidRPr="001E2152" w14:paraId="025A3151" w14:textId="77777777" w:rsidTr="00D04A09">
        <w:trPr>
          <w:cantSplit/>
          <w:trHeight w:val="555"/>
          <w:tblHeader/>
        </w:trPr>
        <w:tc>
          <w:tcPr>
            <w:tcW w:w="862" w:type="pct"/>
            <w:tcBorders>
              <w:top w:val="single" w:sz="4" w:space="0" w:color="auto"/>
              <w:left w:val="nil"/>
              <w:bottom w:val="single" w:sz="8" w:space="0" w:color="auto"/>
              <w:right w:val="nil"/>
            </w:tcBorders>
            <w:shd w:val="clear" w:color="auto" w:fill="auto"/>
            <w:noWrap/>
            <w:vAlign w:val="center"/>
            <w:hideMark/>
          </w:tcPr>
          <w:p w14:paraId="691EA23B" w14:textId="77777777" w:rsidR="00135946" w:rsidRPr="001E2152" w:rsidRDefault="00135946" w:rsidP="00135946">
            <w:pPr>
              <w:pStyle w:val="Tablenumber"/>
              <w:rPr>
                <w:lang w:eastAsia="en-AU"/>
              </w:rPr>
            </w:pPr>
            <w:r>
              <w:rPr>
                <w:lang w:eastAsia="en-AU"/>
              </w:rPr>
              <w:t>Financial Year</w:t>
            </w:r>
          </w:p>
        </w:tc>
        <w:tc>
          <w:tcPr>
            <w:tcW w:w="984" w:type="pct"/>
            <w:tcBorders>
              <w:top w:val="single" w:sz="4" w:space="0" w:color="auto"/>
              <w:left w:val="nil"/>
              <w:bottom w:val="single" w:sz="8" w:space="0" w:color="auto"/>
              <w:right w:val="nil"/>
            </w:tcBorders>
            <w:shd w:val="clear" w:color="auto" w:fill="auto"/>
            <w:noWrap/>
            <w:vAlign w:val="center"/>
            <w:hideMark/>
          </w:tcPr>
          <w:p w14:paraId="5742B083" w14:textId="77777777" w:rsidR="00135946" w:rsidRPr="001E2152" w:rsidRDefault="00135946" w:rsidP="00135946">
            <w:pPr>
              <w:pStyle w:val="Tablenumber"/>
              <w:rPr>
                <w:lang w:eastAsia="en-AU"/>
              </w:rPr>
            </w:pPr>
            <w:r>
              <w:rPr>
                <w:lang w:eastAsia="en-AU"/>
              </w:rPr>
              <w:t xml:space="preserve">Claim </w:t>
            </w:r>
            <w:r w:rsidRPr="001E2152">
              <w:rPr>
                <w:lang w:eastAsia="en-AU"/>
              </w:rPr>
              <w:t>Concession</w:t>
            </w:r>
          </w:p>
        </w:tc>
        <w:tc>
          <w:tcPr>
            <w:tcW w:w="820" w:type="pct"/>
            <w:tcBorders>
              <w:top w:val="single" w:sz="4" w:space="0" w:color="auto"/>
              <w:left w:val="nil"/>
              <w:bottom w:val="single" w:sz="8" w:space="0" w:color="auto"/>
              <w:right w:val="nil"/>
            </w:tcBorders>
            <w:shd w:val="clear" w:color="auto" w:fill="auto"/>
            <w:noWrap/>
            <w:vAlign w:val="center"/>
            <w:hideMark/>
          </w:tcPr>
          <w:p w14:paraId="347A6DD4" w14:textId="77777777" w:rsidR="00135946" w:rsidRPr="001E2152" w:rsidRDefault="00135946" w:rsidP="00135946">
            <w:pPr>
              <w:pStyle w:val="Tablenumber"/>
              <w:rPr>
                <w:lang w:eastAsia="en-AU"/>
              </w:rPr>
            </w:pPr>
            <w:r>
              <w:rPr>
                <w:lang w:eastAsia="en-AU"/>
              </w:rPr>
              <w:t xml:space="preserve">Claim </w:t>
            </w:r>
            <w:r w:rsidRPr="001E2152">
              <w:rPr>
                <w:lang w:eastAsia="en-AU"/>
              </w:rPr>
              <w:t>Incentive</w:t>
            </w:r>
          </w:p>
        </w:tc>
        <w:tc>
          <w:tcPr>
            <w:tcW w:w="690" w:type="pct"/>
            <w:tcBorders>
              <w:top w:val="single" w:sz="4" w:space="0" w:color="auto"/>
              <w:left w:val="nil"/>
              <w:bottom w:val="single" w:sz="8" w:space="0" w:color="auto"/>
              <w:right w:val="nil"/>
            </w:tcBorders>
            <w:shd w:val="clear" w:color="auto" w:fill="auto"/>
            <w:noWrap/>
            <w:vAlign w:val="center"/>
            <w:hideMark/>
          </w:tcPr>
          <w:p w14:paraId="57D4287E" w14:textId="77777777" w:rsidR="00135946" w:rsidRPr="001E2152" w:rsidRDefault="00135946" w:rsidP="00135946">
            <w:pPr>
              <w:pStyle w:val="Tablenumber"/>
              <w:rPr>
                <w:lang w:eastAsia="en-AU"/>
              </w:rPr>
            </w:pPr>
            <w:r>
              <w:rPr>
                <w:lang w:eastAsia="en-AU"/>
              </w:rPr>
              <w:t>Not claim</w:t>
            </w:r>
          </w:p>
        </w:tc>
        <w:tc>
          <w:tcPr>
            <w:tcW w:w="704" w:type="pct"/>
            <w:tcBorders>
              <w:top w:val="single" w:sz="4" w:space="0" w:color="auto"/>
              <w:left w:val="nil"/>
              <w:bottom w:val="single" w:sz="8" w:space="0" w:color="auto"/>
              <w:right w:val="nil"/>
            </w:tcBorders>
            <w:shd w:val="clear" w:color="auto" w:fill="auto"/>
            <w:noWrap/>
            <w:vAlign w:val="center"/>
            <w:hideMark/>
          </w:tcPr>
          <w:p w14:paraId="012258BF" w14:textId="77777777" w:rsidR="00135946" w:rsidRPr="001E2152" w:rsidRDefault="00135946" w:rsidP="00135946">
            <w:pPr>
              <w:pStyle w:val="Tablenumber"/>
              <w:rPr>
                <w:lang w:eastAsia="en-AU"/>
              </w:rPr>
            </w:pPr>
            <w:r>
              <w:rPr>
                <w:lang w:eastAsia="en-AU"/>
              </w:rPr>
              <w:t>Total</w:t>
            </w:r>
          </w:p>
        </w:tc>
        <w:tc>
          <w:tcPr>
            <w:tcW w:w="939" w:type="pct"/>
            <w:tcBorders>
              <w:top w:val="single" w:sz="4" w:space="0" w:color="auto"/>
              <w:left w:val="nil"/>
              <w:bottom w:val="single" w:sz="8" w:space="0" w:color="auto"/>
              <w:right w:val="nil"/>
            </w:tcBorders>
            <w:shd w:val="clear" w:color="auto" w:fill="auto"/>
            <w:noWrap/>
            <w:vAlign w:val="center"/>
            <w:hideMark/>
          </w:tcPr>
          <w:p w14:paraId="1DB34B3D" w14:textId="77777777" w:rsidR="00135946" w:rsidRPr="001E2152" w:rsidRDefault="00135946" w:rsidP="00135946">
            <w:pPr>
              <w:pStyle w:val="Tablenumber"/>
              <w:rPr>
                <w:lang w:eastAsia="en-AU"/>
              </w:rPr>
            </w:pPr>
            <w:r>
              <w:rPr>
                <w:lang w:eastAsia="en-AU"/>
              </w:rPr>
              <w:t xml:space="preserve">Not </w:t>
            </w:r>
            <w:r w:rsidRPr="001E2152">
              <w:rPr>
                <w:lang w:eastAsia="en-AU"/>
              </w:rPr>
              <w:t>Claim / Total</w:t>
            </w:r>
          </w:p>
        </w:tc>
      </w:tr>
      <w:tr w:rsidR="00FF65B1" w:rsidRPr="001E2152" w14:paraId="631FE0B5" w14:textId="77777777" w:rsidTr="00D04A09">
        <w:trPr>
          <w:cantSplit/>
          <w:trHeight w:val="270"/>
        </w:trPr>
        <w:tc>
          <w:tcPr>
            <w:tcW w:w="862" w:type="pct"/>
            <w:tcBorders>
              <w:top w:val="nil"/>
              <w:left w:val="nil"/>
              <w:bottom w:val="nil"/>
              <w:right w:val="nil"/>
            </w:tcBorders>
            <w:shd w:val="clear" w:color="auto" w:fill="auto"/>
            <w:noWrap/>
            <w:vAlign w:val="center"/>
            <w:hideMark/>
          </w:tcPr>
          <w:p w14:paraId="59229A59" w14:textId="77777777" w:rsidR="001576C3" w:rsidRPr="001E2152" w:rsidRDefault="001576C3" w:rsidP="001576C3">
            <w:pPr>
              <w:pStyle w:val="Tablenumber"/>
              <w:rPr>
                <w:lang w:eastAsia="en-AU"/>
              </w:rPr>
            </w:pPr>
            <w:r w:rsidRPr="001E2152">
              <w:rPr>
                <w:lang w:eastAsia="en-AU"/>
              </w:rPr>
              <w:t>2005</w:t>
            </w:r>
          </w:p>
        </w:tc>
        <w:tc>
          <w:tcPr>
            <w:tcW w:w="984" w:type="pct"/>
            <w:tcBorders>
              <w:top w:val="nil"/>
              <w:left w:val="nil"/>
              <w:bottom w:val="nil"/>
              <w:right w:val="nil"/>
            </w:tcBorders>
            <w:shd w:val="clear" w:color="auto" w:fill="auto"/>
            <w:noWrap/>
            <w:vAlign w:val="center"/>
            <w:hideMark/>
          </w:tcPr>
          <w:p w14:paraId="1F882715" w14:textId="77777777" w:rsidR="001576C3" w:rsidRPr="001E2152" w:rsidRDefault="001576C3" w:rsidP="001576C3">
            <w:pPr>
              <w:pStyle w:val="Tablenumber"/>
              <w:rPr>
                <w:lang w:eastAsia="en-AU"/>
              </w:rPr>
            </w:pPr>
            <w:r w:rsidRPr="001E2152">
              <w:rPr>
                <w:lang w:eastAsia="en-AU"/>
              </w:rPr>
              <w:t>2,969</w:t>
            </w:r>
          </w:p>
        </w:tc>
        <w:tc>
          <w:tcPr>
            <w:tcW w:w="820" w:type="pct"/>
            <w:tcBorders>
              <w:top w:val="nil"/>
              <w:left w:val="nil"/>
              <w:bottom w:val="nil"/>
              <w:right w:val="nil"/>
            </w:tcBorders>
            <w:shd w:val="clear" w:color="auto" w:fill="auto"/>
            <w:noWrap/>
            <w:vAlign w:val="center"/>
            <w:hideMark/>
          </w:tcPr>
          <w:p w14:paraId="45502227" w14:textId="77777777" w:rsidR="001576C3" w:rsidRPr="001E2152" w:rsidRDefault="001576C3" w:rsidP="001576C3">
            <w:pPr>
              <w:pStyle w:val="Tablenumber"/>
              <w:rPr>
                <w:lang w:eastAsia="en-AU"/>
              </w:rPr>
            </w:pPr>
            <w:r w:rsidRPr="001E2152">
              <w:rPr>
                <w:lang w:eastAsia="en-AU"/>
              </w:rPr>
              <w:t>0</w:t>
            </w:r>
          </w:p>
        </w:tc>
        <w:tc>
          <w:tcPr>
            <w:tcW w:w="690" w:type="pct"/>
            <w:tcBorders>
              <w:top w:val="nil"/>
              <w:left w:val="nil"/>
              <w:bottom w:val="nil"/>
              <w:right w:val="nil"/>
            </w:tcBorders>
            <w:shd w:val="clear" w:color="auto" w:fill="auto"/>
            <w:noWrap/>
            <w:vAlign w:val="center"/>
            <w:hideMark/>
          </w:tcPr>
          <w:p w14:paraId="2E3AFD9F" w14:textId="77777777" w:rsidR="001576C3" w:rsidRPr="001E2152" w:rsidRDefault="001576C3" w:rsidP="001576C3">
            <w:pPr>
              <w:pStyle w:val="Tablenumber"/>
              <w:rPr>
                <w:lang w:eastAsia="en-AU"/>
              </w:rPr>
            </w:pPr>
            <w:r w:rsidRPr="001E2152">
              <w:rPr>
                <w:lang w:eastAsia="en-AU"/>
              </w:rPr>
              <w:t>1,195</w:t>
            </w:r>
          </w:p>
        </w:tc>
        <w:tc>
          <w:tcPr>
            <w:tcW w:w="704" w:type="pct"/>
            <w:tcBorders>
              <w:top w:val="nil"/>
              <w:left w:val="nil"/>
              <w:bottom w:val="nil"/>
              <w:right w:val="nil"/>
            </w:tcBorders>
            <w:shd w:val="clear" w:color="auto" w:fill="auto"/>
            <w:noWrap/>
            <w:vAlign w:val="center"/>
            <w:hideMark/>
          </w:tcPr>
          <w:p w14:paraId="2820933B" w14:textId="04A621DE" w:rsidR="001576C3" w:rsidRPr="001E2152" w:rsidRDefault="006C17F2" w:rsidP="001576C3">
            <w:pPr>
              <w:pStyle w:val="Tablenumber"/>
              <w:rPr>
                <w:lang w:eastAsia="en-AU"/>
              </w:rPr>
            </w:pPr>
            <w:r>
              <w:rPr>
                <w:rFonts w:cs="Calibri"/>
                <w:color w:val="000000"/>
              </w:rPr>
              <w:t>4,16</w:t>
            </w:r>
            <w:r w:rsidR="001576C3">
              <w:rPr>
                <w:rFonts w:cs="Calibri"/>
                <w:color w:val="000000"/>
              </w:rPr>
              <w:t>4</w:t>
            </w:r>
          </w:p>
        </w:tc>
        <w:tc>
          <w:tcPr>
            <w:tcW w:w="939" w:type="pct"/>
            <w:tcBorders>
              <w:top w:val="nil"/>
              <w:left w:val="nil"/>
              <w:bottom w:val="nil"/>
              <w:right w:val="nil"/>
            </w:tcBorders>
            <w:shd w:val="clear" w:color="auto" w:fill="auto"/>
            <w:noWrap/>
            <w:vAlign w:val="center"/>
            <w:hideMark/>
          </w:tcPr>
          <w:p w14:paraId="04BD0971" w14:textId="77777777" w:rsidR="001576C3" w:rsidRPr="001E2152" w:rsidRDefault="001576C3" w:rsidP="001576C3">
            <w:pPr>
              <w:pStyle w:val="Tablenumber"/>
              <w:rPr>
                <w:lang w:eastAsia="en-AU"/>
              </w:rPr>
            </w:pPr>
            <w:r>
              <w:rPr>
                <w:rFonts w:cs="Calibri"/>
                <w:color w:val="000000"/>
              </w:rPr>
              <w:t>0.29</w:t>
            </w:r>
          </w:p>
        </w:tc>
      </w:tr>
      <w:tr w:rsidR="00FF65B1" w:rsidRPr="001E2152" w14:paraId="07EE5C7B" w14:textId="77777777" w:rsidTr="00D04A09">
        <w:trPr>
          <w:cantSplit/>
          <w:trHeight w:val="270"/>
        </w:trPr>
        <w:tc>
          <w:tcPr>
            <w:tcW w:w="862" w:type="pct"/>
            <w:tcBorders>
              <w:top w:val="nil"/>
              <w:left w:val="nil"/>
              <w:bottom w:val="nil"/>
              <w:right w:val="nil"/>
            </w:tcBorders>
            <w:shd w:val="clear" w:color="auto" w:fill="auto"/>
            <w:noWrap/>
            <w:vAlign w:val="center"/>
            <w:hideMark/>
          </w:tcPr>
          <w:p w14:paraId="58FC637B" w14:textId="77777777" w:rsidR="001576C3" w:rsidRPr="001E2152" w:rsidRDefault="001576C3" w:rsidP="001576C3">
            <w:pPr>
              <w:pStyle w:val="Tablenumber"/>
              <w:rPr>
                <w:lang w:eastAsia="en-AU"/>
              </w:rPr>
            </w:pPr>
            <w:r w:rsidRPr="001E2152">
              <w:rPr>
                <w:lang w:eastAsia="en-AU"/>
              </w:rPr>
              <w:t>2006</w:t>
            </w:r>
          </w:p>
        </w:tc>
        <w:tc>
          <w:tcPr>
            <w:tcW w:w="984" w:type="pct"/>
            <w:tcBorders>
              <w:top w:val="nil"/>
              <w:left w:val="nil"/>
              <w:bottom w:val="nil"/>
              <w:right w:val="nil"/>
            </w:tcBorders>
            <w:shd w:val="clear" w:color="auto" w:fill="auto"/>
            <w:noWrap/>
            <w:vAlign w:val="center"/>
            <w:hideMark/>
          </w:tcPr>
          <w:p w14:paraId="65815CD1" w14:textId="77777777" w:rsidR="001576C3" w:rsidRPr="001E2152" w:rsidRDefault="001576C3" w:rsidP="001576C3">
            <w:pPr>
              <w:pStyle w:val="Tablenumber"/>
              <w:rPr>
                <w:lang w:eastAsia="en-AU"/>
              </w:rPr>
            </w:pPr>
            <w:r w:rsidRPr="001E2152">
              <w:rPr>
                <w:lang w:eastAsia="en-AU"/>
              </w:rPr>
              <w:t>3,225</w:t>
            </w:r>
          </w:p>
        </w:tc>
        <w:tc>
          <w:tcPr>
            <w:tcW w:w="820" w:type="pct"/>
            <w:tcBorders>
              <w:top w:val="nil"/>
              <w:left w:val="nil"/>
              <w:bottom w:val="nil"/>
              <w:right w:val="nil"/>
            </w:tcBorders>
            <w:shd w:val="clear" w:color="auto" w:fill="auto"/>
            <w:noWrap/>
            <w:vAlign w:val="center"/>
            <w:hideMark/>
          </w:tcPr>
          <w:p w14:paraId="2ED2B6C9" w14:textId="77777777" w:rsidR="001576C3" w:rsidRPr="001E2152" w:rsidRDefault="001576C3" w:rsidP="001576C3">
            <w:pPr>
              <w:pStyle w:val="Tablenumber"/>
              <w:rPr>
                <w:lang w:eastAsia="en-AU"/>
              </w:rPr>
            </w:pPr>
            <w:r w:rsidRPr="001E2152">
              <w:rPr>
                <w:lang w:eastAsia="en-AU"/>
              </w:rPr>
              <w:t>0</w:t>
            </w:r>
          </w:p>
        </w:tc>
        <w:tc>
          <w:tcPr>
            <w:tcW w:w="690" w:type="pct"/>
            <w:tcBorders>
              <w:top w:val="nil"/>
              <w:left w:val="nil"/>
              <w:bottom w:val="nil"/>
              <w:right w:val="nil"/>
            </w:tcBorders>
            <w:shd w:val="clear" w:color="auto" w:fill="auto"/>
            <w:noWrap/>
            <w:vAlign w:val="center"/>
            <w:hideMark/>
          </w:tcPr>
          <w:p w14:paraId="64BB1655" w14:textId="77777777" w:rsidR="001576C3" w:rsidRPr="001E2152" w:rsidRDefault="001576C3" w:rsidP="001576C3">
            <w:pPr>
              <w:pStyle w:val="Tablenumber"/>
              <w:rPr>
                <w:lang w:eastAsia="en-AU"/>
              </w:rPr>
            </w:pPr>
            <w:r w:rsidRPr="001E2152">
              <w:rPr>
                <w:lang w:eastAsia="en-AU"/>
              </w:rPr>
              <w:t>969</w:t>
            </w:r>
          </w:p>
        </w:tc>
        <w:tc>
          <w:tcPr>
            <w:tcW w:w="704" w:type="pct"/>
            <w:tcBorders>
              <w:top w:val="nil"/>
              <w:left w:val="nil"/>
              <w:bottom w:val="nil"/>
              <w:right w:val="nil"/>
            </w:tcBorders>
            <w:shd w:val="clear" w:color="auto" w:fill="auto"/>
            <w:noWrap/>
            <w:vAlign w:val="center"/>
            <w:hideMark/>
          </w:tcPr>
          <w:p w14:paraId="7854A87F" w14:textId="77777777" w:rsidR="001576C3" w:rsidRPr="001E2152" w:rsidRDefault="001576C3" w:rsidP="001576C3">
            <w:pPr>
              <w:pStyle w:val="Tablenumber"/>
              <w:rPr>
                <w:lang w:eastAsia="en-AU"/>
              </w:rPr>
            </w:pPr>
            <w:r>
              <w:rPr>
                <w:rFonts w:cs="Calibri"/>
                <w:color w:val="000000"/>
              </w:rPr>
              <w:t>4,194</w:t>
            </w:r>
          </w:p>
        </w:tc>
        <w:tc>
          <w:tcPr>
            <w:tcW w:w="939" w:type="pct"/>
            <w:tcBorders>
              <w:top w:val="nil"/>
              <w:left w:val="nil"/>
              <w:bottom w:val="nil"/>
              <w:right w:val="nil"/>
            </w:tcBorders>
            <w:shd w:val="clear" w:color="auto" w:fill="auto"/>
            <w:noWrap/>
            <w:vAlign w:val="center"/>
            <w:hideMark/>
          </w:tcPr>
          <w:p w14:paraId="62D1065F" w14:textId="77777777" w:rsidR="001576C3" w:rsidRPr="001E2152" w:rsidRDefault="001576C3" w:rsidP="001576C3">
            <w:pPr>
              <w:pStyle w:val="Tablenumber"/>
              <w:rPr>
                <w:lang w:eastAsia="en-AU"/>
              </w:rPr>
            </w:pPr>
            <w:r>
              <w:rPr>
                <w:rFonts w:cs="Calibri"/>
                <w:color w:val="000000"/>
              </w:rPr>
              <w:t>0.23</w:t>
            </w:r>
          </w:p>
        </w:tc>
      </w:tr>
      <w:tr w:rsidR="00FF65B1" w:rsidRPr="001E2152" w14:paraId="084B1008" w14:textId="77777777" w:rsidTr="00D04A09">
        <w:trPr>
          <w:cantSplit/>
          <w:trHeight w:val="270"/>
        </w:trPr>
        <w:tc>
          <w:tcPr>
            <w:tcW w:w="862" w:type="pct"/>
            <w:tcBorders>
              <w:top w:val="nil"/>
              <w:left w:val="nil"/>
              <w:bottom w:val="nil"/>
              <w:right w:val="nil"/>
            </w:tcBorders>
            <w:shd w:val="clear" w:color="auto" w:fill="auto"/>
            <w:noWrap/>
            <w:vAlign w:val="center"/>
            <w:hideMark/>
          </w:tcPr>
          <w:p w14:paraId="5E5E98B9" w14:textId="77777777" w:rsidR="001576C3" w:rsidRPr="001E2152" w:rsidRDefault="001576C3" w:rsidP="001576C3">
            <w:pPr>
              <w:pStyle w:val="Tablenumber"/>
              <w:rPr>
                <w:lang w:eastAsia="en-AU"/>
              </w:rPr>
            </w:pPr>
            <w:r w:rsidRPr="001E2152">
              <w:rPr>
                <w:lang w:eastAsia="en-AU"/>
              </w:rPr>
              <w:t>2007</w:t>
            </w:r>
          </w:p>
        </w:tc>
        <w:tc>
          <w:tcPr>
            <w:tcW w:w="984" w:type="pct"/>
            <w:tcBorders>
              <w:top w:val="nil"/>
              <w:left w:val="nil"/>
              <w:bottom w:val="nil"/>
              <w:right w:val="nil"/>
            </w:tcBorders>
            <w:shd w:val="clear" w:color="auto" w:fill="auto"/>
            <w:noWrap/>
            <w:vAlign w:val="center"/>
            <w:hideMark/>
          </w:tcPr>
          <w:p w14:paraId="6E15DA54" w14:textId="77777777" w:rsidR="001576C3" w:rsidRPr="001E2152" w:rsidRDefault="001576C3" w:rsidP="001576C3">
            <w:pPr>
              <w:pStyle w:val="Tablenumber"/>
              <w:rPr>
                <w:lang w:eastAsia="en-AU"/>
              </w:rPr>
            </w:pPr>
            <w:r w:rsidRPr="001E2152">
              <w:rPr>
                <w:lang w:eastAsia="en-AU"/>
              </w:rPr>
              <w:t>3,308</w:t>
            </w:r>
          </w:p>
        </w:tc>
        <w:tc>
          <w:tcPr>
            <w:tcW w:w="820" w:type="pct"/>
            <w:tcBorders>
              <w:top w:val="nil"/>
              <w:left w:val="nil"/>
              <w:bottom w:val="nil"/>
              <w:right w:val="nil"/>
            </w:tcBorders>
            <w:shd w:val="clear" w:color="auto" w:fill="auto"/>
            <w:noWrap/>
            <w:vAlign w:val="center"/>
            <w:hideMark/>
          </w:tcPr>
          <w:p w14:paraId="5765C2A6" w14:textId="77777777" w:rsidR="001576C3" w:rsidRPr="001E2152" w:rsidRDefault="001576C3" w:rsidP="001576C3">
            <w:pPr>
              <w:pStyle w:val="Tablenumber"/>
              <w:rPr>
                <w:lang w:eastAsia="en-AU"/>
              </w:rPr>
            </w:pPr>
            <w:r w:rsidRPr="001E2152">
              <w:rPr>
                <w:lang w:eastAsia="en-AU"/>
              </w:rPr>
              <w:t>0</w:t>
            </w:r>
          </w:p>
        </w:tc>
        <w:tc>
          <w:tcPr>
            <w:tcW w:w="690" w:type="pct"/>
            <w:tcBorders>
              <w:top w:val="nil"/>
              <w:left w:val="nil"/>
              <w:bottom w:val="nil"/>
              <w:right w:val="nil"/>
            </w:tcBorders>
            <w:shd w:val="clear" w:color="auto" w:fill="auto"/>
            <w:noWrap/>
            <w:vAlign w:val="center"/>
            <w:hideMark/>
          </w:tcPr>
          <w:p w14:paraId="75E936FD" w14:textId="77777777" w:rsidR="001576C3" w:rsidRPr="001E2152" w:rsidRDefault="001576C3" w:rsidP="001576C3">
            <w:pPr>
              <w:pStyle w:val="Tablenumber"/>
              <w:rPr>
                <w:lang w:eastAsia="en-AU"/>
              </w:rPr>
            </w:pPr>
            <w:r w:rsidRPr="001E2152">
              <w:rPr>
                <w:lang w:eastAsia="en-AU"/>
              </w:rPr>
              <w:t>908</w:t>
            </w:r>
          </w:p>
        </w:tc>
        <w:tc>
          <w:tcPr>
            <w:tcW w:w="704" w:type="pct"/>
            <w:tcBorders>
              <w:top w:val="nil"/>
              <w:left w:val="nil"/>
              <w:bottom w:val="nil"/>
              <w:right w:val="nil"/>
            </w:tcBorders>
            <w:shd w:val="clear" w:color="auto" w:fill="auto"/>
            <w:noWrap/>
            <w:vAlign w:val="center"/>
            <w:hideMark/>
          </w:tcPr>
          <w:p w14:paraId="0EEF7C34" w14:textId="77777777" w:rsidR="001576C3" w:rsidRPr="001E2152" w:rsidRDefault="001576C3" w:rsidP="001576C3">
            <w:pPr>
              <w:pStyle w:val="Tablenumber"/>
              <w:rPr>
                <w:lang w:eastAsia="en-AU"/>
              </w:rPr>
            </w:pPr>
            <w:r>
              <w:rPr>
                <w:rFonts w:cs="Calibri"/>
                <w:color w:val="000000"/>
              </w:rPr>
              <w:t>4,216</w:t>
            </w:r>
          </w:p>
        </w:tc>
        <w:tc>
          <w:tcPr>
            <w:tcW w:w="939" w:type="pct"/>
            <w:tcBorders>
              <w:top w:val="nil"/>
              <w:left w:val="nil"/>
              <w:bottom w:val="nil"/>
              <w:right w:val="nil"/>
            </w:tcBorders>
            <w:shd w:val="clear" w:color="auto" w:fill="auto"/>
            <w:noWrap/>
            <w:vAlign w:val="center"/>
            <w:hideMark/>
          </w:tcPr>
          <w:p w14:paraId="147C86C6" w14:textId="77777777" w:rsidR="001576C3" w:rsidRPr="001E2152" w:rsidRDefault="001576C3" w:rsidP="001576C3">
            <w:pPr>
              <w:pStyle w:val="Tablenumber"/>
              <w:rPr>
                <w:lang w:eastAsia="en-AU"/>
              </w:rPr>
            </w:pPr>
            <w:r>
              <w:rPr>
                <w:rFonts w:cs="Calibri"/>
                <w:color w:val="000000"/>
              </w:rPr>
              <w:t>0.22</w:t>
            </w:r>
          </w:p>
        </w:tc>
      </w:tr>
      <w:tr w:rsidR="00FF65B1" w:rsidRPr="001E2152" w14:paraId="53D27B8B" w14:textId="77777777" w:rsidTr="00D04A09">
        <w:trPr>
          <w:cantSplit/>
          <w:trHeight w:val="270"/>
        </w:trPr>
        <w:tc>
          <w:tcPr>
            <w:tcW w:w="862" w:type="pct"/>
            <w:tcBorders>
              <w:top w:val="nil"/>
              <w:left w:val="nil"/>
              <w:bottom w:val="nil"/>
              <w:right w:val="nil"/>
            </w:tcBorders>
            <w:shd w:val="clear" w:color="auto" w:fill="auto"/>
            <w:noWrap/>
            <w:vAlign w:val="center"/>
            <w:hideMark/>
          </w:tcPr>
          <w:p w14:paraId="42B2BBED" w14:textId="77777777" w:rsidR="001576C3" w:rsidRPr="001E2152" w:rsidRDefault="001576C3" w:rsidP="001576C3">
            <w:pPr>
              <w:pStyle w:val="Tablenumber"/>
              <w:rPr>
                <w:lang w:eastAsia="en-AU"/>
              </w:rPr>
            </w:pPr>
            <w:r w:rsidRPr="001E2152">
              <w:rPr>
                <w:lang w:eastAsia="en-AU"/>
              </w:rPr>
              <w:t>2008</w:t>
            </w:r>
          </w:p>
        </w:tc>
        <w:tc>
          <w:tcPr>
            <w:tcW w:w="984" w:type="pct"/>
            <w:tcBorders>
              <w:top w:val="nil"/>
              <w:left w:val="nil"/>
              <w:bottom w:val="nil"/>
              <w:right w:val="nil"/>
            </w:tcBorders>
            <w:shd w:val="clear" w:color="auto" w:fill="auto"/>
            <w:noWrap/>
            <w:vAlign w:val="center"/>
            <w:hideMark/>
          </w:tcPr>
          <w:p w14:paraId="5DE055B4" w14:textId="77777777" w:rsidR="001576C3" w:rsidRPr="001E2152" w:rsidRDefault="001576C3" w:rsidP="001576C3">
            <w:pPr>
              <w:pStyle w:val="Tablenumber"/>
              <w:rPr>
                <w:lang w:eastAsia="en-AU"/>
              </w:rPr>
            </w:pPr>
            <w:r w:rsidRPr="001E2152">
              <w:rPr>
                <w:lang w:eastAsia="en-AU"/>
              </w:rPr>
              <w:t>3,630</w:t>
            </w:r>
          </w:p>
        </w:tc>
        <w:tc>
          <w:tcPr>
            <w:tcW w:w="820" w:type="pct"/>
            <w:tcBorders>
              <w:top w:val="nil"/>
              <w:left w:val="nil"/>
              <w:bottom w:val="nil"/>
              <w:right w:val="nil"/>
            </w:tcBorders>
            <w:shd w:val="clear" w:color="auto" w:fill="auto"/>
            <w:noWrap/>
            <w:vAlign w:val="center"/>
            <w:hideMark/>
          </w:tcPr>
          <w:p w14:paraId="0244B5BB" w14:textId="77777777" w:rsidR="001576C3" w:rsidRPr="001E2152" w:rsidRDefault="001576C3" w:rsidP="001576C3">
            <w:pPr>
              <w:pStyle w:val="Tablenumber"/>
              <w:rPr>
                <w:lang w:eastAsia="en-AU"/>
              </w:rPr>
            </w:pPr>
            <w:r w:rsidRPr="001E2152">
              <w:rPr>
                <w:lang w:eastAsia="en-AU"/>
              </w:rPr>
              <w:t>0</w:t>
            </w:r>
          </w:p>
        </w:tc>
        <w:tc>
          <w:tcPr>
            <w:tcW w:w="690" w:type="pct"/>
            <w:tcBorders>
              <w:top w:val="nil"/>
              <w:left w:val="nil"/>
              <w:bottom w:val="nil"/>
              <w:right w:val="nil"/>
            </w:tcBorders>
            <w:shd w:val="clear" w:color="auto" w:fill="auto"/>
            <w:noWrap/>
            <w:vAlign w:val="center"/>
            <w:hideMark/>
          </w:tcPr>
          <w:p w14:paraId="20FC8A85" w14:textId="77777777" w:rsidR="001576C3" w:rsidRPr="001E2152" w:rsidRDefault="001576C3" w:rsidP="001576C3">
            <w:pPr>
              <w:pStyle w:val="Tablenumber"/>
              <w:rPr>
                <w:lang w:eastAsia="en-AU"/>
              </w:rPr>
            </w:pPr>
            <w:r w:rsidRPr="001E2152">
              <w:rPr>
                <w:lang w:eastAsia="en-AU"/>
              </w:rPr>
              <w:t>885</w:t>
            </w:r>
          </w:p>
        </w:tc>
        <w:tc>
          <w:tcPr>
            <w:tcW w:w="704" w:type="pct"/>
            <w:tcBorders>
              <w:top w:val="nil"/>
              <w:left w:val="nil"/>
              <w:bottom w:val="nil"/>
              <w:right w:val="nil"/>
            </w:tcBorders>
            <w:shd w:val="clear" w:color="auto" w:fill="auto"/>
            <w:noWrap/>
            <w:vAlign w:val="center"/>
            <w:hideMark/>
          </w:tcPr>
          <w:p w14:paraId="135AE404" w14:textId="77777777" w:rsidR="001576C3" w:rsidRPr="001E2152" w:rsidRDefault="001576C3" w:rsidP="001576C3">
            <w:pPr>
              <w:pStyle w:val="Tablenumber"/>
              <w:rPr>
                <w:lang w:eastAsia="en-AU"/>
              </w:rPr>
            </w:pPr>
            <w:r>
              <w:rPr>
                <w:rFonts w:cs="Calibri"/>
                <w:color w:val="000000"/>
              </w:rPr>
              <w:t>4,515</w:t>
            </w:r>
          </w:p>
        </w:tc>
        <w:tc>
          <w:tcPr>
            <w:tcW w:w="939" w:type="pct"/>
            <w:tcBorders>
              <w:top w:val="nil"/>
              <w:left w:val="nil"/>
              <w:bottom w:val="nil"/>
              <w:right w:val="nil"/>
            </w:tcBorders>
            <w:shd w:val="clear" w:color="auto" w:fill="auto"/>
            <w:noWrap/>
            <w:vAlign w:val="center"/>
            <w:hideMark/>
          </w:tcPr>
          <w:p w14:paraId="20EA33D0" w14:textId="77777777" w:rsidR="001576C3" w:rsidRPr="001E2152" w:rsidRDefault="001576C3" w:rsidP="001576C3">
            <w:pPr>
              <w:pStyle w:val="Tablenumber"/>
              <w:rPr>
                <w:lang w:eastAsia="en-AU"/>
              </w:rPr>
            </w:pPr>
            <w:r>
              <w:rPr>
                <w:rFonts w:cs="Calibri"/>
                <w:color w:val="000000"/>
              </w:rPr>
              <w:t>0.20</w:t>
            </w:r>
          </w:p>
        </w:tc>
      </w:tr>
      <w:tr w:rsidR="00FF65B1" w:rsidRPr="001E2152" w14:paraId="708ECF5B" w14:textId="77777777" w:rsidTr="00D04A09">
        <w:trPr>
          <w:cantSplit/>
          <w:trHeight w:val="270"/>
        </w:trPr>
        <w:tc>
          <w:tcPr>
            <w:tcW w:w="862" w:type="pct"/>
            <w:tcBorders>
              <w:top w:val="nil"/>
              <w:left w:val="nil"/>
              <w:bottom w:val="nil"/>
              <w:right w:val="nil"/>
            </w:tcBorders>
            <w:shd w:val="clear" w:color="auto" w:fill="auto"/>
            <w:noWrap/>
            <w:vAlign w:val="center"/>
            <w:hideMark/>
          </w:tcPr>
          <w:p w14:paraId="4CDA5A30" w14:textId="77777777" w:rsidR="001576C3" w:rsidRPr="001E2152" w:rsidRDefault="001576C3" w:rsidP="001576C3">
            <w:pPr>
              <w:pStyle w:val="Tablenumber"/>
              <w:rPr>
                <w:lang w:eastAsia="en-AU"/>
              </w:rPr>
            </w:pPr>
            <w:r w:rsidRPr="001E2152">
              <w:rPr>
                <w:lang w:eastAsia="en-AU"/>
              </w:rPr>
              <w:t>2009</w:t>
            </w:r>
          </w:p>
        </w:tc>
        <w:tc>
          <w:tcPr>
            <w:tcW w:w="984" w:type="pct"/>
            <w:tcBorders>
              <w:top w:val="nil"/>
              <w:left w:val="nil"/>
              <w:bottom w:val="nil"/>
              <w:right w:val="nil"/>
            </w:tcBorders>
            <w:shd w:val="clear" w:color="auto" w:fill="auto"/>
            <w:noWrap/>
            <w:vAlign w:val="center"/>
            <w:hideMark/>
          </w:tcPr>
          <w:p w14:paraId="6FC2C358" w14:textId="77777777" w:rsidR="001576C3" w:rsidRPr="001E2152" w:rsidRDefault="001576C3" w:rsidP="001576C3">
            <w:pPr>
              <w:pStyle w:val="Tablenumber"/>
              <w:rPr>
                <w:lang w:eastAsia="en-AU"/>
              </w:rPr>
            </w:pPr>
            <w:r w:rsidRPr="001E2152">
              <w:rPr>
                <w:lang w:eastAsia="en-AU"/>
              </w:rPr>
              <w:t>3,924</w:t>
            </w:r>
          </w:p>
        </w:tc>
        <w:tc>
          <w:tcPr>
            <w:tcW w:w="820" w:type="pct"/>
            <w:tcBorders>
              <w:top w:val="nil"/>
              <w:left w:val="nil"/>
              <w:bottom w:val="nil"/>
              <w:right w:val="nil"/>
            </w:tcBorders>
            <w:shd w:val="clear" w:color="auto" w:fill="auto"/>
            <w:noWrap/>
            <w:vAlign w:val="center"/>
            <w:hideMark/>
          </w:tcPr>
          <w:p w14:paraId="1DCCF3FE" w14:textId="77777777" w:rsidR="001576C3" w:rsidRPr="001E2152" w:rsidRDefault="001576C3" w:rsidP="001576C3">
            <w:pPr>
              <w:pStyle w:val="Tablenumber"/>
              <w:rPr>
                <w:lang w:eastAsia="en-AU"/>
              </w:rPr>
            </w:pPr>
            <w:r w:rsidRPr="001E2152">
              <w:rPr>
                <w:lang w:eastAsia="en-AU"/>
              </w:rPr>
              <w:t>0</w:t>
            </w:r>
          </w:p>
        </w:tc>
        <w:tc>
          <w:tcPr>
            <w:tcW w:w="690" w:type="pct"/>
            <w:tcBorders>
              <w:top w:val="nil"/>
              <w:left w:val="nil"/>
              <w:bottom w:val="nil"/>
              <w:right w:val="nil"/>
            </w:tcBorders>
            <w:shd w:val="clear" w:color="auto" w:fill="auto"/>
            <w:noWrap/>
            <w:vAlign w:val="center"/>
            <w:hideMark/>
          </w:tcPr>
          <w:p w14:paraId="5AB915D6" w14:textId="77777777" w:rsidR="001576C3" w:rsidRPr="001E2152" w:rsidRDefault="001576C3" w:rsidP="001576C3">
            <w:pPr>
              <w:pStyle w:val="Tablenumber"/>
              <w:rPr>
                <w:lang w:eastAsia="en-AU"/>
              </w:rPr>
            </w:pPr>
            <w:r w:rsidRPr="001E2152">
              <w:rPr>
                <w:lang w:eastAsia="en-AU"/>
              </w:rPr>
              <w:t>871</w:t>
            </w:r>
          </w:p>
        </w:tc>
        <w:tc>
          <w:tcPr>
            <w:tcW w:w="704" w:type="pct"/>
            <w:tcBorders>
              <w:top w:val="nil"/>
              <w:left w:val="nil"/>
              <w:bottom w:val="nil"/>
              <w:right w:val="nil"/>
            </w:tcBorders>
            <w:shd w:val="clear" w:color="auto" w:fill="auto"/>
            <w:noWrap/>
            <w:vAlign w:val="center"/>
            <w:hideMark/>
          </w:tcPr>
          <w:p w14:paraId="0987A649" w14:textId="77777777" w:rsidR="001576C3" w:rsidRPr="001E2152" w:rsidRDefault="001576C3" w:rsidP="001576C3">
            <w:pPr>
              <w:pStyle w:val="Tablenumber"/>
              <w:rPr>
                <w:lang w:eastAsia="en-AU"/>
              </w:rPr>
            </w:pPr>
            <w:r>
              <w:rPr>
                <w:rFonts w:cs="Calibri"/>
                <w:color w:val="000000"/>
              </w:rPr>
              <w:t>4,795</w:t>
            </w:r>
          </w:p>
        </w:tc>
        <w:tc>
          <w:tcPr>
            <w:tcW w:w="939" w:type="pct"/>
            <w:tcBorders>
              <w:top w:val="nil"/>
              <w:left w:val="nil"/>
              <w:bottom w:val="nil"/>
              <w:right w:val="nil"/>
            </w:tcBorders>
            <w:shd w:val="clear" w:color="auto" w:fill="auto"/>
            <w:noWrap/>
            <w:vAlign w:val="center"/>
            <w:hideMark/>
          </w:tcPr>
          <w:p w14:paraId="3402F571" w14:textId="77777777" w:rsidR="001576C3" w:rsidRPr="001E2152" w:rsidRDefault="001576C3" w:rsidP="001576C3">
            <w:pPr>
              <w:pStyle w:val="Tablenumber"/>
              <w:rPr>
                <w:lang w:eastAsia="en-AU"/>
              </w:rPr>
            </w:pPr>
            <w:r>
              <w:rPr>
                <w:rFonts w:cs="Calibri"/>
                <w:color w:val="000000"/>
              </w:rPr>
              <w:t>0.18</w:t>
            </w:r>
          </w:p>
        </w:tc>
      </w:tr>
      <w:tr w:rsidR="00FF65B1" w:rsidRPr="001E2152" w14:paraId="4BD2AB67" w14:textId="77777777" w:rsidTr="00D04A09">
        <w:trPr>
          <w:cantSplit/>
          <w:trHeight w:val="270"/>
        </w:trPr>
        <w:tc>
          <w:tcPr>
            <w:tcW w:w="862" w:type="pct"/>
            <w:tcBorders>
              <w:top w:val="nil"/>
              <w:left w:val="nil"/>
              <w:bottom w:val="nil"/>
              <w:right w:val="nil"/>
            </w:tcBorders>
            <w:shd w:val="clear" w:color="auto" w:fill="auto"/>
            <w:noWrap/>
            <w:vAlign w:val="center"/>
            <w:hideMark/>
          </w:tcPr>
          <w:p w14:paraId="31B5D80F" w14:textId="77777777" w:rsidR="001576C3" w:rsidRPr="001E2152" w:rsidRDefault="001576C3" w:rsidP="001576C3">
            <w:pPr>
              <w:pStyle w:val="Tablenumber"/>
              <w:rPr>
                <w:lang w:eastAsia="en-AU"/>
              </w:rPr>
            </w:pPr>
            <w:r w:rsidRPr="001E2152">
              <w:rPr>
                <w:lang w:eastAsia="en-AU"/>
              </w:rPr>
              <w:t>2010</w:t>
            </w:r>
          </w:p>
        </w:tc>
        <w:tc>
          <w:tcPr>
            <w:tcW w:w="984" w:type="pct"/>
            <w:tcBorders>
              <w:top w:val="nil"/>
              <w:left w:val="nil"/>
              <w:bottom w:val="nil"/>
              <w:right w:val="nil"/>
            </w:tcBorders>
            <w:shd w:val="clear" w:color="auto" w:fill="auto"/>
            <w:noWrap/>
            <w:vAlign w:val="center"/>
            <w:hideMark/>
          </w:tcPr>
          <w:p w14:paraId="282E96FC" w14:textId="77777777" w:rsidR="001576C3" w:rsidRPr="001E2152" w:rsidRDefault="001576C3" w:rsidP="001576C3">
            <w:pPr>
              <w:pStyle w:val="Tablenumber"/>
              <w:rPr>
                <w:lang w:eastAsia="en-AU"/>
              </w:rPr>
            </w:pPr>
            <w:r w:rsidRPr="001E2152">
              <w:rPr>
                <w:lang w:eastAsia="en-AU"/>
              </w:rPr>
              <w:t>4,241</w:t>
            </w:r>
          </w:p>
        </w:tc>
        <w:tc>
          <w:tcPr>
            <w:tcW w:w="820" w:type="pct"/>
            <w:tcBorders>
              <w:top w:val="nil"/>
              <w:left w:val="nil"/>
              <w:bottom w:val="nil"/>
              <w:right w:val="nil"/>
            </w:tcBorders>
            <w:shd w:val="clear" w:color="auto" w:fill="auto"/>
            <w:noWrap/>
            <w:vAlign w:val="center"/>
            <w:hideMark/>
          </w:tcPr>
          <w:p w14:paraId="1E630BBA" w14:textId="77777777" w:rsidR="001576C3" w:rsidRPr="001E2152" w:rsidRDefault="001576C3" w:rsidP="001576C3">
            <w:pPr>
              <w:pStyle w:val="Tablenumber"/>
              <w:rPr>
                <w:lang w:eastAsia="en-AU"/>
              </w:rPr>
            </w:pPr>
            <w:r w:rsidRPr="001E2152">
              <w:rPr>
                <w:lang w:eastAsia="en-AU"/>
              </w:rPr>
              <w:t>0</w:t>
            </w:r>
          </w:p>
        </w:tc>
        <w:tc>
          <w:tcPr>
            <w:tcW w:w="690" w:type="pct"/>
            <w:tcBorders>
              <w:top w:val="nil"/>
              <w:left w:val="nil"/>
              <w:bottom w:val="nil"/>
              <w:right w:val="nil"/>
            </w:tcBorders>
            <w:shd w:val="clear" w:color="auto" w:fill="auto"/>
            <w:noWrap/>
            <w:vAlign w:val="center"/>
            <w:hideMark/>
          </w:tcPr>
          <w:p w14:paraId="58C5B1AA" w14:textId="77777777" w:rsidR="001576C3" w:rsidRPr="001E2152" w:rsidRDefault="001576C3" w:rsidP="001576C3">
            <w:pPr>
              <w:pStyle w:val="Tablenumber"/>
              <w:rPr>
                <w:lang w:eastAsia="en-AU"/>
              </w:rPr>
            </w:pPr>
            <w:r w:rsidRPr="001E2152">
              <w:rPr>
                <w:lang w:eastAsia="en-AU"/>
              </w:rPr>
              <w:t>889</w:t>
            </w:r>
          </w:p>
        </w:tc>
        <w:tc>
          <w:tcPr>
            <w:tcW w:w="704" w:type="pct"/>
            <w:tcBorders>
              <w:top w:val="nil"/>
              <w:left w:val="nil"/>
              <w:bottom w:val="nil"/>
              <w:right w:val="nil"/>
            </w:tcBorders>
            <w:shd w:val="clear" w:color="auto" w:fill="auto"/>
            <w:noWrap/>
            <w:vAlign w:val="center"/>
            <w:hideMark/>
          </w:tcPr>
          <w:p w14:paraId="333DB175" w14:textId="77777777" w:rsidR="001576C3" w:rsidRPr="001E2152" w:rsidRDefault="001576C3" w:rsidP="001576C3">
            <w:pPr>
              <w:pStyle w:val="Tablenumber"/>
              <w:rPr>
                <w:lang w:eastAsia="en-AU"/>
              </w:rPr>
            </w:pPr>
            <w:r>
              <w:rPr>
                <w:rFonts w:cs="Calibri"/>
                <w:color w:val="000000"/>
              </w:rPr>
              <w:t>5,130</w:t>
            </w:r>
          </w:p>
        </w:tc>
        <w:tc>
          <w:tcPr>
            <w:tcW w:w="939" w:type="pct"/>
            <w:tcBorders>
              <w:top w:val="nil"/>
              <w:left w:val="nil"/>
              <w:bottom w:val="nil"/>
              <w:right w:val="nil"/>
            </w:tcBorders>
            <w:shd w:val="clear" w:color="auto" w:fill="auto"/>
            <w:noWrap/>
            <w:vAlign w:val="center"/>
            <w:hideMark/>
          </w:tcPr>
          <w:p w14:paraId="60CDA227" w14:textId="77777777" w:rsidR="001576C3" w:rsidRPr="001E2152" w:rsidRDefault="001576C3" w:rsidP="001576C3">
            <w:pPr>
              <w:pStyle w:val="Tablenumber"/>
              <w:rPr>
                <w:lang w:eastAsia="en-AU"/>
              </w:rPr>
            </w:pPr>
            <w:r>
              <w:rPr>
                <w:rFonts w:cs="Calibri"/>
                <w:color w:val="000000"/>
              </w:rPr>
              <w:t>0.17</w:t>
            </w:r>
          </w:p>
        </w:tc>
      </w:tr>
      <w:tr w:rsidR="00FF65B1" w:rsidRPr="001E2152" w14:paraId="39124E5A" w14:textId="77777777" w:rsidTr="00D04A09">
        <w:trPr>
          <w:cantSplit/>
          <w:trHeight w:val="270"/>
        </w:trPr>
        <w:tc>
          <w:tcPr>
            <w:tcW w:w="862" w:type="pct"/>
            <w:tcBorders>
              <w:top w:val="nil"/>
              <w:left w:val="nil"/>
              <w:bottom w:val="nil"/>
              <w:right w:val="nil"/>
            </w:tcBorders>
            <w:shd w:val="clear" w:color="auto" w:fill="auto"/>
            <w:noWrap/>
            <w:vAlign w:val="center"/>
            <w:hideMark/>
          </w:tcPr>
          <w:p w14:paraId="6C066435" w14:textId="77777777" w:rsidR="001576C3" w:rsidRPr="001E2152" w:rsidRDefault="001576C3" w:rsidP="001576C3">
            <w:pPr>
              <w:pStyle w:val="Tablenumber"/>
              <w:rPr>
                <w:lang w:eastAsia="en-AU"/>
              </w:rPr>
            </w:pPr>
            <w:r w:rsidRPr="001E2152">
              <w:rPr>
                <w:lang w:eastAsia="en-AU"/>
              </w:rPr>
              <w:t>2011</w:t>
            </w:r>
          </w:p>
        </w:tc>
        <w:tc>
          <w:tcPr>
            <w:tcW w:w="984" w:type="pct"/>
            <w:tcBorders>
              <w:top w:val="nil"/>
              <w:left w:val="nil"/>
              <w:bottom w:val="nil"/>
              <w:right w:val="nil"/>
            </w:tcBorders>
            <w:shd w:val="clear" w:color="auto" w:fill="auto"/>
            <w:noWrap/>
            <w:vAlign w:val="center"/>
            <w:hideMark/>
          </w:tcPr>
          <w:p w14:paraId="4C3F44A2" w14:textId="77777777" w:rsidR="001576C3" w:rsidRPr="001E2152" w:rsidRDefault="001576C3" w:rsidP="001576C3">
            <w:pPr>
              <w:pStyle w:val="Tablenumber"/>
              <w:rPr>
                <w:lang w:eastAsia="en-AU"/>
              </w:rPr>
            </w:pPr>
            <w:r w:rsidRPr="001E2152">
              <w:rPr>
                <w:lang w:eastAsia="en-AU"/>
              </w:rPr>
              <w:t>4,597</w:t>
            </w:r>
          </w:p>
        </w:tc>
        <w:tc>
          <w:tcPr>
            <w:tcW w:w="820" w:type="pct"/>
            <w:tcBorders>
              <w:top w:val="nil"/>
              <w:left w:val="nil"/>
              <w:bottom w:val="nil"/>
              <w:right w:val="nil"/>
            </w:tcBorders>
            <w:shd w:val="clear" w:color="auto" w:fill="auto"/>
            <w:noWrap/>
            <w:vAlign w:val="center"/>
            <w:hideMark/>
          </w:tcPr>
          <w:p w14:paraId="3238CC99" w14:textId="77777777" w:rsidR="001576C3" w:rsidRPr="001E2152" w:rsidRDefault="001576C3" w:rsidP="001576C3">
            <w:pPr>
              <w:pStyle w:val="Tablenumber"/>
              <w:rPr>
                <w:lang w:eastAsia="en-AU"/>
              </w:rPr>
            </w:pPr>
            <w:r w:rsidRPr="001E2152">
              <w:rPr>
                <w:lang w:eastAsia="en-AU"/>
              </w:rPr>
              <w:t>0</w:t>
            </w:r>
          </w:p>
        </w:tc>
        <w:tc>
          <w:tcPr>
            <w:tcW w:w="690" w:type="pct"/>
            <w:tcBorders>
              <w:top w:val="nil"/>
              <w:left w:val="nil"/>
              <w:bottom w:val="nil"/>
              <w:right w:val="nil"/>
            </w:tcBorders>
            <w:shd w:val="clear" w:color="auto" w:fill="auto"/>
            <w:noWrap/>
            <w:vAlign w:val="center"/>
            <w:hideMark/>
          </w:tcPr>
          <w:p w14:paraId="480DE9F1" w14:textId="77777777" w:rsidR="001576C3" w:rsidRPr="001E2152" w:rsidRDefault="001576C3" w:rsidP="001576C3">
            <w:pPr>
              <w:pStyle w:val="Tablenumber"/>
              <w:rPr>
                <w:lang w:eastAsia="en-AU"/>
              </w:rPr>
            </w:pPr>
            <w:r w:rsidRPr="001E2152">
              <w:rPr>
                <w:lang w:eastAsia="en-AU"/>
              </w:rPr>
              <w:t>868</w:t>
            </w:r>
          </w:p>
        </w:tc>
        <w:tc>
          <w:tcPr>
            <w:tcW w:w="704" w:type="pct"/>
            <w:tcBorders>
              <w:top w:val="nil"/>
              <w:left w:val="nil"/>
              <w:bottom w:val="nil"/>
              <w:right w:val="nil"/>
            </w:tcBorders>
            <w:shd w:val="clear" w:color="auto" w:fill="auto"/>
            <w:noWrap/>
            <w:vAlign w:val="center"/>
            <w:hideMark/>
          </w:tcPr>
          <w:p w14:paraId="58D48CA7" w14:textId="77777777" w:rsidR="001576C3" w:rsidRPr="001E2152" w:rsidRDefault="001576C3" w:rsidP="001576C3">
            <w:pPr>
              <w:pStyle w:val="Tablenumber"/>
              <w:rPr>
                <w:lang w:eastAsia="en-AU"/>
              </w:rPr>
            </w:pPr>
            <w:r>
              <w:rPr>
                <w:rFonts w:cs="Calibri"/>
                <w:color w:val="000000"/>
              </w:rPr>
              <w:t>5,465</w:t>
            </w:r>
          </w:p>
        </w:tc>
        <w:tc>
          <w:tcPr>
            <w:tcW w:w="939" w:type="pct"/>
            <w:tcBorders>
              <w:top w:val="nil"/>
              <w:left w:val="nil"/>
              <w:bottom w:val="nil"/>
              <w:right w:val="nil"/>
            </w:tcBorders>
            <w:shd w:val="clear" w:color="auto" w:fill="auto"/>
            <w:noWrap/>
            <w:vAlign w:val="center"/>
            <w:hideMark/>
          </w:tcPr>
          <w:p w14:paraId="6D24D528" w14:textId="77777777" w:rsidR="001576C3" w:rsidRPr="001E2152" w:rsidRDefault="001576C3" w:rsidP="001576C3">
            <w:pPr>
              <w:pStyle w:val="Tablenumber"/>
              <w:rPr>
                <w:lang w:eastAsia="en-AU"/>
              </w:rPr>
            </w:pPr>
            <w:r>
              <w:rPr>
                <w:rFonts w:cs="Calibri"/>
                <w:color w:val="000000"/>
              </w:rPr>
              <w:t>0.16</w:t>
            </w:r>
          </w:p>
        </w:tc>
      </w:tr>
      <w:tr w:rsidR="00FF65B1" w:rsidRPr="001E2152" w14:paraId="22DD15D3" w14:textId="77777777" w:rsidTr="00D04A09">
        <w:trPr>
          <w:cantSplit/>
          <w:trHeight w:val="270"/>
        </w:trPr>
        <w:tc>
          <w:tcPr>
            <w:tcW w:w="862" w:type="pct"/>
            <w:tcBorders>
              <w:top w:val="nil"/>
              <w:left w:val="nil"/>
              <w:bottom w:val="nil"/>
              <w:right w:val="nil"/>
            </w:tcBorders>
            <w:shd w:val="clear" w:color="auto" w:fill="auto"/>
            <w:noWrap/>
            <w:vAlign w:val="center"/>
            <w:hideMark/>
          </w:tcPr>
          <w:p w14:paraId="0E549F0D" w14:textId="77777777" w:rsidR="001576C3" w:rsidRPr="001E2152" w:rsidRDefault="001576C3" w:rsidP="001576C3">
            <w:pPr>
              <w:pStyle w:val="Tablenumber"/>
              <w:rPr>
                <w:lang w:eastAsia="en-AU"/>
              </w:rPr>
            </w:pPr>
            <w:r w:rsidRPr="001E2152">
              <w:rPr>
                <w:lang w:eastAsia="en-AU"/>
              </w:rPr>
              <w:t>2012</w:t>
            </w:r>
            <w:r>
              <w:rPr>
                <w:lang w:eastAsia="en-AU"/>
              </w:rPr>
              <w:t>*</w:t>
            </w:r>
          </w:p>
        </w:tc>
        <w:tc>
          <w:tcPr>
            <w:tcW w:w="984" w:type="pct"/>
            <w:tcBorders>
              <w:top w:val="nil"/>
              <w:left w:val="nil"/>
              <w:bottom w:val="nil"/>
              <w:right w:val="nil"/>
            </w:tcBorders>
            <w:shd w:val="clear" w:color="auto" w:fill="auto"/>
            <w:noWrap/>
            <w:vAlign w:val="center"/>
            <w:hideMark/>
          </w:tcPr>
          <w:p w14:paraId="5F666CB8" w14:textId="77777777" w:rsidR="001576C3" w:rsidRPr="001E2152" w:rsidRDefault="001576C3" w:rsidP="001576C3">
            <w:pPr>
              <w:pStyle w:val="Tablenumber"/>
              <w:rPr>
                <w:lang w:eastAsia="en-AU"/>
              </w:rPr>
            </w:pPr>
            <w:r w:rsidRPr="001E2152">
              <w:rPr>
                <w:lang w:eastAsia="en-AU"/>
              </w:rPr>
              <w:t>368</w:t>
            </w:r>
          </w:p>
        </w:tc>
        <w:tc>
          <w:tcPr>
            <w:tcW w:w="820" w:type="pct"/>
            <w:tcBorders>
              <w:top w:val="nil"/>
              <w:left w:val="nil"/>
              <w:bottom w:val="nil"/>
              <w:right w:val="nil"/>
            </w:tcBorders>
            <w:shd w:val="clear" w:color="auto" w:fill="auto"/>
            <w:noWrap/>
            <w:vAlign w:val="center"/>
            <w:hideMark/>
          </w:tcPr>
          <w:p w14:paraId="7765B51E" w14:textId="77777777" w:rsidR="001576C3" w:rsidRPr="001E2152" w:rsidRDefault="001576C3" w:rsidP="001576C3">
            <w:pPr>
              <w:pStyle w:val="Tablenumber"/>
              <w:rPr>
                <w:lang w:eastAsia="en-AU"/>
              </w:rPr>
            </w:pPr>
            <w:r w:rsidRPr="001E2152">
              <w:rPr>
                <w:lang w:eastAsia="en-AU"/>
              </w:rPr>
              <w:t>1,646</w:t>
            </w:r>
          </w:p>
        </w:tc>
        <w:tc>
          <w:tcPr>
            <w:tcW w:w="690" w:type="pct"/>
            <w:tcBorders>
              <w:top w:val="nil"/>
              <w:left w:val="nil"/>
              <w:right w:val="nil"/>
            </w:tcBorders>
            <w:shd w:val="clear" w:color="auto" w:fill="auto"/>
            <w:noWrap/>
            <w:vAlign w:val="center"/>
            <w:hideMark/>
          </w:tcPr>
          <w:p w14:paraId="13E23DC8" w14:textId="77777777" w:rsidR="001576C3" w:rsidRPr="001E2152" w:rsidRDefault="001576C3" w:rsidP="001576C3">
            <w:pPr>
              <w:pStyle w:val="Tablenumber"/>
              <w:rPr>
                <w:lang w:eastAsia="en-AU"/>
              </w:rPr>
            </w:pPr>
            <w:r w:rsidRPr="001E2152">
              <w:rPr>
                <w:lang w:eastAsia="en-AU"/>
              </w:rPr>
              <w:t>519</w:t>
            </w:r>
          </w:p>
        </w:tc>
        <w:tc>
          <w:tcPr>
            <w:tcW w:w="704" w:type="pct"/>
            <w:tcBorders>
              <w:top w:val="nil"/>
              <w:left w:val="nil"/>
              <w:right w:val="nil"/>
            </w:tcBorders>
            <w:shd w:val="clear" w:color="auto" w:fill="auto"/>
            <w:noWrap/>
            <w:vAlign w:val="center"/>
            <w:hideMark/>
          </w:tcPr>
          <w:p w14:paraId="6968DB20" w14:textId="77777777" w:rsidR="001576C3" w:rsidRPr="001E2152" w:rsidRDefault="001576C3" w:rsidP="001576C3">
            <w:pPr>
              <w:pStyle w:val="Tablenumber"/>
              <w:rPr>
                <w:lang w:eastAsia="en-AU"/>
              </w:rPr>
            </w:pPr>
            <w:r>
              <w:rPr>
                <w:rFonts w:cs="Calibri"/>
                <w:color w:val="000000"/>
              </w:rPr>
              <w:t>2,533</w:t>
            </w:r>
          </w:p>
        </w:tc>
        <w:tc>
          <w:tcPr>
            <w:tcW w:w="939" w:type="pct"/>
            <w:tcBorders>
              <w:top w:val="nil"/>
              <w:left w:val="nil"/>
              <w:right w:val="nil"/>
            </w:tcBorders>
            <w:shd w:val="clear" w:color="auto" w:fill="auto"/>
            <w:noWrap/>
            <w:vAlign w:val="center"/>
            <w:hideMark/>
          </w:tcPr>
          <w:p w14:paraId="76AB40AD" w14:textId="77777777" w:rsidR="001576C3" w:rsidRPr="001E2152" w:rsidRDefault="001576C3" w:rsidP="001576C3">
            <w:pPr>
              <w:pStyle w:val="Tablenumber"/>
              <w:rPr>
                <w:lang w:eastAsia="en-AU"/>
              </w:rPr>
            </w:pPr>
            <w:r>
              <w:rPr>
                <w:rFonts w:cs="Calibri"/>
                <w:color w:val="000000"/>
              </w:rPr>
              <w:t>0.20</w:t>
            </w:r>
          </w:p>
        </w:tc>
      </w:tr>
      <w:tr w:rsidR="00FF65B1" w:rsidRPr="001E2152" w14:paraId="28981C56" w14:textId="77777777" w:rsidTr="00D04A09">
        <w:trPr>
          <w:cantSplit/>
          <w:trHeight w:val="285"/>
        </w:trPr>
        <w:tc>
          <w:tcPr>
            <w:tcW w:w="862" w:type="pct"/>
            <w:tcBorders>
              <w:top w:val="nil"/>
              <w:left w:val="nil"/>
              <w:bottom w:val="single" w:sz="8" w:space="0" w:color="auto"/>
              <w:right w:val="nil"/>
            </w:tcBorders>
            <w:shd w:val="clear" w:color="auto" w:fill="auto"/>
            <w:noWrap/>
            <w:vAlign w:val="center"/>
            <w:hideMark/>
          </w:tcPr>
          <w:p w14:paraId="169B0590" w14:textId="77777777" w:rsidR="001576C3" w:rsidRPr="001E2152" w:rsidRDefault="001576C3" w:rsidP="001576C3">
            <w:pPr>
              <w:pStyle w:val="Tablenumber"/>
              <w:rPr>
                <w:lang w:eastAsia="en-AU"/>
              </w:rPr>
            </w:pPr>
            <w:r w:rsidRPr="001E2152">
              <w:rPr>
                <w:lang w:eastAsia="en-AU"/>
              </w:rPr>
              <w:t>Total</w:t>
            </w:r>
          </w:p>
        </w:tc>
        <w:tc>
          <w:tcPr>
            <w:tcW w:w="984" w:type="pct"/>
            <w:tcBorders>
              <w:top w:val="nil"/>
              <w:left w:val="nil"/>
              <w:bottom w:val="single" w:sz="8" w:space="0" w:color="auto"/>
              <w:right w:val="nil"/>
            </w:tcBorders>
            <w:shd w:val="clear" w:color="auto" w:fill="auto"/>
            <w:noWrap/>
            <w:vAlign w:val="center"/>
            <w:hideMark/>
          </w:tcPr>
          <w:p w14:paraId="54312AD8" w14:textId="77777777" w:rsidR="001576C3" w:rsidRPr="001E2152" w:rsidRDefault="001576C3" w:rsidP="001576C3">
            <w:pPr>
              <w:pStyle w:val="Tablenumber"/>
              <w:rPr>
                <w:lang w:eastAsia="en-AU"/>
              </w:rPr>
            </w:pPr>
            <w:r w:rsidRPr="001E2152">
              <w:rPr>
                <w:lang w:eastAsia="en-AU"/>
              </w:rPr>
              <w:t>26,262</w:t>
            </w:r>
          </w:p>
        </w:tc>
        <w:tc>
          <w:tcPr>
            <w:tcW w:w="820" w:type="pct"/>
            <w:tcBorders>
              <w:top w:val="nil"/>
              <w:left w:val="nil"/>
              <w:bottom w:val="single" w:sz="8" w:space="0" w:color="auto"/>
              <w:right w:val="nil"/>
            </w:tcBorders>
            <w:shd w:val="clear" w:color="auto" w:fill="auto"/>
            <w:noWrap/>
            <w:vAlign w:val="center"/>
            <w:hideMark/>
          </w:tcPr>
          <w:p w14:paraId="7D458FE2" w14:textId="77777777" w:rsidR="001576C3" w:rsidRPr="001E2152" w:rsidRDefault="001576C3" w:rsidP="001576C3">
            <w:pPr>
              <w:pStyle w:val="Tablenumber"/>
              <w:rPr>
                <w:lang w:eastAsia="en-AU"/>
              </w:rPr>
            </w:pPr>
            <w:r w:rsidRPr="001E2152">
              <w:rPr>
                <w:lang w:eastAsia="en-AU"/>
              </w:rPr>
              <w:t>1,646</w:t>
            </w:r>
          </w:p>
        </w:tc>
        <w:tc>
          <w:tcPr>
            <w:tcW w:w="690" w:type="pct"/>
            <w:tcBorders>
              <w:top w:val="nil"/>
              <w:left w:val="nil"/>
              <w:bottom w:val="single" w:sz="4" w:space="0" w:color="auto"/>
              <w:right w:val="nil"/>
            </w:tcBorders>
            <w:shd w:val="clear" w:color="auto" w:fill="auto"/>
            <w:noWrap/>
            <w:vAlign w:val="center"/>
            <w:hideMark/>
          </w:tcPr>
          <w:p w14:paraId="70ADD51F" w14:textId="77777777" w:rsidR="001576C3" w:rsidRPr="001E2152" w:rsidRDefault="001576C3" w:rsidP="001576C3">
            <w:pPr>
              <w:pStyle w:val="Tablenumber"/>
              <w:rPr>
                <w:lang w:eastAsia="en-AU"/>
              </w:rPr>
            </w:pPr>
            <w:r w:rsidRPr="001E2152">
              <w:rPr>
                <w:lang w:eastAsia="en-AU"/>
              </w:rPr>
              <w:t>7,104</w:t>
            </w:r>
          </w:p>
        </w:tc>
        <w:tc>
          <w:tcPr>
            <w:tcW w:w="704" w:type="pct"/>
            <w:tcBorders>
              <w:top w:val="nil"/>
              <w:left w:val="nil"/>
              <w:bottom w:val="single" w:sz="4" w:space="0" w:color="auto"/>
              <w:right w:val="nil"/>
            </w:tcBorders>
            <w:shd w:val="clear" w:color="auto" w:fill="auto"/>
            <w:noWrap/>
            <w:vAlign w:val="center"/>
            <w:hideMark/>
          </w:tcPr>
          <w:p w14:paraId="57D60869" w14:textId="77777777" w:rsidR="001576C3" w:rsidRPr="001E2152" w:rsidRDefault="001576C3" w:rsidP="001576C3">
            <w:pPr>
              <w:pStyle w:val="Tablenumber"/>
              <w:rPr>
                <w:lang w:eastAsia="en-AU"/>
              </w:rPr>
            </w:pPr>
            <w:r>
              <w:rPr>
                <w:rFonts w:cs="Calibri"/>
                <w:color w:val="000000"/>
              </w:rPr>
              <w:t>35,012</w:t>
            </w:r>
          </w:p>
        </w:tc>
        <w:tc>
          <w:tcPr>
            <w:tcW w:w="939" w:type="pct"/>
            <w:tcBorders>
              <w:top w:val="nil"/>
              <w:left w:val="nil"/>
              <w:bottom w:val="single" w:sz="4" w:space="0" w:color="auto"/>
              <w:right w:val="nil"/>
            </w:tcBorders>
            <w:shd w:val="clear" w:color="auto" w:fill="auto"/>
            <w:noWrap/>
            <w:vAlign w:val="center"/>
            <w:hideMark/>
          </w:tcPr>
          <w:p w14:paraId="490D919D" w14:textId="77777777" w:rsidR="001576C3" w:rsidRPr="001E2152" w:rsidRDefault="001576C3" w:rsidP="001576C3">
            <w:pPr>
              <w:pStyle w:val="Tablenumber"/>
              <w:rPr>
                <w:lang w:eastAsia="en-AU"/>
              </w:rPr>
            </w:pPr>
            <w:r>
              <w:rPr>
                <w:rFonts w:cs="Calibri"/>
                <w:color w:val="000000"/>
              </w:rPr>
              <w:t>0.20</w:t>
            </w:r>
          </w:p>
        </w:tc>
      </w:tr>
    </w:tbl>
    <w:p w14:paraId="6E83E316" w14:textId="77777777" w:rsidR="00C00A0D" w:rsidRDefault="00C00A0D" w:rsidP="005D4725">
      <w:pPr>
        <w:pStyle w:val="Tablenote"/>
        <w:rPr>
          <w:rFonts w:eastAsia="Calibri"/>
        </w:rPr>
      </w:pPr>
      <w:r>
        <w:rPr>
          <w:rFonts w:eastAsia="Calibri"/>
        </w:rPr>
        <w:t>Note</w:t>
      </w:r>
      <w:r w:rsidR="00F60601">
        <w:rPr>
          <w:rFonts w:eastAsia="Calibri"/>
        </w:rPr>
        <w:t>s</w:t>
      </w:r>
      <w:r>
        <w:rPr>
          <w:rFonts w:eastAsia="Calibri"/>
        </w:rPr>
        <w:t xml:space="preserve">: </w:t>
      </w:r>
      <w:r w:rsidR="00F60601">
        <w:rPr>
          <w:rFonts w:eastAsia="Calibri"/>
        </w:rPr>
        <w:t xml:space="preserve">Data includes firms </w:t>
      </w:r>
      <w:r w:rsidR="00FF501D">
        <w:rPr>
          <w:rFonts w:eastAsia="Calibri"/>
        </w:rPr>
        <w:t xml:space="preserve">at the enterprise group level </w:t>
      </w:r>
      <w:r w:rsidR="00F60601">
        <w:rPr>
          <w:rFonts w:eastAsia="Calibri"/>
        </w:rPr>
        <w:t xml:space="preserve">with non-zero R&amp;D spending </w:t>
      </w:r>
      <w:r w:rsidR="00FF501D">
        <w:rPr>
          <w:rFonts w:eastAsia="Calibri"/>
        </w:rPr>
        <w:t xml:space="preserve">(BERD survey) </w:t>
      </w:r>
      <w:r w:rsidR="00F60601">
        <w:rPr>
          <w:rFonts w:eastAsia="Calibri"/>
        </w:rPr>
        <w:t>and non-missing turnover and wage data</w:t>
      </w:r>
      <w:r w:rsidR="00FF501D">
        <w:rPr>
          <w:rFonts w:eastAsia="Calibri"/>
        </w:rPr>
        <w:t xml:space="preserve"> (BAS survey). </w:t>
      </w:r>
      <w:r>
        <w:rPr>
          <w:rFonts w:eastAsia="Calibri"/>
        </w:rPr>
        <w:t>*</w:t>
      </w:r>
      <w:r w:rsidR="00F60601">
        <w:rPr>
          <w:rFonts w:eastAsia="Calibri"/>
        </w:rPr>
        <w:t>:</w:t>
      </w:r>
      <w:r>
        <w:rPr>
          <w:rFonts w:eastAsia="Calibri"/>
        </w:rPr>
        <w:t xml:space="preserve"> based on a sample survey only.</w:t>
      </w:r>
    </w:p>
    <w:p w14:paraId="54ABA6A5" w14:textId="77777777" w:rsidR="001E2152" w:rsidRDefault="006C10C5" w:rsidP="00275177">
      <w:pPr>
        <w:pStyle w:val="Text"/>
        <w:rPr>
          <w:rFonts w:eastAsia="Calibri"/>
        </w:rPr>
      </w:pPr>
      <w:r w:rsidRPr="009F04CF">
        <w:rPr>
          <w:rFonts w:eastAsia="Calibri"/>
        </w:rPr>
        <w:t xml:space="preserve">Table 6 shows that, while non-claiming firms are typically smaller than claiming firms on average, the distributions of covariates within each group display such a wide spread (as the standard deviations are very large relative to the means), which gives the algorithm a large variety of firms to pick matches </w:t>
      </w:r>
      <w:r w:rsidRPr="009F04CF">
        <w:rPr>
          <w:rFonts w:eastAsia="Calibri"/>
        </w:rPr>
        <w:lastRenderedPageBreak/>
        <w:t>from.</w:t>
      </w:r>
      <w:r>
        <w:rPr>
          <w:rFonts w:eastAsia="Calibri"/>
        </w:rPr>
        <w:t xml:space="preserve"> It is interesting to observe that while the R&amp;D spend for non-claiming firms is smaller on average, such firms are similarly R&amp;D intensive in terms of R&amp;D per turnover or R&amp;D per wage bill. </w:t>
      </w:r>
    </w:p>
    <w:p w14:paraId="5824F81C" w14:textId="77777777" w:rsidR="00A82693" w:rsidRDefault="00A82693" w:rsidP="00275177">
      <w:pPr>
        <w:pStyle w:val="Caption"/>
        <w:rPr>
          <w:rFonts w:eastAsia="Calibri"/>
        </w:rPr>
      </w:pPr>
      <w:r>
        <w:rPr>
          <w:lang w:eastAsia="en-AU"/>
        </w:rPr>
        <w:t>T</w:t>
      </w:r>
      <w:r w:rsidRPr="009F04CF">
        <w:rPr>
          <w:lang w:eastAsia="en-AU"/>
        </w:rPr>
        <w:t>able 6. Summary Statistics</w:t>
      </w:r>
    </w:p>
    <w:tbl>
      <w:tblPr>
        <w:tblW w:w="5000" w:type="pct"/>
        <w:jc w:val="center"/>
        <w:tblLook w:val="04A0" w:firstRow="1" w:lastRow="0" w:firstColumn="1" w:lastColumn="0" w:noHBand="0" w:noVBand="1"/>
        <w:tblCaption w:val="Table 6, Summary Statistics"/>
        <w:tblDescription w:val="This table has three columns.  The first is the Variable.  The second is the amount of the variable for the companies that claim the R&amp;D Tax Incentive.&#10;The third column is for the companies not claiming&#10;&#10;The numbers in parenthesis are indicated as standard deviation&#10;Column 2, Claiming&#10;Row1 R&amp;D Expenditure 3,749 (24,614).&#10;Row 2 turnover, 318 million (2.96 billion).&#10;Row 3 wages, 29 million (201 million.&#10;Row 4 assets, 969 million (17 billion).&#10;Row 5 profits, 39.4 million (480 million).&#10;&#10;Column 2: Not claiming&#10;Row 1 R&amp;D expenditure, 1,411(3,750)&#10;Row 2 turnover, 81.5 million (373 million)&#10;Row 3 wages, 12.3 million (54.9 million)&#10;Row 4 assets, 48.1 million (358 million)&#10;Row 5  profits, 2 million (33.9 million)"/>
      </w:tblPr>
      <w:tblGrid>
        <w:gridCol w:w="4222"/>
        <w:gridCol w:w="2333"/>
        <w:gridCol w:w="2471"/>
      </w:tblGrid>
      <w:tr w:rsidR="009F04CF" w:rsidRPr="009F04CF" w14:paraId="0182CEF2" w14:textId="77777777" w:rsidTr="00D04A09">
        <w:trPr>
          <w:cantSplit/>
          <w:trHeight w:val="300"/>
          <w:tblHeader/>
          <w:jc w:val="center"/>
        </w:trPr>
        <w:tc>
          <w:tcPr>
            <w:tcW w:w="2338" w:type="pct"/>
            <w:tcBorders>
              <w:top w:val="single" w:sz="4" w:space="0" w:color="auto"/>
              <w:left w:val="nil"/>
              <w:bottom w:val="single" w:sz="4" w:space="0" w:color="auto"/>
              <w:right w:val="nil"/>
            </w:tcBorders>
            <w:shd w:val="clear" w:color="auto" w:fill="auto"/>
            <w:noWrap/>
            <w:vAlign w:val="bottom"/>
            <w:hideMark/>
          </w:tcPr>
          <w:p w14:paraId="1D4F20CB" w14:textId="77777777" w:rsidR="009F04CF" w:rsidRPr="00936C46" w:rsidRDefault="00936C46" w:rsidP="00936C46">
            <w:pPr>
              <w:pStyle w:val="Tablenumber"/>
              <w:ind w:left="0"/>
              <w:rPr>
                <w:b/>
                <w:lang w:eastAsia="en-AU"/>
              </w:rPr>
            </w:pPr>
            <w:r>
              <w:rPr>
                <w:b/>
                <w:lang w:eastAsia="en-AU"/>
              </w:rPr>
              <w:t>Variable</w:t>
            </w:r>
          </w:p>
        </w:tc>
        <w:tc>
          <w:tcPr>
            <w:tcW w:w="1292" w:type="pct"/>
            <w:tcBorders>
              <w:top w:val="single" w:sz="4" w:space="0" w:color="auto"/>
              <w:left w:val="nil"/>
              <w:bottom w:val="single" w:sz="4" w:space="0" w:color="auto"/>
              <w:right w:val="nil"/>
            </w:tcBorders>
            <w:shd w:val="clear" w:color="auto" w:fill="auto"/>
            <w:noWrap/>
            <w:vAlign w:val="bottom"/>
            <w:hideMark/>
          </w:tcPr>
          <w:p w14:paraId="7FA9BE52" w14:textId="77777777" w:rsidR="009F04CF" w:rsidRPr="00936C46" w:rsidRDefault="009F04CF" w:rsidP="00936C46">
            <w:pPr>
              <w:pStyle w:val="Tablenumber"/>
              <w:ind w:left="0"/>
              <w:rPr>
                <w:b/>
                <w:lang w:eastAsia="en-AU"/>
              </w:rPr>
            </w:pPr>
            <w:r w:rsidRPr="00936C46">
              <w:rPr>
                <w:b/>
                <w:lang w:eastAsia="en-AU"/>
              </w:rPr>
              <w:t>Claiming</w:t>
            </w:r>
          </w:p>
        </w:tc>
        <w:tc>
          <w:tcPr>
            <w:tcW w:w="1369" w:type="pct"/>
            <w:tcBorders>
              <w:top w:val="single" w:sz="4" w:space="0" w:color="auto"/>
              <w:left w:val="nil"/>
              <w:bottom w:val="single" w:sz="4" w:space="0" w:color="auto"/>
              <w:right w:val="nil"/>
            </w:tcBorders>
            <w:shd w:val="clear" w:color="auto" w:fill="auto"/>
            <w:noWrap/>
            <w:vAlign w:val="bottom"/>
            <w:hideMark/>
          </w:tcPr>
          <w:p w14:paraId="2DF740EF" w14:textId="77777777" w:rsidR="009F04CF" w:rsidRPr="00936C46" w:rsidRDefault="009F04CF" w:rsidP="00936C46">
            <w:pPr>
              <w:pStyle w:val="Tablenumber"/>
              <w:ind w:left="0"/>
              <w:rPr>
                <w:b/>
                <w:lang w:eastAsia="en-AU"/>
              </w:rPr>
            </w:pPr>
            <w:r w:rsidRPr="00936C46">
              <w:rPr>
                <w:b/>
                <w:lang w:eastAsia="en-AU"/>
              </w:rPr>
              <w:t>Not Claiming</w:t>
            </w:r>
          </w:p>
        </w:tc>
      </w:tr>
      <w:tr w:rsidR="009F04CF" w:rsidRPr="009F04CF" w14:paraId="772CEE61" w14:textId="77777777" w:rsidTr="00D04A09">
        <w:trPr>
          <w:cantSplit/>
          <w:trHeight w:val="300"/>
          <w:jc w:val="center"/>
        </w:trPr>
        <w:tc>
          <w:tcPr>
            <w:tcW w:w="2338" w:type="pct"/>
            <w:tcBorders>
              <w:top w:val="nil"/>
              <w:left w:val="nil"/>
              <w:bottom w:val="nil"/>
              <w:right w:val="nil"/>
            </w:tcBorders>
            <w:shd w:val="clear" w:color="auto" w:fill="auto"/>
            <w:noWrap/>
            <w:vAlign w:val="bottom"/>
            <w:hideMark/>
          </w:tcPr>
          <w:p w14:paraId="0CDBD743" w14:textId="7B811BF2" w:rsidR="009F04CF" w:rsidRPr="009F04CF" w:rsidRDefault="009F04CF" w:rsidP="00936C46">
            <w:pPr>
              <w:pStyle w:val="Tablenumber"/>
              <w:ind w:left="0"/>
              <w:rPr>
                <w:lang w:eastAsia="en-AU"/>
              </w:rPr>
            </w:pPr>
            <w:r w:rsidRPr="009F04CF">
              <w:rPr>
                <w:lang w:eastAsia="en-AU"/>
              </w:rPr>
              <w:t>R&amp;D Expenditure</w:t>
            </w:r>
            <w:r w:rsidR="00EA0D58">
              <w:rPr>
                <w:lang w:eastAsia="en-AU"/>
              </w:rPr>
              <w:t xml:space="preserve"> [standard deviation]</w:t>
            </w:r>
          </w:p>
        </w:tc>
        <w:tc>
          <w:tcPr>
            <w:tcW w:w="1292" w:type="pct"/>
            <w:tcBorders>
              <w:top w:val="nil"/>
              <w:left w:val="nil"/>
              <w:bottom w:val="nil"/>
              <w:right w:val="nil"/>
            </w:tcBorders>
            <w:shd w:val="clear" w:color="auto" w:fill="auto"/>
            <w:noWrap/>
            <w:vAlign w:val="bottom"/>
            <w:hideMark/>
          </w:tcPr>
          <w:p w14:paraId="68DDE0C1" w14:textId="1B31F8C8" w:rsidR="009F04CF" w:rsidRPr="009F04CF" w:rsidRDefault="00BB7BAF" w:rsidP="00032962">
            <w:pPr>
              <w:pStyle w:val="Tablenumber"/>
              <w:ind w:left="0"/>
              <w:rPr>
                <w:lang w:eastAsia="en-AU"/>
              </w:rPr>
            </w:pPr>
            <w:r>
              <w:rPr>
                <w:lang w:eastAsia="en-AU"/>
              </w:rPr>
              <w:t xml:space="preserve">$ </w:t>
            </w:r>
            <w:r w:rsidR="009F04CF" w:rsidRPr="009F04CF">
              <w:rPr>
                <w:lang w:eastAsia="en-AU"/>
              </w:rPr>
              <w:t>3,749</w:t>
            </w:r>
            <w:r w:rsidR="001E2152">
              <w:rPr>
                <w:lang w:eastAsia="en-AU"/>
              </w:rPr>
              <w:t xml:space="preserve"> </w:t>
            </w:r>
            <w:r w:rsidR="00EA0D58" w:rsidRPr="009F04CF">
              <w:rPr>
                <w:lang w:eastAsia="en-AU"/>
              </w:rPr>
              <w:t>[24,614]</w:t>
            </w:r>
          </w:p>
        </w:tc>
        <w:tc>
          <w:tcPr>
            <w:tcW w:w="1369" w:type="pct"/>
            <w:tcBorders>
              <w:top w:val="nil"/>
              <w:left w:val="nil"/>
              <w:bottom w:val="nil"/>
              <w:right w:val="nil"/>
            </w:tcBorders>
            <w:shd w:val="clear" w:color="auto" w:fill="auto"/>
            <w:noWrap/>
            <w:vAlign w:val="bottom"/>
            <w:hideMark/>
          </w:tcPr>
          <w:p w14:paraId="23044DE4" w14:textId="40A2C29D" w:rsidR="009F04CF" w:rsidRPr="009F04CF" w:rsidRDefault="00BB7BAF" w:rsidP="00032962">
            <w:pPr>
              <w:pStyle w:val="Tablenumber"/>
              <w:ind w:left="0"/>
              <w:rPr>
                <w:lang w:eastAsia="en-AU"/>
              </w:rPr>
            </w:pPr>
            <w:r>
              <w:rPr>
                <w:lang w:eastAsia="en-AU"/>
              </w:rPr>
              <w:t xml:space="preserve">$ </w:t>
            </w:r>
            <w:r w:rsidR="009F04CF" w:rsidRPr="009F04CF">
              <w:rPr>
                <w:lang w:eastAsia="en-AU"/>
              </w:rPr>
              <w:t>1,411</w:t>
            </w:r>
            <w:r w:rsidR="00EA0D58">
              <w:rPr>
                <w:lang w:eastAsia="en-AU"/>
              </w:rPr>
              <w:t xml:space="preserve"> (</w:t>
            </w:r>
            <w:r w:rsidR="00EA0D58" w:rsidRPr="009F04CF">
              <w:rPr>
                <w:lang w:eastAsia="en-AU"/>
              </w:rPr>
              <w:t>3,750]</w:t>
            </w:r>
          </w:p>
        </w:tc>
      </w:tr>
      <w:tr w:rsidR="009F04CF" w:rsidRPr="009F04CF" w14:paraId="49CE9D6B" w14:textId="77777777" w:rsidTr="00D04A09">
        <w:trPr>
          <w:cantSplit/>
          <w:trHeight w:val="300"/>
          <w:jc w:val="center"/>
        </w:trPr>
        <w:tc>
          <w:tcPr>
            <w:tcW w:w="2338" w:type="pct"/>
            <w:tcBorders>
              <w:top w:val="nil"/>
              <w:left w:val="nil"/>
              <w:bottom w:val="nil"/>
              <w:right w:val="nil"/>
            </w:tcBorders>
            <w:shd w:val="clear" w:color="auto" w:fill="auto"/>
            <w:noWrap/>
            <w:vAlign w:val="bottom"/>
            <w:hideMark/>
          </w:tcPr>
          <w:p w14:paraId="3C25C843" w14:textId="5E3CE2A7" w:rsidR="009F04CF" w:rsidRPr="009F04CF" w:rsidRDefault="009F04CF" w:rsidP="00936C46">
            <w:pPr>
              <w:pStyle w:val="Tablenumber"/>
              <w:ind w:left="0"/>
              <w:rPr>
                <w:lang w:eastAsia="en-AU"/>
              </w:rPr>
            </w:pPr>
            <w:r w:rsidRPr="009F04CF">
              <w:rPr>
                <w:lang w:eastAsia="en-AU"/>
              </w:rPr>
              <w:t>Turnover</w:t>
            </w:r>
            <w:r w:rsidR="00EA0D58">
              <w:rPr>
                <w:lang w:eastAsia="en-AU"/>
              </w:rPr>
              <w:t xml:space="preserve"> [standard deviation]</w:t>
            </w:r>
          </w:p>
        </w:tc>
        <w:tc>
          <w:tcPr>
            <w:tcW w:w="1292" w:type="pct"/>
            <w:tcBorders>
              <w:top w:val="nil"/>
              <w:left w:val="nil"/>
              <w:bottom w:val="nil"/>
              <w:right w:val="nil"/>
            </w:tcBorders>
            <w:shd w:val="clear" w:color="auto" w:fill="auto"/>
            <w:noWrap/>
            <w:vAlign w:val="bottom"/>
            <w:hideMark/>
          </w:tcPr>
          <w:p w14:paraId="10809998" w14:textId="6B4CC5FB" w:rsidR="009F04CF" w:rsidRPr="009F04CF" w:rsidRDefault="00BB7BAF" w:rsidP="00936C46">
            <w:pPr>
              <w:pStyle w:val="Tablenumber"/>
              <w:ind w:left="0"/>
              <w:rPr>
                <w:lang w:eastAsia="en-AU"/>
              </w:rPr>
            </w:pPr>
            <w:r>
              <w:rPr>
                <w:lang w:eastAsia="en-AU"/>
              </w:rPr>
              <w:t xml:space="preserve">$ </w:t>
            </w:r>
            <w:r w:rsidR="009F04CF" w:rsidRPr="009F04CF">
              <w:rPr>
                <w:lang w:eastAsia="en-AU"/>
              </w:rPr>
              <w:t>318 million</w:t>
            </w:r>
            <w:r w:rsidR="00EA0D58">
              <w:rPr>
                <w:lang w:eastAsia="en-AU"/>
              </w:rPr>
              <w:t xml:space="preserve"> </w:t>
            </w:r>
            <w:r w:rsidR="00EA0D58" w:rsidRPr="009F04CF">
              <w:rPr>
                <w:lang w:eastAsia="en-AU"/>
              </w:rPr>
              <w:t>[2.96 billion]</w:t>
            </w:r>
          </w:p>
        </w:tc>
        <w:tc>
          <w:tcPr>
            <w:tcW w:w="1369" w:type="pct"/>
            <w:tcBorders>
              <w:top w:val="nil"/>
              <w:left w:val="nil"/>
              <w:bottom w:val="nil"/>
              <w:right w:val="nil"/>
            </w:tcBorders>
            <w:shd w:val="clear" w:color="auto" w:fill="auto"/>
            <w:noWrap/>
            <w:vAlign w:val="bottom"/>
            <w:hideMark/>
          </w:tcPr>
          <w:p w14:paraId="30911B3C" w14:textId="785DB584" w:rsidR="009F04CF" w:rsidRPr="009F04CF" w:rsidRDefault="00BB7BAF" w:rsidP="00936C46">
            <w:pPr>
              <w:pStyle w:val="Tablenumber"/>
              <w:ind w:left="0"/>
              <w:rPr>
                <w:lang w:eastAsia="en-AU"/>
              </w:rPr>
            </w:pPr>
            <w:r>
              <w:rPr>
                <w:lang w:eastAsia="en-AU"/>
              </w:rPr>
              <w:t xml:space="preserve">$ </w:t>
            </w:r>
            <w:r w:rsidR="009F04CF" w:rsidRPr="009F04CF">
              <w:rPr>
                <w:lang w:eastAsia="en-AU"/>
              </w:rPr>
              <w:t>81.5 million</w:t>
            </w:r>
            <w:r w:rsidR="00EA0D58">
              <w:rPr>
                <w:lang w:eastAsia="en-AU"/>
              </w:rPr>
              <w:t xml:space="preserve"> (</w:t>
            </w:r>
            <w:r w:rsidR="00EA0D58" w:rsidRPr="009F04CF">
              <w:rPr>
                <w:lang w:eastAsia="en-AU"/>
              </w:rPr>
              <w:t>373 million]</w:t>
            </w:r>
          </w:p>
        </w:tc>
      </w:tr>
      <w:tr w:rsidR="009F04CF" w:rsidRPr="009F04CF" w14:paraId="4ABE72FE" w14:textId="77777777" w:rsidTr="00D04A09">
        <w:trPr>
          <w:cantSplit/>
          <w:trHeight w:val="300"/>
          <w:jc w:val="center"/>
        </w:trPr>
        <w:tc>
          <w:tcPr>
            <w:tcW w:w="2338" w:type="pct"/>
            <w:tcBorders>
              <w:top w:val="nil"/>
              <w:left w:val="nil"/>
              <w:bottom w:val="nil"/>
              <w:right w:val="nil"/>
            </w:tcBorders>
            <w:shd w:val="clear" w:color="auto" w:fill="auto"/>
            <w:noWrap/>
            <w:vAlign w:val="bottom"/>
            <w:hideMark/>
          </w:tcPr>
          <w:p w14:paraId="1E9C3BCB" w14:textId="4B54B05C" w:rsidR="009F04CF" w:rsidRPr="009F04CF" w:rsidRDefault="009F04CF" w:rsidP="00936C46">
            <w:pPr>
              <w:pStyle w:val="Tablenumber"/>
              <w:ind w:left="0"/>
              <w:rPr>
                <w:lang w:eastAsia="en-AU"/>
              </w:rPr>
            </w:pPr>
            <w:r w:rsidRPr="009F04CF">
              <w:rPr>
                <w:lang w:eastAsia="en-AU"/>
              </w:rPr>
              <w:t>Wages</w:t>
            </w:r>
            <w:r w:rsidR="00EA0D58">
              <w:rPr>
                <w:lang w:eastAsia="en-AU"/>
              </w:rPr>
              <w:t xml:space="preserve"> [standard deviation]</w:t>
            </w:r>
          </w:p>
        </w:tc>
        <w:tc>
          <w:tcPr>
            <w:tcW w:w="1292" w:type="pct"/>
            <w:tcBorders>
              <w:top w:val="nil"/>
              <w:left w:val="nil"/>
              <w:bottom w:val="nil"/>
              <w:right w:val="nil"/>
            </w:tcBorders>
            <w:shd w:val="clear" w:color="auto" w:fill="auto"/>
            <w:noWrap/>
            <w:vAlign w:val="bottom"/>
            <w:hideMark/>
          </w:tcPr>
          <w:p w14:paraId="6AAE98EF" w14:textId="64368434" w:rsidR="009F04CF" w:rsidRPr="009F04CF" w:rsidRDefault="00BB7BAF" w:rsidP="00936C46">
            <w:pPr>
              <w:pStyle w:val="Tablenumber"/>
              <w:ind w:left="0"/>
              <w:rPr>
                <w:lang w:eastAsia="en-AU"/>
              </w:rPr>
            </w:pPr>
            <w:r>
              <w:rPr>
                <w:lang w:eastAsia="en-AU"/>
              </w:rPr>
              <w:t xml:space="preserve">$ </w:t>
            </w:r>
            <w:r w:rsidR="009F04CF" w:rsidRPr="009F04CF">
              <w:rPr>
                <w:lang w:eastAsia="en-AU"/>
              </w:rPr>
              <w:t>27.9 million</w:t>
            </w:r>
            <w:r w:rsidR="00EA0D58">
              <w:rPr>
                <w:lang w:eastAsia="en-AU"/>
              </w:rPr>
              <w:t xml:space="preserve"> (</w:t>
            </w:r>
            <w:r w:rsidR="00EA0D58" w:rsidRPr="009F04CF">
              <w:rPr>
                <w:lang w:eastAsia="en-AU"/>
              </w:rPr>
              <w:t>201 million]</w:t>
            </w:r>
          </w:p>
        </w:tc>
        <w:tc>
          <w:tcPr>
            <w:tcW w:w="1369" w:type="pct"/>
            <w:tcBorders>
              <w:top w:val="nil"/>
              <w:left w:val="nil"/>
              <w:bottom w:val="nil"/>
              <w:right w:val="nil"/>
            </w:tcBorders>
            <w:shd w:val="clear" w:color="auto" w:fill="auto"/>
            <w:noWrap/>
            <w:vAlign w:val="bottom"/>
            <w:hideMark/>
          </w:tcPr>
          <w:p w14:paraId="472DFFE3" w14:textId="075EA119" w:rsidR="009F04CF" w:rsidRPr="009F04CF" w:rsidRDefault="00BB7BAF" w:rsidP="00936C46">
            <w:pPr>
              <w:pStyle w:val="Tablenumber"/>
              <w:ind w:left="0"/>
              <w:rPr>
                <w:lang w:eastAsia="en-AU"/>
              </w:rPr>
            </w:pPr>
            <w:r>
              <w:rPr>
                <w:lang w:eastAsia="en-AU"/>
              </w:rPr>
              <w:t xml:space="preserve">$ </w:t>
            </w:r>
            <w:r w:rsidR="009F04CF" w:rsidRPr="009F04CF">
              <w:rPr>
                <w:lang w:eastAsia="en-AU"/>
              </w:rPr>
              <w:t>12.3 million</w:t>
            </w:r>
            <w:r w:rsidR="00EA0D58">
              <w:rPr>
                <w:lang w:eastAsia="en-AU"/>
              </w:rPr>
              <w:t xml:space="preserve"> </w:t>
            </w:r>
            <w:r w:rsidR="00EA0D58" w:rsidRPr="009F04CF">
              <w:rPr>
                <w:lang w:eastAsia="en-AU"/>
              </w:rPr>
              <w:t>[54.9 million]</w:t>
            </w:r>
          </w:p>
        </w:tc>
      </w:tr>
      <w:tr w:rsidR="009F04CF" w:rsidRPr="009F04CF" w14:paraId="679631CB" w14:textId="77777777" w:rsidTr="00D04A09">
        <w:trPr>
          <w:cantSplit/>
          <w:trHeight w:val="300"/>
          <w:jc w:val="center"/>
        </w:trPr>
        <w:tc>
          <w:tcPr>
            <w:tcW w:w="2338" w:type="pct"/>
            <w:tcBorders>
              <w:top w:val="nil"/>
              <w:left w:val="nil"/>
              <w:right w:val="nil"/>
            </w:tcBorders>
            <w:shd w:val="clear" w:color="auto" w:fill="auto"/>
            <w:noWrap/>
            <w:vAlign w:val="bottom"/>
            <w:hideMark/>
          </w:tcPr>
          <w:p w14:paraId="73128929" w14:textId="40B591F2" w:rsidR="009F04CF" w:rsidRPr="009F04CF" w:rsidRDefault="009F04CF" w:rsidP="00936C46">
            <w:pPr>
              <w:pStyle w:val="Tablenumber"/>
              <w:ind w:left="0"/>
              <w:rPr>
                <w:lang w:eastAsia="en-AU"/>
              </w:rPr>
            </w:pPr>
            <w:r w:rsidRPr="009F04CF">
              <w:rPr>
                <w:lang w:eastAsia="en-AU"/>
              </w:rPr>
              <w:t>Assets</w:t>
            </w:r>
            <w:r w:rsidR="00EA0D58">
              <w:rPr>
                <w:lang w:eastAsia="en-AU"/>
              </w:rPr>
              <w:t xml:space="preserve"> [standard deviation]</w:t>
            </w:r>
          </w:p>
        </w:tc>
        <w:tc>
          <w:tcPr>
            <w:tcW w:w="1292" w:type="pct"/>
            <w:tcBorders>
              <w:top w:val="nil"/>
              <w:left w:val="nil"/>
              <w:right w:val="nil"/>
            </w:tcBorders>
            <w:shd w:val="clear" w:color="auto" w:fill="auto"/>
            <w:noWrap/>
            <w:vAlign w:val="bottom"/>
            <w:hideMark/>
          </w:tcPr>
          <w:p w14:paraId="2924CD07" w14:textId="4B3E7DD5" w:rsidR="009F04CF" w:rsidRPr="009F04CF" w:rsidRDefault="00BB7BAF" w:rsidP="00936C46">
            <w:pPr>
              <w:pStyle w:val="Tablenumber"/>
              <w:ind w:left="0"/>
              <w:rPr>
                <w:lang w:eastAsia="en-AU"/>
              </w:rPr>
            </w:pPr>
            <w:r>
              <w:rPr>
                <w:lang w:eastAsia="en-AU"/>
              </w:rPr>
              <w:t xml:space="preserve">$ </w:t>
            </w:r>
            <w:r w:rsidR="009F04CF" w:rsidRPr="009F04CF">
              <w:rPr>
                <w:lang w:eastAsia="en-AU"/>
              </w:rPr>
              <w:t>969 million</w:t>
            </w:r>
            <w:r w:rsidR="00EA0D58">
              <w:rPr>
                <w:lang w:eastAsia="en-AU"/>
              </w:rPr>
              <w:t xml:space="preserve"> </w:t>
            </w:r>
            <w:r w:rsidR="00EA0D58" w:rsidRPr="009F04CF">
              <w:rPr>
                <w:lang w:eastAsia="en-AU"/>
              </w:rPr>
              <w:t>[17 billion]</w:t>
            </w:r>
          </w:p>
        </w:tc>
        <w:tc>
          <w:tcPr>
            <w:tcW w:w="1369" w:type="pct"/>
            <w:tcBorders>
              <w:top w:val="nil"/>
              <w:left w:val="nil"/>
              <w:right w:val="nil"/>
            </w:tcBorders>
            <w:shd w:val="clear" w:color="auto" w:fill="auto"/>
            <w:noWrap/>
            <w:vAlign w:val="bottom"/>
            <w:hideMark/>
          </w:tcPr>
          <w:p w14:paraId="03DA4503" w14:textId="12631A77" w:rsidR="009F04CF" w:rsidRPr="009F04CF" w:rsidRDefault="00BB7BAF" w:rsidP="00936C46">
            <w:pPr>
              <w:pStyle w:val="Tablenumber"/>
              <w:ind w:left="0"/>
              <w:rPr>
                <w:lang w:eastAsia="en-AU"/>
              </w:rPr>
            </w:pPr>
            <w:r>
              <w:rPr>
                <w:lang w:eastAsia="en-AU"/>
              </w:rPr>
              <w:t xml:space="preserve">$ </w:t>
            </w:r>
            <w:r w:rsidR="009F04CF" w:rsidRPr="009F04CF">
              <w:rPr>
                <w:lang w:eastAsia="en-AU"/>
              </w:rPr>
              <w:t>48.1 million</w:t>
            </w:r>
            <w:r w:rsidR="00EA0D58">
              <w:rPr>
                <w:lang w:eastAsia="en-AU"/>
              </w:rPr>
              <w:t xml:space="preserve"> (</w:t>
            </w:r>
            <w:r w:rsidR="00EA0D58" w:rsidRPr="009F04CF">
              <w:rPr>
                <w:lang w:eastAsia="en-AU"/>
              </w:rPr>
              <w:t>358 million]</w:t>
            </w:r>
          </w:p>
        </w:tc>
      </w:tr>
      <w:tr w:rsidR="009F04CF" w:rsidRPr="009F04CF" w14:paraId="1115C145" w14:textId="77777777" w:rsidTr="00D04A09">
        <w:trPr>
          <w:cantSplit/>
          <w:trHeight w:val="300"/>
          <w:jc w:val="center"/>
        </w:trPr>
        <w:tc>
          <w:tcPr>
            <w:tcW w:w="2338" w:type="pct"/>
            <w:tcBorders>
              <w:top w:val="nil"/>
              <w:left w:val="nil"/>
              <w:bottom w:val="single" w:sz="4" w:space="0" w:color="auto"/>
              <w:right w:val="nil"/>
            </w:tcBorders>
            <w:shd w:val="clear" w:color="auto" w:fill="auto"/>
            <w:noWrap/>
            <w:vAlign w:val="bottom"/>
            <w:hideMark/>
          </w:tcPr>
          <w:p w14:paraId="06A05E14" w14:textId="22733838" w:rsidR="009F04CF" w:rsidRPr="009F04CF" w:rsidRDefault="009F04CF" w:rsidP="00936C46">
            <w:pPr>
              <w:pStyle w:val="Tablenumber"/>
              <w:ind w:left="0"/>
              <w:rPr>
                <w:lang w:eastAsia="en-AU"/>
              </w:rPr>
            </w:pPr>
            <w:r w:rsidRPr="009F04CF">
              <w:rPr>
                <w:lang w:eastAsia="en-AU"/>
              </w:rPr>
              <w:t>Profits</w:t>
            </w:r>
            <w:r w:rsidR="00EA0D58">
              <w:rPr>
                <w:lang w:eastAsia="en-AU"/>
              </w:rPr>
              <w:t xml:space="preserve"> [standard deviation]</w:t>
            </w:r>
          </w:p>
        </w:tc>
        <w:tc>
          <w:tcPr>
            <w:tcW w:w="1292" w:type="pct"/>
            <w:tcBorders>
              <w:top w:val="nil"/>
              <w:left w:val="nil"/>
              <w:bottom w:val="single" w:sz="4" w:space="0" w:color="auto"/>
              <w:right w:val="nil"/>
            </w:tcBorders>
            <w:shd w:val="clear" w:color="auto" w:fill="auto"/>
            <w:noWrap/>
            <w:vAlign w:val="bottom"/>
            <w:hideMark/>
          </w:tcPr>
          <w:p w14:paraId="5145CA34" w14:textId="1BE70553" w:rsidR="009F04CF" w:rsidRPr="009F04CF" w:rsidRDefault="00BB7BAF" w:rsidP="00936C46">
            <w:pPr>
              <w:pStyle w:val="Tablenumber"/>
              <w:ind w:left="0"/>
              <w:rPr>
                <w:lang w:eastAsia="en-AU"/>
              </w:rPr>
            </w:pPr>
            <w:r>
              <w:rPr>
                <w:lang w:eastAsia="en-AU"/>
              </w:rPr>
              <w:t xml:space="preserve">$ </w:t>
            </w:r>
            <w:r w:rsidR="009F04CF" w:rsidRPr="009F04CF">
              <w:rPr>
                <w:lang w:eastAsia="en-AU"/>
              </w:rPr>
              <w:t>39.4 million</w:t>
            </w:r>
            <w:r w:rsidR="00EA0D58">
              <w:rPr>
                <w:lang w:eastAsia="en-AU"/>
              </w:rPr>
              <w:t xml:space="preserve"> (</w:t>
            </w:r>
            <w:r w:rsidR="00EA0D58" w:rsidRPr="009F04CF">
              <w:rPr>
                <w:lang w:eastAsia="en-AU"/>
              </w:rPr>
              <w:t>480 million]</w:t>
            </w:r>
          </w:p>
        </w:tc>
        <w:tc>
          <w:tcPr>
            <w:tcW w:w="1369" w:type="pct"/>
            <w:tcBorders>
              <w:top w:val="nil"/>
              <w:left w:val="nil"/>
              <w:bottom w:val="single" w:sz="4" w:space="0" w:color="auto"/>
              <w:right w:val="nil"/>
            </w:tcBorders>
            <w:shd w:val="clear" w:color="auto" w:fill="auto"/>
            <w:noWrap/>
            <w:vAlign w:val="bottom"/>
            <w:hideMark/>
          </w:tcPr>
          <w:p w14:paraId="7D6B1BC8" w14:textId="78CB3DA6" w:rsidR="009F04CF" w:rsidRPr="009F04CF" w:rsidRDefault="00BB7BAF" w:rsidP="00936C46">
            <w:pPr>
              <w:pStyle w:val="Tablenumber"/>
              <w:ind w:left="0"/>
              <w:rPr>
                <w:lang w:eastAsia="en-AU"/>
              </w:rPr>
            </w:pPr>
            <w:r>
              <w:rPr>
                <w:lang w:eastAsia="en-AU"/>
              </w:rPr>
              <w:t xml:space="preserve">$ </w:t>
            </w:r>
            <w:r w:rsidR="009F04CF" w:rsidRPr="009F04CF">
              <w:rPr>
                <w:lang w:eastAsia="en-AU"/>
              </w:rPr>
              <w:t>2 million</w:t>
            </w:r>
            <w:r w:rsidR="00EA0D58">
              <w:rPr>
                <w:lang w:eastAsia="en-AU"/>
              </w:rPr>
              <w:t xml:space="preserve"> </w:t>
            </w:r>
            <w:r w:rsidR="00EA0D58" w:rsidRPr="009F04CF">
              <w:rPr>
                <w:lang w:eastAsia="en-AU"/>
              </w:rPr>
              <w:t>[33.9 million]</w:t>
            </w:r>
          </w:p>
        </w:tc>
      </w:tr>
    </w:tbl>
    <w:p w14:paraId="044D6348" w14:textId="77777777" w:rsidR="009F04CF" w:rsidRPr="009F04CF" w:rsidRDefault="009F04CF" w:rsidP="00E77026">
      <w:pPr>
        <w:pStyle w:val="Heading1"/>
      </w:pPr>
      <w:r w:rsidRPr="009F04CF">
        <w:t>Ordinary least squares</w:t>
      </w:r>
      <w:r w:rsidR="00E77026">
        <w:t xml:space="preserve"> analysis</w:t>
      </w:r>
      <w:r w:rsidR="00032962">
        <w:t xml:space="preserve"> </w:t>
      </w:r>
    </w:p>
    <w:p w14:paraId="27E6820C" w14:textId="2E868FE8" w:rsidR="009F04CF" w:rsidRDefault="009F04CF" w:rsidP="00A82693">
      <w:pPr>
        <w:pStyle w:val="Text"/>
        <w:rPr>
          <w:rFonts w:eastAsia="Calibri"/>
        </w:rPr>
      </w:pPr>
      <w:r w:rsidRPr="009F04CF">
        <w:rPr>
          <w:rFonts w:eastAsia="Calibri"/>
        </w:rPr>
        <w:t xml:space="preserve">The first approach is a conventional linear regression model estimated using ordinary least squares (OLS). This method allows us to identify if there is a correlation between receiving the subsidy and R&amp;D outcomes while holding constant some other observable firm attributes. </w:t>
      </w:r>
      <w:r w:rsidR="005D4725">
        <w:rPr>
          <w:rFonts w:eastAsia="Calibri"/>
        </w:rPr>
        <w:t>The OLS model</w:t>
      </w:r>
      <w:r w:rsidRPr="009F04CF">
        <w:rPr>
          <w:rFonts w:eastAsia="Calibri"/>
        </w:rPr>
        <w:t xml:space="preserve"> </w:t>
      </w:r>
      <w:r w:rsidR="005D4725">
        <w:rPr>
          <w:rFonts w:eastAsia="Calibri"/>
        </w:rPr>
        <w:t>is</w:t>
      </w:r>
      <w:r w:rsidRPr="009F04CF">
        <w:rPr>
          <w:rFonts w:eastAsia="Calibri"/>
        </w:rPr>
        <w:t>:</w:t>
      </w:r>
    </w:p>
    <w:p w14:paraId="7B4B9550" w14:textId="64F6322E" w:rsidR="00DA24D2" w:rsidRPr="009F04CF" w:rsidRDefault="00DA24D2" w:rsidP="00A82693">
      <w:pPr>
        <w:pStyle w:val="Text"/>
        <w:rPr>
          <w:rFonts w:eastAsia="Calibri"/>
        </w:rPr>
      </w:pPr>
      <w:r>
        <w:rPr>
          <w:noProof/>
          <w:lang w:eastAsia="en-AU"/>
        </w:rPr>
        <w:drawing>
          <wp:inline distT="0" distB="0" distL="0" distR="0" wp14:anchorId="53F00E17" wp14:editId="28BDEB86">
            <wp:extent cx="5731510" cy="434975"/>
            <wp:effectExtent l="0" t="0" r="2540" b="3175"/>
            <wp:docPr id="3" name="Picture 3" descr="Natural logarithm left parenthesis R&amp;D exp right parenthesis sub it baseline  equals alpha plus beta R&amp;D tax credit sub it baseline plus X sub it baseline delta plus v sub it " title="Equation 1: Ordinary least squares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434975"/>
                    </a:xfrm>
                    <a:prstGeom prst="rect">
                      <a:avLst/>
                    </a:prstGeom>
                  </pic:spPr>
                </pic:pic>
              </a:graphicData>
            </a:graphic>
          </wp:inline>
        </w:drawing>
      </w:r>
    </w:p>
    <w:p w14:paraId="241D4C02" w14:textId="3CA6C955" w:rsidR="009F04CF" w:rsidRDefault="009F04CF" w:rsidP="00A82693">
      <w:pPr>
        <w:pStyle w:val="Text"/>
        <w:rPr>
          <w:rFonts w:eastAsia="Calibri"/>
        </w:rPr>
      </w:pPr>
      <w:r w:rsidRPr="009F04CF">
        <w:rPr>
          <w:rFonts w:eastAsia="Calibri"/>
        </w:rPr>
        <w:t xml:space="preserve">Equation (1) </w:t>
      </w:r>
      <w:r w:rsidR="00413799">
        <w:rPr>
          <w:rFonts w:eastAsia="Calibri"/>
        </w:rPr>
        <w:t>represents a linear relationship between R&amp;D investment by</w:t>
      </w:r>
      <w:r w:rsidRPr="009F04CF">
        <w:rPr>
          <w:rFonts w:eastAsia="Calibri"/>
        </w:rPr>
        <w:t xml:space="preserve"> firm </w:t>
      </w:r>
      <w:r w:rsidRPr="009F04CF">
        <w:rPr>
          <w:rFonts w:eastAsia="Calibri"/>
          <w:i/>
        </w:rPr>
        <w:t xml:space="preserve">i </w:t>
      </w:r>
      <w:r w:rsidRPr="009F04CF">
        <w:rPr>
          <w:rFonts w:eastAsia="Calibri"/>
        </w:rPr>
        <w:t xml:space="preserve">and year </w:t>
      </w:r>
      <w:r w:rsidRPr="009F04CF">
        <w:rPr>
          <w:rFonts w:eastAsia="Calibri"/>
          <w:i/>
        </w:rPr>
        <w:t xml:space="preserve">t </w:t>
      </w:r>
      <w:r w:rsidR="00413799" w:rsidRPr="00413799">
        <w:rPr>
          <w:rFonts w:eastAsia="Calibri"/>
        </w:rPr>
        <w:t xml:space="preserve">and </w:t>
      </w:r>
      <w:r w:rsidRPr="009F04CF">
        <w:rPr>
          <w:rFonts w:eastAsia="Calibri"/>
        </w:rPr>
        <w:t xml:space="preserve">firm-level </w:t>
      </w:r>
      <w:r w:rsidR="00413799">
        <w:rPr>
          <w:rFonts w:eastAsia="Calibri"/>
        </w:rPr>
        <w:t>attributes</w:t>
      </w:r>
      <w:r w:rsidRPr="009F04CF">
        <w:rPr>
          <w:rFonts w:eastAsia="Calibri"/>
        </w:rPr>
        <w:t xml:space="preserve"> </w:t>
      </w:r>
      <w:r w:rsidRPr="009F04CF">
        <w:rPr>
          <w:rFonts w:eastAsia="Calibri"/>
          <w:i/>
        </w:rPr>
        <w:t>X</w:t>
      </w:r>
      <w:r w:rsidRPr="009F04CF">
        <w:rPr>
          <w:rFonts w:eastAsia="Calibri"/>
        </w:rPr>
        <w:t xml:space="preserve">, a stochastic error term </w:t>
      </w:r>
      <w:r w:rsidR="00964264">
        <w:rPr>
          <w:rFonts w:eastAsia="Calibri"/>
          <w:i/>
        </w:rPr>
        <w:t>v</w:t>
      </w:r>
      <w:r w:rsidRPr="009F04CF">
        <w:rPr>
          <w:rFonts w:eastAsia="Calibri"/>
        </w:rPr>
        <w:t xml:space="preserve">, and a dummy variable </w:t>
      </w:r>
      <w:r w:rsidRPr="009F04CF">
        <w:rPr>
          <w:rFonts w:eastAsia="Calibri"/>
          <w:i/>
        </w:rPr>
        <w:t xml:space="preserve">R&amp;D tax </w:t>
      </w:r>
      <w:r w:rsidR="00FA54FA">
        <w:rPr>
          <w:rFonts w:eastAsia="Calibri"/>
          <w:i/>
        </w:rPr>
        <w:t>credit</w:t>
      </w:r>
      <w:r w:rsidR="00FA54FA" w:rsidRPr="009F04CF">
        <w:rPr>
          <w:rFonts w:eastAsia="Calibri"/>
          <w:i/>
        </w:rPr>
        <w:t xml:space="preserve"> </w:t>
      </w:r>
      <w:r w:rsidRPr="009F04CF">
        <w:rPr>
          <w:rFonts w:eastAsia="Calibri"/>
        </w:rPr>
        <w:t xml:space="preserve">set equal to 1 if firm </w:t>
      </w:r>
      <w:r w:rsidRPr="009F04CF">
        <w:rPr>
          <w:rFonts w:eastAsia="Calibri"/>
          <w:i/>
        </w:rPr>
        <w:t xml:space="preserve">i </w:t>
      </w:r>
      <w:r w:rsidRPr="009F04CF">
        <w:rPr>
          <w:rFonts w:eastAsia="Calibri"/>
        </w:rPr>
        <w:t xml:space="preserve">claims an R&amp;D tax subsidy and zero otherwise. </w:t>
      </w:r>
      <w:r w:rsidR="00413799">
        <w:rPr>
          <w:rFonts w:eastAsia="Calibri"/>
        </w:rPr>
        <w:t>We can interpret</w:t>
      </w:r>
      <w:r w:rsidRPr="009F04CF">
        <w:rPr>
          <w:rFonts w:eastAsia="Calibri"/>
        </w:rPr>
        <w:t xml:space="preserve"> </w:t>
      </w:r>
      <m:oMath>
        <m:r>
          <w:rPr>
            <w:rFonts w:ascii="Cambria Math" w:eastAsia="Calibri" w:hAnsi="Cambria Math"/>
          </w:rPr>
          <m:t>β</m:t>
        </m:r>
      </m:oMath>
      <w:r w:rsidRPr="009F04CF">
        <w:rPr>
          <w:rFonts w:eastAsia="Calibri"/>
        </w:rPr>
        <w:t xml:space="preserve"> as the causal effect </w:t>
      </w:r>
      <w:r w:rsidR="00413799">
        <w:rPr>
          <w:rFonts w:eastAsia="Calibri"/>
        </w:rPr>
        <w:t xml:space="preserve">of tax policy on </w:t>
      </w:r>
      <w:r w:rsidRPr="009F04CF">
        <w:rPr>
          <w:rFonts w:eastAsia="Calibri"/>
        </w:rPr>
        <w:t xml:space="preserve">R&amp;D investment </w:t>
      </w:r>
      <w:r w:rsidR="00413799">
        <w:rPr>
          <w:rFonts w:eastAsia="Calibri"/>
        </w:rPr>
        <w:t xml:space="preserve">under the </w:t>
      </w:r>
      <w:r w:rsidRPr="009F04CF">
        <w:rPr>
          <w:rFonts w:eastAsia="Calibri"/>
        </w:rPr>
        <w:t>assumption that no unobservable factors (factors not included in the model) influence both the amount of R&amp;D performed and also the firms</w:t>
      </w:r>
      <w:r w:rsidR="00556800">
        <w:rPr>
          <w:rFonts w:eastAsia="Calibri"/>
        </w:rPr>
        <w:t>’</w:t>
      </w:r>
      <w:r w:rsidRPr="009F04CF">
        <w:rPr>
          <w:rFonts w:eastAsia="Calibri"/>
        </w:rPr>
        <w:t xml:space="preserve"> propensity to </w:t>
      </w:r>
      <w:r w:rsidR="00413799">
        <w:rPr>
          <w:rFonts w:eastAsia="Calibri"/>
        </w:rPr>
        <w:t>register for the subsidies</w:t>
      </w:r>
      <w:r w:rsidR="000F3033">
        <w:rPr>
          <w:rFonts w:eastAsia="Calibri"/>
        </w:rPr>
        <w:t>.</w:t>
      </w:r>
    </w:p>
    <w:p w14:paraId="12F9AF3D" w14:textId="65868649" w:rsidR="00B819BA" w:rsidRDefault="00E77026" w:rsidP="00032962">
      <w:pPr>
        <w:pStyle w:val="Text"/>
        <w:rPr>
          <w:rFonts w:eastAsia="Calibri"/>
        </w:rPr>
      </w:pPr>
      <w:r>
        <w:rPr>
          <w:rFonts w:eastAsia="Calibri"/>
        </w:rPr>
        <w:t>Table 7</w:t>
      </w:r>
      <w:r w:rsidRPr="009F04CF">
        <w:rPr>
          <w:rFonts w:eastAsia="Calibri"/>
        </w:rPr>
        <w:t xml:space="preserve"> displays the results of the OLS estimates of firm level R&amp;D investment. Column (1) indicates that, on average across all years and all firms considered, firms which received a Tax Incentive or Concession spent </w:t>
      </w:r>
      <w:r w:rsidR="000F3033">
        <w:rPr>
          <w:rFonts w:eastAsia="Calibri"/>
        </w:rPr>
        <w:t xml:space="preserve">approximately 50 percent </w:t>
      </w:r>
      <w:r w:rsidRPr="009F04CF">
        <w:rPr>
          <w:rFonts w:eastAsia="Calibri"/>
        </w:rPr>
        <w:t>more on R&amp;D than firms that did not claim an R&amp;D tax break.</w:t>
      </w:r>
      <w:r w:rsidR="001016F5">
        <w:rPr>
          <w:rStyle w:val="FootnoteReference"/>
          <w:rFonts w:eastAsia="Calibri"/>
        </w:rPr>
        <w:footnoteReference w:id="2"/>
      </w:r>
      <w:r w:rsidRPr="009F04CF">
        <w:rPr>
          <w:rFonts w:eastAsia="Calibri"/>
        </w:rPr>
        <w:t xml:space="preserve"> This difference is statistically significantly different from zero at the 1</w:t>
      </w:r>
      <w:r w:rsidR="00C00A0D">
        <w:rPr>
          <w:rFonts w:eastAsia="Calibri"/>
        </w:rPr>
        <w:t xml:space="preserve"> </w:t>
      </w:r>
      <w:r w:rsidR="00F426A9">
        <w:rPr>
          <w:rFonts w:eastAsia="Calibri"/>
        </w:rPr>
        <w:t>per</w:t>
      </w:r>
      <w:r w:rsidR="00C00A0D">
        <w:rPr>
          <w:rFonts w:eastAsia="Calibri"/>
        </w:rPr>
        <w:t xml:space="preserve"> </w:t>
      </w:r>
      <w:r w:rsidR="00F426A9">
        <w:rPr>
          <w:rFonts w:eastAsia="Calibri"/>
        </w:rPr>
        <w:t xml:space="preserve">cent </w:t>
      </w:r>
      <w:r w:rsidRPr="009F04CF">
        <w:rPr>
          <w:rFonts w:eastAsia="Calibri"/>
        </w:rPr>
        <w:t>level, meaning that the observed difference is less than 1</w:t>
      </w:r>
      <w:r w:rsidR="00F426A9">
        <w:rPr>
          <w:rFonts w:eastAsia="Calibri"/>
        </w:rPr>
        <w:t xml:space="preserve"> per</w:t>
      </w:r>
      <w:r w:rsidR="00C00A0D">
        <w:rPr>
          <w:rFonts w:eastAsia="Calibri"/>
        </w:rPr>
        <w:t xml:space="preserve"> </w:t>
      </w:r>
      <w:r w:rsidR="00F426A9">
        <w:rPr>
          <w:rFonts w:eastAsia="Calibri"/>
        </w:rPr>
        <w:t xml:space="preserve">cent </w:t>
      </w:r>
      <w:r w:rsidRPr="009F04CF">
        <w:rPr>
          <w:rFonts w:eastAsia="Calibri"/>
        </w:rPr>
        <w:t xml:space="preserve">likely to be due to chance. We therefore reject the </w:t>
      </w:r>
      <w:r w:rsidRPr="009F04CF">
        <w:rPr>
          <w:rFonts w:eastAsia="Calibri"/>
        </w:rPr>
        <w:lastRenderedPageBreak/>
        <w:t xml:space="preserve">null hypothesis that there is no association between R&amp;D investment and receiving an R&amp;D tax break. This conclusion holds true for both the </w:t>
      </w:r>
      <w:r w:rsidR="00C00A0D">
        <w:rPr>
          <w:rFonts w:eastAsia="Calibri"/>
        </w:rPr>
        <w:t xml:space="preserve">Concession (columns 1-3) and the </w:t>
      </w:r>
      <w:r w:rsidRPr="009F04CF">
        <w:rPr>
          <w:rFonts w:eastAsia="Calibri"/>
        </w:rPr>
        <w:t xml:space="preserve">Incentive </w:t>
      </w:r>
      <w:r>
        <w:rPr>
          <w:rFonts w:eastAsia="Calibri"/>
        </w:rPr>
        <w:t>(column</w:t>
      </w:r>
      <w:r w:rsidR="00C00A0D">
        <w:rPr>
          <w:rFonts w:eastAsia="Calibri"/>
        </w:rPr>
        <w:t>s</w:t>
      </w:r>
      <w:r>
        <w:rPr>
          <w:rFonts w:eastAsia="Calibri"/>
        </w:rPr>
        <w:t xml:space="preserve"> </w:t>
      </w:r>
      <w:r w:rsidR="00C00A0D">
        <w:rPr>
          <w:rFonts w:eastAsia="Calibri"/>
        </w:rPr>
        <w:t>4-5</w:t>
      </w:r>
      <w:r>
        <w:rPr>
          <w:rFonts w:eastAsia="Calibri"/>
        </w:rPr>
        <w:t>)</w:t>
      </w:r>
      <w:r w:rsidRPr="009F04CF">
        <w:rPr>
          <w:rFonts w:eastAsia="Calibri"/>
        </w:rPr>
        <w:t xml:space="preserve">. </w:t>
      </w:r>
      <w:r w:rsidR="00B819BA">
        <w:rPr>
          <w:rFonts w:eastAsia="Calibri"/>
        </w:rPr>
        <w:t xml:space="preserve">As expected, the effect of the Incentive is considerably higher for </w:t>
      </w:r>
      <w:r w:rsidR="00135946">
        <w:rPr>
          <w:rFonts w:eastAsia="Calibri"/>
        </w:rPr>
        <w:t xml:space="preserve">small </w:t>
      </w:r>
      <w:r w:rsidR="00B819BA">
        <w:rPr>
          <w:rFonts w:eastAsia="Calibri"/>
        </w:rPr>
        <w:t xml:space="preserve">firms with zero profits (column 5). However, the effect is smaller for both small firms (column 2) and firms not </w:t>
      </w:r>
      <w:r w:rsidR="00135946">
        <w:rPr>
          <w:rFonts w:eastAsia="Calibri"/>
        </w:rPr>
        <w:t>paying</w:t>
      </w:r>
      <w:r w:rsidR="00B819BA">
        <w:rPr>
          <w:rFonts w:eastAsia="Calibri"/>
        </w:rPr>
        <w:t xml:space="preserve"> franked dividends (column 3). We cannot explain these results. Nonetheless, o</w:t>
      </w:r>
      <w:r w:rsidR="00032962" w:rsidRPr="009F04CF">
        <w:rPr>
          <w:rFonts w:eastAsia="Calibri"/>
        </w:rPr>
        <w:t xml:space="preserve">verall we document a robust significant relationship between R&amp;D tax subsidies and R&amp;D </w:t>
      </w:r>
      <w:r w:rsidR="00B819BA">
        <w:rPr>
          <w:rFonts w:eastAsia="Calibri"/>
        </w:rPr>
        <w:t xml:space="preserve">expenditure </w:t>
      </w:r>
      <w:r w:rsidR="00032962" w:rsidRPr="009F04CF">
        <w:rPr>
          <w:rFonts w:eastAsia="Calibri"/>
        </w:rPr>
        <w:t>u</w:t>
      </w:r>
      <w:r w:rsidR="00032962">
        <w:rPr>
          <w:rFonts w:eastAsia="Calibri"/>
        </w:rPr>
        <w:t xml:space="preserve">sing OLS. </w:t>
      </w:r>
    </w:p>
    <w:p w14:paraId="0FC467B8" w14:textId="146689C6" w:rsidR="00032962" w:rsidRDefault="000F3033" w:rsidP="00032962">
      <w:pPr>
        <w:pStyle w:val="Text"/>
        <w:rPr>
          <w:rFonts w:eastAsia="Calibri"/>
        </w:rPr>
      </w:pPr>
      <w:r>
        <w:rPr>
          <w:rFonts w:eastAsia="Calibri"/>
        </w:rPr>
        <w:t>We highlight that t</w:t>
      </w:r>
      <w:r w:rsidRPr="003B2520">
        <w:rPr>
          <w:rFonts w:eastAsia="Calibri"/>
        </w:rPr>
        <w:t>he 1993 study by the Bureau of Industry Economics followed a similar</w:t>
      </w:r>
      <w:r w:rsidR="005D4725">
        <w:rPr>
          <w:rFonts w:eastAsia="Calibri"/>
        </w:rPr>
        <w:t xml:space="preserve"> estimation strategy</w:t>
      </w:r>
      <w:r w:rsidRPr="003B2520">
        <w:rPr>
          <w:rFonts w:eastAsia="Calibri"/>
        </w:rPr>
        <w:t xml:space="preserve"> and did not report a </w:t>
      </w:r>
      <w:r w:rsidR="00257A76">
        <w:rPr>
          <w:rFonts w:eastAsia="Calibri"/>
        </w:rPr>
        <w:t>robust</w:t>
      </w:r>
      <w:r w:rsidRPr="003B2520">
        <w:rPr>
          <w:rFonts w:eastAsia="Calibri"/>
        </w:rPr>
        <w:t xml:space="preserve"> significant difference between these groups</w:t>
      </w:r>
      <w:r>
        <w:rPr>
          <w:rFonts w:eastAsia="Calibri"/>
        </w:rPr>
        <w:t>, controlling for other factors.</w:t>
      </w:r>
      <w:r w:rsidR="0059369B">
        <w:rPr>
          <w:rFonts w:eastAsia="Calibri"/>
        </w:rPr>
        <w:t xml:space="preserve"> Results using OLS are similar to those reported below using matching estimators</w:t>
      </w:r>
      <w:r w:rsidR="006864C6">
        <w:rPr>
          <w:rFonts w:eastAsia="Calibri"/>
        </w:rPr>
        <w:t xml:space="preserve"> which are discussed in greater detail below</w:t>
      </w:r>
      <w:r w:rsidR="0059369B">
        <w:rPr>
          <w:rFonts w:eastAsia="Calibri"/>
        </w:rPr>
        <w:t xml:space="preserve">. As such, we do not report the additionality for the OLS results separately. The additionality estimated using matching is </w:t>
      </w:r>
      <w:r w:rsidR="005F049A">
        <w:rPr>
          <w:rFonts w:eastAsia="Calibri"/>
        </w:rPr>
        <w:t>presented in the next section.</w:t>
      </w:r>
    </w:p>
    <w:p w14:paraId="2BA97C1F" w14:textId="77777777" w:rsidR="00E77026" w:rsidRDefault="00E77026" w:rsidP="00E77026">
      <w:pPr>
        <w:spacing w:before="0"/>
        <w:jc w:val="left"/>
        <w:rPr>
          <w:rFonts w:ascii="Times New Roman" w:hAnsi="Times New Roman"/>
          <w:b/>
          <w:bCs/>
          <w:lang w:eastAsia="en-AU"/>
        </w:rPr>
      </w:pPr>
    </w:p>
    <w:p w14:paraId="200B70E1" w14:textId="77777777" w:rsidR="00E77026" w:rsidRPr="009F04CF" w:rsidRDefault="00E77026" w:rsidP="00E77026">
      <w:pPr>
        <w:spacing w:after="240" w:line="360" w:lineRule="auto"/>
        <w:rPr>
          <w:rFonts w:ascii="Times New Roman" w:eastAsia="Calibri" w:hAnsi="Times New Roman"/>
        </w:rPr>
        <w:sectPr w:rsidR="00E77026" w:rsidRPr="009F04CF" w:rsidSect="000D4158">
          <w:footnotePr>
            <w:numFmt w:val="chicago"/>
          </w:footnotePr>
          <w:pgSz w:w="11906" w:h="16838"/>
          <w:pgMar w:top="1440" w:right="1440" w:bottom="1440" w:left="1440" w:header="708" w:footer="708" w:gutter="0"/>
          <w:cols w:space="708"/>
          <w:docGrid w:linePitch="360"/>
        </w:sectPr>
      </w:pPr>
    </w:p>
    <w:p w14:paraId="71F62361" w14:textId="77777777" w:rsidR="00E77026" w:rsidRDefault="00E77026" w:rsidP="00E77026">
      <w:pPr>
        <w:pStyle w:val="Caption"/>
        <w:jc w:val="center"/>
        <w:rPr>
          <w:lang w:eastAsia="en-AU"/>
        </w:rPr>
      </w:pPr>
      <w:r>
        <w:rPr>
          <w:lang w:eastAsia="en-AU"/>
        </w:rPr>
        <w:lastRenderedPageBreak/>
        <w:t>Table 7</w:t>
      </w:r>
      <w:r w:rsidRPr="009F04CF">
        <w:rPr>
          <w:lang w:eastAsia="en-AU"/>
        </w:rPr>
        <w:t>. Ordinary Least Square Estimates</w:t>
      </w:r>
      <w:r>
        <w:rPr>
          <w:lang w:eastAsia="en-AU"/>
        </w:rPr>
        <w:t>. Dependent variable:</w:t>
      </w:r>
      <w:r w:rsidR="00475F11">
        <w:rPr>
          <w:lang w:eastAsia="en-AU"/>
        </w:rPr>
        <w:t xml:space="preserve"> ln</w:t>
      </w:r>
      <w:r w:rsidRPr="009F04CF">
        <w:rPr>
          <w:lang w:eastAsia="en-AU"/>
        </w:rPr>
        <w:t xml:space="preserve"> R&amp;D Investment</w:t>
      </w:r>
      <w:r>
        <w:rPr>
          <w:lang w:eastAsia="en-AU"/>
        </w:rPr>
        <w:t xml:space="preserve"> (BERD)</w:t>
      </w:r>
      <w:r w:rsidRPr="009F04CF">
        <w:rPr>
          <w:lang w:eastAsia="en-AU"/>
        </w:rPr>
        <w:t>.</w:t>
      </w:r>
    </w:p>
    <w:tbl>
      <w:tblPr>
        <w:tblW w:w="14317" w:type="dxa"/>
        <w:tblLayout w:type="fixed"/>
        <w:tblLook w:val="04A0" w:firstRow="1" w:lastRow="0" w:firstColumn="1" w:lastColumn="0" w:noHBand="0" w:noVBand="1"/>
        <w:tblCaption w:val="Table 7, Ordinary Least Squares Estimates. Dependent variable; Log of R&amp;D Investment (BERD)"/>
        <w:tblDescription w:val="Table outlining the parameter estimates of 5 different specifications when compared to the base category of non-claiming firms using propensity score matching.&#10;The parameter estimates correspond to each of the five specifications The number listed in squared parenthesis denotes standard deviation. Round parenthesis denotes number of observations&#10;&#10;Column 1 Tax Concession: 0.508 [0.0189], (32,354)&#10;Column 2 Tax Concession and small firms: 0.364 [0.0194], (24,810)&#10;Column 3 Tax Concessions, no franked dividends:0.405 [0.0213] (25,191)&#10;Column 4 Tax incentive: 0.149 [0.0758] (2,147)&#10;Column 5 Tax incentive, small firms, no profit: 0.924 [0.0176] (699)"/>
      </w:tblPr>
      <w:tblGrid>
        <w:gridCol w:w="3446"/>
        <w:gridCol w:w="2174"/>
        <w:gridCol w:w="2174"/>
        <w:gridCol w:w="2174"/>
        <w:gridCol w:w="2174"/>
        <w:gridCol w:w="2175"/>
      </w:tblGrid>
      <w:tr w:rsidR="006C17F2" w:rsidRPr="00032962" w14:paraId="4E194571" w14:textId="77777777" w:rsidTr="00D04A09">
        <w:trPr>
          <w:cantSplit/>
          <w:trHeight w:val="291"/>
          <w:tblHeader/>
        </w:trPr>
        <w:tc>
          <w:tcPr>
            <w:tcW w:w="3446" w:type="dxa"/>
            <w:tcBorders>
              <w:top w:val="single" w:sz="4" w:space="0" w:color="auto"/>
              <w:left w:val="nil"/>
              <w:bottom w:val="single" w:sz="4" w:space="0" w:color="000000"/>
              <w:right w:val="nil"/>
            </w:tcBorders>
            <w:shd w:val="clear" w:color="auto" w:fill="auto"/>
            <w:noWrap/>
            <w:vAlign w:val="center"/>
            <w:hideMark/>
          </w:tcPr>
          <w:p w14:paraId="0AB8308F" w14:textId="77777777" w:rsidR="006C17F2" w:rsidRPr="00032962" w:rsidRDefault="006C17F2" w:rsidP="00032962">
            <w:pPr>
              <w:pStyle w:val="Tablenumber"/>
              <w:jc w:val="center"/>
              <w:rPr>
                <w:b/>
                <w:lang w:eastAsia="en-AU"/>
              </w:rPr>
            </w:pPr>
          </w:p>
        </w:tc>
        <w:tc>
          <w:tcPr>
            <w:tcW w:w="2174" w:type="dxa"/>
            <w:tcBorders>
              <w:top w:val="single" w:sz="4" w:space="0" w:color="auto"/>
              <w:left w:val="nil"/>
              <w:bottom w:val="single" w:sz="4" w:space="0" w:color="000000"/>
              <w:right w:val="nil"/>
            </w:tcBorders>
            <w:shd w:val="clear" w:color="auto" w:fill="auto"/>
            <w:noWrap/>
            <w:vAlign w:val="center"/>
            <w:hideMark/>
          </w:tcPr>
          <w:p w14:paraId="572B9C37" w14:textId="42DCF67F" w:rsidR="006C17F2" w:rsidRPr="00032962" w:rsidRDefault="006C17F2" w:rsidP="00032962">
            <w:pPr>
              <w:pStyle w:val="Tablenumber"/>
              <w:jc w:val="center"/>
              <w:rPr>
                <w:b/>
                <w:lang w:eastAsia="en-AU"/>
              </w:rPr>
            </w:pPr>
            <w:r w:rsidRPr="00032962">
              <w:rPr>
                <w:b/>
                <w:lang w:eastAsia="en-AU"/>
              </w:rPr>
              <w:t>Tax Concession</w:t>
            </w:r>
            <w:r>
              <w:rPr>
                <w:b/>
                <w:lang w:eastAsia="en-AU"/>
              </w:rPr>
              <w:t xml:space="preserve"> (1)</w:t>
            </w:r>
          </w:p>
        </w:tc>
        <w:tc>
          <w:tcPr>
            <w:tcW w:w="2174" w:type="dxa"/>
            <w:tcBorders>
              <w:top w:val="single" w:sz="4" w:space="0" w:color="auto"/>
              <w:left w:val="nil"/>
              <w:bottom w:val="single" w:sz="4" w:space="0" w:color="000000"/>
              <w:right w:val="nil"/>
            </w:tcBorders>
            <w:shd w:val="clear" w:color="auto" w:fill="auto"/>
            <w:noWrap/>
            <w:vAlign w:val="center"/>
            <w:hideMark/>
          </w:tcPr>
          <w:p w14:paraId="3F14C1A6" w14:textId="5CFA6379" w:rsidR="006C17F2" w:rsidRPr="00032962" w:rsidRDefault="006C17F2" w:rsidP="00032962">
            <w:pPr>
              <w:pStyle w:val="Tablenumber"/>
              <w:jc w:val="center"/>
              <w:rPr>
                <w:b/>
                <w:lang w:eastAsia="en-AU"/>
              </w:rPr>
            </w:pPr>
            <w:r w:rsidRPr="00032962">
              <w:rPr>
                <w:b/>
                <w:lang w:eastAsia="en-AU"/>
              </w:rPr>
              <w:t>Tax Concession small firms</w:t>
            </w:r>
            <w:r>
              <w:rPr>
                <w:b/>
                <w:lang w:eastAsia="en-AU"/>
              </w:rPr>
              <w:t xml:space="preserve"> (2)</w:t>
            </w:r>
          </w:p>
        </w:tc>
        <w:tc>
          <w:tcPr>
            <w:tcW w:w="2174" w:type="dxa"/>
            <w:tcBorders>
              <w:top w:val="single" w:sz="4" w:space="0" w:color="auto"/>
              <w:left w:val="nil"/>
              <w:bottom w:val="single" w:sz="4" w:space="0" w:color="000000"/>
              <w:right w:val="nil"/>
            </w:tcBorders>
            <w:shd w:val="clear" w:color="auto" w:fill="auto"/>
            <w:noWrap/>
            <w:vAlign w:val="center"/>
            <w:hideMark/>
          </w:tcPr>
          <w:p w14:paraId="1A55C4B7" w14:textId="4940380E" w:rsidR="006C17F2" w:rsidRPr="00032962" w:rsidRDefault="006C17F2" w:rsidP="00032962">
            <w:pPr>
              <w:pStyle w:val="Tablenumber"/>
              <w:jc w:val="center"/>
              <w:rPr>
                <w:b/>
                <w:lang w:eastAsia="en-AU"/>
              </w:rPr>
            </w:pPr>
            <w:r w:rsidRPr="00032962">
              <w:rPr>
                <w:b/>
                <w:lang w:eastAsia="en-AU"/>
              </w:rPr>
              <w:t>Tax Concession. No franked dividends</w:t>
            </w:r>
            <w:r>
              <w:rPr>
                <w:b/>
                <w:lang w:eastAsia="en-AU"/>
              </w:rPr>
              <w:t xml:space="preserve"> (3)</w:t>
            </w:r>
          </w:p>
        </w:tc>
        <w:tc>
          <w:tcPr>
            <w:tcW w:w="2174" w:type="dxa"/>
            <w:tcBorders>
              <w:top w:val="single" w:sz="4" w:space="0" w:color="auto"/>
              <w:left w:val="nil"/>
              <w:bottom w:val="single" w:sz="4" w:space="0" w:color="000000"/>
              <w:right w:val="nil"/>
            </w:tcBorders>
            <w:shd w:val="clear" w:color="auto" w:fill="auto"/>
            <w:noWrap/>
            <w:vAlign w:val="center"/>
            <w:hideMark/>
          </w:tcPr>
          <w:p w14:paraId="676857ED" w14:textId="5BF7FBA6" w:rsidR="006C17F2" w:rsidRPr="00032962" w:rsidRDefault="006C17F2" w:rsidP="00032962">
            <w:pPr>
              <w:pStyle w:val="Tablenumber"/>
              <w:jc w:val="center"/>
              <w:rPr>
                <w:b/>
                <w:lang w:eastAsia="en-AU"/>
              </w:rPr>
            </w:pPr>
            <w:r w:rsidRPr="00032962">
              <w:rPr>
                <w:b/>
                <w:lang w:eastAsia="en-AU"/>
              </w:rPr>
              <w:t>Tax Incentive</w:t>
            </w:r>
            <w:r>
              <w:rPr>
                <w:b/>
                <w:lang w:eastAsia="en-AU"/>
              </w:rPr>
              <w:t xml:space="preserve"> (4)</w:t>
            </w:r>
          </w:p>
        </w:tc>
        <w:tc>
          <w:tcPr>
            <w:tcW w:w="2175" w:type="dxa"/>
            <w:tcBorders>
              <w:top w:val="single" w:sz="4" w:space="0" w:color="auto"/>
              <w:left w:val="nil"/>
              <w:bottom w:val="single" w:sz="4" w:space="0" w:color="000000"/>
              <w:right w:val="nil"/>
            </w:tcBorders>
            <w:shd w:val="clear" w:color="auto" w:fill="auto"/>
            <w:noWrap/>
            <w:vAlign w:val="center"/>
            <w:hideMark/>
          </w:tcPr>
          <w:p w14:paraId="290208D3" w14:textId="219C7426" w:rsidR="006C17F2" w:rsidRPr="00032962" w:rsidRDefault="006C17F2" w:rsidP="00032962">
            <w:pPr>
              <w:pStyle w:val="Tablenumber"/>
              <w:jc w:val="center"/>
              <w:rPr>
                <w:b/>
                <w:lang w:eastAsia="en-AU"/>
              </w:rPr>
            </w:pPr>
            <w:r w:rsidRPr="00032962">
              <w:rPr>
                <w:b/>
                <w:lang w:eastAsia="en-AU"/>
              </w:rPr>
              <w:t>Tax Incentive small firms, no profit</w:t>
            </w:r>
            <w:r>
              <w:rPr>
                <w:b/>
                <w:lang w:eastAsia="en-AU"/>
              </w:rPr>
              <w:t xml:space="preserve"> (5)</w:t>
            </w:r>
          </w:p>
        </w:tc>
      </w:tr>
      <w:tr w:rsidR="006C17F2" w:rsidRPr="00032962" w14:paraId="2AB12081" w14:textId="77777777" w:rsidTr="00D04A09">
        <w:trPr>
          <w:cantSplit/>
          <w:trHeight w:val="168"/>
          <w:tblHeader/>
        </w:trPr>
        <w:tc>
          <w:tcPr>
            <w:tcW w:w="3446" w:type="dxa"/>
            <w:tcBorders>
              <w:top w:val="single" w:sz="4" w:space="0" w:color="000000"/>
              <w:left w:val="nil"/>
              <w:bottom w:val="nil"/>
              <w:right w:val="nil"/>
            </w:tcBorders>
            <w:shd w:val="clear" w:color="auto" w:fill="auto"/>
            <w:noWrap/>
            <w:vAlign w:val="center"/>
            <w:hideMark/>
          </w:tcPr>
          <w:p w14:paraId="3A89E222" w14:textId="77777777" w:rsidR="006C17F2" w:rsidRPr="00032962" w:rsidRDefault="006C17F2" w:rsidP="00032962">
            <w:pPr>
              <w:pStyle w:val="Tablenumber"/>
              <w:jc w:val="center"/>
              <w:rPr>
                <w:b/>
                <w:lang w:eastAsia="en-AU"/>
              </w:rPr>
            </w:pPr>
          </w:p>
        </w:tc>
        <w:tc>
          <w:tcPr>
            <w:tcW w:w="2174" w:type="dxa"/>
            <w:tcBorders>
              <w:top w:val="single" w:sz="4" w:space="0" w:color="000000"/>
              <w:left w:val="nil"/>
              <w:bottom w:val="nil"/>
              <w:right w:val="nil"/>
            </w:tcBorders>
            <w:shd w:val="clear" w:color="auto" w:fill="auto"/>
            <w:noWrap/>
            <w:vAlign w:val="center"/>
            <w:hideMark/>
          </w:tcPr>
          <w:p w14:paraId="56B50346" w14:textId="0A20981F" w:rsidR="006C17F2" w:rsidRPr="00032962" w:rsidRDefault="006C17F2" w:rsidP="00032962">
            <w:pPr>
              <w:pStyle w:val="Tablenumber"/>
              <w:jc w:val="center"/>
              <w:rPr>
                <w:b/>
                <w:lang w:eastAsia="en-AU"/>
              </w:rPr>
            </w:pPr>
          </w:p>
        </w:tc>
        <w:tc>
          <w:tcPr>
            <w:tcW w:w="2174" w:type="dxa"/>
            <w:tcBorders>
              <w:top w:val="single" w:sz="4" w:space="0" w:color="000000"/>
              <w:left w:val="nil"/>
              <w:bottom w:val="nil"/>
              <w:right w:val="nil"/>
            </w:tcBorders>
            <w:shd w:val="clear" w:color="auto" w:fill="auto"/>
            <w:noWrap/>
            <w:vAlign w:val="center"/>
            <w:hideMark/>
          </w:tcPr>
          <w:p w14:paraId="794B74DC" w14:textId="1F788739" w:rsidR="006C17F2" w:rsidRPr="00032962" w:rsidRDefault="006C17F2" w:rsidP="00032962">
            <w:pPr>
              <w:pStyle w:val="Tablenumber"/>
              <w:jc w:val="center"/>
              <w:rPr>
                <w:b/>
                <w:lang w:eastAsia="en-AU"/>
              </w:rPr>
            </w:pPr>
          </w:p>
        </w:tc>
        <w:tc>
          <w:tcPr>
            <w:tcW w:w="2174" w:type="dxa"/>
            <w:tcBorders>
              <w:top w:val="single" w:sz="4" w:space="0" w:color="000000"/>
              <w:left w:val="nil"/>
              <w:bottom w:val="nil"/>
              <w:right w:val="nil"/>
            </w:tcBorders>
            <w:shd w:val="clear" w:color="auto" w:fill="auto"/>
            <w:noWrap/>
            <w:vAlign w:val="center"/>
            <w:hideMark/>
          </w:tcPr>
          <w:p w14:paraId="5ECF135B" w14:textId="6DE864C1" w:rsidR="006C17F2" w:rsidRPr="00032962" w:rsidRDefault="006C17F2" w:rsidP="00032962">
            <w:pPr>
              <w:pStyle w:val="Tablenumber"/>
              <w:jc w:val="center"/>
              <w:rPr>
                <w:b/>
                <w:lang w:eastAsia="en-AU"/>
              </w:rPr>
            </w:pPr>
          </w:p>
        </w:tc>
        <w:tc>
          <w:tcPr>
            <w:tcW w:w="2174" w:type="dxa"/>
            <w:tcBorders>
              <w:top w:val="single" w:sz="4" w:space="0" w:color="000000"/>
              <w:left w:val="nil"/>
              <w:bottom w:val="nil"/>
              <w:right w:val="nil"/>
            </w:tcBorders>
            <w:shd w:val="clear" w:color="auto" w:fill="auto"/>
            <w:noWrap/>
            <w:vAlign w:val="center"/>
            <w:hideMark/>
          </w:tcPr>
          <w:p w14:paraId="4926786D" w14:textId="076E3228" w:rsidR="006C17F2" w:rsidRPr="00032962" w:rsidRDefault="006C17F2" w:rsidP="00032962">
            <w:pPr>
              <w:pStyle w:val="Tablenumber"/>
              <w:jc w:val="center"/>
              <w:rPr>
                <w:b/>
                <w:lang w:eastAsia="en-AU"/>
              </w:rPr>
            </w:pPr>
          </w:p>
        </w:tc>
        <w:tc>
          <w:tcPr>
            <w:tcW w:w="2175" w:type="dxa"/>
            <w:tcBorders>
              <w:top w:val="single" w:sz="4" w:space="0" w:color="000000"/>
              <w:left w:val="nil"/>
              <w:bottom w:val="nil"/>
              <w:right w:val="nil"/>
            </w:tcBorders>
            <w:shd w:val="clear" w:color="auto" w:fill="auto"/>
            <w:noWrap/>
            <w:vAlign w:val="center"/>
            <w:hideMark/>
          </w:tcPr>
          <w:p w14:paraId="63E6DCCA" w14:textId="2986EDB1" w:rsidR="006C17F2" w:rsidRPr="00032962" w:rsidRDefault="006C17F2" w:rsidP="00032962">
            <w:pPr>
              <w:pStyle w:val="Tablenumber"/>
              <w:jc w:val="center"/>
              <w:rPr>
                <w:b/>
                <w:lang w:eastAsia="en-AU"/>
              </w:rPr>
            </w:pPr>
          </w:p>
        </w:tc>
      </w:tr>
      <w:tr w:rsidR="006C17F2" w:rsidRPr="00032962" w14:paraId="7FD0863D" w14:textId="77777777" w:rsidTr="00D04A09">
        <w:trPr>
          <w:cantSplit/>
          <w:trHeight w:val="270"/>
        </w:trPr>
        <w:tc>
          <w:tcPr>
            <w:tcW w:w="3446" w:type="dxa"/>
            <w:tcBorders>
              <w:top w:val="nil"/>
              <w:left w:val="nil"/>
              <w:bottom w:val="nil"/>
              <w:right w:val="nil"/>
            </w:tcBorders>
            <w:shd w:val="clear" w:color="auto" w:fill="auto"/>
            <w:noWrap/>
            <w:vAlign w:val="center"/>
            <w:hideMark/>
          </w:tcPr>
          <w:p w14:paraId="6838B6A6" w14:textId="38596BE1" w:rsidR="006C17F2" w:rsidRPr="00032962" w:rsidRDefault="006C17F2" w:rsidP="00032962">
            <w:pPr>
              <w:pStyle w:val="Tablenumber"/>
              <w:jc w:val="center"/>
              <w:rPr>
                <w:lang w:eastAsia="en-AU"/>
              </w:rPr>
            </w:pPr>
            <w:r w:rsidRPr="00032962">
              <w:rPr>
                <w:lang w:eastAsia="en-AU"/>
              </w:rPr>
              <w:t>Treated' (claiming subsidy dummy)</w:t>
            </w:r>
          </w:p>
        </w:tc>
        <w:tc>
          <w:tcPr>
            <w:tcW w:w="2174" w:type="dxa"/>
            <w:tcBorders>
              <w:top w:val="nil"/>
              <w:left w:val="nil"/>
              <w:bottom w:val="nil"/>
              <w:right w:val="nil"/>
            </w:tcBorders>
            <w:shd w:val="clear" w:color="auto" w:fill="auto"/>
            <w:noWrap/>
            <w:vAlign w:val="center"/>
            <w:hideMark/>
          </w:tcPr>
          <w:p w14:paraId="62C3EA93" w14:textId="598C62A4" w:rsidR="006C17F2" w:rsidRPr="00032962" w:rsidRDefault="006C17F2" w:rsidP="00032962">
            <w:pPr>
              <w:pStyle w:val="Tablenumber"/>
              <w:jc w:val="center"/>
              <w:rPr>
                <w:lang w:eastAsia="en-AU"/>
              </w:rPr>
            </w:pPr>
            <w:r w:rsidRPr="00032962">
              <w:rPr>
                <w:lang w:eastAsia="en-AU"/>
              </w:rPr>
              <w:t>0.508***</w:t>
            </w:r>
          </w:p>
        </w:tc>
        <w:tc>
          <w:tcPr>
            <w:tcW w:w="2174" w:type="dxa"/>
            <w:tcBorders>
              <w:top w:val="nil"/>
              <w:left w:val="nil"/>
              <w:bottom w:val="nil"/>
              <w:right w:val="nil"/>
            </w:tcBorders>
            <w:shd w:val="clear" w:color="auto" w:fill="auto"/>
            <w:noWrap/>
            <w:vAlign w:val="center"/>
            <w:hideMark/>
          </w:tcPr>
          <w:p w14:paraId="110AF54D" w14:textId="79B1077D" w:rsidR="006C17F2" w:rsidRPr="00032962" w:rsidRDefault="006C17F2" w:rsidP="00032962">
            <w:pPr>
              <w:pStyle w:val="Tablenumber"/>
              <w:jc w:val="center"/>
              <w:rPr>
                <w:lang w:eastAsia="en-AU"/>
              </w:rPr>
            </w:pPr>
            <w:r w:rsidRPr="00032962">
              <w:rPr>
                <w:lang w:eastAsia="en-AU"/>
              </w:rPr>
              <w:t>0.364***</w:t>
            </w:r>
          </w:p>
        </w:tc>
        <w:tc>
          <w:tcPr>
            <w:tcW w:w="2174" w:type="dxa"/>
            <w:tcBorders>
              <w:top w:val="nil"/>
              <w:left w:val="nil"/>
              <w:bottom w:val="nil"/>
              <w:right w:val="nil"/>
            </w:tcBorders>
            <w:shd w:val="clear" w:color="auto" w:fill="auto"/>
            <w:noWrap/>
            <w:vAlign w:val="center"/>
            <w:hideMark/>
          </w:tcPr>
          <w:p w14:paraId="6C715406" w14:textId="1779456B" w:rsidR="006C17F2" w:rsidRPr="00032962" w:rsidRDefault="006C17F2" w:rsidP="00032962">
            <w:pPr>
              <w:pStyle w:val="Tablenumber"/>
              <w:jc w:val="center"/>
              <w:rPr>
                <w:lang w:eastAsia="en-AU"/>
              </w:rPr>
            </w:pPr>
            <w:r w:rsidRPr="00032962">
              <w:rPr>
                <w:lang w:eastAsia="en-AU"/>
              </w:rPr>
              <w:t>0.405***</w:t>
            </w:r>
          </w:p>
        </w:tc>
        <w:tc>
          <w:tcPr>
            <w:tcW w:w="2174" w:type="dxa"/>
            <w:tcBorders>
              <w:top w:val="nil"/>
              <w:left w:val="nil"/>
              <w:bottom w:val="nil"/>
              <w:right w:val="nil"/>
            </w:tcBorders>
            <w:shd w:val="clear" w:color="auto" w:fill="auto"/>
            <w:noWrap/>
            <w:vAlign w:val="center"/>
            <w:hideMark/>
          </w:tcPr>
          <w:p w14:paraId="52B16E34" w14:textId="2268C8DA" w:rsidR="006C17F2" w:rsidRPr="00032962" w:rsidRDefault="006C17F2" w:rsidP="00032962">
            <w:pPr>
              <w:pStyle w:val="Tablenumber"/>
              <w:jc w:val="center"/>
              <w:rPr>
                <w:lang w:eastAsia="en-AU"/>
              </w:rPr>
            </w:pPr>
            <w:r w:rsidRPr="00032962">
              <w:rPr>
                <w:lang w:eastAsia="en-AU"/>
              </w:rPr>
              <w:t>0.193**</w:t>
            </w:r>
          </w:p>
        </w:tc>
        <w:tc>
          <w:tcPr>
            <w:tcW w:w="2175" w:type="dxa"/>
            <w:tcBorders>
              <w:top w:val="nil"/>
              <w:left w:val="nil"/>
              <w:bottom w:val="nil"/>
              <w:right w:val="nil"/>
            </w:tcBorders>
            <w:shd w:val="clear" w:color="auto" w:fill="auto"/>
            <w:noWrap/>
            <w:vAlign w:val="center"/>
            <w:hideMark/>
          </w:tcPr>
          <w:p w14:paraId="7BDD9CAD" w14:textId="28EE28C4" w:rsidR="006C17F2" w:rsidRPr="00032962" w:rsidRDefault="006C17F2" w:rsidP="00032962">
            <w:pPr>
              <w:pStyle w:val="Tablenumber"/>
              <w:jc w:val="center"/>
              <w:rPr>
                <w:lang w:eastAsia="en-AU"/>
              </w:rPr>
            </w:pPr>
            <w:r w:rsidRPr="00032962">
              <w:rPr>
                <w:lang w:eastAsia="en-AU"/>
              </w:rPr>
              <w:t>0.924***</w:t>
            </w:r>
          </w:p>
        </w:tc>
      </w:tr>
      <w:tr w:rsidR="006C17F2" w:rsidRPr="00032962" w14:paraId="07704D0D" w14:textId="77777777" w:rsidTr="00D04A09">
        <w:trPr>
          <w:cantSplit/>
          <w:trHeight w:val="270"/>
        </w:trPr>
        <w:tc>
          <w:tcPr>
            <w:tcW w:w="3446" w:type="dxa"/>
            <w:tcBorders>
              <w:top w:val="nil"/>
              <w:left w:val="nil"/>
              <w:bottom w:val="nil"/>
              <w:right w:val="nil"/>
            </w:tcBorders>
            <w:shd w:val="clear" w:color="auto" w:fill="auto"/>
            <w:noWrap/>
            <w:vAlign w:val="center"/>
            <w:hideMark/>
          </w:tcPr>
          <w:p w14:paraId="7DBAD9DA" w14:textId="539EAB50" w:rsidR="006C17F2" w:rsidRPr="00032962" w:rsidRDefault="006C17F2" w:rsidP="00032962">
            <w:pPr>
              <w:pStyle w:val="Tablenumber"/>
              <w:jc w:val="center"/>
              <w:rPr>
                <w:lang w:eastAsia="en-AU"/>
              </w:rPr>
            </w:pPr>
          </w:p>
        </w:tc>
        <w:tc>
          <w:tcPr>
            <w:tcW w:w="2174" w:type="dxa"/>
            <w:tcBorders>
              <w:top w:val="nil"/>
              <w:left w:val="nil"/>
              <w:bottom w:val="nil"/>
              <w:right w:val="nil"/>
            </w:tcBorders>
            <w:shd w:val="clear" w:color="auto" w:fill="auto"/>
            <w:noWrap/>
            <w:vAlign w:val="center"/>
            <w:hideMark/>
          </w:tcPr>
          <w:p w14:paraId="04447E9A" w14:textId="04704939" w:rsidR="006C17F2" w:rsidRPr="00032962" w:rsidRDefault="006C17F2" w:rsidP="00032962">
            <w:pPr>
              <w:pStyle w:val="Tablenumber"/>
              <w:jc w:val="center"/>
              <w:rPr>
                <w:lang w:eastAsia="en-AU"/>
              </w:rPr>
            </w:pPr>
            <w:r w:rsidRPr="00032962">
              <w:rPr>
                <w:lang w:eastAsia="en-AU"/>
              </w:rPr>
              <w:t>(0.0189)</w:t>
            </w:r>
          </w:p>
        </w:tc>
        <w:tc>
          <w:tcPr>
            <w:tcW w:w="2174" w:type="dxa"/>
            <w:tcBorders>
              <w:top w:val="nil"/>
              <w:left w:val="nil"/>
              <w:bottom w:val="nil"/>
              <w:right w:val="nil"/>
            </w:tcBorders>
            <w:shd w:val="clear" w:color="auto" w:fill="auto"/>
            <w:noWrap/>
            <w:vAlign w:val="center"/>
            <w:hideMark/>
          </w:tcPr>
          <w:p w14:paraId="52B99DE8" w14:textId="71475CAB" w:rsidR="006C17F2" w:rsidRPr="00032962" w:rsidRDefault="006C17F2" w:rsidP="00032962">
            <w:pPr>
              <w:pStyle w:val="Tablenumber"/>
              <w:jc w:val="center"/>
              <w:rPr>
                <w:lang w:eastAsia="en-AU"/>
              </w:rPr>
            </w:pPr>
            <w:r w:rsidRPr="00032962">
              <w:rPr>
                <w:lang w:eastAsia="en-AU"/>
              </w:rPr>
              <w:t>(0.0194)</w:t>
            </w:r>
          </w:p>
        </w:tc>
        <w:tc>
          <w:tcPr>
            <w:tcW w:w="2174" w:type="dxa"/>
            <w:tcBorders>
              <w:top w:val="nil"/>
              <w:left w:val="nil"/>
              <w:bottom w:val="nil"/>
              <w:right w:val="nil"/>
            </w:tcBorders>
            <w:shd w:val="clear" w:color="auto" w:fill="auto"/>
            <w:noWrap/>
            <w:vAlign w:val="center"/>
            <w:hideMark/>
          </w:tcPr>
          <w:p w14:paraId="35EB9D75" w14:textId="74622586" w:rsidR="006C17F2" w:rsidRPr="00032962" w:rsidRDefault="006C17F2" w:rsidP="00032962">
            <w:pPr>
              <w:pStyle w:val="Tablenumber"/>
              <w:jc w:val="center"/>
              <w:rPr>
                <w:lang w:eastAsia="en-AU"/>
              </w:rPr>
            </w:pPr>
            <w:r w:rsidRPr="00032962">
              <w:rPr>
                <w:lang w:eastAsia="en-AU"/>
              </w:rPr>
              <w:t>(0.0213)</w:t>
            </w:r>
          </w:p>
        </w:tc>
        <w:tc>
          <w:tcPr>
            <w:tcW w:w="2174" w:type="dxa"/>
            <w:tcBorders>
              <w:top w:val="nil"/>
              <w:left w:val="nil"/>
              <w:bottom w:val="nil"/>
              <w:right w:val="nil"/>
            </w:tcBorders>
            <w:shd w:val="clear" w:color="auto" w:fill="auto"/>
            <w:noWrap/>
            <w:vAlign w:val="center"/>
            <w:hideMark/>
          </w:tcPr>
          <w:p w14:paraId="2B04529E" w14:textId="505A231F" w:rsidR="006C17F2" w:rsidRPr="00032962" w:rsidRDefault="006C17F2" w:rsidP="00032962">
            <w:pPr>
              <w:pStyle w:val="Tablenumber"/>
              <w:jc w:val="center"/>
              <w:rPr>
                <w:lang w:eastAsia="en-AU"/>
              </w:rPr>
            </w:pPr>
            <w:r w:rsidRPr="00032962">
              <w:rPr>
                <w:lang w:eastAsia="en-AU"/>
              </w:rPr>
              <w:t>(0.0758)</w:t>
            </w:r>
          </w:p>
        </w:tc>
        <w:tc>
          <w:tcPr>
            <w:tcW w:w="2175" w:type="dxa"/>
            <w:tcBorders>
              <w:top w:val="nil"/>
              <w:left w:val="nil"/>
              <w:bottom w:val="nil"/>
              <w:right w:val="nil"/>
            </w:tcBorders>
            <w:shd w:val="clear" w:color="auto" w:fill="auto"/>
            <w:noWrap/>
            <w:vAlign w:val="center"/>
            <w:hideMark/>
          </w:tcPr>
          <w:p w14:paraId="5FE24B51" w14:textId="49EAC938" w:rsidR="006C17F2" w:rsidRPr="00032962" w:rsidRDefault="006C17F2" w:rsidP="00032962">
            <w:pPr>
              <w:pStyle w:val="Tablenumber"/>
              <w:jc w:val="center"/>
              <w:rPr>
                <w:lang w:eastAsia="en-AU"/>
              </w:rPr>
            </w:pPr>
            <w:r w:rsidRPr="00032962">
              <w:rPr>
                <w:lang w:eastAsia="en-AU"/>
              </w:rPr>
              <w:t>(0.176)</w:t>
            </w:r>
          </w:p>
        </w:tc>
      </w:tr>
      <w:tr w:rsidR="006C17F2" w:rsidRPr="00032962" w14:paraId="53164121" w14:textId="77777777" w:rsidTr="00D04A09">
        <w:trPr>
          <w:cantSplit/>
          <w:trHeight w:val="270"/>
        </w:trPr>
        <w:tc>
          <w:tcPr>
            <w:tcW w:w="3446" w:type="dxa"/>
            <w:tcBorders>
              <w:top w:val="nil"/>
              <w:left w:val="nil"/>
              <w:bottom w:val="nil"/>
              <w:right w:val="nil"/>
            </w:tcBorders>
            <w:shd w:val="clear" w:color="auto" w:fill="auto"/>
            <w:noWrap/>
            <w:vAlign w:val="center"/>
            <w:hideMark/>
          </w:tcPr>
          <w:p w14:paraId="7A48B167" w14:textId="4F36473A" w:rsidR="006C17F2" w:rsidRPr="00032962" w:rsidRDefault="006C17F2" w:rsidP="00032962">
            <w:pPr>
              <w:pStyle w:val="Tablenumber"/>
              <w:jc w:val="center"/>
              <w:rPr>
                <w:lang w:eastAsia="en-AU"/>
              </w:rPr>
            </w:pPr>
            <w:r w:rsidRPr="00032962">
              <w:rPr>
                <w:lang w:eastAsia="en-AU"/>
              </w:rPr>
              <w:t xml:space="preserve">Other government </w:t>
            </w:r>
            <w:r>
              <w:rPr>
                <w:lang w:eastAsia="en-AU"/>
              </w:rPr>
              <w:t>finance (e.g., grants)</w:t>
            </w:r>
          </w:p>
        </w:tc>
        <w:tc>
          <w:tcPr>
            <w:tcW w:w="2174" w:type="dxa"/>
            <w:tcBorders>
              <w:top w:val="nil"/>
              <w:left w:val="nil"/>
              <w:bottom w:val="nil"/>
              <w:right w:val="nil"/>
            </w:tcBorders>
            <w:shd w:val="clear" w:color="auto" w:fill="auto"/>
            <w:noWrap/>
            <w:vAlign w:val="center"/>
            <w:hideMark/>
          </w:tcPr>
          <w:p w14:paraId="51CAB9C6" w14:textId="64F455DF" w:rsidR="006C17F2" w:rsidRPr="00032962" w:rsidRDefault="006C17F2" w:rsidP="00032962">
            <w:pPr>
              <w:pStyle w:val="Tablenumber"/>
              <w:jc w:val="center"/>
              <w:rPr>
                <w:lang w:eastAsia="en-AU"/>
              </w:rPr>
            </w:pPr>
            <w:r w:rsidRPr="00032962">
              <w:rPr>
                <w:lang w:eastAsia="en-AU"/>
              </w:rPr>
              <w:t>0.156***</w:t>
            </w:r>
          </w:p>
        </w:tc>
        <w:tc>
          <w:tcPr>
            <w:tcW w:w="2174" w:type="dxa"/>
            <w:tcBorders>
              <w:top w:val="nil"/>
              <w:left w:val="nil"/>
              <w:bottom w:val="nil"/>
              <w:right w:val="nil"/>
            </w:tcBorders>
            <w:shd w:val="clear" w:color="auto" w:fill="auto"/>
            <w:noWrap/>
            <w:vAlign w:val="center"/>
            <w:hideMark/>
          </w:tcPr>
          <w:p w14:paraId="6945B66C" w14:textId="6BF95EDD" w:rsidR="006C17F2" w:rsidRPr="00032962" w:rsidRDefault="006C17F2" w:rsidP="00032962">
            <w:pPr>
              <w:pStyle w:val="Tablenumber"/>
              <w:jc w:val="center"/>
              <w:rPr>
                <w:lang w:eastAsia="en-AU"/>
              </w:rPr>
            </w:pPr>
            <w:r w:rsidRPr="00032962">
              <w:rPr>
                <w:lang w:eastAsia="en-AU"/>
              </w:rPr>
              <w:t>0.160***</w:t>
            </w:r>
          </w:p>
        </w:tc>
        <w:tc>
          <w:tcPr>
            <w:tcW w:w="2174" w:type="dxa"/>
            <w:tcBorders>
              <w:top w:val="nil"/>
              <w:left w:val="nil"/>
              <w:bottom w:val="nil"/>
              <w:right w:val="nil"/>
            </w:tcBorders>
            <w:shd w:val="clear" w:color="auto" w:fill="auto"/>
            <w:noWrap/>
            <w:vAlign w:val="center"/>
            <w:hideMark/>
          </w:tcPr>
          <w:p w14:paraId="327430BE" w14:textId="53CDA074" w:rsidR="006C17F2" w:rsidRPr="00032962" w:rsidRDefault="006C17F2" w:rsidP="00032962">
            <w:pPr>
              <w:pStyle w:val="Tablenumber"/>
              <w:jc w:val="center"/>
              <w:rPr>
                <w:lang w:eastAsia="en-AU"/>
              </w:rPr>
            </w:pPr>
            <w:r w:rsidRPr="00032962">
              <w:rPr>
                <w:lang w:eastAsia="en-AU"/>
              </w:rPr>
              <w:t>0.151***</w:t>
            </w:r>
          </w:p>
        </w:tc>
        <w:tc>
          <w:tcPr>
            <w:tcW w:w="2174" w:type="dxa"/>
            <w:tcBorders>
              <w:top w:val="nil"/>
              <w:left w:val="nil"/>
              <w:bottom w:val="nil"/>
              <w:right w:val="nil"/>
            </w:tcBorders>
            <w:shd w:val="clear" w:color="auto" w:fill="auto"/>
            <w:noWrap/>
            <w:vAlign w:val="center"/>
            <w:hideMark/>
          </w:tcPr>
          <w:p w14:paraId="2E7EA4E4" w14:textId="6E76D2DC" w:rsidR="006C17F2" w:rsidRPr="00032962" w:rsidRDefault="006C17F2" w:rsidP="00032962">
            <w:pPr>
              <w:pStyle w:val="Tablenumber"/>
              <w:jc w:val="center"/>
              <w:rPr>
                <w:lang w:eastAsia="en-AU"/>
              </w:rPr>
            </w:pPr>
            <w:r w:rsidRPr="00032962">
              <w:rPr>
                <w:lang w:eastAsia="en-AU"/>
              </w:rPr>
              <w:t>0.149***</w:t>
            </w:r>
          </w:p>
        </w:tc>
        <w:tc>
          <w:tcPr>
            <w:tcW w:w="2175" w:type="dxa"/>
            <w:tcBorders>
              <w:top w:val="nil"/>
              <w:left w:val="nil"/>
              <w:bottom w:val="nil"/>
              <w:right w:val="nil"/>
            </w:tcBorders>
            <w:shd w:val="clear" w:color="auto" w:fill="auto"/>
            <w:noWrap/>
            <w:vAlign w:val="center"/>
            <w:hideMark/>
          </w:tcPr>
          <w:p w14:paraId="4B889DB0" w14:textId="6F17C0E3" w:rsidR="006C17F2" w:rsidRPr="00032962" w:rsidRDefault="006C17F2" w:rsidP="00032962">
            <w:pPr>
              <w:pStyle w:val="Tablenumber"/>
              <w:jc w:val="center"/>
              <w:rPr>
                <w:lang w:eastAsia="en-AU"/>
              </w:rPr>
            </w:pPr>
            <w:r w:rsidRPr="00032962">
              <w:rPr>
                <w:lang w:eastAsia="en-AU"/>
              </w:rPr>
              <w:t>0.139***</w:t>
            </w:r>
          </w:p>
        </w:tc>
      </w:tr>
      <w:tr w:rsidR="006C17F2" w:rsidRPr="00032962" w14:paraId="46CC9E50" w14:textId="77777777" w:rsidTr="00D04A09">
        <w:trPr>
          <w:cantSplit/>
          <w:trHeight w:val="270"/>
        </w:trPr>
        <w:tc>
          <w:tcPr>
            <w:tcW w:w="3446" w:type="dxa"/>
            <w:tcBorders>
              <w:top w:val="nil"/>
              <w:left w:val="nil"/>
              <w:bottom w:val="nil"/>
              <w:right w:val="nil"/>
            </w:tcBorders>
            <w:shd w:val="clear" w:color="auto" w:fill="auto"/>
            <w:noWrap/>
            <w:vAlign w:val="center"/>
            <w:hideMark/>
          </w:tcPr>
          <w:p w14:paraId="17CD60D0" w14:textId="7D4FA5B8" w:rsidR="006C17F2" w:rsidRPr="00032962" w:rsidRDefault="006C17F2" w:rsidP="000F3033">
            <w:pPr>
              <w:pStyle w:val="Tablenumber"/>
              <w:jc w:val="center"/>
              <w:rPr>
                <w:lang w:eastAsia="en-AU"/>
              </w:rPr>
            </w:pPr>
          </w:p>
        </w:tc>
        <w:tc>
          <w:tcPr>
            <w:tcW w:w="2174" w:type="dxa"/>
            <w:tcBorders>
              <w:top w:val="nil"/>
              <w:left w:val="nil"/>
              <w:bottom w:val="nil"/>
              <w:right w:val="nil"/>
            </w:tcBorders>
            <w:shd w:val="clear" w:color="auto" w:fill="auto"/>
            <w:noWrap/>
            <w:vAlign w:val="center"/>
            <w:hideMark/>
          </w:tcPr>
          <w:p w14:paraId="3D07CC87" w14:textId="48AA211C" w:rsidR="006C17F2" w:rsidRPr="00032962" w:rsidRDefault="006C17F2" w:rsidP="00032962">
            <w:pPr>
              <w:pStyle w:val="Tablenumber"/>
              <w:jc w:val="center"/>
              <w:rPr>
                <w:lang w:eastAsia="en-AU"/>
              </w:rPr>
            </w:pPr>
            <w:r w:rsidRPr="00032962">
              <w:rPr>
                <w:lang w:eastAsia="en-AU"/>
              </w:rPr>
              <w:t>(0.00361)</w:t>
            </w:r>
          </w:p>
        </w:tc>
        <w:tc>
          <w:tcPr>
            <w:tcW w:w="2174" w:type="dxa"/>
            <w:tcBorders>
              <w:top w:val="nil"/>
              <w:left w:val="nil"/>
              <w:bottom w:val="nil"/>
              <w:right w:val="nil"/>
            </w:tcBorders>
            <w:shd w:val="clear" w:color="auto" w:fill="auto"/>
            <w:noWrap/>
            <w:vAlign w:val="center"/>
            <w:hideMark/>
          </w:tcPr>
          <w:p w14:paraId="6F3E1D06" w14:textId="3CDB2213" w:rsidR="006C17F2" w:rsidRPr="00032962" w:rsidRDefault="006C17F2" w:rsidP="00032962">
            <w:pPr>
              <w:pStyle w:val="Tablenumber"/>
              <w:jc w:val="center"/>
              <w:rPr>
                <w:lang w:eastAsia="en-AU"/>
              </w:rPr>
            </w:pPr>
            <w:r w:rsidRPr="00032962">
              <w:rPr>
                <w:lang w:eastAsia="en-AU"/>
              </w:rPr>
              <w:t>(0.00362)</w:t>
            </w:r>
          </w:p>
        </w:tc>
        <w:tc>
          <w:tcPr>
            <w:tcW w:w="2174" w:type="dxa"/>
            <w:tcBorders>
              <w:top w:val="nil"/>
              <w:left w:val="nil"/>
              <w:bottom w:val="nil"/>
              <w:right w:val="nil"/>
            </w:tcBorders>
            <w:shd w:val="clear" w:color="auto" w:fill="auto"/>
            <w:noWrap/>
            <w:vAlign w:val="center"/>
            <w:hideMark/>
          </w:tcPr>
          <w:p w14:paraId="3CEC620C" w14:textId="337EDA8A" w:rsidR="006C17F2" w:rsidRPr="00032962" w:rsidRDefault="006C17F2" w:rsidP="00032962">
            <w:pPr>
              <w:pStyle w:val="Tablenumber"/>
              <w:jc w:val="center"/>
              <w:rPr>
                <w:lang w:eastAsia="en-AU"/>
              </w:rPr>
            </w:pPr>
            <w:r w:rsidRPr="00032962">
              <w:rPr>
                <w:lang w:eastAsia="en-AU"/>
              </w:rPr>
              <w:t>(0.00388)</w:t>
            </w:r>
          </w:p>
        </w:tc>
        <w:tc>
          <w:tcPr>
            <w:tcW w:w="2174" w:type="dxa"/>
            <w:tcBorders>
              <w:top w:val="nil"/>
              <w:left w:val="nil"/>
              <w:bottom w:val="nil"/>
              <w:right w:val="nil"/>
            </w:tcBorders>
            <w:shd w:val="clear" w:color="auto" w:fill="auto"/>
            <w:noWrap/>
            <w:vAlign w:val="center"/>
            <w:hideMark/>
          </w:tcPr>
          <w:p w14:paraId="537A2B5E" w14:textId="2B545E5F" w:rsidR="006C17F2" w:rsidRPr="00032962" w:rsidRDefault="006C17F2" w:rsidP="00032962">
            <w:pPr>
              <w:pStyle w:val="Tablenumber"/>
              <w:jc w:val="center"/>
              <w:rPr>
                <w:lang w:eastAsia="en-AU"/>
              </w:rPr>
            </w:pPr>
            <w:r w:rsidRPr="00032962">
              <w:rPr>
                <w:lang w:eastAsia="en-AU"/>
              </w:rPr>
              <w:t>(0.0151)</w:t>
            </w:r>
          </w:p>
        </w:tc>
        <w:tc>
          <w:tcPr>
            <w:tcW w:w="2175" w:type="dxa"/>
            <w:tcBorders>
              <w:top w:val="nil"/>
              <w:left w:val="nil"/>
              <w:bottom w:val="nil"/>
              <w:right w:val="nil"/>
            </w:tcBorders>
            <w:shd w:val="clear" w:color="auto" w:fill="auto"/>
            <w:noWrap/>
            <w:vAlign w:val="center"/>
            <w:hideMark/>
          </w:tcPr>
          <w:p w14:paraId="10DE9A28" w14:textId="69DEDA1B" w:rsidR="006C17F2" w:rsidRPr="00032962" w:rsidRDefault="006C17F2" w:rsidP="00032962">
            <w:pPr>
              <w:pStyle w:val="Tablenumber"/>
              <w:jc w:val="center"/>
              <w:rPr>
                <w:lang w:eastAsia="en-AU"/>
              </w:rPr>
            </w:pPr>
            <w:r w:rsidRPr="00032962">
              <w:rPr>
                <w:lang w:eastAsia="en-AU"/>
              </w:rPr>
              <w:t>(0.0250)</w:t>
            </w:r>
          </w:p>
        </w:tc>
      </w:tr>
      <w:tr w:rsidR="006C17F2" w:rsidRPr="00032962" w14:paraId="59AEE96A" w14:textId="77777777" w:rsidTr="00D04A09">
        <w:trPr>
          <w:cantSplit/>
          <w:trHeight w:val="270"/>
        </w:trPr>
        <w:tc>
          <w:tcPr>
            <w:tcW w:w="3446" w:type="dxa"/>
            <w:tcBorders>
              <w:top w:val="nil"/>
              <w:left w:val="nil"/>
              <w:bottom w:val="nil"/>
              <w:right w:val="nil"/>
            </w:tcBorders>
            <w:shd w:val="clear" w:color="auto" w:fill="auto"/>
            <w:noWrap/>
            <w:vAlign w:val="center"/>
            <w:hideMark/>
          </w:tcPr>
          <w:p w14:paraId="32E23C3A" w14:textId="25623552" w:rsidR="006C17F2" w:rsidRPr="00032962" w:rsidRDefault="006C17F2" w:rsidP="00032962">
            <w:pPr>
              <w:pStyle w:val="Tablenumber"/>
              <w:jc w:val="center"/>
              <w:rPr>
                <w:lang w:eastAsia="en-AU"/>
              </w:rPr>
            </w:pPr>
            <w:r w:rsidRPr="00032962">
              <w:rPr>
                <w:lang w:eastAsia="en-AU"/>
              </w:rPr>
              <w:t>Turnover</w:t>
            </w:r>
          </w:p>
        </w:tc>
        <w:tc>
          <w:tcPr>
            <w:tcW w:w="2174" w:type="dxa"/>
            <w:tcBorders>
              <w:top w:val="nil"/>
              <w:left w:val="nil"/>
              <w:bottom w:val="nil"/>
              <w:right w:val="nil"/>
            </w:tcBorders>
            <w:shd w:val="clear" w:color="auto" w:fill="auto"/>
            <w:noWrap/>
            <w:vAlign w:val="center"/>
            <w:hideMark/>
          </w:tcPr>
          <w:p w14:paraId="2C2D5CC1" w14:textId="131478EA" w:rsidR="006C17F2" w:rsidRPr="00032962" w:rsidRDefault="006C17F2" w:rsidP="00032962">
            <w:pPr>
              <w:pStyle w:val="Tablenumber"/>
              <w:jc w:val="center"/>
              <w:rPr>
                <w:lang w:eastAsia="en-AU"/>
              </w:rPr>
            </w:pPr>
            <w:r w:rsidRPr="00032962">
              <w:rPr>
                <w:lang w:eastAsia="en-AU"/>
              </w:rPr>
              <w:t>0.141***</w:t>
            </w:r>
          </w:p>
        </w:tc>
        <w:tc>
          <w:tcPr>
            <w:tcW w:w="2174" w:type="dxa"/>
            <w:tcBorders>
              <w:top w:val="nil"/>
              <w:left w:val="nil"/>
              <w:bottom w:val="nil"/>
              <w:right w:val="nil"/>
            </w:tcBorders>
            <w:shd w:val="clear" w:color="auto" w:fill="auto"/>
            <w:noWrap/>
            <w:vAlign w:val="center"/>
            <w:hideMark/>
          </w:tcPr>
          <w:p w14:paraId="634C303A" w14:textId="357A8D58" w:rsidR="006C17F2" w:rsidRPr="00032962" w:rsidRDefault="006C17F2" w:rsidP="00032962">
            <w:pPr>
              <w:pStyle w:val="Tablenumber"/>
              <w:jc w:val="center"/>
              <w:rPr>
                <w:lang w:eastAsia="en-AU"/>
              </w:rPr>
            </w:pPr>
            <w:r w:rsidRPr="00032962">
              <w:rPr>
                <w:lang w:eastAsia="en-AU"/>
              </w:rPr>
              <w:t>0.0196***</w:t>
            </w:r>
          </w:p>
        </w:tc>
        <w:tc>
          <w:tcPr>
            <w:tcW w:w="2174" w:type="dxa"/>
            <w:tcBorders>
              <w:top w:val="nil"/>
              <w:left w:val="nil"/>
              <w:bottom w:val="nil"/>
              <w:right w:val="nil"/>
            </w:tcBorders>
            <w:shd w:val="clear" w:color="auto" w:fill="auto"/>
            <w:noWrap/>
            <w:vAlign w:val="center"/>
            <w:hideMark/>
          </w:tcPr>
          <w:p w14:paraId="7CE31249" w14:textId="7AF5749E" w:rsidR="006C17F2" w:rsidRPr="00032962" w:rsidRDefault="006C17F2" w:rsidP="00032962">
            <w:pPr>
              <w:pStyle w:val="Tablenumber"/>
              <w:jc w:val="center"/>
              <w:rPr>
                <w:lang w:eastAsia="en-AU"/>
              </w:rPr>
            </w:pPr>
            <w:r w:rsidRPr="00032962">
              <w:rPr>
                <w:lang w:eastAsia="en-AU"/>
              </w:rPr>
              <w:t>0.108***</w:t>
            </w:r>
          </w:p>
        </w:tc>
        <w:tc>
          <w:tcPr>
            <w:tcW w:w="2174" w:type="dxa"/>
            <w:tcBorders>
              <w:top w:val="nil"/>
              <w:left w:val="nil"/>
              <w:bottom w:val="nil"/>
              <w:right w:val="nil"/>
            </w:tcBorders>
            <w:shd w:val="clear" w:color="auto" w:fill="auto"/>
            <w:noWrap/>
            <w:vAlign w:val="center"/>
            <w:hideMark/>
          </w:tcPr>
          <w:p w14:paraId="2E4165F8" w14:textId="37192BC4" w:rsidR="006C17F2" w:rsidRPr="00032962" w:rsidRDefault="006C17F2" w:rsidP="00032962">
            <w:pPr>
              <w:pStyle w:val="Tablenumber"/>
              <w:jc w:val="center"/>
              <w:rPr>
                <w:lang w:eastAsia="en-AU"/>
              </w:rPr>
            </w:pPr>
            <w:r w:rsidRPr="00032962">
              <w:rPr>
                <w:lang w:eastAsia="en-AU"/>
              </w:rPr>
              <w:t>0.140***</w:t>
            </w:r>
          </w:p>
        </w:tc>
        <w:tc>
          <w:tcPr>
            <w:tcW w:w="2175" w:type="dxa"/>
            <w:tcBorders>
              <w:top w:val="nil"/>
              <w:left w:val="nil"/>
              <w:bottom w:val="nil"/>
              <w:right w:val="nil"/>
            </w:tcBorders>
            <w:shd w:val="clear" w:color="auto" w:fill="auto"/>
            <w:noWrap/>
            <w:vAlign w:val="center"/>
            <w:hideMark/>
          </w:tcPr>
          <w:p w14:paraId="1DF1A0B4" w14:textId="264F3E5B" w:rsidR="006C17F2" w:rsidRPr="00032962" w:rsidRDefault="006C17F2" w:rsidP="00032962">
            <w:pPr>
              <w:pStyle w:val="Tablenumber"/>
              <w:jc w:val="center"/>
              <w:rPr>
                <w:lang w:eastAsia="en-AU"/>
              </w:rPr>
            </w:pPr>
            <w:r w:rsidRPr="00032962">
              <w:rPr>
                <w:lang w:eastAsia="en-AU"/>
              </w:rPr>
              <w:t>-0.00776</w:t>
            </w:r>
          </w:p>
        </w:tc>
      </w:tr>
      <w:tr w:rsidR="006C17F2" w:rsidRPr="00032962" w14:paraId="59D3D951" w14:textId="77777777" w:rsidTr="00D04A09">
        <w:trPr>
          <w:cantSplit/>
          <w:trHeight w:val="270"/>
        </w:trPr>
        <w:tc>
          <w:tcPr>
            <w:tcW w:w="3446" w:type="dxa"/>
            <w:tcBorders>
              <w:top w:val="nil"/>
              <w:left w:val="nil"/>
              <w:bottom w:val="nil"/>
              <w:right w:val="nil"/>
            </w:tcBorders>
            <w:shd w:val="clear" w:color="auto" w:fill="auto"/>
            <w:noWrap/>
            <w:vAlign w:val="center"/>
            <w:hideMark/>
          </w:tcPr>
          <w:p w14:paraId="263D610D" w14:textId="4917F9FB" w:rsidR="006C17F2" w:rsidRPr="00032962" w:rsidRDefault="006C17F2" w:rsidP="00032962">
            <w:pPr>
              <w:pStyle w:val="Tablenumber"/>
              <w:jc w:val="center"/>
              <w:rPr>
                <w:lang w:eastAsia="en-AU"/>
              </w:rPr>
            </w:pPr>
          </w:p>
        </w:tc>
        <w:tc>
          <w:tcPr>
            <w:tcW w:w="2174" w:type="dxa"/>
            <w:tcBorders>
              <w:top w:val="nil"/>
              <w:left w:val="nil"/>
              <w:bottom w:val="nil"/>
              <w:right w:val="nil"/>
            </w:tcBorders>
            <w:shd w:val="clear" w:color="auto" w:fill="auto"/>
            <w:noWrap/>
            <w:vAlign w:val="center"/>
            <w:hideMark/>
          </w:tcPr>
          <w:p w14:paraId="1BC0E586" w14:textId="58B16878" w:rsidR="006C17F2" w:rsidRPr="00032962" w:rsidRDefault="006C17F2" w:rsidP="00032962">
            <w:pPr>
              <w:pStyle w:val="Tablenumber"/>
              <w:jc w:val="center"/>
              <w:rPr>
                <w:lang w:eastAsia="en-AU"/>
              </w:rPr>
            </w:pPr>
            <w:r w:rsidRPr="00032962">
              <w:rPr>
                <w:lang w:eastAsia="en-AU"/>
              </w:rPr>
              <w:t>(0.00337)</w:t>
            </w:r>
          </w:p>
        </w:tc>
        <w:tc>
          <w:tcPr>
            <w:tcW w:w="2174" w:type="dxa"/>
            <w:tcBorders>
              <w:top w:val="nil"/>
              <w:left w:val="nil"/>
              <w:bottom w:val="nil"/>
              <w:right w:val="nil"/>
            </w:tcBorders>
            <w:shd w:val="clear" w:color="auto" w:fill="auto"/>
            <w:noWrap/>
            <w:vAlign w:val="center"/>
            <w:hideMark/>
          </w:tcPr>
          <w:p w14:paraId="52320930" w14:textId="41151990" w:rsidR="006C17F2" w:rsidRPr="00032962" w:rsidRDefault="006C17F2" w:rsidP="00032962">
            <w:pPr>
              <w:pStyle w:val="Tablenumber"/>
              <w:jc w:val="center"/>
              <w:rPr>
                <w:lang w:eastAsia="en-AU"/>
              </w:rPr>
            </w:pPr>
            <w:r w:rsidRPr="00032962">
              <w:rPr>
                <w:lang w:eastAsia="en-AU"/>
              </w:rPr>
              <w:t>(0.00299)</w:t>
            </w:r>
          </w:p>
        </w:tc>
        <w:tc>
          <w:tcPr>
            <w:tcW w:w="2174" w:type="dxa"/>
            <w:tcBorders>
              <w:top w:val="nil"/>
              <w:left w:val="nil"/>
              <w:bottom w:val="nil"/>
              <w:right w:val="nil"/>
            </w:tcBorders>
            <w:shd w:val="clear" w:color="auto" w:fill="auto"/>
            <w:noWrap/>
            <w:vAlign w:val="center"/>
            <w:hideMark/>
          </w:tcPr>
          <w:p w14:paraId="64976987" w14:textId="645EDE53" w:rsidR="006C17F2" w:rsidRPr="00032962" w:rsidRDefault="006C17F2" w:rsidP="00032962">
            <w:pPr>
              <w:pStyle w:val="Tablenumber"/>
              <w:jc w:val="center"/>
              <w:rPr>
                <w:lang w:eastAsia="en-AU"/>
              </w:rPr>
            </w:pPr>
            <w:r w:rsidRPr="00032962">
              <w:rPr>
                <w:lang w:eastAsia="en-AU"/>
              </w:rPr>
              <w:t>(0.00339)</w:t>
            </w:r>
          </w:p>
        </w:tc>
        <w:tc>
          <w:tcPr>
            <w:tcW w:w="2174" w:type="dxa"/>
            <w:tcBorders>
              <w:top w:val="nil"/>
              <w:left w:val="nil"/>
              <w:bottom w:val="nil"/>
              <w:right w:val="nil"/>
            </w:tcBorders>
            <w:shd w:val="clear" w:color="auto" w:fill="auto"/>
            <w:noWrap/>
            <w:vAlign w:val="center"/>
            <w:hideMark/>
          </w:tcPr>
          <w:p w14:paraId="1FB839E2" w14:textId="315DD522" w:rsidR="006C17F2" w:rsidRPr="00032962" w:rsidRDefault="006C17F2" w:rsidP="00032962">
            <w:pPr>
              <w:pStyle w:val="Tablenumber"/>
              <w:jc w:val="center"/>
              <w:rPr>
                <w:lang w:eastAsia="en-AU"/>
              </w:rPr>
            </w:pPr>
            <w:r w:rsidRPr="00032962">
              <w:rPr>
                <w:lang w:eastAsia="en-AU"/>
              </w:rPr>
              <w:t>(0.0133)</w:t>
            </w:r>
          </w:p>
        </w:tc>
        <w:tc>
          <w:tcPr>
            <w:tcW w:w="2175" w:type="dxa"/>
            <w:tcBorders>
              <w:top w:val="nil"/>
              <w:left w:val="nil"/>
              <w:bottom w:val="nil"/>
              <w:right w:val="nil"/>
            </w:tcBorders>
            <w:shd w:val="clear" w:color="auto" w:fill="auto"/>
            <w:noWrap/>
            <w:vAlign w:val="center"/>
            <w:hideMark/>
          </w:tcPr>
          <w:p w14:paraId="799164C5" w14:textId="0BEE6D72" w:rsidR="006C17F2" w:rsidRPr="00032962" w:rsidRDefault="006C17F2" w:rsidP="00032962">
            <w:pPr>
              <w:pStyle w:val="Tablenumber"/>
              <w:jc w:val="center"/>
              <w:rPr>
                <w:lang w:eastAsia="en-AU"/>
              </w:rPr>
            </w:pPr>
            <w:r w:rsidRPr="00032962">
              <w:rPr>
                <w:lang w:eastAsia="en-AU"/>
              </w:rPr>
              <w:t>(0.0145)</w:t>
            </w:r>
          </w:p>
        </w:tc>
      </w:tr>
      <w:tr w:rsidR="006C17F2" w:rsidRPr="00032962" w14:paraId="7F2C84B0" w14:textId="77777777" w:rsidTr="00D04A09">
        <w:trPr>
          <w:cantSplit/>
          <w:trHeight w:val="270"/>
        </w:trPr>
        <w:tc>
          <w:tcPr>
            <w:tcW w:w="3446" w:type="dxa"/>
            <w:tcBorders>
              <w:top w:val="nil"/>
              <w:left w:val="nil"/>
              <w:bottom w:val="nil"/>
              <w:right w:val="nil"/>
            </w:tcBorders>
            <w:shd w:val="clear" w:color="auto" w:fill="auto"/>
            <w:noWrap/>
            <w:vAlign w:val="center"/>
            <w:hideMark/>
          </w:tcPr>
          <w:p w14:paraId="2F44ED17" w14:textId="54E963FD" w:rsidR="006C17F2" w:rsidRPr="00032962" w:rsidRDefault="006C17F2" w:rsidP="00032962">
            <w:pPr>
              <w:pStyle w:val="Tablenumber"/>
              <w:jc w:val="center"/>
              <w:rPr>
                <w:lang w:eastAsia="en-AU"/>
              </w:rPr>
            </w:pPr>
            <w:r w:rsidRPr="00032962">
              <w:rPr>
                <w:lang w:eastAsia="en-AU"/>
              </w:rPr>
              <w:t>Wages</w:t>
            </w:r>
          </w:p>
        </w:tc>
        <w:tc>
          <w:tcPr>
            <w:tcW w:w="2174" w:type="dxa"/>
            <w:tcBorders>
              <w:top w:val="nil"/>
              <w:left w:val="nil"/>
              <w:bottom w:val="nil"/>
              <w:right w:val="nil"/>
            </w:tcBorders>
            <w:shd w:val="clear" w:color="auto" w:fill="auto"/>
            <w:noWrap/>
            <w:vAlign w:val="center"/>
            <w:hideMark/>
          </w:tcPr>
          <w:p w14:paraId="02485E15" w14:textId="5B2751D4" w:rsidR="006C17F2" w:rsidRPr="00032962" w:rsidRDefault="006C17F2" w:rsidP="00032962">
            <w:pPr>
              <w:pStyle w:val="Tablenumber"/>
              <w:jc w:val="center"/>
              <w:rPr>
                <w:lang w:eastAsia="en-AU"/>
              </w:rPr>
            </w:pPr>
            <w:r w:rsidRPr="00032962">
              <w:rPr>
                <w:lang w:eastAsia="en-AU"/>
              </w:rPr>
              <w:t>0.0457***</w:t>
            </w:r>
          </w:p>
        </w:tc>
        <w:tc>
          <w:tcPr>
            <w:tcW w:w="2174" w:type="dxa"/>
            <w:tcBorders>
              <w:top w:val="nil"/>
              <w:left w:val="nil"/>
              <w:bottom w:val="nil"/>
              <w:right w:val="nil"/>
            </w:tcBorders>
            <w:shd w:val="clear" w:color="auto" w:fill="auto"/>
            <w:noWrap/>
            <w:vAlign w:val="center"/>
            <w:hideMark/>
          </w:tcPr>
          <w:p w14:paraId="2D4DED20" w14:textId="2157842C" w:rsidR="006C17F2" w:rsidRPr="00032962" w:rsidRDefault="006C17F2" w:rsidP="00032962">
            <w:pPr>
              <w:pStyle w:val="Tablenumber"/>
              <w:jc w:val="center"/>
              <w:rPr>
                <w:lang w:eastAsia="en-AU"/>
              </w:rPr>
            </w:pPr>
            <w:r w:rsidRPr="00032962">
              <w:rPr>
                <w:lang w:eastAsia="en-AU"/>
              </w:rPr>
              <w:t>0.0669***</w:t>
            </w:r>
          </w:p>
        </w:tc>
        <w:tc>
          <w:tcPr>
            <w:tcW w:w="2174" w:type="dxa"/>
            <w:tcBorders>
              <w:top w:val="nil"/>
              <w:left w:val="nil"/>
              <w:bottom w:val="nil"/>
              <w:right w:val="nil"/>
            </w:tcBorders>
            <w:shd w:val="clear" w:color="auto" w:fill="auto"/>
            <w:noWrap/>
            <w:vAlign w:val="center"/>
            <w:hideMark/>
          </w:tcPr>
          <w:p w14:paraId="218E9F86" w14:textId="17DFDBD7" w:rsidR="006C17F2" w:rsidRPr="00032962" w:rsidRDefault="006C17F2" w:rsidP="00032962">
            <w:pPr>
              <w:pStyle w:val="Tablenumber"/>
              <w:jc w:val="center"/>
              <w:rPr>
                <w:lang w:eastAsia="en-AU"/>
              </w:rPr>
            </w:pPr>
            <w:r w:rsidRPr="00032962">
              <w:rPr>
                <w:lang w:eastAsia="en-AU"/>
              </w:rPr>
              <w:t>0.0472***</w:t>
            </w:r>
          </w:p>
        </w:tc>
        <w:tc>
          <w:tcPr>
            <w:tcW w:w="2174" w:type="dxa"/>
            <w:tcBorders>
              <w:top w:val="nil"/>
              <w:left w:val="nil"/>
              <w:bottom w:val="nil"/>
              <w:right w:val="nil"/>
            </w:tcBorders>
            <w:shd w:val="clear" w:color="auto" w:fill="auto"/>
            <w:noWrap/>
            <w:vAlign w:val="center"/>
            <w:hideMark/>
          </w:tcPr>
          <w:p w14:paraId="778A9950" w14:textId="0DD6D728" w:rsidR="006C17F2" w:rsidRPr="00032962" w:rsidRDefault="006C17F2" w:rsidP="00032962">
            <w:pPr>
              <w:pStyle w:val="Tablenumber"/>
              <w:jc w:val="center"/>
              <w:rPr>
                <w:lang w:eastAsia="en-AU"/>
              </w:rPr>
            </w:pPr>
            <w:r w:rsidRPr="00032962">
              <w:rPr>
                <w:lang w:eastAsia="en-AU"/>
              </w:rPr>
              <w:t>0.0622***</w:t>
            </w:r>
          </w:p>
        </w:tc>
        <w:tc>
          <w:tcPr>
            <w:tcW w:w="2175" w:type="dxa"/>
            <w:tcBorders>
              <w:top w:val="nil"/>
              <w:left w:val="nil"/>
              <w:bottom w:val="nil"/>
              <w:right w:val="nil"/>
            </w:tcBorders>
            <w:shd w:val="clear" w:color="auto" w:fill="auto"/>
            <w:noWrap/>
            <w:vAlign w:val="center"/>
            <w:hideMark/>
          </w:tcPr>
          <w:p w14:paraId="1B2896C3" w14:textId="1D45B088" w:rsidR="006C17F2" w:rsidRPr="00032962" w:rsidRDefault="006C17F2" w:rsidP="00032962">
            <w:pPr>
              <w:pStyle w:val="Tablenumber"/>
              <w:jc w:val="center"/>
              <w:rPr>
                <w:lang w:eastAsia="en-AU"/>
              </w:rPr>
            </w:pPr>
            <w:r w:rsidRPr="00032962">
              <w:rPr>
                <w:lang w:eastAsia="en-AU"/>
              </w:rPr>
              <w:t>0.0977***</w:t>
            </w:r>
          </w:p>
        </w:tc>
      </w:tr>
      <w:tr w:rsidR="006C17F2" w:rsidRPr="00032962" w14:paraId="12E5864A" w14:textId="77777777" w:rsidTr="00D04A09">
        <w:trPr>
          <w:cantSplit/>
          <w:trHeight w:val="285"/>
        </w:trPr>
        <w:tc>
          <w:tcPr>
            <w:tcW w:w="3446" w:type="dxa"/>
            <w:tcBorders>
              <w:top w:val="nil"/>
              <w:left w:val="nil"/>
              <w:bottom w:val="nil"/>
              <w:right w:val="nil"/>
            </w:tcBorders>
            <w:shd w:val="clear" w:color="auto" w:fill="auto"/>
            <w:noWrap/>
            <w:vAlign w:val="center"/>
            <w:hideMark/>
          </w:tcPr>
          <w:p w14:paraId="69EB4993" w14:textId="1592027D" w:rsidR="006C17F2" w:rsidRPr="00032962" w:rsidRDefault="006C17F2" w:rsidP="00032962">
            <w:pPr>
              <w:pStyle w:val="Tablenumber"/>
              <w:jc w:val="center"/>
              <w:rPr>
                <w:lang w:eastAsia="en-AU"/>
              </w:rPr>
            </w:pPr>
          </w:p>
        </w:tc>
        <w:tc>
          <w:tcPr>
            <w:tcW w:w="2174" w:type="dxa"/>
            <w:tcBorders>
              <w:top w:val="nil"/>
              <w:left w:val="nil"/>
              <w:bottom w:val="nil"/>
              <w:right w:val="nil"/>
            </w:tcBorders>
            <w:shd w:val="clear" w:color="auto" w:fill="auto"/>
            <w:noWrap/>
            <w:vAlign w:val="center"/>
            <w:hideMark/>
          </w:tcPr>
          <w:p w14:paraId="02726CFD" w14:textId="58E5FFD1" w:rsidR="006C17F2" w:rsidRPr="00032962" w:rsidRDefault="006C17F2" w:rsidP="00032962">
            <w:pPr>
              <w:pStyle w:val="Tablenumber"/>
              <w:jc w:val="center"/>
              <w:rPr>
                <w:lang w:eastAsia="en-AU"/>
              </w:rPr>
            </w:pPr>
            <w:r w:rsidRPr="00032962">
              <w:rPr>
                <w:lang w:eastAsia="en-AU"/>
              </w:rPr>
              <w:t>(0.00258)</w:t>
            </w:r>
          </w:p>
        </w:tc>
        <w:tc>
          <w:tcPr>
            <w:tcW w:w="2174" w:type="dxa"/>
            <w:tcBorders>
              <w:top w:val="nil"/>
              <w:left w:val="nil"/>
              <w:bottom w:val="nil"/>
              <w:right w:val="nil"/>
            </w:tcBorders>
            <w:shd w:val="clear" w:color="auto" w:fill="auto"/>
            <w:noWrap/>
            <w:vAlign w:val="center"/>
            <w:hideMark/>
          </w:tcPr>
          <w:p w14:paraId="7ACBDE8D" w14:textId="65A64D65" w:rsidR="006C17F2" w:rsidRPr="00032962" w:rsidRDefault="006C17F2" w:rsidP="00032962">
            <w:pPr>
              <w:pStyle w:val="Tablenumber"/>
              <w:jc w:val="center"/>
              <w:rPr>
                <w:lang w:eastAsia="en-AU"/>
              </w:rPr>
            </w:pPr>
            <w:r w:rsidRPr="00032962">
              <w:rPr>
                <w:lang w:eastAsia="en-AU"/>
              </w:rPr>
              <w:t>(0.00296)</w:t>
            </w:r>
          </w:p>
        </w:tc>
        <w:tc>
          <w:tcPr>
            <w:tcW w:w="2174" w:type="dxa"/>
            <w:tcBorders>
              <w:top w:val="nil"/>
              <w:left w:val="nil"/>
              <w:bottom w:val="nil"/>
              <w:right w:val="nil"/>
            </w:tcBorders>
            <w:shd w:val="clear" w:color="auto" w:fill="auto"/>
            <w:noWrap/>
            <w:vAlign w:val="center"/>
            <w:hideMark/>
          </w:tcPr>
          <w:p w14:paraId="7A25D3B6" w14:textId="29DF1D60" w:rsidR="006C17F2" w:rsidRPr="00032962" w:rsidRDefault="006C17F2" w:rsidP="00032962">
            <w:pPr>
              <w:pStyle w:val="Tablenumber"/>
              <w:jc w:val="center"/>
              <w:rPr>
                <w:lang w:eastAsia="en-AU"/>
              </w:rPr>
            </w:pPr>
            <w:r w:rsidRPr="00032962">
              <w:rPr>
                <w:lang w:eastAsia="en-AU"/>
              </w:rPr>
              <w:t>(0.00285)</w:t>
            </w:r>
          </w:p>
        </w:tc>
        <w:tc>
          <w:tcPr>
            <w:tcW w:w="2174" w:type="dxa"/>
            <w:tcBorders>
              <w:top w:val="nil"/>
              <w:left w:val="nil"/>
              <w:bottom w:val="nil"/>
              <w:right w:val="nil"/>
            </w:tcBorders>
            <w:shd w:val="clear" w:color="auto" w:fill="auto"/>
            <w:noWrap/>
            <w:vAlign w:val="center"/>
            <w:hideMark/>
          </w:tcPr>
          <w:p w14:paraId="1837F411" w14:textId="37F3CD07" w:rsidR="006C17F2" w:rsidRPr="00032962" w:rsidRDefault="006C17F2" w:rsidP="00032962">
            <w:pPr>
              <w:pStyle w:val="Tablenumber"/>
              <w:jc w:val="center"/>
              <w:rPr>
                <w:lang w:eastAsia="en-AU"/>
              </w:rPr>
            </w:pPr>
            <w:r w:rsidRPr="00032962">
              <w:rPr>
                <w:lang w:eastAsia="en-AU"/>
              </w:rPr>
              <w:t>(0.0112)</w:t>
            </w:r>
          </w:p>
        </w:tc>
        <w:tc>
          <w:tcPr>
            <w:tcW w:w="2175" w:type="dxa"/>
            <w:tcBorders>
              <w:top w:val="nil"/>
              <w:left w:val="nil"/>
              <w:bottom w:val="nil"/>
              <w:right w:val="nil"/>
            </w:tcBorders>
            <w:shd w:val="clear" w:color="auto" w:fill="auto"/>
            <w:noWrap/>
            <w:vAlign w:val="center"/>
            <w:hideMark/>
          </w:tcPr>
          <w:p w14:paraId="359AE8E6" w14:textId="5DF19134" w:rsidR="006C17F2" w:rsidRPr="00032962" w:rsidRDefault="006C17F2" w:rsidP="00032962">
            <w:pPr>
              <w:pStyle w:val="Tablenumber"/>
              <w:jc w:val="center"/>
              <w:rPr>
                <w:lang w:eastAsia="en-AU"/>
              </w:rPr>
            </w:pPr>
            <w:r w:rsidRPr="00032962">
              <w:rPr>
                <w:lang w:eastAsia="en-AU"/>
              </w:rPr>
              <w:t>(0.0136)</w:t>
            </w:r>
          </w:p>
        </w:tc>
      </w:tr>
      <w:tr w:rsidR="006C17F2" w:rsidRPr="00032962" w14:paraId="5BFEAE4C" w14:textId="77777777" w:rsidTr="00D04A09">
        <w:trPr>
          <w:cantSplit/>
          <w:trHeight w:val="255"/>
        </w:trPr>
        <w:tc>
          <w:tcPr>
            <w:tcW w:w="3446" w:type="dxa"/>
            <w:tcBorders>
              <w:top w:val="nil"/>
              <w:left w:val="nil"/>
              <w:bottom w:val="nil"/>
              <w:right w:val="nil"/>
            </w:tcBorders>
            <w:shd w:val="clear" w:color="auto" w:fill="auto"/>
            <w:noWrap/>
            <w:vAlign w:val="center"/>
            <w:hideMark/>
          </w:tcPr>
          <w:p w14:paraId="0A5D8A58" w14:textId="175C6DC1" w:rsidR="006C17F2" w:rsidRPr="00032962" w:rsidRDefault="006C17F2" w:rsidP="00032962">
            <w:pPr>
              <w:pStyle w:val="Tablenumber"/>
              <w:jc w:val="center"/>
              <w:rPr>
                <w:lang w:eastAsia="en-AU"/>
              </w:rPr>
            </w:pPr>
            <w:r w:rsidRPr="00032962">
              <w:rPr>
                <w:lang w:eastAsia="en-AU"/>
              </w:rPr>
              <w:t>Industry controls</w:t>
            </w:r>
          </w:p>
        </w:tc>
        <w:tc>
          <w:tcPr>
            <w:tcW w:w="2174" w:type="dxa"/>
            <w:tcBorders>
              <w:top w:val="nil"/>
              <w:left w:val="nil"/>
              <w:bottom w:val="nil"/>
              <w:right w:val="nil"/>
            </w:tcBorders>
            <w:shd w:val="clear" w:color="auto" w:fill="auto"/>
            <w:noWrap/>
            <w:vAlign w:val="center"/>
            <w:hideMark/>
          </w:tcPr>
          <w:p w14:paraId="4191140E" w14:textId="120B7ACF" w:rsidR="006C17F2" w:rsidRPr="00032962" w:rsidRDefault="006C17F2" w:rsidP="00032962">
            <w:pPr>
              <w:pStyle w:val="Tablenumber"/>
              <w:jc w:val="center"/>
              <w:rPr>
                <w:lang w:eastAsia="en-AU"/>
              </w:rPr>
            </w:pPr>
            <w:r w:rsidRPr="00032962">
              <w:rPr>
                <w:lang w:eastAsia="en-AU"/>
              </w:rPr>
              <w:t>Y</w:t>
            </w:r>
          </w:p>
        </w:tc>
        <w:tc>
          <w:tcPr>
            <w:tcW w:w="2174" w:type="dxa"/>
            <w:tcBorders>
              <w:top w:val="nil"/>
              <w:left w:val="nil"/>
              <w:bottom w:val="nil"/>
              <w:right w:val="nil"/>
            </w:tcBorders>
            <w:shd w:val="clear" w:color="auto" w:fill="auto"/>
            <w:noWrap/>
            <w:vAlign w:val="center"/>
            <w:hideMark/>
          </w:tcPr>
          <w:p w14:paraId="75BB3EDD" w14:textId="236FE95F" w:rsidR="006C17F2" w:rsidRPr="00032962" w:rsidRDefault="006C17F2" w:rsidP="00032962">
            <w:pPr>
              <w:pStyle w:val="Tablenumber"/>
              <w:jc w:val="center"/>
              <w:rPr>
                <w:lang w:eastAsia="en-AU"/>
              </w:rPr>
            </w:pPr>
            <w:r w:rsidRPr="00032962">
              <w:rPr>
                <w:lang w:eastAsia="en-AU"/>
              </w:rPr>
              <w:t>Y</w:t>
            </w:r>
          </w:p>
        </w:tc>
        <w:tc>
          <w:tcPr>
            <w:tcW w:w="2174" w:type="dxa"/>
            <w:tcBorders>
              <w:top w:val="nil"/>
              <w:left w:val="nil"/>
              <w:bottom w:val="nil"/>
              <w:right w:val="nil"/>
            </w:tcBorders>
            <w:shd w:val="clear" w:color="auto" w:fill="auto"/>
            <w:noWrap/>
            <w:vAlign w:val="center"/>
            <w:hideMark/>
          </w:tcPr>
          <w:p w14:paraId="2B67A610" w14:textId="40B6AD46" w:rsidR="006C17F2" w:rsidRPr="00032962" w:rsidRDefault="006C17F2" w:rsidP="00032962">
            <w:pPr>
              <w:pStyle w:val="Tablenumber"/>
              <w:jc w:val="center"/>
              <w:rPr>
                <w:lang w:eastAsia="en-AU"/>
              </w:rPr>
            </w:pPr>
            <w:r w:rsidRPr="00032962">
              <w:rPr>
                <w:lang w:eastAsia="en-AU"/>
              </w:rPr>
              <w:t>Y</w:t>
            </w:r>
          </w:p>
        </w:tc>
        <w:tc>
          <w:tcPr>
            <w:tcW w:w="2174" w:type="dxa"/>
            <w:tcBorders>
              <w:top w:val="nil"/>
              <w:left w:val="nil"/>
              <w:bottom w:val="nil"/>
              <w:right w:val="nil"/>
            </w:tcBorders>
            <w:shd w:val="clear" w:color="auto" w:fill="auto"/>
            <w:noWrap/>
            <w:vAlign w:val="center"/>
            <w:hideMark/>
          </w:tcPr>
          <w:p w14:paraId="425A7E5E" w14:textId="2ACAAB6B" w:rsidR="006C17F2" w:rsidRPr="00032962" w:rsidRDefault="006C17F2" w:rsidP="00032962">
            <w:pPr>
              <w:pStyle w:val="Tablenumber"/>
              <w:jc w:val="center"/>
              <w:rPr>
                <w:lang w:eastAsia="en-AU"/>
              </w:rPr>
            </w:pPr>
            <w:r w:rsidRPr="00032962">
              <w:rPr>
                <w:lang w:eastAsia="en-AU"/>
              </w:rPr>
              <w:t>Y</w:t>
            </w:r>
          </w:p>
        </w:tc>
        <w:tc>
          <w:tcPr>
            <w:tcW w:w="2175" w:type="dxa"/>
            <w:tcBorders>
              <w:top w:val="nil"/>
              <w:left w:val="nil"/>
              <w:bottom w:val="nil"/>
              <w:right w:val="nil"/>
            </w:tcBorders>
            <w:shd w:val="clear" w:color="auto" w:fill="auto"/>
            <w:noWrap/>
            <w:vAlign w:val="center"/>
            <w:hideMark/>
          </w:tcPr>
          <w:p w14:paraId="24AEABB9" w14:textId="0C2159D6" w:rsidR="006C17F2" w:rsidRPr="00032962" w:rsidRDefault="006C17F2" w:rsidP="00032962">
            <w:pPr>
              <w:pStyle w:val="Tablenumber"/>
              <w:jc w:val="center"/>
              <w:rPr>
                <w:lang w:eastAsia="en-AU"/>
              </w:rPr>
            </w:pPr>
            <w:r w:rsidRPr="00032962">
              <w:rPr>
                <w:lang w:eastAsia="en-AU"/>
              </w:rPr>
              <w:t>Y</w:t>
            </w:r>
          </w:p>
        </w:tc>
      </w:tr>
      <w:tr w:rsidR="006C17F2" w:rsidRPr="00032962" w14:paraId="47B6B64F" w14:textId="77777777" w:rsidTr="00D04A09">
        <w:trPr>
          <w:cantSplit/>
          <w:trHeight w:val="255"/>
        </w:trPr>
        <w:tc>
          <w:tcPr>
            <w:tcW w:w="3446" w:type="dxa"/>
            <w:tcBorders>
              <w:top w:val="nil"/>
              <w:left w:val="nil"/>
              <w:bottom w:val="nil"/>
              <w:right w:val="nil"/>
            </w:tcBorders>
            <w:shd w:val="clear" w:color="auto" w:fill="auto"/>
            <w:noWrap/>
            <w:vAlign w:val="center"/>
            <w:hideMark/>
          </w:tcPr>
          <w:p w14:paraId="54718E7F" w14:textId="2C803C40" w:rsidR="006C17F2" w:rsidRPr="00032962" w:rsidRDefault="006C17F2" w:rsidP="00032962">
            <w:pPr>
              <w:pStyle w:val="Tablenumber"/>
              <w:jc w:val="center"/>
              <w:rPr>
                <w:lang w:eastAsia="en-AU"/>
              </w:rPr>
            </w:pPr>
            <w:r w:rsidRPr="00032962">
              <w:rPr>
                <w:lang w:eastAsia="en-AU"/>
              </w:rPr>
              <w:t>Observations</w:t>
            </w:r>
          </w:p>
        </w:tc>
        <w:tc>
          <w:tcPr>
            <w:tcW w:w="2174" w:type="dxa"/>
            <w:tcBorders>
              <w:top w:val="nil"/>
              <w:left w:val="nil"/>
              <w:bottom w:val="nil"/>
              <w:right w:val="nil"/>
            </w:tcBorders>
            <w:shd w:val="clear" w:color="auto" w:fill="auto"/>
            <w:noWrap/>
            <w:vAlign w:val="center"/>
            <w:hideMark/>
          </w:tcPr>
          <w:p w14:paraId="237485C4" w14:textId="2374E105" w:rsidR="006C17F2" w:rsidRPr="00032962" w:rsidRDefault="006C17F2" w:rsidP="00032962">
            <w:pPr>
              <w:pStyle w:val="Tablenumber"/>
              <w:jc w:val="center"/>
              <w:rPr>
                <w:lang w:eastAsia="en-AU"/>
              </w:rPr>
            </w:pPr>
            <w:r w:rsidRPr="00032962">
              <w:rPr>
                <w:lang w:eastAsia="en-AU"/>
              </w:rPr>
              <w:t>32,354</w:t>
            </w:r>
          </w:p>
        </w:tc>
        <w:tc>
          <w:tcPr>
            <w:tcW w:w="2174" w:type="dxa"/>
            <w:tcBorders>
              <w:top w:val="nil"/>
              <w:left w:val="nil"/>
              <w:bottom w:val="nil"/>
              <w:right w:val="nil"/>
            </w:tcBorders>
            <w:shd w:val="clear" w:color="auto" w:fill="auto"/>
            <w:noWrap/>
            <w:vAlign w:val="center"/>
            <w:hideMark/>
          </w:tcPr>
          <w:p w14:paraId="483C6BB2" w14:textId="6EEB7389" w:rsidR="006C17F2" w:rsidRPr="00032962" w:rsidRDefault="006C17F2" w:rsidP="00032962">
            <w:pPr>
              <w:pStyle w:val="Tablenumber"/>
              <w:jc w:val="center"/>
              <w:rPr>
                <w:lang w:eastAsia="en-AU"/>
              </w:rPr>
            </w:pPr>
            <w:r w:rsidRPr="00032962">
              <w:rPr>
                <w:lang w:eastAsia="en-AU"/>
              </w:rPr>
              <w:t>24,810</w:t>
            </w:r>
          </w:p>
        </w:tc>
        <w:tc>
          <w:tcPr>
            <w:tcW w:w="2174" w:type="dxa"/>
            <w:tcBorders>
              <w:top w:val="nil"/>
              <w:left w:val="nil"/>
              <w:bottom w:val="nil"/>
              <w:right w:val="nil"/>
            </w:tcBorders>
            <w:shd w:val="clear" w:color="auto" w:fill="auto"/>
            <w:noWrap/>
            <w:vAlign w:val="center"/>
            <w:hideMark/>
          </w:tcPr>
          <w:p w14:paraId="50FC6E0B" w14:textId="258256FC" w:rsidR="006C17F2" w:rsidRPr="00032962" w:rsidRDefault="006C17F2" w:rsidP="00032962">
            <w:pPr>
              <w:pStyle w:val="Tablenumber"/>
              <w:jc w:val="center"/>
              <w:rPr>
                <w:lang w:eastAsia="en-AU"/>
              </w:rPr>
            </w:pPr>
            <w:r w:rsidRPr="00032962">
              <w:rPr>
                <w:lang w:eastAsia="en-AU"/>
              </w:rPr>
              <w:t>25,191</w:t>
            </w:r>
          </w:p>
        </w:tc>
        <w:tc>
          <w:tcPr>
            <w:tcW w:w="2174" w:type="dxa"/>
            <w:tcBorders>
              <w:top w:val="nil"/>
              <w:left w:val="nil"/>
              <w:bottom w:val="nil"/>
              <w:right w:val="nil"/>
            </w:tcBorders>
            <w:shd w:val="clear" w:color="auto" w:fill="auto"/>
            <w:noWrap/>
            <w:vAlign w:val="center"/>
            <w:hideMark/>
          </w:tcPr>
          <w:p w14:paraId="7F1688CA" w14:textId="551C2818" w:rsidR="006C17F2" w:rsidRPr="00032962" w:rsidRDefault="006C17F2" w:rsidP="00032962">
            <w:pPr>
              <w:pStyle w:val="Tablenumber"/>
              <w:jc w:val="center"/>
              <w:rPr>
                <w:lang w:eastAsia="en-AU"/>
              </w:rPr>
            </w:pPr>
            <w:r w:rsidRPr="00032962">
              <w:rPr>
                <w:lang w:eastAsia="en-AU"/>
              </w:rPr>
              <w:t>2,147</w:t>
            </w:r>
          </w:p>
        </w:tc>
        <w:tc>
          <w:tcPr>
            <w:tcW w:w="2175" w:type="dxa"/>
            <w:tcBorders>
              <w:top w:val="nil"/>
              <w:left w:val="nil"/>
              <w:bottom w:val="nil"/>
              <w:right w:val="nil"/>
            </w:tcBorders>
            <w:shd w:val="clear" w:color="auto" w:fill="auto"/>
            <w:noWrap/>
            <w:vAlign w:val="center"/>
            <w:hideMark/>
          </w:tcPr>
          <w:p w14:paraId="1E8AA3B2" w14:textId="587C9129" w:rsidR="006C17F2" w:rsidRPr="00032962" w:rsidRDefault="006C17F2" w:rsidP="00032962">
            <w:pPr>
              <w:pStyle w:val="Tablenumber"/>
              <w:jc w:val="center"/>
              <w:rPr>
                <w:lang w:eastAsia="en-AU"/>
              </w:rPr>
            </w:pPr>
            <w:r w:rsidRPr="00032962">
              <w:rPr>
                <w:lang w:eastAsia="en-AU"/>
              </w:rPr>
              <w:t>699</w:t>
            </w:r>
          </w:p>
        </w:tc>
      </w:tr>
      <w:tr w:rsidR="006C17F2" w:rsidRPr="00032962" w14:paraId="65BF7B95" w14:textId="77777777" w:rsidTr="00D04A09">
        <w:trPr>
          <w:cantSplit/>
          <w:trHeight w:val="255"/>
        </w:trPr>
        <w:tc>
          <w:tcPr>
            <w:tcW w:w="3446" w:type="dxa"/>
            <w:tcBorders>
              <w:top w:val="nil"/>
              <w:left w:val="nil"/>
              <w:bottom w:val="single" w:sz="4" w:space="0" w:color="000000"/>
              <w:right w:val="nil"/>
            </w:tcBorders>
            <w:shd w:val="clear" w:color="auto" w:fill="auto"/>
            <w:noWrap/>
            <w:vAlign w:val="center"/>
            <w:hideMark/>
          </w:tcPr>
          <w:p w14:paraId="477CDBF3" w14:textId="62C37B49" w:rsidR="006C17F2" w:rsidRPr="00032962" w:rsidRDefault="006C17F2" w:rsidP="00032962">
            <w:pPr>
              <w:pStyle w:val="Tablenumber"/>
              <w:jc w:val="center"/>
              <w:rPr>
                <w:lang w:eastAsia="en-AU"/>
              </w:rPr>
            </w:pPr>
            <w:r w:rsidRPr="00032962">
              <w:rPr>
                <w:lang w:eastAsia="en-AU"/>
              </w:rPr>
              <w:t>R-squared</w:t>
            </w:r>
          </w:p>
        </w:tc>
        <w:tc>
          <w:tcPr>
            <w:tcW w:w="2174" w:type="dxa"/>
            <w:tcBorders>
              <w:top w:val="nil"/>
              <w:left w:val="nil"/>
              <w:bottom w:val="single" w:sz="4" w:space="0" w:color="000000"/>
              <w:right w:val="nil"/>
            </w:tcBorders>
            <w:shd w:val="clear" w:color="auto" w:fill="auto"/>
            <w:noWrap/>
            <w:vAlign w:val="center"/>
            <w:hideMark/>
          </w:tcPr>
          <w:p w14:paraId="1C0EDEA8" w14:textId="206C88E9" w:rsidR="006C17F2" w:rsidRPr="00032962" w:rsidRDefault="006C17F2" w:rsidP="00032962">
            <w:pPr>
              <w:pStyle w:val="Tablenumber"/>
              <w:jc w:val="center"/>
              <w:rPr>
                <w:lang w:eastAsia="en-AU"/>
              </w:rPr>
            </w:pPr>
            <w:r w:rsidRPr="00032962">
              <w:rPr>
                <w:lang w:eastAsia="en-AU"/>
              </w:rPr>
              <w:t>0.284</w:t>
            </w:r>
          </w:p>
        </w:tc>
        <w:tc>
          <w:tcPr>
            <w:tcW w:w="2174" w:type="dxa"/>
            <w:tcBorders>
              <w:top w:val="nil"/>
              <w:left w:val="nil"/>
              <w:bottom w:val="single" w:sz="4" w:space="0" w:color="000000"/>
              <w:right w:val="nil"/>
            </w:tcBorders>
            <w:shd w:val="clear" w:color="auto" w:fill="auto"/>
            <w:noWrap/>
            <w:vAlign w:val="center"/>
            <w:hideMark/>
          </w:tcPr>
          <w:p w14:paraId="0180A3A9" w14:textId="1CF77639" w:rsidR="006C17F2" w:rsidRPr="00032962" w:rsidRDefault="006C17F2" w:rsidP="00032962">
            <w:pPr>
              <w:pStyle w:val="Tablenumber"/>
              <w:jc w:val="center"/>
              <w:rPr>
                <w:lang w:eastAsia="en-AU"/>
              </w:rPr>
            </w:pPr>
            <w:r w:rsidRPr="00032962">
              <w:rPr>
                <w:lang w:eastAsia="en-AU"/>
              </w:rPr>
              <w:t>0.178</w:t>
            </w:r>
          </w:p>
        </w:tc>
        <w:tc>
          <w:tcPr>
            <w:tcW w:w="2174" w:type="dxa"/>
            <w:tcBorders>
              <w:top w:val="nil"/>
              <w:left w:val="nil"/>
              <w:bottom w:val="single" w:sz="4" w:space="0" w:color="000000"/>
              <w:right w:val="nil"/>
            </w:tcBorders>
            <w:shd w:val="clear" w:color="auto" w:fill="auto"/>
            <w:noWrap/>
            <w:vAlign w:val="center"/>
            <w:hideMark/>
          </w:tcPr>
          <w:p w14:paraId="3F132897" w14:textId="17685AB5" w:rsidR="006C17F2" w:rsidRPr="00032962" w:rsidRDefault="006C17F2" w:rsidP="00032962">
            <w:pPr>
              <w:pStyle w:val="Tablenumber"/>
              <w:jc w:val="center"/>
              <w:rPr>
                <w:lang w:eastAsia="en-AU"/>
              </w:rPr>
            </w:pPr>
            <w:r w:rsidRPr="00032962">
              <w:rPr>
                <w:lang w:eastAsia="en-AU"/>
              </w:rPr>
              <w:t>0.235</w:t>
            </w:r>
          </w:p>
        </w:tc>
        <w:tc>
          <w:tcPr>
            <w:tcW w:w="2174" w:type="dxa"/>
            <w:tcBorders>
              <w:top w:val="nil"/>
              <w:left w:val="nil"/>
              <w:bottom w:val="single" w:sz="4" w:space="0" w:color="000000"/>
              <w:right w:val="nil"/>
            </w:tcBorders>
            <w:shd w:val="clear" w:color="auto" w:fill="auto"/>
            <w:noWrap/>
            <w:vAlign w:val="center"/>
            <w:hideMark/>
          </w:tcPr>
          <w:p w14:paraId="5D090A69" w14:textId="778A08B3" w:rsidR="006C17F2" w:rsidRPr="00032962" w:rsidRDefault="006C17F2" w:rsidP="00032962">
            <w:pPr>
              <w:pStyle w:val="Tablenumber"/>
              <w:jc w:val="center"/>
              <w:rPr>
                <w:lang w:eastAsia="en-AU"/>
              </w:rPr>
            </w:pPr>
            <w:r w:rsidRPr="00032962">
              <w:rPr>
                <w:lang w:eastAsia="en-AU"/>
              </w:rPr>
              <w:t>0.276</w:t>
            </w:r>
          </w:p>
        </w:tc>
        <w:tc>
          <w:tcPr>
            <w:tcW w:w="2175" w:type="dxa"/>
            <w:tcBorders>
              <w:top w:val="nil"/>
              <w:left w:val="nil"/>
              <w:bottom w:val="single" w:sz="4" w:space="0" w:color="000000"/>
              <w:right w:val="nil"/>
            </w:tcBorders>
            <w:shd w:val="clear" w:color="auto" w:fill="auto"/>
            <w:noWrap/>
            <w:vAlign w:val="center"/>
            <w:hideMark/>
          </w:tcPr>
          <w:p w14:paraId="3EE1567B" w14:textId="1CE29B49" w:rsidR="006C17F2" w:rsidRPr="00032962" w:rsidRDefault="006C17F2" w:rsidP="00032962">
            <w:pPr>
              <w:pStyle w:val="Tablenumber"/>
              <w:jc w:val="center"/>
              <w:rPr>
                <w:lang w:eastAsia="en-AU"/>
              </w:rPr>
            </w:pPr>
            <w:r w:rsidRPr="00032962">
              <w:rPr>
                <w:lang w:eastAsia="en-AU"/>
              </w:rPr>
              <w:t>0.225</w:t>
            </w:r>
          </w:p>
        </w:tc>
      </w:tr>
    </w:tbl>
    <w:p w14:paraId="6700A31E" w14:textId="3A94E6AF" w:rsidR="00032962" w:rsidRPr="00733990" w:rsidRDefault="00733990" w:rsidP="00733990">
      <w:pPr>
        <w:spacing w:before="0"/>
        <w:rPr>
          <w:rFonts w:ascii="Arial" w:hAnsi="Arial" w:cs="Arial"/>
          <w:sz w:val="16"/>
          <w:szCs w:val="16"/>
          <w:lang w:eastAsia="en-AU"/>
        </w:rPr>
      </w:pPr>
      <w:r>
        <w:rPr>
          <w:rFonts w:ascii="Arial" w:eastAsia="Calibri" w:hAnsi="Arial" w:cs="Arial"/>
          <w:sz w:val="16"/>
          <w:szCs w:val="16"/>
        </w:rPr>
        <w:t xml:space="preserve">Notes: </w:t>
      </w:r>
      <w:r w:rsidRPr="00733990">
        <w:rPr>
          <w:rFonts w:ascii="Arial" w:eastAsia="Calibri" w:hAnsi="Arial" w:cs="Arial"/>
          <w:sz w:val="16"/>
          <w:szCs w:val="16"/>
        </w:rPr>
        <w:t>*** significant at 1 percent</w:t>
      </w:r>
      <w:r>
        <w:rPr>
          <w:rFonts w:ascii="Arial" w:eastAsia="Calibri" w:hAnsi="Arial" w:cs="Arial"/>
          <w:sz w:val="16"/>
          <w:szCs w:val="16"/>
        </w:rPr>
        <w:t xml:space="preserve">. </w:t>
      </w:r>
      <w:r w:rsidRPr="00733990">
        <w:rPr>
          <w:rFonts w:ascii="Arial" w:eastAsia="Calibri" w:hAnsi="Arial" w:cs="Arial"/>
          <w:sz w:val="16"/>
          <w:szCs w:val="16"/>
        </w:rPr>
        <w:t>Round parenthesis denotes number of observations</w:t>
      </w:r>
      <w:r>
        <w:rPr>
          <w:rFonts w:ascii="Arial" w:eastAsia="Calibri" w:hAnsi="Arial" w:cs="Arial"/>
          <w:sz w:val="16"/>
          <w:szCs w:val="16"/>
        </w:rPr>
        <w:t>.</w:t>
      </w:r>
    </w:p>
    <w:p w14:paraId="1E7EB6DA" w14:textId="77777777" w:rsidR="00E77026" w:rsidRPr="009F04CF" w:rsidRDefault="00E77026" w:rsidP="00E77026">
      <w:pPr>
        <w:spacing w:after="240" w:line="360" w:lineRule="auto"/>
        <w:ind w:firstLine="720"/>
        <w:jc w:val="center"/>
        <w:rPr>
          <w:rFonts w:ascii="Times New Roman" w:eastAsia="Calibri" w:hAnsi="Times New Roman"/>
        </w:rPr>
      </w:pPr>
    </w:p>
    <w:p w14:paraId="7E3993D2" w14:textId="77777777" w:rsidR="00E77026" w:rsidRPr="009F04CF" w:rsidRDefault="00E77026" w:rsidP="00E77026">
      <w:pPr>
        <w:rPr>
          <w:rFonts w:ascii="Times New Roman" w:hAnsi="Times New Roman"/>
          <w:b/>
          <w:bCs/>
          <w:lang w:eastAsia="en-AU"/>
        </w:rPr>
        <w:sectPr w:rsidR="00E77026" w:rsidRPr="009F04CF" w:rsidSect="000D4158">
          <w:pgSz w:w="16838" w:h="11906" w:orient="landscape"/>
          <w:pgMar w:top="1440" w:right="1440" w:bottom="1440" w:left="1440" w:header="709" w:footer="709" w:gutter="0"/>
          <w:cols w:space="708"/>
          <w:docGrid w:linePitch="360"/>
        </w:sectPr>
      </w:pPr>
    </w:p>
    <w:p w14:paraId="01E8DC33" w14:textId="77777777" w:rsidR="009F04CF" w:rsidRPr="009F04CF" w:rsidRDefault="009F04CF" w:rsidP="00E77026">
      <w:pPr>
        <w:pStyle w:val="Heading1"/>
      </w:pPr>
      <w:r w:rsidRPr="009F04CF">
        <w:lastRenderedPageBreak/>
        <w:t>Propensity score matching</w:t>
      </w:r>
    </w:p>
    <w:p w14:paraId="5D543C36" w14:textId="77777777" w:rsidR="009F04CF" w:rsidRPr="009F04CF" w:rsidRDefault="009F04CF" w:rsidP="00A82693">
      <w:pPr>
        <w:pStyle w:val="Text"/>
        <w:rPr>
          <w:rFonts w:eastAsia="Calibri"/>
        </w:rPr>
      </w:pPr>
      <w:r w:rsidRPr="009F04CF">
        <w:rPr>
          <w:rFonts w:eastAsia="Calibri"/>
        </w:rPr>
        <w:t xml:space="preserve">Propensity score matching </w:t>
      </w:r>
      <w:r w:rsidR="000F6FFA">
        <w:rPr>
          <w:rFonts w:eastAsia="Calibri"/>
        </w:rPr>
        <w:t xml:space="preserve">provides a potentially stronger basis for evaluating program effectiveness than OLS. </w:t>
      </w:r>
      <w:r w:rsidR="000F6FFA" w:rsidRPr="009F04CF">
        <w:rPr>
          <w:rFonts w:eastAsia="Calibri"/>
        </w:rPr>
        <w:t>Propensity score matching</w:t>
      </w:r>
      <w:r w:rsidR="000F6FFA">
        <w:rPr>
          <w:rFonts w:eastAsia="Calibri"/>
        </w:rPr>
        <w:t xml:space="preserve"> </w:t>
      </w:r>
      <w:r w:rsidRPr="009F04CF">
        <w:rPr>
          <w:rFonts w:eastAsia="Calibri"/>
        </w:rPr>
        <w:t xml:space="preserve">involves matching firms that </w:t>
      </w:r>
      <w:r w:rsidR="00032962">
        <w:rPr>
          <w:rFonts w:eastAsia="Calibri"/>
        </w:rPr>
        <w:t>claim</w:t>
      </w:r>
      <w:r w:rsidRPr="009F04CF">
        <w:rPr>
          <w:rFonts w:eastAsia="Calibri"/>
        </w:rPr>
        <w:t xml:space="preserve"> tax subsidies with similar firms that do not. </w:t>
      </w:r>
      <w:r w:rsidR="00B819BA">
        <w:rPr>
          <w:rFonts w:eastAsia="Calibri"/>
        </w:rPr>
        <w:t>Similar to</w:t>
      </w:r>
      <w:r w:rsidR="00413799">
        <w:rPr>
          <w:rFonts w:eastAsia="Calibri"/>
        </w:rPr>
        <w:t xml:space="preserve"> OLS</w:t>
      </w:r>
      <w:r w:rsidR="00B819BA">
        <w:rPr>
          <w:rFonts w:eastAsia="Calibri"/>
        </w:rPr>
        <w:t>,</w:t>
      </w:r>
      <w:r w:rsidR="00413799">
        <w:rPr>
          <w:rFonts w:eastAsia="Calibri"/>
        </w:rPr>
        <w:t xml:space="preserve"> the results from the matching analysis can only be interpreted as causal if </w:t>
      </w:r>
      <w:r w:rsidR="00413799" w:rsidRPr="009F04CF">
        <w:rPr>
          <w:rFonts w:eastAsia="Calibri"/>
        </w:rPr>
        <w:t xml:space="preserve">are no unobserved factors </w:t>
      </w:r>
      <w:r w:rsidR="00413799">
        <w:rPr>
          <w:rFonts w:eastAsia="Calibri"/>
        </w:rPr>
        <w:t xml:space="preserve">(factors not included in the matching algorithm) </w:t>
      </w:r>
      <w:r w:rsidR="00413799" w:rsidRPr="009F04CF">
        <w:rPr>
          <w:rFonts w:eastAsia="Calibri"/>
        </w:rPr>
        <w:t>which determine treatment and also determine R&amp;D investment.</w:t>
      </w:r>
      <w:r w:rsidR="00413799">
        <w:rPr>
          <w:rFonts w:eastAsia="Calibri"/>
        </w:rPr>
        <w:t xml:space="preserve"> </w:t>
      </w:r>
      <w:r w:rsidRPr="009F04CF">
        <w:rPr>
          <w:rFonts w:eastAsia="Calibri"/>
        </w:rPr>
        <w:t>However, unlike OLS, matching estimates essentially only make comparisons between ‘</w:t>
      </w:r>
      <w:r w:rsidR="00413799">
        <w:rPr>
          <w:rFonts w:eastAsia="Calibri"/>
        </w:rPr>
        <w:t>similar</w:t>
      </w:r>
      <w:r w:rsidRPr="009F04CF">
        <w:rPr>
          <w:rFonts w:eastAsia="Calibri"/>
        </w:rPr>
        <w:t xml:space="preserve">’ firms, which reduces the potential for unobserved variables </w:t>
      </w:r>
      <w:r w:rsidR="00B819BA">
        <w:rPr>
          <w:rFonts w:eastAsia="Calibri"/>
        </w:rPr>
        <w:t xml:space="preserve">to </w:t>
      </w:r>
      <w:r w:rsidRPr="009F04CF">
        <w:rPr>
          <w:rFonts w:eastAsia="Calibri"/>
        </w:rPr>
        <w:t>influenc</w:t>
      </w:r>
      <w:r w:rsidR="00B819BA">
        <w:rPr>
          <w:rFonts w:eastAsia="Calibri"/>
        </w:rPr>
        <w:t>e</w:t>
      </w:r>
      <w:r w:rsidRPr="009F04CF">
        <w:rPr>
          <w:rFonts w:eastAsia="Calibri"/>
        </w:rPr>
        <w:t xml:space="preserve"> the result. Because matching focuses on comparable firms, firms that are very dissimilar from all others are only given a small weight in the final result, whereas with OLS, all observations are weighted equally. </w:t>
      </w:r>
    </w:p>
    <w:p w14:paraId="3C401804" w14:textId="4B2E81CB" w:rsidR="00B16FD6" w:rsidRDefault="009F04CF" w:rsidP="00A82693">
      <w:pPr>
        <w:pStyle w:val="Text"/>
        <w:rPr>
          <w:rFonts w:eastAsia="Calibri"/>
        </w:rPr>
      </w:pPr>
      <w:r w:rsidRPr="009F04CF">
        <w:rPr>
          <w:rFonts w:eastAsia="Calibri"/>
        </w:rPr>
        <w:t xml:space="preserve">Let </w:t>
      </w:r>
      <w:r w:rsidRPr="009F04CF">
        <w:rPr>
          <w:rFonts w:eastAsia="Calibri"/>
          <w:i/>
        </w:rPr>
        <w:t>Y</w:t>
      </w:r>
      <w:r w:rsidRPr="009F04CF">
        <w:rPr>
          <w:rFonts w:eastAsia="Calibri"/>
          <w:i/>
          <w:vertAlign w:val="subscript"/>
        </w:rPr>
        <w:t xml:space="preserve">1i </w:t>
      </w:r>
      <w:r w:rsidRPr="009F04CF">
        <w:rPr>
          <w:rFonts w:eastAsia="Calibri"/>
        </w:rPr>
        <w:t xml:space="preserve">denote the outcome (R&amp;D investment or </w:t>
      </w:r>
      <w:r w:rsidR="001F70F5">
        <w:rPr>
          <w:rFonts w:eastAsia="Calibri"/>
        </w:rPr>
        <w:t>h</w:t>
      </w:r>
      <w:r w:rsidR="0070354F">
        <w:rPr>
          <w:rFonts w:eastAsia="Calibri"/>
        </w:rPr>
        <w:t>uman resources devoted to R&amp;D</w:t>
      </w:r>
      <w:r w:rsidRPr="009F04CF">
        <w:rPr>
          <w:rFonts w:eastAsia="Calibri"/>
        </w:rPr>
        <w:t xml:space="preserve">) for firm </w:t>
      </w:r>
      <w:r w:rsidRPr="009F04CF">
        <w:rPr>
          <w:rFonts w:eastAsia="Calibri"/>
          <w:i/>
        </w:rPr>
        <w:t xml:space="preserve">i </w:t>
      </w:r>
      <w:r w:rsidRPr="009F04CF">
        <w:rPr>
          <w:rFonts w:eastAsia="Calibri"/>
        </w:rPr>
        <w:t xml:space="preserve">if it receives the treatment and let </w:t>
      </w:r>
      <w:r w:rsidRPr="009F04CF">
        <w:rPr>
          <w:rFonts w:eastAsia="Calibri"/>
          <w:i/>
        </w:rPr>
        <w:t>Y</w:t>
      </w:r>
      <w:r w:rsidRPr="009F04CF">
        <w:rPr>
          <w:rFonts w:eastAsia="Calibri"/>
          <w:i/>
          <w:vertAlign w:val="subscript"/>
        </w:rPr>
        <w:t>0i</w:t>
      </w:r>
      <w:r w:rsidRPr="009F04CF">
        <w:rPr>
          <w:rFonts w:eastAsia="Calibri"/>
        </w:rPr>
        <w:t xml:space="preserve"> denote the outcome for the same firm </w:t>
      </w:r>
      <w:r w:rsidRPr="009F04CF">
        <w:rPr>
          <w:rFonts w:eastAsia="Calibri"/>
          <w:i/>
        </w:rPr>
        <w:t xml:space="preserve">i </w:t>
      </w:r>
      <w:r w:rsidRPr="009F04CF">
        <w:rPr>
          <w:rFonts w:eastAsia="Calibri"/>
        </w:rPr>
        <w:t xml:space="preserve">if it does not receive the treatment. The effect of the treatment would therefore be </w:t>
      </w:r>
      <w:r w:rsidRPr="009F04CF">
        <w:rPr>
          <w:rFonts w:eastAsia="Calibri"/>
          <w:i/>
        </w:rPr>
        <w:t>Y</w:t>
      </w:r>
      <w:r w:rsidRPr="009F04CF">
        <w:rPr>
          <w:rFonts w:eastAsia="Calibri"/>
          <w:i/>
          <w:vertAlign w:val="subscript"/>
        </w:rPr>
        <w:t>1i</w:t>
      </w:r>
      <w:r w:rsidRPr="009F04CF">
        <w:rPr>
          <w:rFonts w:eastAsia="Calibri"/>
        </w:rPr>
        <w:t xml:space="preserve"> - </w:t>
      </w:r>
      <w:r w:rsidRPr="009F04CF">
        <w:rPr>
          <w:rFonts w:eastAsia="Calibri"/>
          <w:i/>
        </w:rPr>
        <w:t>Y</w:t>
      </w:r>
      <w:r w:rsidRPr="009F04CF">
        <w:rPr>
          <w:rFonts w:eastAsia="Calibri"/>
          <w:i/>
          <w:vertAlign w:val="subscript"/>
        </w:rPr>
        <w:t>0i</w:t>
      </w:r>
      <w:r w:rsidRPr="009F04CF">
        <w:rPr>
          <w:rFonts w:eastAsia="Calibri"/>
        </w:rPr>
        <w:t xml:space="preserve">. Of course, in the real world, we never get to observe both </w:t>
      </w:r>
      <w:r w:rsidRPr="009F04CF">
        <w:rPr>
          <w:rFonts w:eastAsia="Calibri"/>
          <w:i/>
        </w:rPr>
        <w:t>Y</w:t>
      </w:r>
      <w:r w:rsidRPr="009F04CF">
        <w:rPr>
          <w:rFonts w:eastAsia="Calibri"/>
          <w:i/>
          <w:vertAlign w:val="subscript"/>
        </w:rPr>
        <w:t>0i</w:t>
      </w:r>
      <w:r w:rsidRPr="009F04CF">
        <w:rPr>
          <w:rFonts w:eastAsia="Calibri"/>
        </w:rPr>
        <w:t xml:space="preserve"> and </w:t>
      </w:r>
      <w:r w:rsidRPr="009F04CF">
        <w:rPr>
          <w:rFonts w:eastAsia="Calibri"/>
          <w:i/>
        </w:rPr>
        <w:t>Y</w:t>
      </w:r>
      <w:r w:rsidRPr="009F04CF">
        <w:rPr>
          <w:rFonts w:eastAsia="Calibri"/>
          <w:i/>
          <w:vertAlign w:val="subscript"/>
        </w:rPr>
        <w:t>1i</w:t>
      </w:r>
      <w:r w:rsidRPr="009F04CF">
        <w:rPr>
          <w:rFonts w:eastAsia="Calibri"/>
        </w:rPr>
        <w:t xml:space="preserve">, since each firm </w:t>
      </w:r>
      <w:r w:rsidRPr="009F04CF">
        <w:rPr>
          <w:rFonts w:eastAsia="Calibri"/>
          <w:i/>
        </w:rPr>
        <w:t xml:space="preserve">i </w:t>
      </w:r>
      <w:r w:rsidRPr="009F04CF">
        <w:rPr>
          <w:rFonts w:eastAsia="Calibri"/>
        </w:rPr>
        <w:t>either receives the treatment or does not, but cannot both receive and not receive the treatment at the same time. We therefore need a method for the imputation of these missing outcomes; for this, we rely on the propensity score matching estimator. This method fi</w:t>
      </w:r>
      <w:r w:rsidR="00556800">
        <w:rPr>
          <w:rFonts w:eastAsia="Calibri"/>
        </w:rPr>
        <w:t>r</w:t>
      </w:r>
      <w:r w:rsidRPr="009F04CF">
        <w:rPr>
          <w:rFonts w:eastAsia="Calibri"/>
        </w:rPr>
        <w:t>st computes, for each observation, a propensity score, which is the likelihood that the observation receives the treatment, conditional on its pre-treatment characteristics. Rosenbaum and Rubin (1983) formally define the propensity score as:</w:t>
      </w:r>
    </w:p>
    <w:p w14:paraId="52362EB9" w14:textId="20782B05" w:rsidR="00B16FD6" w:rsidRPr="009F04CF" w:rsidRDefault="00B16FD6" w:rsidP="00B16FD6">
      <w:pPr>
        <w:pStyle w:val="Text"/>
        <w:jc w:val="center"/>
        <w:rPr>
          <w:rFonts w:eastAsia="Calibri"/>
        </w:rPr>
      </w:pPr>
      <w:r>
        <w:rPr>
          <w:noProof/>
          <w:lang w:eastAsia="en-AU"/>
        </w:rPr>
        <w:drawing>
          <wp:inline distT="0" distB="0" distL="0" distR="0" wp14:anchorId="3D172F37" wp14:editId="76252D22">
            <wp:extent cx="5133333" cy="342857"/>
            <wp:effectExtent l="0" t="0" r="0" b="635"/>
            <wp:docPr id="6" name="Picture 6" descr="p left parenthesis X right parenthesis equals Pr open parenthesis Treatment equals 1 vertical line X right parenthesis equal E left parenthesis Treatment vertical line X right parenthesis" title="Equation 3 propensity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33333" cy="342857"/>
                    </a:xfrm>
                    <a:prstGeom prst="rect">
                      <a:avLst/>
                    </a:prstGeom>
                  </pic:spPr>
                </pic:pic>
              </a:graphicData>
            </a:graphic>
          </wp:inline>
        </w:drawing>
      </w:r>
    </w:p>
    <w:p w14:paraId="2AF6A5E9" w14:textId="548DCDBA" w:rsidR="009F04CF" w:rsidRDefault="009F04CF" w:rsidP="00A82693">
      <w:pPr>
        <w:pStyle w:val="Text"/>
        <w:rPr>
          <w:rFonts w:eastAsia="Calibri"/>
        </w:rPr>
      </w:pPr>
      <w:r w:rsidRPr="009F04CF">
        <w:rPr>
          <w:rFonts w:eastAsia="Calibri"/>
        </w:rPr>
        <w:t xml:space="preserve">Equation 3 states that the probability of treatment, </w:t>
      </w:r>
      <w:r w:rsidRPr="009F04CF">
        <w:rPr>
          <w:rFonts w:eastAsia="Calibri"/>
          <w:i/>
        </w:rPr>
        <w:t>p(X)</w:t>
      </w:r>
      <w:r w:rsidRPr="009F04CF">
        <w:rPr>
          <w:rFonts w:eastAsia="Calibri"/>
        </w:rPr>
        <w:t xml:space="preserve">, is equal to the probability that the treatment is received by an observation with characteristics </w:t>
      </w:r>
      <w:r w:rsidRPr="009F04CF">
        <w:rPr>
          <w:rFonts w:eastAsia="Calibri"/>
          <w:i/>
        </w:rPr>
        <w:t>X</w:t>
      </w:r>
      <w:r w:rsidRPr="009F04CF">
        <w:rPr>
          <w:rFonts w:eastAsia="Calibri"/>
        </w:rPr>
        <w:t xml:space="preserve">, and also equal to the conditional mean of </w:t>
      </w:r>
      <w:r w:rsidRPr="009F04CF">
        <w:rPr>
          <w:rFonts w:eastAsia="Calibri"/>
          <w:i/>
        </w:rPr>
        <w:t>Treatment</w:t>
      </w:r>
      <w:r w:rsidRPr="009F04CF">
        <w:rPr>
          <w:rFonts w:eastAsia="Calibri"/>
        </w:rPr>
        <w:t xml:space="preserve"> given some values for </w:t>
      </w:r>
      <w:r w:rsidRPr="009F04CF">
        <w:rPr>
          <w:rFonts w:eastAsia="Calibri"/>
          <w:i/>
        </w:rPr>
        <w:t>X</w:t>
      </w:r>
      <w:r w:rsidRPr="009F04CF">
        <w:rPr>
          <w:rFonts w:eastAsia="Calibri"/>
        </w:rPr>
        <w:t xml:space="preserve">, which is referred to as </w:t>
      </w:r>
      <w:r w:rsidRPr="009F04CF">
        <w:rPr>
          <w:rFonts w:eastAsia="Calibri"/>
          <w:i/>
        </w:rPr>
        <w:t>E(Treatment | X).</w:t>
      </w:r>
      <w:r w:rsidRPr="009F04CF">
        <w:rPr>
          <w:rFonts w:eastAsia="Calibri"/>
        </w:rPr>
        <w:t xml:space="preserve"> If the propensity score is known, then we calculate the average treatment effect on the treated as:</w:t>
      </w:r>
    </w:p>
    <w:p w14:paraId="5F1A3D7F" w14:textId="18D0E7E6" w:rsidR="00B16FD6" w:rsidRPr="009F04CF" w:rsidRDefault="00B16FD6" w:rsidP="00B16FD6">
      <w:pPr>
        <w:pStyle w:val="Text"/>
        <w:jc w:val="center"/>
        <w:rPr>
          <w:rFonts w:eastAsia="Calibri"/>
        </w:rPr>
      </w:pPr>
      <w:r>
        <w:rPr>
          <w:noProof/>
          <w:lang w:eastAsia="en-AU"/>
        </w:rPr>
        <w:drawing>
          <wp:inline distT="0" distB="0" distL="0" distR="0" wp14:anchorId="215D2F95" wp14:editId="0F723E05">
            <wp:extent cx="5190476" cy="342857"/>
            <wp:effectExtent l="0" t="0" r="0" b="635"/>
            <wp:docPr id="8" name="Picture 8" descr="Beta equal E left bracket E left brace Y sub  1i baseline vertical line D sub i baseline  equals 1 comma p left parenthesis X sub i baseline right parenthesis right brace minus E left brace Y sub 0i baseline vertical line D sub i baseline equals 0 comma p left parenthesis X sub i baseline right parenthesis right brace vertical line D sub i baseline equals 1 right bracket" title="Equation 4 average treatment effect on the tre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90476" cy="342857"/>
                    </a:xfrm>
                    <a:prstGeom prst="rect">
                      <a:avLst/>
                    </a:prstGeom>
                  </pic:spPr>
                </pic:pic>
              </a:graphicData>
            </a:graphic>
          </wp:inline>
        </w:drawing>
      </w:r>
    </w:p>
    <w:p w14:paraId="60F06F1D" w14:textId="6D7A55DC" w:rsidR="009F04CF" w:rsidRPr="009F04CF" w:rsidRDefault="009D198C" w:rsidP="00A82693">
      <w:pPr>
        <w:pStyle w:val="Text"/>
        <w:rPr>
          <w:rFonts w:eastAsia="Calibri"/>
        </w:rPr>
      </w:pPr>
      <w:r w:rsidRPr="009F04CF">
        <w:rPr>
          <w:rFonts w:eastAsia="Calibri"/>
        </w:rPr>
        <w:t>W</w:t>
      </w:r>
      <w:r w:rsidR="009F04CF" w:rsidRPr="009F04CF">
        <w:rPr>
          <w:rFonts w:eastAsia="Calibri"/>
        </w:rPr>
        <w:t>here</w:t>
      </w:r>
      <w:r>
        <w:rPr>
          <w:rFonts w:eastAsia="Calibri"/>
        </w:rPr>
        <w:t xml:space="preserve"> </w:t>
      </w:r>
      <m:oMath>
        <m:r>
          <w:rPr>
            <w:rFonts w:ascii="Cambria Math" w:hAnsi="Cambria Math"/>
          </w:rPr>
          <m:t>β</m:t>
        </m:r>
      </m:oMath>
      <w:r w:rsidR="009F04CF" w:rsidRPr="009F04CF">
        <w:rPr>
          <w:rFonts w:eastAsia="Calibri"/>
          <w:i/>
        </w:rPr>
        <w:t xml:space="preserve">, </w:t>
      </w:r>
      <w:r w:rsidR="009F04CF" w:rsidRPr="009F04CF">
        <w:rPr>
          <w:rFonts w:eastAsia="Calibri"/>
        </w:rPr>
        <w:t xml:space="preserve">the average treatment effect for the treated, is the net effect of R&amp;D tax subsidies on firms which receive them, </w:t>
      </w:r>
      <w:r w:rsidR="009F04CF" w:rsidRPr="009F04CF">
        <w:rPr>
          <w:rFonts w:eastAsia="Calibri"/>
          <w:i/>
        </w:rPr>
        <w:t xml:space="preserve">D </w:t>
      </w:r>
      <w:r w:rsidR="009F04CF" w:rsidRPr="009F04CF">
        <w:rPr>
          <w:rFonts w:eastAsia="Calibri"/>
        </w:rPr>
        <w:t xml:space="preserve">is a dummy variable denoting whether firm </w:t>
      </w:r>
      <w:r w:rsidR="009F04CF" w:rsidRPr="009F04CF">
        <w:rPr>
          <w:rFonts w:eastAsia="Calibri"/>
          <w:i/>
        </w:rPr>
        <w:t xml:space="preserve">i </w:t>
      </w:r>
      <w:r w:rsidR="009F04CF" w:rsidRPr="009F04CF">
        <w:rPr>
          <w:rFonts w:eastAsia="Calibri"/>
        </w:rPr>
        <w:t xml:space="preserve">has received the treatment or not, </w:t>
      </w:r>
      <w:r w:rsidR="009F04CF" w:rsidRPr="009F04CF">
        <w:rPr>
          <w:rFonts w:eastAsia="Calibri"/>
          <w:i/>
        </w:rPr>
        <w:lastRenderedPageBreak/>
        <w:t>Y</w:t>
      </w:r>
      <w:r w:rsidR="009F04CF" w:rsidRPr="009F04CF">
        <w:rPr>
          <w:rFonts w:eastAsia="Calibri"/>
          <w:i/>
          <w:vertAlign w:val="subscript"/>
        </w:rPr>
        <w:t>1i</w:t>
      </w:r>
      <w:r w:rsidR="009F04CF" w:rsidRPr="009F04CF">
        <w:rPr>
          <w:rFonts w:eastAsia="Calibri"/>
          <w:i/>
        </w:rPr>
        <w:t xml:space="preserve"> </w:t>
      </w:r>
      <w:r w:rsidR="009F04CF" w:rsidRPr="009F04CF">
        <w:rPr>
          <w:rFonts w:eastAsia="Calibri"/>
        </w:rPr>
        <w:t>is the R&amp;D outcome for firm</w:t>
      </w:r>
      <w:r w:rsidR="009F04CF" w:rsidRPr="009F04CF">
        <w:rPr>
          <w:rFonts w:eastAsia="Calibri"/>
          <w:i/>
        </w:rPr>
        <w:t xml:space="preserve"> i </w:t>
      </w:r>
      <w:r w:rsidR="009F04CF" w:rsidRPr="009F04CF">
        <w:rPr>
          <w:rFonts w:eastAsia="Calibri"/>
        </w:rPr>
        <w:t>if it receives the treatment (Incentive or Concession), and</w:t>
      </w:r>
      <w:r w:rsidR="009F04CF" w:rsidRPr="009F04CF">
        <w:rPr>
          <w:rFonts w:eastAsia="Calibri"/>
          <w:i/>
        </w:rPr>
        <w:t xml:space="preserve"> Y</w:t>
      </w:r>
      <w:r w:rsidR="009F04CF" w:rsidRPr="009F04CF">
        <w:rPr>
          <w:rFonts w:eastAsia="Calibri"/>
          <w:i/>
          <w:vertAlign w:val="subscript"/>
        </w:rPr>
        <w:t>0i</w:t>
      </w:r>
      <w:r w:rsidR="009F04CF" w:rsidRPr="009F04CF">
        <w:rPr>
          <w:rFonts w:eastAsia="Calibri"/>
        </w:rPr>
        <w:t xml:space="preserve"> is the R&amp;D outcome for firm </w:t>
      </w:r>
      <w:r w:rsidR="009F04CF" w:rsidRPr="009F04CF">
        <w:rPr>
          <w:rFonts w:eastAsia="Calibri"/>
          <w:i/>
        </w:rPr>
        <w:t xml:space="preserve">i </w:t>
      </w:r>
      <w:r w:rsidR="009F04CF" w:rsidRPr="009F04CF">
        <w:rPr>
          <w:rFonts w:eastAsia="Calibri"/>
        </w:rPr>
        <w:t xml:space="preserve">if it does not receive the treatment. </w:t>
      </w:r>
    </w:p>
    <w:p w14:paraId="02E3990C" w14:textId="77777777" w:rsidR="009F04CF" w:rsidRDefault="009F04CF" w:rsidP="00A82693">
      <w:pPr>
        <w:pStyle w:val="Text"/>
        <w:rPr>
          <w:rFonts w:eastAsia="Calibri"/>
        </w:rPr>
      </w:pPr>
      <w:r w:rsidRPr="009F04CF">
        <w:rPr>
          <w:rFonts w:eastAsia="Calibri"/>
        </w:rPr>
        <w:t xml:space="preserve">The result is </w:t>
      </w:r>
      <m:oMath>
        <m:r>
          <w:rPr>
            <w:rFonts w:ascii="Cambria Math" w:hAnsi="Cambria Math"/>
          </w:rPr>
          <m:t>β</m:t>
        </m:r>
      </m:oMath>
      <w:r w:rsidRPr="009F04CF">
        <w:rPr>
          <w:rFonts w:eastAsia="Calibri"/>
        </w:rPr>
        <w:t>, the average treatment effect on the treated, which informs us on what the net effect of the policy is. The key strength of propensity score matching is that, for a given propensity score, the assignment to treatment or control is essentially random, which is of central importance for causal questions (see Becker and Ichiro, 2002). Importantly, we only match treated firms to untreated firms within the same two-digit industry code, which allows us to account for all industry-specific factors.</w:t>
      </w:r>
    </w:p>
    <w:p w14:paraId="707313A2" w14:textId="77777777" w:rsidR="000F3033" w:rsidRDefault="000F3033" w:rsidP="00A82693">
      <w:pPr>
        <w:pStyle w:val="Text"/>
        <w:rPr>
          <w:rFonts w:eastAsia="Calibri"/>
        </w:rPr>
      </w:pPr>
      <w:r w:rsidRPr="009F04CF">
        <w:rPr>
          <w:rFonts w:eastAsia="Calibri"/>
        </w:rPr>
        <w:t>We compute the propensity sco</w:t>
      </w:r>
      <w:r w:rsidR="005D4725">
        <w:rPr>
          <w:rFonts w:eastAsia="Calibri"/>
        </w:rPr>
        <w:t>re based on several dimensions:</w:t>
      </w:r>
      <w:r w:rsidR="00B819BA">
        <w:rPr>
          <w:rFonts w:eastAsia="Calibri"/>
        </w:rPr>
        <w:t xml:space="preserve"> industry, </w:t>
      </w:r>
      <w:r w:rsidRPr="009F04CF">
        <w:rPr>
          <w:rFonts w:eastAsia="Calibri"/>
        </w:rPr>
        <w:t>turnover</w:t>
      </w:r>
      <w:r w:rsidR="00B819BA">
        <w:rPr>
          <w:rFonts w:eastAsia="Calibri"/>
        </w:rPr>
        <w:t xml:space="preserve"> size</w:t>
      </w:r>
      <w:r w:rsidRPr="009F04CF">
        <w:rPr>
          <w:rFonts w:eastAsia="Calibri"/>
        </w:rPr>
        <w:t xml:space="preserve">, </w:t>
      </w:r>
      <w:r w:rsidR="00B819BA">
        <w:rPr>
          <w:rFonts w:eastAsia="Calibri"/>
        </w:rPr>
        <w:t xml:space="preserve">the </w:t>
      </w:r>
      <w:r w:rsidRPr="009F04CF">
        <w:rPr>
          <w:rFonts w:eastAsia="Calibri"/>
        </w:rPr>
        <w:t>wage</w:t>
      </w:r>
      <w:r w:rsidR="00B819BA">
        <w:rPr>
          <w:rFonts w:eastAsia="Calibri"/>
        </w:rPr>
        <w:t xml:space="preserve"> bill</w:t>
      </w:r>
      <w:r w:rsidRPr="009F04CF">
        <w:rPr>
          <w:rFonts w:eastAsia="Calibri"/>
        </w:rPr>
        <w:t xml:space="preserve"> and </w:t>
      </w:r>
      <w:r w:rsidR="00B819BA">
        <w:rPr>
          <w:rFonts w:eastAsia="Calibri"/>
        </w:rPr>
        <w:t xml:space="preserve">receipt of a </w:t>
      </w:r>
      <w:r w:rsidRPr="009F04CF">
        <w:rPr>
          <w:rFonts w:eastAsia="Calibri"/>
        </w:rPr>
        <w:t>government grant</w:t>
      </w:r>
      <w:r w:rsidR="00135946">
        <w:rPr>
          <w:rFonts w:eastAsia="Calibri"/>
        </w:rPr>
        <w:t xml:space="preserve"> (R&amp;D financed by State or Commonwealth Governments)</w:t>
      </w:r>
      <w:r w:rsidRPr="009F04CF">
        <w:rPr>
          <w:rFonts w:eastAsia="Calibri"/>
        </w:rPr>
        <w:t>. In practice, this means that we are comparing R&amp;D investment for firms which receive tax subsidies and firms which do not, with both types of firms being equally likely to be treated (as the propensity score, or probability of treatment, is the matching variable). We also only match firms within the same industry, which ensures that we are not matching, say, an aerospace engineering firm to a textile production firm simply because their turnovers, wages</w:t>
      </w:r>
      <w:r w:rsidR="007751AF">
        <w:rPr>
          <w:rFonts w:eastAsia="Calibri"/>
        </w:rPr>
        <w:t xml:space="preserve"> </w:t>
      </w:r>
      <w:r w:rsidRPr="009F04CF">
        <w:rPr>
          <w:rFonts w:eastAsia="Calibri"/>
        </w:rPr>
        <w:t xml:space="preserve">and R&amp;D grants are similar. Intuitively, we would expect the two firms to be very poor counterfactuals for each other, despite being similar along </w:t>
      </w:r>
      <w:r w:rsidR="005D4725">
        <w:rPr>
          <w:rFonts w:eastAsia="Calibri"/>
        </w:rPr>
        <w:t xml:space="preserve">other </w:t>
      </w:r>
      <w:r w:rsidRPr="009F04CF">
        <w:rPr>
          <w:rFonts w:eastAsia="Calibri"/>
        </w:rPr>
        <w:t>observable characteristics. Therefore, the within-industry matching allows for a stronger explanatory power of the matching estimates.</w:t>
      </w:r>
    </w:p>
    <w:p w14:paraId="09C5297D" w14:textId="02DB4EE9" w:rsidR="002A7F16" w:rsidRDefault="00413799" w:rsidP="00413799">
      <w:pPr>
        <w:pStyle w:val="Text"/>
        <w:rPr>
          <w:rFonts w:eastAsia="Calibri"/>
        </w:rPr>
      </w:pPr>
      <w:r w:rsidRPr="009F04CF">
        <w:rPr>
          <w:rFonts w:eastAsia="Calibri"/>
        </w:rPr>
        <w:t xml:space="preserve">To implement the exact matching on industry and year, we </w:t>
      </w:r>
      <w:r>
        <w:rPr>
          <w:rFonts w:eastAsia="Calibri"/>
        </w:rPr>
        <w:t xml:space="preserve">first use the coarsened exact matching method of Iacus, King and Porro (2012) to prepare the sample. We then implement a standard </w:t>
      </w:r>
      <w:r w:rsidRPr="009F04CF">
        <w:rPr>
          <w:rFonts w:eastAsia="Calibri"/>
        </w:rPr>
        <w:t>prop</w:t>
      </w:r>
      <w:r>
        <w:rPr>
          <w:rFonts w:eastAsia="Calibri"/>
        </w:rPr>
        <w:t>ensity score matching procedure with bootstrapped standard errors</w:t>
      </w:r>
      <w:r w:rsidR="000F3033">
        <w:rPr>
          <w:rFonts w:eastAsia="Calibri"/>
        </w:rPr>
        <w:t>.</w:t>
      </w:r>
      <w:r w:rsidR="000F3033" w:rsidRPr="000F3033">
        <w:rPr>
          <w:rFonts w:eastAsia="Calibri"/>
        </w:rPr>
        <w:t xml:space="preserve"> </w:t>
      </w:r>
      <w:r w:rsidRPr="009F04CF">
        <w:rPr>
          <w:rFonts w:eastAsia="Calibri"/>
        </w:rPr>
        <w:t xml:space="preserve">Table </w:t>
      </w:r>
      <w:r w:rsidR="00733990">
        <w:rPr>
          <w:rFonts w:eastAsia="Calibri"/>
        </w:rPr>
        <w:t>8</w:t>
      </w:r>
      <w:r w:rsidRPr="009F04CF">
        <w:rPr>
          <w:rFonts w:eastAsia="Calibri"/>
        </w:rPr>
        <w:t xml:space="preserve"> displays the results obtained with propensity score matching estimation when R&amp;D investment is the dependent variable. The </w:t>
      </w:r>
      <w:r w:rsidRPr="009F04CF">
        <w:rPr>
          <w:rFonts w:eastAsia="Calibri"/>
          <w:i/>
        </w:rPr>
        <w:t xml:space="preserve">Treatment </w:t>
      </w:r>
      <w:r w:rsidRPr="009F04CF">
        <w:rPr>
          <w:rFonts w:eastAsia="Calibri"/>
        </w:rPr>
        <w:t>variable</w:t>
      </w:r>
      <w:r>
        <w:rPr>
          <w:rFonts w:eastAsia="Calibri"/>
        </w:rPr>
        <w:t xml:space="preserve"> is </w:t>
      </w:r>
      <w:r w:rsidRPr="009F04CF">
        <w:rPr>
          <w:rFonts w:eastAsia="Calibri"/>
        </w:rPr>
        <w:t xml:space="preserve">significant in all specifications. The parameter estimates on </w:t>
      </w:r>
      <w:r w:rsidRPr="009F04CF">
        <w:rPr>
          <w:rFonts w:eastAsia="Calibri"/>
          <w:i/>
        </w:rPr>
        <w:t>Treatment</w:t>
      </w:r>
      <w:r w:rsidRPr="009F04CF">
        <w:rPr>
          <w:rFonts w:eastAsia="Calibri"/>
        </w:rPr>
        <w:t xml:space="preserve"> suggest an average treatment effect of </w:t>
      </w:r>
      <w:r w:rsidR="006864C6">
        <w:rPr>
          <w:rFonts w:eastAsia="Calibri"/>
        </w:rPr>
        <w:t>43.8</w:t>
      </w:r>
      <w:r w:rsidR="00F426A9">
        <w:rPr>
          <w:rFonts w:eastAsia="Calibri"/>
        </w:rPr>
        <w:t xml:space="preserve"> percent </w:t>
      </w:r>
      <w:r w:rsidRPr="009F04CF">
        <w:rPr>
          <w:rFonts w:eastAsia="Calibri"/>
        </w:rPr>
        <w:t xml:space="preserve">for the </w:t>
      </w:r>
      <w:r w:rsidR="006864C6">
        <w:rPr>
          <w:rFonts w:eastAsia="Calibri"/>
        </w:rPr>
        <w:t xml:space="preserve">tax Concession sample </w:t>
      </w:r>
      <w:r w:rsidRPr="009F04CF">
        <w:rPr>
          <w:rFonts w:eastAsia="Calibri"/>
        </w:rPr>
        <w:t>(column (1), which is slightly smaller than the average treatment effect obtained with OLS estimates (</w:t>
      </w:r>
      <w:r w:rsidR="005D4725">
        <w:rPr>
          <w:rFonts w:eastAsia="Calibri"/>
        </w:rPr>
        <w:t xml:space="preserve">which was about </w:t>
      </w:r>
      <w:r w:rsidR="006C5259">
        <w:rPr>
          <w:rFonts w:eastAsia="Calibri"/>
        </w:rPr>
        <w:t>50</w:t>
      </w:r>
      <w:r w:rsidR="00F426A9">
        <w:rPr>
          <w:rFonts w:eastAsia="Calibri"/>
        </w:rPr>
        <w:t xml:space="preserve"> percent</w:t>
      </w:r>
      <w:r w:rsidRPr="009F04CF">
        <w:rPr>
          <w:rFonts w:eastAsia="Calibri"/>
        </w:rPr>
        <w:t>).</w:t>
      </w:r>
      <w:r w:rsidR="006C5259">
        <w:rPr>
          <w:rFonts w:eastAsia="Calibri"/>
        </w:rPr>
        <w:t xml:space="preserve"> Columns (2) present the results for small firms separately, defined here as firms with a turnover below 20 million. </w:t>
      </w:r>
      <w:r>
        <w:rPr>
          <w:rFonts w:eastAsia="Calibri"/>
        </w:rPr>
        <w:t>As observed previously, firms which do not pay franked dividends benefit more from tax subsidies</w:t>
      </w:r>
      <w:r w:rsidR="007751AF">
        <w:rPr>
          <w:rFonts w:eastAsia="Calibri"/>
        </w:rPr>
        <w:t xml:space="preserve"> and</w:t>
      </w:r>
      <w:r>
        <w:rPr>
          <w:rFonts w:eastAsia="Calibri"/>
        </w:rPr>
        <w:t xml:space="preserve"> it is anticipated that they will exhibit greater policy response. However, this is not borne out by the data</w:t>
      </w:r>
      <w:r w:rsidR="006C5259">
        <w:rPr>
          <w:rFonts w:eastAsia="Calibri"/>
        </w:rPr>
        <w:t xml:space="preserve">. As can be seen in column </w:t>
      </w:r>
      <w:r w:rsidR="005D4725">
        <w:rPr>
          <w:rFonts w:eastAsia="Calibri"/>
        </w:rPr>
        <w:t>(</w:t>
      </w:r>
      <w:r w:rsidR="006C5259">
        <w:rPr>
          <w:rFonts w:eastAsia="Calibri"/>
        </w:rPr>
        <w:t>3</w:t>
      </w:r>
      <w:r w:rsidR="005D4725">
        <w:rPr>
          <w:rFonts w:eastAsia="Calibri"/>
        </w:rPr>
        <w:t>)</w:t>
      </w:r>
      <w:r w:rsidR="006C5259">
        <w:rPr>
          <w:rFonts w:eastAsia="Calibri"/>
        </w:rPr>
        <w:t xml:space="preserve">, </w:t>
      </w:r>
      <w:r>
        <w:rPr>
          <w:rFonts w:eastAsia="Calibri"/>
        </w:rPr>
        <w:t>t</w:t>
      </w:r>
      <w:r w:rsidRPr="009F04CF">
        <w:rPr>
          <w:rFonts w:eastAsia="Calibri"/>
        </w:rPr>
        <w:t xml:space="preserve">he estimate for firms without franked dividends is </w:t>
      </w:r>
      <w:r>
        <w:rPr>
          <w:rFonts w:eastAsia="Calibri"/>
        </w:rPr>
        <w:t xml:space="preserve">marginally </w:t>
      </w:r>
      <w:r w:rsidRPr="009F04CF">
        <w:rPr>
          <w:rFonts w:eastAsia="Calibri"/>
        </w:rPr>
        <w:t>smaller than for the full sample.</w:t>
      </w:r>
      <w:r>
        <w:rPr>
          <w:rFonts w:eastAsia="Calibri"/>
        </w:rPr>
        <w:t xml:space="preserve"> We interpret this as cautious support for the hypothesis that any efficacy of tax policy is not substantively diminished by the existence of the dividend imputation system. </w:t>
      </w:r>
      <w:r w:rsidR="005D4725">
        <w:rPr>
          <w:rFonts w:eastAsia="Calibri"/>
        </w:rPr>
        <w:t>Column (4) present</w:t>
      </w:r>
      <w:r w:rsidR="001016F5">
        <w:rPr>
          <w:rFonts w:eastAsia="Calibri"/>
        </w:rPr>
        <w:t>s</w:t>
      </w:r>
      <w:r w:rsidR="005D4725">
        <w:rPr>
          <w:rFonts w:eastAsia="Calibri"/>
        </w:rPr>
        <w:t xml:space="preserve"> the estimates for the impact of the Incentive policy in 2012 only. This is not significant at conventional levels</w:t>
      </w:r>
      <w:r w:rsidR="00C977F5">
        <w:rPr>
          <w:rFonts w:eastAsia="Calibri"/>
        </w:rPr>
        <w:t xml:space="preserve"> though t</w:t>
      </w:r>
      <w:r w:rsidR="005D4725">
        <w:rPr>
          <w:rFonts w:eastAsia="Calibri"/>
        </w:rPr>
        <w:t xml:space="preserve">he coefficient is of similar magnitude to the OLS results and the lack of significance </w:t>
      </w:r>
      <w:r w:rsidR="00166940">
        <w:rPr>
          <w:rFonts w:eastAsia="Calibri"/>
        </w:rPr>
        <w:t xml:space="preserve">may reflect the lack of precision due to the </w:t>
      </w:r>
      <w:r w:rsidR="005D4725">
        <w:rPr>
          <w:rFonts w:eastAsia="Calibri"/>
        </w:rPr>
        <w:t xml:space="preserve">smaller </w:t>
      </w:r>
      <w:r w:rsidR="005D4725">
        <w:rPr>
          <w:rFonts w:eastAsia="Calibri"/>
        </w:rPr>
        <w:lastRenderedPageBreak/>
        <w:t>sample</w:t>
      </w:r>
      <w:r w:rsidR="00C977F5">
        <w:rPr>
          <w:rFonts w:eastAsia="Calibri"/>
        </w:rPr>
        <w:t>, which is supported by the difference-in-difference results presented in the next section</w:t>
      </w:r>
      <w:r w:rsidR="005D4725">
        <w:rPr>
          <w:rFonts w:eastAsia="Calibri"/>
        </w:rPr>
        <w:t xml:space="preserve">. </w:t>
      </w:r>
      <w:r w:rsidR="006C5259">
        <w:rPr>
          <w:rFonts w:eastAsia="Calibri"/>
        </w:rPr>
        <w:t xml:space="preserve">The results in column </w:t>
      </w:r>
      <w:r w:rsidR="005D4725">
        <w:rPr>
          <w:rFonts w:eastAsia="Calibri"/>
        </w:rPr>
        <w:t>(</w:t>
      </w:r>
      <w:r w:rsidR="006C5259">
        <w:rPr>
          <w:rFonts w:eastAsia="Calibri"/>
        </w:rPr>
        <w:t>5</w:t>
      </w:r>
      <w:r w:rsidR="005D4725">
        <w:rPr>
          <w:rFonts w:eastAsia="Calibri"/>
        </w:rPr>
        <w:t>)</w:t>
      </w:r>
      <w:r w:rsidR="006C5259">
        <w:rPr>
          <w:rFonts w:eastAsia="Calibri"/>
        </w:rPr>
        <w:t xml:space="preserve"> cover the sample of firms that we anticipate benefiting the most from the R&amp;D Tax Incentive – small firms with no profits. These firms receive a refundable offset of 45 percent as compared to no deductions at all in the absence of policy. The estimated </w:t>
      </w:r>
      <w:r w:rsidR="002A7F16">
        <w:rPr>
          <w:rFonts w:eastAsia="Calibri"/>
        </w:rPr>
        <w:t>treatment</w:t>
      </w:r>
      <w:r w:rsidR="006C5259">
        <w:rPr>
          <w:rFonts w:eastAsia="Calibri"/>
        </w:rPr>
        <w:t xml:space="preserve"> effect for these firms is considerably larger than the other samples</w:t>
      </w:r>
      <w:r w:rsidR="00166940">
        <w:rPr>
          <w:rFonts w:eastAsia="Calibri"/>
        </w:rPr>
        <w:t>.</w:t>
      </w:r>
    </w:p>
    <w:p w14:paraId="6BD55F93" w14:textId="77777777" w:rsidR="00413799" w:rsidRDefault="00413799" w:rsidP="00413799">
      <w:pPr>
        <w:pStyle w:val="Text"/>
        <w:rPr>
          <w:rFonts w:eastAsia="Calibri"/>
        </w:rPr>
      </w:pPr>
      <w:r>
        <w:rPr>
          <w:rFonts w:eastAsia="Calibri"/>
        </w:rPr>
        <w:t xml:space="preserve">Overall the variation between samples are not large and do not provide a great deal of additional insight into the effect. </w:t>
      </w:r>
      <w:r w:rsidR="006C5259">
        <w:rPr>
          <w:rFonts w:eastAsia="Calibri"/>
        </w:rPr>
        <w:t xml:space="preserve">In light of the limitations of the matching approach we caution against reporting separate additionality </w:t>
      </w:r>
      <w:r w:rsidR="008B2187">
        <w:rPr>
          <w:rFonts w:eastAsia="Calibri"/>
        </w:rPr>
        <w:t xml:space="preserve">values </w:t>
      </w:r>
      <w:r w:rsidR="006C5259">
        <w:rPr>
          <w:rFonts w:eastAsia="Calibri"/>
        </w:rPr>
        <w:t>for each group of firms (sm</w:t>
      </w:r>
      <w:r w:rsidR="005D4725">
        <w:rPr>
          <w:rFonts w:eastAsia="Calibri"/>
        </w:rPr>
        <w:t>all, no franked dividends etc).</w:t>
      </w:r>
      <w:r w:rsidR="00166940">
        <w:rPr>
          <w:rFonts w:eastAsia="Calibri"/>
        </w:rPr>
        <w:t xml:space="preserve"> We are not aware of any strong a priori case that the Incentive and Concession policies should differ in their rate of additionality except in so far as they may induce different types of firms to claim. </w:t>
      </w:r>
    </w:p>
    <w:p w14:paraId="73C068F6" w14:textId="78A54C73" w:rsidR="00413799" w:rsidRPr="009F04CF" w:rsidRDefault="00733990" w:rsidP="00413799">
      <w:pPr>
        <w:pStyle w:val="Caption"/>
        <w:rPr>
          <w:rFonts w:eastAsia="Calibri"/>
        </w:rPr>
      </w:pPr>
      <w:r>
        <w:rPr>
          <w:rFonts w:eastAsia="Calibri"/>
        </w:rPr>
        <w:t>Table 8</w:t>
      </w:r>
      <w:r w:rsidR="00413799">
        <w:rPr>
          <w:rFonts w:eastAsia="Calibri"/>
        </w:rPr>
        <w:t>. Matching results: treatment effect</w:t>
      </w:r>
      <w:r w:rsidR="00475F11">
        <w:rPr>
          <w:rFonts w:eastAsia="Calibri"/>
        </w:rPr>
        <w:t xml:space="preserve">. </w:t>
      </w:r>
      <w:r w:rsidR="00475F11">
        <w:rPr>
          <w:lang w:eastAsia="en-AU"/>
        </w:rPr>
        <w:t>Dependent variable: ln</w:t>
      </w:r>
      <w:r w:rsidR="00475F11" w:rsidRPr="009F04CF">
        <w:rPr>
          <w:lang w:eastAsia="en-AU"/>
        </w:rPr>
        <w:t xml:space="preserve"> R&amp;D Investment</w:t>
      </w:r>
      <w:r w:rsidR="00475F11">
        <w:rPr>
          <w:lang w:eastAsia="en-AU"/>
        </w:rPr>
        <w:t xml:space="preserve"> (BERD)</w:t>
      </w:r>
      <w:r w:rsidR="00475F11" w:rsidRPr="009F04CF">
        <w:rPr>
          <w:lang w:eastAsia="en-AU"/>
        </w:rPr>
        <w:t>.</w:t>
      </w:r>
    </w:p>
    <w:tbl>
      <w:tblPr>
        <w:tblW w:w="8899" w:type="dxa"/>
        <w:tblInd w:w="93" w:type="dxa"/>
        <w:tblLook w:val="04A0" w:firstRow="1" w:lastRow="0" w:firstColumn="1" w:lastColumn="0" w:noHBand="0" w:noVBand="1"/>
        <w:tblCaption w:val="Table 8, Matching results: treatment effect"/>
        <w:tblDescription w:val="This Table outlines the parameter estimates of 5 different specifications when compared to the base category of non-claiming firms using propensity score matching. The parameter  estimates correspond to each of the five specifications. The number listed in squared parenthesis denotes standard deviation. Round parenthesis denotes number of observations&#10;&#10;Column 1 Concession 0.438 [0.026], (6,553)&#10;Column 2 Concession and Small Firms: 0.358, [0.0292], (5,066)&#10;Column 3 No Franked Dividends: 0.353, [0.0307], (5,331)&#10;Column 4 Tax Incentive: 0.153, [0.109], (2,147)&#10;Column 5 Tax Incentive, Small and No profit: 0.823, [0.248], (670)"/>
      </w:tblPr>
      <w:tblGrid>
        <w:gridCol w:w="971"/>
        <w:gridCol w:w="1620"/>
        <w:gridCol w:w="1620"/>
        <w:gridCol w:w="1620"/>
        <w:gridCol w:w="222"/>
        <w:gridCol w:w="1423"/>
        <w:gridCol w:w="1423"/>
      </w:tblGrid>
      <w:tr w:rsidR="002D243D" w:rsidRPr="009F04CF" w14:paraId="27218F7F" w14:textId="77777777" w:rsidTr="00D04A09">
        <w:trPr>
          <w:cantSplit/>
          <w:trHeight w:val="915"/>
          <w:tblHeader/>
        </w:trPr>
        <w:tc>
          <w:tcPr>
            <w:tcW w:w="971" w:type="dxa"/>
            <w:tcBorders>
              <w:top w:val="single" w:sz="4" w:space="0" w:color="auto"/>
              <w:left w:val="nil"/>
              <w:bottom w:val="nil"/>
              <w:right w:val="nil"/>
            </w:tcBorders>
            <w:shd w:val="clear" w:color="auto" w:fill="auto"/>
            <w:noWrap/>
            <w:vAlign w:val="center"/>
            <w:hideMark/>
          </w:tcPr>
          <w:p w14:paraId="57E515D2" w14:textId="77777777" w:rsidR="002D243D" w:rsidRPr="009F04CF" w:rsidRDefault="002D243D" w:rsidP="002D243D">
            <w:pPr>
              <w:pStyle w:val="Tablenumber"/>
              <w:rPr>
                <w:lang w:eastAsia="en-AU"/>
              </w:rPr>
            </w:pPr>
          </w:p>
        </w:tc>
        <w:tc>
          <w:tcPr>
            <w:tcW w:w="0" w:type="auto"/>
            <w:tcBorders>
              <w:top w:val="single" w:sz="4" w:space="0" w:color="auto"/>
              <w:left w:val="nil"/>
              <w:bottom w:val="single" w:sz="8" w:space="0" w:color="auto"/>
              <w:right w:val="nil"/>
            </w:tcBorders>
            <w:shd w:val="clear" w:color="auto" w:fill="auto"/>
            <w:vAlign w:val="center"/>
            <w:hideMark/>
          </w:tcPr>
          <w:p w14:paraId="0A830F74" w14:textId="4B945AD7" w:rsidR="002D243D" w:rsidRPr="005D4725" w:rsidRDefault="002D243D" w:rsidP="002D243D">
            <w:pPr>
              <w:pStyle w:val="Tablenumber"/>
              <w:rPr>
                <w:b/>
                <w:lang w:eastAsia="en-AU"/>
              </w:rPr>
            </w:pPr>
            <w:r w:rsidRPr="005D4725">
              <w:rPr>
                <w:b/>
                <w:lang w:eastAsia="en-AU"/>
              </w:rPr>
              <w:t>Concession</w:t>
            </w:r>
            <w:r w:rsidR="00010003">
              <w:rPr>
                <w:b/>
                <w:lang w:eastAsia="en-AU"/>
              </w:rPr>
              <w:t xml:space="preserve"> (1)</w:t>
            </w:r>
          </w:p>
        </w:tc>
        <w:tc>
          <w:tcPr>
            <w:tcW w:w="0" w:type="auto"/>
            <w:tcBorders>
              <w:top w:val="single" w:sz="4" w:space="0" w:color="auto"/>
              <w:left w:val="nil"/>
              <w:bottom w:val="single" w:sz="8" w:space="0" w:color="auto"/>
              <w:right w:val="nil"/>
            </w:tcBorders>
            <w:vAlign w:val="center"/>
          </w:tcPr>
          <w:p w14:paraId="60F499C6" w14:textId="77777777" w:rsidR="002D243D" w:rsidRPr="005D4725" w:rsidRDefault="002D243D" w:rsidP="002D243D">
            <w:pPr>
              <w:pStyle w:val="Tablenumber"/>
              <w:rPr>
                <w:b/>
                <w:lang w:val="en-US" w:eastAsia="en-AU"/>
              </w:rPr>
            </w:pPr>
            <w:r w:rsidRPr="005D4725">
              <w:rPr>
                <w:b/>
                <w:lang w:val="en-US" w:eastAsia="en-AU"/>
              </w:rPr>
              <w:t>Concession</w:t>
            </w:r>
          </w:p>
          <w:p w14:paraId="22BC2975" w14:textId="6403D10B" w:rsidR="002D243D" w:rsidRPr="005D4725" w:rsidRDefault="002D243D" w:rsidP="002D243D">
            <w:pPr>
              <w:pStyle w:val="Tablenumber"/>
              <w:rPr>
                <w:b/>
                <w:lang w:val="en-US" w:eastAsia="en-AU"/>
              </w:rPr>
            </w:pPr>
            <w:r w:rsidRPr="005D4725">
              <w:rPr>
                <w:b/>
                <w:lang w:val="en-US" w:eastAsia="en-AU"/>
              </w:rPr>
              <w:t>Small firms</w:t>
            </w:r>
            <w:r w:rsidR="00010003">
              <w:rPr>
                <w:b/>
                <w:lang w:val="en-US" w:eastAsia="en-AU"/>
              </w:rPr>
              <w:t xml:space="preserve"> (2)</w:t>
            </w:r>
          </w:p>
        </w:tc>
        <w:tc>
          <w:tcPr>
            <w:tcW w:w="0" w:type="auto"/>
            <w:tcBorders>
              <w:top w:val="single" w:sz="4" w:space="0" w:color="auto"/>
              <w:left w:val="nil"/>
              <w:bottom w:val="single" w:sz="8" w:space="0" w:color="auto"/>
              <w:right w:val="nil"/>
            </w:tcBorders>
            <w:vAlign w:val="center"/>
          </w:tcPr>
          <w:p w14:paraId="278F2FE4" w14:textId="77777777" w:rsidR="002D243D" w:rsidRPr="005D4725" w:rsidRDefault="002D243D" w:rsidP="002D243D">
            <w:pPr>
              <w:pStyle w:val="Tablenumber"/>
              <w:rPr>
                <w:b/>
                <w:lang w:eastAsia="en-AU"/>
              </w:rPr>
            </w:pPr>
            <w:r w:rsidRPr="005D4725">
              <w:rPr>
                <w:b/>
                <w:lang w:eastAsia="en-AU"/>
              </w:rPr>
              <w:t>Concession</w:t>
            </w:r>
          </w:p>
          <w:p w14:paraId="3B2D151F" w14:textId="740B1D3B" w:rsidR="002D243D" w:rsidRPr="005D4725" w:rsidRDefault="002D243D" w:rsidP="002D243D">
            <w:pPr>
              <w:pStyle w:val="Tablenumber"/>
              <w:rPr>
                <w:b/>
                <w:lang w:val="en-US" w:eastAsia="en-AU"/>
              </w:rPr>
            </w:pPr>
            <w:r w:rsidRPr="005D4725">
              <w:rPr>
                <w:b/>
                <w:lang w:eastAsia="en-AU"/>
              </w:rPr>
              <w:t>No Franked Dividends</w:t>
            </w:r>
            <w:r w:rsidR="00010003">
              <w:rPr>
                <w:b/>
                <w:lang w:eastAsia="en-AU"/>
              </w:rPr>
              <w:t xml:space="preserve"> (3)</w:t>
            </w:r>
          </w:p>
        </w:tc>
        <w:tc>
          <w:tcPr>
            <w:tcW w:w="0" w:type="auto"/>
            <w:tcBorders>
              <w:top w:val="single" w:sz="4" w:space="0" w:color="auto"/>
              <w:left w:val="nil"/>
              <w:bottom w:val="single" w:sz="8" w:space="0" w:color="auto"/>
              <w:right w:val="nil"/>
            </w:tcBorders>
            <w:vAlign w:val="center"/>
          </w:tcPr>
          <w:p w14:paraId="4B901131" w14:textId="77777777" w:rsidR="002D243D" w:rsidRPr="005D4725" w:rsidRDefault="002D243D" w:rsidP="002D243D">
            <w:pPr>
              <w:pStyle w:val="Tablenumber"/>
              <w:rPr>
                <w:b/>
                <w:lang w:val="en-US" w:eastAsia="en-AU"/>
              </w:rPr>
            </w:pPr>
          </w:p>
        </w:tc>
        <w:tc>
          <w:tcPr>
            <w:tcW w:w="0" w:type="auto"/>
            <w:tcBorders>
              <w:top w:val="single" w:sz="4" w:space="0" w:color="auto"/>
              <w:left w:val="nil"/>
              <w:bottom w:val="single" w:sz="8" w:space="0" w:color="auto"/>
              <w:right w:val="nil"/>
            </w:tcBorders>
            <w:shd w:val="clear" w:color="auto" w:fill="auto"/>
            <w:vAlign w:val="center"/>
            <w:hideMark/>
          </w:tcPr>
          <w:p w14:paraId="70F050DA" w14:textId="4B90A5A1" w:rsidR="002D243D" w:rsidRPr="005D4725" w:rsidRDefault="002D243D" w:rsidP="002D243D">
            <w:pPr>
              <w:pStyle w:val="Tablenumber"/>
              <w:rPr>
                <w:b/>
                <w:lang w:val="en-US" w:eastAsia="en-AU"/>
              </w:rPr>
            </w:pPr>
            <w:r w:rsidRPr="005D4725">
              <w:rPr>
                <w:b/>
                <w:lang w:val="en-US" w:eastAsia="en-AU"/>
              </w:rPr>
              <w:t>Incentive</w:t>
            </w:r>
            <w:r w:rsidR="00010003">
              <w:rPr>
                <w:b/>
                <w:lang w:val="en-US" w:eastAsia="en-AU"/>
              </w:rPr>
              <w:t xml:space="preserve"> (4)</w:t>
            </w:r>
          </w:p>
        </w:tc>
        <w:tc>
          <w:tcPr>
            <w:tcW w:w="0" w:type="auto"/>
            <w:tcBorders>
              <w:top w:val="single" w:sz="4" w:space="0" w:color="auto"/>
              <w:left w:val="nil"/>
              <w:bottom w:val="single" w:sz="8" w:space="0" w:color="auto"/>
              <w:right w:val="nil"/>
            </w:tcBorders>
            <w:shd w:val="clear" w:color="auto" w:fill="auto"/>
            <w:vAlign w:val="center"/>
            <w:hideMark/>
          </w:tcPr>
          <w:p w14:paraId="4E5AA30C" w14:textId="77777777" w:rsidR="000860F1" w:rsidRPr="005D4725" w:rsidRDefault="000860F1" w:rsidP="002D243D">
            <w:pPr>
              <w:pStyle w:val="Tablenumber"/>
              <w:rPr>
                <w:b/>
                <w:lang w:eastAsia="en-AU"/>
              </w:rPr>
            </w:pPr>
            <w:r w:rsidRPr="005D4725">
              <w:rPr>
                <w:b/>
                <w:lang w:eastAsia="en-AU"/>
              </w:rPr>
              <w:t>Incentive</w:t>
            </w:r>
          </w:p>
          <w:p w14:paraId="062DD3C3" w14:textId="56FF3DA8" w:rsidR="002D243D" w:rsidRPr="005D4725" w:rsidRDefault="002D243D" w:rsidP="002D243D">
            <w:pPr>
              <w:pStyle w:val="Tablenumber"/>
              <w:rPr>
                <w:b/>
                <w:lang w:eastAsia="en-AU"/>
              </w:rPr>
            </w:pPr>
            <w:r w:rsidRPr="005D4725">
              <w:rPr>
                <w:b/>
                <w:lang w:eastAsia="en-AU"/>
              </w:rPr>
              <w:t>Small</w:t>
            </w:r>
            <w:r w:rsidR="000860F1" w:rsidRPr="005D4725">
              <w:rPr>
                <w:b/>
                <w:lang w:eastAsia="en-AU"/>
              </w:rPr>
              <w:t xml:space="preserve"> &amp; no profit</w:t>
            </w:r>
            <w:r w:rsidR="00010003">
              <w:rPr>
                <w:b/>
                <w:lang w:eastAsia="en-AU"/>
              </w:rPr>
              <w:t xml:space="preserve"> (5)</w:t>
            </w:r>
          </w:p>
        </w:tc>
      </w:tr>
      <w:tr w:rsidR="002D243D" w:rsidRPr="009F04CF" w14:paraId="78626490" w14:textId="77777777" w:rsidTr="00D04A09">
        <w:trPr>
          <w:cantSplit/>
          <w:trHeight w:val="300"/>
        </w:trPr>
        <w:tc>
          <w:tcPr>
            <w:tcW w:w="971" w:type="dxa"/>
            <w:tcBorders>
              <w:top w:val="single" w:sz="8" w:space="0" w:color="000000"/>
              <w:left w:val="nil"/>
              <w:bottom w:val="nil"/>
              <w:right w:val="nil"/>
            </w:tcBorders>
            <w:shd w:val="clear" w:color="auto" w:fill="auto"/>
            <w:noWrap/>
            <w:vAlign w:val="center"/>
            <w:hideMark/>
          </w:tcPr>
          <w:p w14:paraId="4D8AC2B1" w14:textId="77777777" w:rsidR="002D243D" w:rsidRPr="009F04CF" w:rsidRDefault="002D243D" w:rsidP="002D243D">
            <w:pPr>
              <w:pStyle w:val="Tablenumber"/>
              <w:rPr>
                <w:lang w:eastAsia="en-AU"/>
              </w:rPr>
            </w:pPr>
            <w:r w:rsidRPr="009F04CF">
              <w:rPr>
                <w:lang w:eastAsia="en-AU"/>
              </w:rPr>
              <w:t> </w:t>
            </w:r>
          </w:p>
        </w:tc>
        <w:tc>
          <w:tcPr>
            <w:tcW w:w="0" w:type="auto"/>
            <w:tcBorders>
              <w:top w:val="nil"/>
              <w:left w:val="nil"/>
              <w:bottom w:val="nil"/>
              <w:right w:val="nil"/>
            </w:tcBorders>
            <w:shd w:val="clear" w:color="auto" w:fill="auto"/>
            <w:noWrap/>
            <w:vAlign w:val="center"/>
            <w:hideMark/>
          </w:tcPr>
          <w:p w14:paraId="5F5BEC0C" w14:textId="77777777" w:rsidR="002D243D" w:rsidRPr="009F04CF" w:rsidRDefault="002D243D" w:rsidP="002D243D">
            <w:pPr>
              <w:pStyle w:val="Tablenumber"/>
              <w:rPr>
                <w:lang w:eastAsia="en-AU"/>
              </w:rPr>
            </w:pPr>
          </w:p>
        </w:tc>
        <w:tc>
          <w:tcPr>
            <w:tcW w:w="0" w:type="auto"/>
            <w:tcBorders>
              <w:top w:val="nil"/>
              <w:left w:val="nil"/>
              <w:bottom w:val="nil"/>
              <w:right w:val="nil"/>
            </w:tcBorders>
            <w:vAlign w:val="center"/>
          </w:tcPr>
          <w:p w14:paraId="647B69D7" w14:textId="77777777" w:rsidR="002D243D" w:rsidRPr="009F04CF" w:rsidRDefault="002D243D" w:rsidP="002D243D">
            <w:pPr>
              <w:pStyle w:val="Tablenumber"/>
              <w:rPr>
                <w:lang w:eastAsia="en-AU"/>
              </w:rPr>
            </w:pPr>
          </w:p>
        </w:tc>
        <w:tc>
          <w:tcPr>
            <w:tcW w:w="0" w:type="auto"/>
            <w:tcBorders>
              <w:top w:val="nil"/>
              <w:left w:val="nil"/>
              <w:bottom w:val="nil"/>
              <w:right w:val="nil"/>
            </w:tcBorders>
            <w:vAlign w:val="center"/>
          </w:tcPr>
          <w:p w14:paraId="6D984301" w14:textId="77777777" w:rsidR="002D243D" w:rsidRPr="009F04CF" w:rsidRDefault="002D243D" w:rsidP="002D243D">
            <w:pPr>
              <w:pStyle w:val="Tablenumber"/>
              <w:rPr>
                <w:lang w:eastAsia="en-AU"/>
              </w:rPr>
            </w:pPr>
          </w:p>
        </w:tc>
        <w:tc>
          <w:tcPr>
            <w:tcW w:w="0" w:type="auto"/>
            <w:tcBorders>
              <w:top w:val="nil"/>
              <w:left w:val="nil"/>
              <w:bottom w:val="nil"/>
              <w:right w:val="nil"/>
            </w:tcBorders>
            <w:vAlign w:val="center"/>
          </w:tcPr>
          <w:p w14:paraId="054F7EC5" w14:textId="77777777" w:rsidR="002D243D" w:rsidRPr="009F04CF" w:rsidRDefault="002D243D" w:rsidP="002D243D">
            <w:pPr>
              <w:pStyle w:val="Tablenumber"/>
              <w:rPr>
                <w:lang w:eastAsia="en-AU"/>
              </w:rPr>
            </w:pPr>
          </w:p>
        </w:tc>
        <w:tc>
          <w:tcPr>
            <w:tcW w:w="0" w:type="auto"/>
            <w:tcBorders>
              <w:top w:val="nil"/>
              <w:left w:val="nil"/>
              <w:bottom w:val="nil"/>
              <w:right w:val="nil"/>
            </w:tcBorders>
            <w:shd w:val="clear" w:color="auto" w:fill="auto"/>
            <w:noWrap/>
            <w:vAlign w:val="center"/>
            <w:hideMark/>
          </w:tcPr>
          <w:p w14:paraId="55BEF35A" w14:textId="77777777" w:rsidR="002D243D" w:rsidRPr="009F04CF" w:rsidRDefault="002D243D" w:rsidP="002D243D">
            <w:pPr>
              <w:pStyle w:val="Tablenumber"/>
              <w:rPr>
                <w:lang w:eastAsia="en-AU"/>
              </w:rPr>
            </w:pPr>
          </w:p>
        </w:tc>
        <w:tc>
          <w:tcPr>
            <w:tcW w:w="0" w:type="auto"/>
            <w:tcBorders>
              <w:top w:val="nil"/>
              <w:left w:val="nil"/>
              <w:bottom w:val="nil"/>
              <w:right w:val="nil"/>
            </w:tcBorders>
            <w:shd w:val="clear" w:color="auto" w:fill="auto"/>
            <w:noWrap/>
            <w:vAlign w:val="center"/>
            <w:hideMark/>
          </w:tcPr>
          <w:p w14:paraId="198AAED8" w14:textId="77777777" w:rsidR="002D243D" w:rsidRPr="009F04CF" w:rsidRDefault="002D243D" w:rsidP="002D243D">
            <w:pPr>
              <w:pStyle w:val="Tablenumber"/>
              <w:rPr>
                <w:lang w:eastAsia="en-AU"/>
              </w:rPr>
            </w:pPr>
          </w:p>
        </w:tc>
      </w:tr>
      <w:tr w:rsidR="002D243D" w:rsidRPr="009F04CF" w14:paraId="72FBC72F" w14:textId="77777777" w:rsidTr="00D04A09">
        <w:trPr>
          <w:cantSplit/>
          <w:trHeight w:val="300"/>
        </w:trPr>
        <w:tc>
          <w:tcPr>
            <w:tcW w:w="971" w:type="dxa"/>
            <w:tcBorders>
              <w:top w:val="nil"/>
              <w:left w:val="nil"/>
              <w:bottom w:val="nil"/>
              <w:right w:val="nil"/>
            </w:tcBorders>
            <w:shd w:val="clear" w:color="auto" w:fill="auto"/>
            <w:noWrap/>
            <w:vAlign w:val="center"/>
            <w:hideMark/>
          </w:tcPr>
          <w:p w14:paraId="71B8EF2E" w14:textId="77777777" w:rsidR="002D243D" w:rsidRPr="009F04CF" w:rsidRDefault="002D243D" w:rsidP="002D243D">
            <w:pPr>
              <w:pStyle w:val="Tablenumber"/>
              <w:ind w:left="0"/>
              <w:rPr>
                <w:i/>
                <w:iCs/>
                <w:lang w:eastAsia="en-AU"/>
              </w:rPr>
            </w:pPr>
            <w:r w:rsidRPr="009F04CF">
              <w:rPr>
                <w:i/>
                <w:iCs/>
                <w:lang w:eastAsia="en-AU"/>
              </w:rPr>
              <w:t>Treatment</w:t>
            </w:r>
          </w:p>
        </w:tc>
        <w:tc>
          <w:tcPr>
            <w:tcW w:w="0" w:type="auto"/>
            <w:tcBorders>
              <w:top w:val="nil"/>
              <w:left w:val="nil"/>
              <w:bottom w:val="nil"/>
              <w:right w:val="nil"/>
            </w:tcBorders>
            <w:shd w:val="clear" w:color="auto" w:fill="auto"/>
            <w:noWrap/>
            <w:vAlign w:val="center"/>
            <w:hideMark/>
          </w:tcPr>
          <w:p w14:paraId="5EBCB61D" w14:textId="77777777" w:rsidR="002D243D" w:rsidRPr="009F04CF" w:rsidRDefault="002D243D" w:rsidP="002D243D">
            <w:pPr>
              <w:pStyle w:val="Tablenumber"/>
              <w:rPr>
                <w:lang w:eastAsia="en-AU"/>
              </w:rPr>
            </w:pPr>
            <w:r w:rsidRPr="009F04CF">
              <w:rPr>
                <w:lang w:val="en-US" w:eastAsia="en-AU"/>
              </w:rPr>
              <w:t>0.</w:t>
            </w:r>
            <w:r>
              <w:rPr>
                <w:lang w:val="en-US" w:eastAsia="en-AU"/>
              </w:rPr>
              <w:t>438</w:t>
            </w:r>
            <w:r w:rsidRPr="009F04CF">
              <w:rPr>
                <w:lang w:val="en-US" w:eastAsia="en-AU"/>
              </w:rPr>
              <w:t>***</w:t>
            </w:r>
          </w:p>
        </w:tc>
        <w:tc>
          <w:tcPr>
            <w:tcW w:w="0" w:type="auto"/>
            <w:tcBorders>
              <w:top w:val="nil"/>
              <w:left w:val="nil"/>
              <w:bottom w:val="nil"/>
              <w:right w:val="nil"/>
            </w:tcBorders>
            <w:vAlign w:val="center"/>
          </w:tcPr>
          <w:p w14:paraId="08A360DD" w14:textId="77777777" w:rsidR="002D243D" w:rsidRPr="009F04CF" w:rsidRDefault="002D243D" w:rsidP="002D243D">
            <w:pPr>
              <w:pStyle w:val="Tablenumber"/>
              <w:rPr>
                <w:lang w:val="en-US" w:eastAsia="en-AU"/>
              </w:rPr>
            </w:pPr>
            <w:r>
              <w:rPr>
                <w:lang w:val="en-US" w:eastAsia="en-AU"/>
              </w:rPr>
              <w:t>0.358***</w:t>
            </w:r>
          </w:p>
        </w:tc>
        <w:tc>
          <w:tcPr>
            <w:tcW w:w="0" w:type="auto"/>
            <w:tcBorders>
              <w:top w:val="nil"/>
              <w:left w:val="nil"/>
              <w:bottom w:val="nil"/>
              <w:right w:val="nil"/>
            </w:tcBorders>
            <w:vAlign w:val="center"/>
          </w:tcPr>
          <w:p w14:paraId="7EC7A817" w14:textId="77777777" w:rsidR="002D243D" w:rsidRPr="009F04CF" w:rsidRDefault="002D243D" w:rsidP="002D243D">
            <w:pPr>
              <w:pStyle w:val="Tablenumber"/>
              <w:rPr>
                <w:lang w:val="en-US" w:eastAsia="en-AU"/>
              </w:rPr>
            </w:pPr>
            <w:r w:rsidRPr="009F04CF">
              <w:rPr>
                <w:lang w:val="en-US" w:eastAsia="en-AU"/>
              </w:rPr>
              <w:t>0.</w:t>
            </w:r>
            <w:r>
              <w:rPr>
                <w:lang w:val="en-US" w:eastAsia="en-AU"/>
              </w:rPr>
              <w:t>353</w:t>
            </w:r>
            <w:r w:rsidRPr="009F04CF">
              <w:rPr>
                <w:lang w:val="en-US" w:eastAsia="en-AU"/>
              </w:rPr>
              <w:t>***</w:t>
            </w:r>
          </w:p>
        </w:tc>
        <w:tc>
          <w:tcPr>
            <w:tcW w:w="0" w:type="auto"/>
            <w:tcBorders>
              <w:top w:val="nil"/>
              <w:left w:val="nil"/>
              <w:bottom w:val="nil"/>
              <w:right w:val="nil"/>
            </w:tcBorders>
            <w:vAlign w:val="center"/>
          </w:tcPr>
          <w:p w14:paraId="4C888832" w14:textId="77777777" w:rsidR="002D243D" w:rsidRPr="009F04CF" w:rsidRDefault="002D243D" w:rsidP="002D243D">
            <w:pPr>
              <w:pStyle w:val="Tablenumber"/>
              <w:rPr>
                <w:lang w:val="en-US" w:eastAsia="en-AU"/>
              </w:rPr>
            </w:pPr>
          </w:p>
        </w:tc>
        <w:tc>
          <w:tcPr>
            <w:tcW w:w="0" w:type="auto"/>
            <w:tcBorders>
              <w:top w:val="nil"/>
              <w:left w:val="nil"/>
              <w:bottom w:val="nil"/>
              <w:right w:val="nil"/>
            </w:tcBorders>
            <w:shd w:val="clear" w:color="auto" w:fill="auto"/>
            <w:noWrap/>
            <w:vAlign w:val="center"/>
            <w:hideMark/>
          </w:tcPr>
          <w:p w14:paraId="2CDDBA29" w14:textId="77777777" w:rsidR="002D243D" w:rsidRPr="009F04CF" w:rsidRDefault="002D243D" w:rsidP="005D4725">
            <w:pPr>
              <w:pStyle w:val="Tablenumber"/>
              <w:rPr>
                <w:lang w:eastAsia="en-AU"/>
              </w:rPr>
            </w:pPr>
            <w:r w:rsidRPr="009F04CF">
              <w:rPr>
                <w:lang w:val="en-US" w:eastAsia="en-AU"/>
              </w:rPr>
              <w:t>0.</w:t>
            </w:r>
            <w:r>
              <w:rPr>
                <w:lang w:val="en-US" w:eastAsia="en-AU"/>
              </w:rPr>
              <w:t>153</w:t>
            </w:r>
          </w:p>
        </w:tc>
        <w:tc>
          <w:tcPr>
            <w:tcW w:w="0" w:type="auto"/>
            <w:tcBorders>
              <w:top w:val="nil"/>
              <w:left w:val="nil"/>
              <w:bottom w:val="nil"/>
              <w:right w:val="nil"/>
            </w:tcBorders>
            <w:shd w:val="clear" w:color="auto" w:fill="auto"/>
            <w:noWrap/>
            <w:vAlign w:val="center"/>
            <w:hideMark/>
          </w:tcPr>
          <w:p w14:paraId="513B821F" w14:textId="77777777" w:rsidR="002D243D" w:rsidRPr="009F04CF" w:rsidRDefault="002D243D" w:rsidP="000860F1">
            <w:pPr>
              <w:pStyle w:val="Tablenumber"/>
              <w:rPr>
                <w:lang w:eastAsia="en-AU"/>
              </w:rPr>
            </w:pPr>
            <w:r w:rsidRPr="009F04CF">
              <w:rPr>
                <w:lang w:eastAsia="en-AU"/>
              </w:rPr>
              <w:t>0.</w:t>
            </w:r>
            <w:r w:rsidR="000860F1">
              <w:rPr>
                <w:lang w:eastAsia="en-AU"/>
              </w:rPr>
              <w:t>823</w:t>
            </w:r>
            <w:r w:rsidRPr="009F04CF">
              <w:rPr>
                <w:lang w:eastAsia="en-AU"/>
              </w:rPr>
              <w:t>***</w:t>
            </w:r>
          </w:p>
        </w:tc>
      </w:tr>
      <w:tr w:rsidR="002D243D" w:rsidRPr="009F04CF" w14:paraId="0A172FF9" w14:textId="77777777" w:rsidTr="00D04A09">
        <w:trPr>
          <w:cantSplit/>
          <w:trHeight w:val="300"/>
        </w:trPr>
        <w:tc>
          <w:tcPr>
            <w:tcW w:w="971" w:type="dxa"/>
            <w:tcBorders>
              <w:top w:val="nil"/>
              <w:left w:val="nil"/>
              <w:right w:val="nil"/>
            </w:tcBorders>
            <w:shd w:val="clear" w:color="auto" w:fill="auto"/>
            <w:noWrap/>
            <w:vAlign w:val="center"/>
            <w:hideMark/>
          </w:tcPr>
          <w:p w14:paraId="401553CE" w14:textId="77777777" w:rsidR="002D243D" w:rsidRPr="009F04CF" w:rsidRDefault="002D243D" w:rsidP="002D243D">
            <w:pPr>
              <w:pStyle w:val="Tablenumber"/>
              <w:rPr>
                <w:lang w:eastAsia="en-AU"/>
              </w:rPr>
            </w:pPr>
          </w:p>
        </w:tc>
        <w:tc>
          <w:tcPr>
            <w:tcW w:w="0" w:type="auto"/>
            <w:tcBorders>
              <w:top w:val="nil"/>
              <w:left w:val="nil"/>
              <w:right w:val="nil"/>
            </w:tcBorders>
            <w:shd w:val="clear" w:color="auto" w:fill="auto"/>
            <w:noWrap/>
            <w:vAlign w:val="center"/>
            <w:hideMark/>
          </w:tcPr>
          <w:p w14:paraId="0D3CD7BC" w14:textId="77777777" w:rsidR="002D243D" w:rsidRPr="009F04CF" w:rsidRDefault="002D243D" w:rsidP="002D243D">
            <w:pPr>
              <w:pStyle w:val="Tablenumber"/>
              <w:rPr>
                <w:lang w:eastAsia="en-AU"/>
              </w:rPr>
            </w:pPr>
            <w:r w:rsidRPr="009F04CF">
              <w:rPr>
                <w:lang w:eastAsia="en-AU"/>
              </w:rPr>
              <w:t>[0.</w:t>
            </w:r>
            <w:r>
              <w:rPr>
                <w:lang w:eastAsia="en-AU"/>
              </w:rPr>
              <w:t>026</w:t>
            </w:r>
            <w:r w:rsidRPr="009F04CF">
              <w:rPr>
                <w:lang w:eastAsia="en-AU"/>
              </w:rPr>
              <w:t>]</w:t>
            </w:r>
          </w:p>
        </w:tc>
        <w:tc>
          <w:tcPr>
            <w:tcW w:w="0" w:type="auto"/>
            <w:tcBorders>
              <w:top w:val="nil"/>
              <w:left w:val="nil"/>
              <w:right w:val="nil"/>
            </w:tcBorders>
            <w:vAlign w:val="center"/>
          </w:tcPr>
          <w:p w14:paraId="722D0F3A" w14:textId="77777777" w:rsidR="002D243D" w:rsidRPr="009F04CF" w:rsidRDefault="002D243D" w:rsidP="002D243D">
            <w:pPr>
              <w:pStyle w:val="Tablenumber"/>
              <w:rPr>
                <w:lang w:eastAsia="en-AU"/>
              </w:rPr>
            </w:pPr>
            <w:r>
              <w:rPr>
                <w:lang w:eastAsia="en-AU"/>
              </w:rPr>
              <w:t>[0.0292]</w:t>
            </w:r>
          </w:p>
        </w:tc>
        <w:tc>
          <w:tcPr>
            <w:tcW w:w="0" w:type="auto"/>
            <w:tcBorders>
              <w:top w:val="nil"/>
              <w:left w:val="nil"/>
              <w:right w:val="nil"/>
            </w:tcBorders>
            <w:vAlign w:val="center"/>
          </w:tcPr>
          <w:p w14:paraId="45AE0C4C" w14:textId="77777777" w:rsidR="002D243D" w:rsidRPr="009F04CF" w:rsidRDefault="002D243D" w:rsidP="002D243D">
            <w:pPr>
              <w:pStyle w:val="Tablenumber"/>
              <w:rPr>
                <w:lang w:eastAsia="en-AU"/>
              </w:rPr>
            </w:pPr>
            <w:r w:rsidRPr="009F04CF">
              <w:rPr>
                <w:lang w:eastAsia="en-AU"/>
              </w:rPr>
              <w:t>[0.</w:t>
            </w:r>
            <w:r>
              <w:rPr>
                <w:lang w:eastAsia="en-AU"/>
              </w:rPr>
              <w:t>0307</w:t>
            </w:r>
            <w:r w:rsidRPr="009F04CF">
              <w:rPr>
                <w:lang w:eastAsia="en-AU"/>
              </w:rPr>
              <w:t>]</w:t>
            </w:r>
          </w:p>
        </w:tc>
        <w:tc>
          <w:tcPr>
            <w:tcW w:w="0" w:type="auto"/>
            <w:tcBorders>
              <w:top w:val="nil"/>
              <w:left w:val="nil"/>
              <w:right w:val="nil"/>
            </w:tcBorders>
            <w:vAlign w:val="center"/>
          </w:tcPr>
          <w:p w14:paraId="411A8C90" w14:textId="77777777" w:rsidR="002D243D" w:rsidRPr="009F04CF" w:rsidRDefault="002D243D" w:rsidP="002D243D">
            <w:pPr>
              <w:pStyle w:val="Tablenumber"/>
              <w:rPr>
                <w:lang w:eastAsia="en-AU"/>
              </w:rPr>
            </w:pPr>
          </w:p>
        </w:tc>
        <w:tc>
          <w:tcPr>
            <w:tcW w:w="0" w:type="auto"/>
            <w:tcBorders>
              <w:top w:val="nil"/>
              <w:left w:val="nil"/>
              <w:right w:val="nil"/>
            </w:tcBorders>
            <w:shd w:val="clear" w:color="auto" w:fill="auto"/>
            <w:noWrap/>
            <w:vAlign w:val="center"/>
            <w:hideMark/>
          </w:tcPr>
          <w:p w14:paraId="328F38B2" w14:textId="77777777" w:rsidR="002D243D" w:rsidRPr="009F04CF" w:rsidRDefault="002D243D" w:rsidP="000860F1">
            <w:pPr>
              <w:pStyle w:val="Tablenumber"/>
              <w:rPr>
                <w:lang w:eastAsia="en-AU"/>
              </w:rPr>
            </w:pPr>
            <w:r w:rsidRPr="009F04CF">
              <w:rPr>
                <w:lang w:eastAsia="en-AU"/>
              </w:rPr>
              <w:t>[0.</w:t>
            </w:r>
            <w:r w:rsidR="005D4725">
              <w:rPr>
                <w:lang w:eastAsia="en-AU"/>
              </w:rPr>
              <w:t>10</w:t>
            </w:r>
            <w:r w:rsidR="000860F1">
              <w:rPr>
                <w:lang w:eastAsia="en-AU"/>
              </w:rPr>
              <w:t>9</w:t>
            </w:r>
            <w:r w:rsidRPr="009F04CF">
              <w:rPr>
                <w:lang w:eastAsia="en-AU"/>
              </w:rPr>
              <w:t>]</w:t>
            </w:r>
          </w:p>
        </w:tc>
        <w:tc>
          <w:tcPr>
            <w:tcW w:w="0" w:type="auto"/>
            <w:tcBorders>
              <w:top w:val="nil"/>
              <w:left w:val="nil"/>
              <w:right w:val="nil"/>
            </w:tcBorders>
            <w:shd w:val="clear" w:color="auto" w:fill="auto"/>
            <w:noWrap/>
            <w:vAlign w:val="center"/>
            <w:hideMark/>
          </w:tcPr>
          <w:p w14:paraId="3B7EC9F9" w14:textId="77777777" w:rsidR="002D243D" w:rsidRPr="009F04CF" w:rsidRDefault="002D243D" w:rsidP="000860F1">
            <w:pPr>
              <w:pStyle w:val="Tablenumber"/>
              <w:rPr>
                <w:lang w:eastAsia="en-AU"/>
              </w:rPr>
            </w:pPr>
            <w:r w:rsidRPr="009F04CF">
              <w:rPr>
                <w:lang w:eastAsia="en-AU"/>
              </w:rPr>
              <w:t>[0.</w:t>
            </w:r>
            <w:r w:rsidR="000860F1">
              <w:rPr>
                <w:lang w:eastAsia="en-AU"/>
              </w:rPr>
              <w:t>248</w:t>
            </w:r>
            <w:r w:rsidRPr="009F04CF">
              <w:rPr>
                <w:lang w:eastAsia="en-AU"/>
              </w:rPr>
              <w:t>]</w:t>
            </w:r>
          </w:p>
        </w:tc>
      </w:tr>
      <w:tr w:rsidR="000860F1" w:rsidRPr="009F04CF" w14:paraId="5737B77A" w14:textId="77777777" w:rsidTr="00D04A09">
        <w:trPr>
          <w:cantSplit/>
          <w:trHeight w:val="300"/>
        </w:trPr>
        <w:tc>
          <w:tcPr>
            <w:tcW w:w="971" w:type="dxa"/>
            <w:tcBorders>
              <w:top w:val="nil"/>
              <w:left w:val="nil"/>
              <w:bottom w:val="nil"/>
              <w:right w:val="nil"/>
            </w:tcBorders>
            <w:shd w:val="clear" w:color="auto" w:fill="auto"/>
            <w:noWrap/>
            <w:vAlign w:val="center"/>
          </w:tcPr>
          <w:p w14:paraId="3698271E" w14:textId="77777777" w:rsidR="000860F1" w:rsidRPr="009F04CF" w:rsidRDefault="000860F1" w:rsidP="000860F1">
            <w:pPr>
              <w:pStyle w:val="Tablenumber"/>
              <w:ind w:left="0"/>
              <w:rPr>
                <w:lang w:eastAsia="en-AU"/>
              </w:rPr>
            </w:pPr>
            <w:r w:rsidRPr="009F04CF">
              <w:rPr>
                <w:lang w:eastAsia="en-AU"/>
              </w:rPr>
              <w:t>Obs.</w:t>
            </w:r>
          </w:p>
        </w:tc>
        <w:tc>
          <w:tcPr>
            <w:tcW w:w="0" w:type="auto"/>
            <w:tcBorders>
              <w:top w:val="nil"/>
              <w:left w:val="nil"/>
              <w:bottom w:val="nil"/>
              <w:right w:val="nil"/>
            </w:tcBorders>
            <w:shd w:val="clear" w:color="auto" w:fill="auto"/>
            <w:noWrap/>
            <w:vAlign w:val="center"/>
          </w:tcPr>
          <w:p w14:paraId="06218491" w14:textId="77777777" w:rsidR="000860F1" w:rsidRPr="009F04CF" w:rsidRDefault="000860F1" w:rsidP="000860F1">
            <w:pPr>
              <w:pStyle w:val="Tablenumber"/>
              <w:rPr>
                <w:lang w:eastAsia="en-AU"/>
              </w:rPr>
            </w:pPr>
            <w:r>
              <w:rPr>
                <w:lang w:eastAsia="en-AU"/>
              </w:rPr>
              <w:t>32,354</w:t>
            </w:r>
          </w:p>
        </w:tc>
        <w:tc>
          <w:tcPr>
            <w:tcW w:w="0" w:type="auto"/>
            <w:tcBorders>
              <w:top w:val="nil"/>
              <w:left w:val="nil"/>
              <w:bottom w:val="nil"/>
              <w:right w:val="nil"/>
            </w:tcBorders>
            <w:vAlign w:val="center"/>
          </w:tcPr>
          <w:p w14:paraId="4EE759E9" w14:textId="77777777" w:rsidR="000860F1" w:rsidRPr="009F04CF" w:rsidRDefault="000860F1" w:rsidP="000860F1">
            <w:pPr>
              <w:pStyle w:val="Tablenumber"/>
              <w:rPr>
                <w:lang w:eastAsia="en-AU"/>
              </w:rPr>
            </w:pPr>
            <w:r>
              <w:rPr>
                <w:lang w:eastAsia="en-AU"/>
              </w:rPr>
              <w:t>24,788</w:t>
            </w:r>
          </w:p>
        </w:tc>
        <w:tc>
          <w:tcPr>
            <w:tcW w:w="0" w:type="auto"/>
            <w:tcBorders>
              <w:top w:val="nil"/>
              <w:left w:val="nil"/>
              <w:bottom w:val="nil"/>
              <w:right w:val="nil"/>
            </w:tcBorders>
            <w:vAlign w:val="center"/>
          </w:tcPr>
          <w:p w14:paraId="1C711211" w14:textId="77777777" w:rsidR="000860F1" w:rsidRPr="009F04CF" w:rsidRDefault="000860F1" w:rsidP="000860F1">
            <w:pPr>
              <w:pStyle w:val="Tablenumber"/>
              <w:rPr>
                <w:lang w:eastAsia="en-AU"/>
              </w:rPr>
            </w:pPr>
            <w:r>
              <w:rPr>
                <w:rFonts w:eastAsia="Calibri"/>
              </w:rPr>
              <w:t>25,182</w:t>
            </w:r>
          </w:p>
        </w:tc>
        <w:tc>
          <w:tcPr>
            <w:tcW w:w="0" w:type="auto"/>
            <w:tcBorders>
              <w:top w:val="nil"/>
              <w:left w:val="nil"/>
              <w:bottom w:val="nil"/>
              <w:right w:val="nil"/>
            </w:tcBorders>
            <w:vAlign w:val="center"/>
          </w:tcPr>
          <w:p w14:paraId="38CEE886" w14:textId="77777777" w:rsidR="000860F1" w:rsidRPr="009F04CF" w:rsidRDefault="000860F1" w:rsidP="000860F1">
            <w:pPr>
              <w:pStyle w:val="Tablenumber"/>
              <w:rPr>
                <w:lang w:eastAsia="en-AU"/>
              </w:rPr>
            </w:pPr>
          </w:p>
        </w:tc>
        <w:tc>
          <w:tcPr>
            <w:tcW w:w="0" w:type="auto"/>
            <w:tcBorders>
              <w:top w:val="nil"/>
              <w:left w:val="nil"/>
              <w:bottom w:val="nil"/>
              <w:right w:val="nil"/>
            </w:tcBorders>
            <w:shd w:val="clear" w:color="auto" w:fill="auto"/>
            <w:noWrap/>
            <w:vAlign w:val="center"/>
          </w:tcPr>
          <w:p w14:paraId="74BB280E" w14:textId="77777777" w:rsidR="000860F1" w:rsidRPr="009F04CF" w:rsidRDefault="000860F1" w:rsidP="000860F1">
            <w:pPr>
              <w:pStyle w:val="Tablenumber"/>
              <w:rPr>
                <w:lang w:eastAsia="en-AU"/>
              </w:rPr>
            </w:pPr>
            <w:r>
              <w:rPr>
                <w:lang w:eastAsia="en-AU"/>
              </w:rPr>
              <w:t>2,147</w:t>
            </w:r>
          </w:p>
        </w:tc>
        <w:tc>
          <w:tcPr>
            <w:tcW w:w="0" w:type="auto"/>
            <w:tcBorders>
              <w:top w:val="nil"/>
              <w:left w:val="nil"/>
              <w:bottom w:val="nil"/>
              <w:right w:val="nil"/>
            </w:tcBorders>
            <w:shd w:val="clear" w:color="auto" w:fill="auto"/>
            <w:noWrap/>
            <w:vAlign w:val="center"/>
          </w:tcPr>
          <w:p w14:paraId="4AFC96F3" w14:textId="77777777" w:rsidR="000860F1" w:rsidRPr="009F04CF" w:rsidRDefault="000860F1" w:rsidP="000860F1">
            <w:pPr>
              <w:pStyle w:val="Tablenumber"/>
              <w:rPr>
                <w:lang w:eastAsia="en-AU"/>
              </w:rPr>
            </w:pPr>
            <w:r>
              <w:rPr>
                <w:lang w:eastAsia="en-AU"/>
              </w:rPr>
              <w:t>670</w:t>
            </w:r>
          </w:p>
        </w:tc>
      </w:tr>
      <w:tr w:rsidR="000860F1" w:rsidRPr="009F04CF" w14:paraId="6ECE91F1" w14:textId="77777777" w:rsidTr="00D04A09">
        <w:trPr>
          <w:cantSplit/>
          <w:trHeight w:val="300"/>
        </w:trPr>
        <w:tc>
          <w:tcPr>
            <w:tcW w:w="971" w:type="dxa"/>
            <w:tcBorders>
              <w:top w:val="nil"/>
              <w:left w:val="nil"/>
              <w:bottom w:val="single" w:sz="4" w:space="0" w:color="auto"/>
              <w:right w:val="nil"/>
            </w:tcBorders>
            <w:shd w:val="clear" w:color="auto" w:fill="auto"/>
            <w:noWrap/>
            <w:vAlign w:val="center"/>
          </w:tcPr>
          <w:p w14:paraId="0F869CF0" w14:textId="77777777" w:rsidR="000860F1" w:rsidRPr="009F04CF" w:rsidRDefault="000860F1" w:rsidP="000860F1">
            <w:pPr>
              <w:pStyle w:val="Tablenumber"/>
              <w:ind w:left="0"/>
              <w:rPr>
                <w:lang w:eastAsia="en-AU"/>
              </w:rPr>
            </w:pPr>
            <w:r>
              <w:rPr>
                <w:lang w:eastAsia="en-AU"/>
              </w:rPr>
              <w:t>Untreated</w:t>
            </w:r>
          </w:p>
        </w:tc>
        <w:tc>
          <w:tcPr>
            <w:tcW w:w="0" w:type="auto"/>
            <w:tcBorders>
              <w:top w:val="nil"/>
              <w:left w:val="nil"/>
              <w:bottom w:val="single" w:sz="4" w:space="0" w:color="auto"/>
              <w:right w:val="nil"/>
            </w:tcBorders>
            <w:shd w:val="clear" w:color="auto" w:fill="auto"/>
            <w:noWrap/>
            <w:vAlign w:val="center"/>
          </w:tcPr>
          <w:p w14:paraId="3A3F5FF4" w14:textId="77777777" w:rsidR="000860F1" w:rsidRPr="009F04CF" w:rsidRDefault="000860F1" w:rsidP="000860F1">
            <w:pPr>
              <w:pStyle w:val="Tablenumber"/>
              <w:rPr>
                <w:lang w:eastAsia="en-AU"/>
              </w:rPr>
            </w:pPr>
            <w:r>
              <w:rPr>
                <w:lang w:eastAsia="en-AU"/>
              </w:rPr>
              <w:t>6,553</w:t>
            </w:r>
          </w:p>
        </w:tc>
        <w:tc>
          <w:tcPr>
            <w:tcW w:w="0" w:type="auto"/>
            <w:tcBorders>
              <w:top w:val="nil"/>
              <w:left w:val="nil"/>
              <w:bottom w:val="single" w:sz="4" w:space="0" w:color="auto"/>
              <w:right w:val="nil"/>
            </w:tcBorders>
            <w:vAlign w:val="center"/>
          </w:tcPr>
          <w:p w14:paraId="2C50F965" w14:textId="77777777" w:rsidR="000860F1" w:rsidRDefault="000860F1" w:rsidP="000860F1">
            <w:pPr>
              <w:pStyle w:val="Tablenumber"/>
              <w:rPr>
                <w:lang w:eastAsia="en-AU"/>
              </w:rPr>
            </w:pPr>
            <w:r>
              <w:rPr>
                <w:lang w:eastAsia="en-AU"/>
              </w:rPr>
              <w:t>5,066</w:t>
            </w:r>
          </w:p>
        </w:tc>
        <w:tc>
          <w:tcPr>
            <w:tcW w:w="0" w:type="auto"/>
            <w:tcBorders>
              <w:top w:val="nil"/>
              <w:left w:val="nil"/>
              <w:bottom w:val="single" w:sz="4" w:space="0" w:color="auto"/>
              <w:right w:val="nil"/>
            </w:tcBorders>
            <w:vAlign w:val="center"/>
          </w:tcPr>
          <w:p w14:paraId="397C64CB" w14:textId="77777777" w:rsidR="000860F1" w:rsidRDefault="000860F1" w:rsidP="000860F1">
            <w:pPr>
              <w:pStyle w:val="Tablenumber"/>
              <w:rPr>
                <w:lang w:eastAsia="en-AU"/>
              </w:rPr>
            </w:pPr>
            <w:r>
              <w:rPr>
                <w:lang w:eastAsia="en-AU"/>
              </w:rPr>
              <w:t>5,331</w:t>
            </w:r>
          </w:p>
        </w:tc>
        <w:tc>
          <w:tcPr>
            <w:tcW w:w="0" w:type="auto"/>
            <w:tcBorders>
              <w:top w:val="nil"/>
              <w:left w:val="nil"/>
              <w:bottom w:val="single" w:sz="4" w:space="0" w:color="auto"/>
              <w:right w:val="nil"/>
            </w:tcBorders>
            <w:vAlign w:val="center"/>
          </w:tcPr>
          <w:p w14:paraId="74339610" w14:textId="77777777" w:rsidR="000860F1" w:rsidRDefault="000860F1" w:rsidP="000860F1">
            <w:pPr>
              <w:pStyle w:val="Tablenumber"/>
              <w:rPr>
                <w:lang w:eastAsia="en-AU"/>
              </w:rPr>
            </w:pPr>
          </w:p>
        </w:tc>
        <w:tc>
          <w:tcPr>
            <w:tcW w:w="0" w:type="auto"/>
            <w:tcBorders>
              <w:top w:val="nil"/>
              <w:left w:val="nil"/>
              <w:bottom w:val="single" w:sz="4" w:space="0" w:color="auto"/>
              <w:right w:val="nil"/>
            </w:tcBorders>
            <w:shd w:val="clear" w:color="auto" w:fill="auto"/>
            <w:noWrap/>
            <w:vAlign w:val="center"/>
          </w:tcPr>
          <w:p w14:paraId="7A10C73D" w14:textId="77777777" w:rsidR="000860F1" w:rsidRPr="009F04CF" w:rsidRDefault="000860F1" w:rsidP="000860F1">
            <w:pPr>
              <w:pStyle w:val="Tablenumber"/>
              <w:rPr>
                <w:lang w:eastAsia="en-AU"/>
              </w:rPr>
            </w:pPr>
            <w:r>
              <w:rPr>
                <w:lang w:eastAsia="en-AU"/>
              </w:rPr>
              <w:t>515</w:t>
            </w:r>
          </w:p>
        </w:tc>
        <w:tc>
          <w:tcPr>
            <w:tcW w:w="0" w:type="auto"/>
            <w:tcBorders>
              <w:top w:val="nil"/>
              <w:left w:val="nil"/>
              <w:bottom w:val="single" w:sz="4" w:space="0" w:color="auto"/>
              <w:right w:val="nil"/>
            </w:tcBorders>
            <w:shd w:val="clear" w:color="auto" w:fill="auto"/>
            <w:noWrap/>
            <w:vAlign w:val="center"/>
          </w:tcPr>
          <w:p w14:paraId="70B870DC" w14:textId="77777777" w:rsidR="000860F1" w:rsidRPr="009F04CF" w:rsidRDefault="000860F1" w:rsidP="000860F1">
            <w:pPr>
              <w:pStyle w:val="Tablenumber"/>
              <w:rPr>
                <w:lang w:eastAsia="en-AU"/>
              </w:rPr>
            </w:pPr>
            <w:r>
              <w:rPr>
                <w:lang w:eastAsia="en-AU"/>
              </w:rPr>
              <w:t>64</w:t>
            </w:r>
          </w:p>
        </w:tc>
      </w:tr>
    </w:tbl>
    <w:p w14:paraId="05C1CBA8" w14:textId="5986D54B" w:rsidR="000860F1" w:rsidRDefault="00733990" w:rsidP="005D4725">
      <w:pPr>
        <w:pStyle w:val="Tablenote"/>
        <w:rPr>
          <w:rFonts w:eastAsia="Calibri"/>
        </w:rPr>
      </w:pPr>
      <w:r>
        <w:rPr>
          <w:rFonts w:eastAsia="Calibri"/>
        </w:rPr>
        <w:t xml:space="preserve">Notes: </w:t>
      </w:r>
      <w:r w:rsidR="005D4725">
        <w:rPr>
          <w:rFonts w:eastAsia="Calibri"/>
        </w:rPr>
        <w:t>*** significant at 1 percent</w:t>
      </w:r>
      <w:r>
        <w:rPr>
          <w:rFonts w:eastAsia="Calibri"/>
        </w:rPr>
        <w:t xml:space="preserve">. </w:t>
      </w:r>
      <w:r w:rsidRPr="00733990">
        <w:rPr>
          <w:rFonts w:eastAsia="Calibri"/>
        </w:rPr>
        <w:t>Round parenthesis denotes number of observations</w:t>
      </w:r>
      <w:r>
        <w:rPr>
          <w:rFonts w:eastAsia="Calibri"/>
        </w:rPr>
        <w:t>.</w:t>
      </w:r>
    </w:p>
    <w:p w14:paraId="76AE9E4E" w14:textId="42F93283" w:rsidR="005D4725" w:rsidRDefault="005D4725" w:rsidP="00244D01">
      <w:pPr>
        <w:pStyle w:val="Text"/>
        <w:rPr>
          <w:rFonts w:eastAsia="Calibri"/>
        </w:rPr>
      </w:pPr>
      <w:r>
        <w:rPr>
          <w:rFonts w:eastAsia="Calibri"/>
        </w:rPr>
        <w:t xml:space="preserve">We estimate representative </w:t>
      </w:r>
      <w:r w:rsidR="00A20A9E">
        <w:rPr>
          <w:rFonts w:eastAsia="Calibri"/>
        </w:rPr>
        <w:t>additionality implied by our statistical estimate of the treatment effect</w:t>
      </w:r>
      <w:r w:rsidR="00166940">
        <w:rPr>
          <w:rFonts w:eastAsia="Calibri"/>
        </w:rPr>
        <w:t xml:space="preserve"> </w:t>
      </w:r>
      <w:r>
        <w:rPr>
          <w:rFonts w:eastAsia="Calibri"/>
        </w:rPr>
        <w:t>for both the Concession</w:t>
      </w:r>
      <w:r w:rsidR="009653B7">
        <w:rPr>
          <w:rFonts w:eastAsia="Calibri"/>
        </w:rPr>
        <w:t xml:space="preserve"> and </w:t>
      </w:r>
      <w:r>
        <w:rPr>
          <w:rFonts w:eastAsia="Calibri"/>
        </w:rPr>
        <w:t>the Incentive scheme. While th</w:t>
      </w:r>
      <w:r w:rsidR="009653B7">
        <w:rPr>
          <w:rFonts w:eastAsia="Calibri"/>
        </w:rPr>
        <w:t xml:space="preserve">e estimated treatment effect of the Incentive scheme </w:t>
      </w:r>
      <w:r>
        <w:rPr>
          <w:rFonts w:eastAsia="Calibri"/>
        </w:rPr>
        <w:t>is only significant at 16 percent, we argue th</w:t>
      </w:r>
      <w:r w:rsidR="00C977F5">
        <w:rPr>
          <w:rFonts w:eastAsia="Calibri"/>
        </w:rPr>
        <w:t>e</w:t>
      </w:r>
      <w:r>
        <w:rPr>
          <w:rFonts w:eastAsia="Calibri"/>
        </w:rPr>
        <w:t xml:space="preserve"> </w:t>
      </w:r>
      <w:r w:rsidR="00C977F5">
        <w:rPr>
          <w:rFonts w:eastAsia="Calibri"/>
        </w:rPr>
        <w:t>magnitude</w:t>
      </w:r>
      <w:r>
        <w:rPr>
          <w:rFonts w:eastAsia="Calibri"/>
        </w:rPr>
        <w:t xml:space="preserve"> has some illustrative value, particularly in the context of the significant difference-in-difference result, the OLS result and that the scheme appears to have a strong effect on the subsample used in column (5)</w:t>
      </w:r>
      <w:r w:rsidR="009653B7">
        <w:rPr>
          <w:rFonts w:eastAsia="Calibri"/>
        </w:rPr>
        <w:t>.</w:t>
      </w:r>
      <w:r w:rsidR="00166940">
        <w:rPr>
          <w:rFonts w:eastAsia="Calibri"/>
        </w:rPr>
        <w:t xml:space="preserve"> </w:t>
      </w:r>
      <w:r w:rsidR="008B309F">
        <w:rPr>
          <w:rFonts w:eastAsia="Calibri"/>
        </w:rPr>
        <w:t xml:space="preserve">We apply a simple </w:t>
      </w:r>
      <w:r w:rsidR="008B309F">
        <w:rPr>
          <w:rFonts w:eastAsia="Calibri"/>
        </w:rPr>
        <w:lastRenderedPageBreak/>
        <w:t>counterfactual analysis using ABS BERD data to calculate the approximate additionality implied by the tr</w:t>
      </w:r>
      <w:r w:rsidR="005F049A">
        <w:rPr>
          <w:rFonts w:eastAsia="Calibri"/>
        </w:rPr>
        <w:t xml:space="preserve">eatment effect reported above. </w:t>
      </w:r>
      <w:r w:rsidR="008B309F">
        <w:rPr>
          <w:rFonts w:eastAsia="Calibri"/>
        </w:rPr>
        <w:t>Details of the method are</w:t>
      </w:r>
      <w:r w:rsidR="00166940">
        <w:rPr>
          <w:rFonts w:eastAsia="Calibri"/>
        </w:rPr>
        <w:t xml:space="preserve"> outlined below.</w:t>
      </w:r>
      <w:r w:rsidR="009653B7">
        <w:rPr>
          <w:rFonts w:eastAsia="Calibri"/>
        </w:rPr>
        <w:t xml:space="preserve"> </w:t>
      </w:r>
    </w:p>
    <w:p w14:paraId="23FC11F8" w14:textId="195D9336" w:rsidR="004F09FA" w:rsidRDefault="00244D01" w:rsidP="00244D01">
      <w:pPr>
        <w:pStyle w:val="Text"/>
        <w:rPr>
          <w:rFonts w:eastAsia="Calibri"/>
        </w:rPr>
      </w:pPr>
      <w:r>
        <w:rPr>
          <w:rFonts w:eastAsia="Calibri"/>
        </w:rPr>
        <w:t>The definition</w:t>
      </w:r>
      <w:r w:rsidRPr="009F04CF">
        <w:rPr>
          <w:rFonts w:eastAsia="Calibri"/>
        </w:rPr>
        <w:t xml:space="preserve"> of the average treatment effect on the treated is that R&amp;D expenditure in treated firms is β</w:t>
      </w:r>
      <w:r>
        <w:rPr>
          <w:rFonts w:eastAsia="Calibri"/>
        </w:rPr>
        <w:t xml:space="preserve"> percent </w:t>
      </w:r>
      <w:r w:rsidRPr="009F04CF">
        <w:rPr>
          <w:rFonts w:eastAsia="Calibri"/>
        </w:rPr>
        <w:t xml:space="preserve">larger than the amount of R&amp;D expenditure in untreated firms. </w:t>
      </w:r>
      <w:r w:rsidR="004F09FA">
        <w:rPr>
          <w:rFonts w:eastAsia="Calibri"/>
        </w:rPr>
        <w:t xml:space="preserve">The counterfactual R&amp;D (what the R&amp;D would have been in the </w:t>
      </w:r>
      <w:r w:rsidR="00A20A9E">
        <w:rPr>
          <w:rFonts w:eastAsia="Calibri"/>
        </w:rPr>
        <w:t>absence</w:t>
      </w:r>
      <w:r w:rsidR="004F09FA">
        <w:rPr>
          <w:rFonts w:eastAsia="Calibri"/>
        </w:rPr>
        <w:t xml:space="preserve"> of the policy) can be written as: </w:t>
      </w:r>
    </w:p>
    <w:p w14:paraId="0CEA5DA4" w14:textId="523F3B0F" w:rsidR="00706F47" w:rsidRDefault="005741C0" w:rsidP="005741C0">
      <w:pPr>
        <w:pStyle w:val="Text"/>
        <w:jc w:val="center"/>
        <w:rPr>
          <w:rFonts w:eastAsia="Calibri"/>
        </w:rPr>
      </w:pPr>
      <w:r>
        <w:rPr>
          <w:noProof/>
          <w:lang w:eastAsia="en-AU"/>
        </w:rPr>
        <w:drawing>
          <wp:inline distT="0" distB="0" distL="0" distR="0" wp14:anchorId="675DF79F" wp14:editId="5C380A4B">
            <wp:extent cx="5209524" cy="542857"/>
            <wp:effectExtent l="0" t="0" r="0" b="0"/>
            <wp:docPr id="10" name="Picture 10" descr="R&amp;D sub 1 vertical line 0 baseline equals begin fraction R&amp;D sub 1 vertical line 1 over left parenthesis 1 plus beta right parenthesis end fraction" title="Equation 5 counterfactual R&am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09524" cy="542857"/>
                    </a:xfrm>
                    <a:prstGeom prst="rect">
                      <a:avLst/>
                    </a:prstGeom>
                  </pic:spPr>
                </pic:pic>
              </a:graphicData>
            </a:graphic>
          </wp:inline>
        </w:drawing>
      </w:r>
    </w:p>
    <w:p w14:paraId="6F94E5E4" w14:textId="00512DF0" w:rsidR="00244D01" w:rsidRDefault="004F09FA" w:rsidP="00244D01">
      <w:pPr>
        <w:pStyle w:val="Text"/>
        <w:rPr>
          <w:rFonts w:eastAsia="Calibri"/>
        </w:rPr>
      </w:pPr>
      <w:r>
        <w:rPr>
          <w:rFonts w:eastAsia="Calibri"/>
        </w:rPr>
        <w:t xml:space="preserve">We estimate the tax revenue </w:t>
      </w:r>
      <w:r w:rsidR="00405489">
        <w:rPr>
          <w:rFonts w:eastAsia="Calibri"/>
        </w:rPr>
        <w:t>forgone</w:t>
      </w:r>
      <w:r>
        <w:rPr>
          <w:rFonts w:eastAsia="Calibri"/>
        </w:rPr>
        <w:t xml:space="preserve"> as follows. For the</w:t>
      </w:r>
      <w:r w:rsidR="00244D01" w:rsidRPr="009F04CF">
        <w:rPr>
          <w:rFonts w:eastAsia="Calibri"/>
        </w:rPr>
        <w:t xml:space="preserve"> R&amp;D Tax Incentive </w:t>
      </w:r>
      <w:r w:rsidR="00A553C9">
        <w:rPr>
          <w:rFonts w:eastAsia="Calibri"/>
        </w:rPr>
        <w:t xml:space="preserve">note that the tax revenue </w:t>
      </w:r>
      <w:r w:rsidR="00405489">
        <w:rPr>
          <w:rFonts w:eastAsia="Calibri"/>
        </w:rPr>
        <w:t>forgone</w:t>
      </w:r>
      <w:r w:rsidR="00A553C9">
        <w:rPr>
          <w:rFonts w:eastAsia="Calibri"/>
        </w:rPr>
        <w:t xml:space="preserve"> is given by: </w:t>
      </w:r>
    </w:p>
    <w:p w14:paraId="455C0DC7" w14:textId="77777777" w:rsidR="00706F47" w:rsidRPr="009F04CF" w:rsidRDefault="00706F47" w:rsidP="00244D01">
      <w:pPr>
        <w:pStyle w:val="Text"/>
        <w:rPr>
          <w:rFonts w:eastAsia="Calibri"/>
        </w:rPr>
      </w:pPr>
    </w:p>
    <w:p w14:paraId="1B6065C8" w14:textId="3E2D9859" w:rsidR="005741C0" w:rsidRDefault="005741C0" w:rsidP="005741C0">
      <w:pPr>
        <w:pStyle w:val="Text"/>
        <w:jc w:val="center"/>
        <w:rPr>
          <w:rFonts w:eastAsia="Calibri"/>
        </w:rPr>
      </w:pPr>
      <w:r>
        <w:rPr>
          <w:noProof/>
          <w:lang w:eastAsia="en-AU"/>
        </w:rPr>
        <w:drawing>
          <wp:inline distT="0" distB="0" distL="0" distR="0" wp14:anchorId="763A6CE3" wp14:editId="5FB7D726">
            <wp:extent cx="5161905" cy="504762"/>
            <wp:effectExtent l="0" t="0" r="1270" b="0"/>
            <wp:docPr id="12" name="Picture 12" descr="T sub 1 vertical line 0 baseline minus T sub one vertical line one baseline  equals OFFSET multiply R&amp;D sub 1 vertical line 1 ,minus begin fraction CTR over 1 plus beta end fraction  R&amp;D sub one vertical line one" title="Equation 6 tax revenue forgone for the R&amp;D Tax Incen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61905" cy="504762"/>
                    </a:xfrm>
                    <a:prstGeom prst="rect">
                      <a:avLst/>
                    </a:prstGeom>
                  </pic:spPr>
                </pic:pic>
              </a:graphicData>
            </a:graphic>
          </wp:inline>
        </w:drawing>
      </w:r>
    </w:p>
    <w:p w14:paraId="6020E9ED" w14:textId="293BA1D1" w:rsidR="00244D01" w:rsidRDefault="00244D01" w:rsidP="00A20A9E">
      <w:pPr>
        <w:pStyle w:val="Text"/>
        <w:rPr>
          <w:rFonts w:eastAsia="Calibri"/>
        </w:rPr>
      </w:pPr>
      <w:r w:rsidRPr="00A20A9E">
        <w:rPr>
          <w:rFonts w:eastAsia="Calibri"/>
        </w:rPr>
        <w:t>where T are tax liabilities</w:t>
      </w:r>
      <w:r w:rsidR="00A553C9" w:rsidRPr="00A20A9E">
        <w:rPr>
          <w:rFonts w:eastAsia="Calibri"/>
        </w:rPr>
        <w:t xml:space="preserve"> </w:t>
      </w:r>
      <w:r w:rsidRPr="00A20A9E">
        <w:rPr>
          <w:rFonts w:eastAsia="Calibri"/>
        </w:rPr>
        <w:t xml:space="preserve">R&amp;D is </w:t>
      </w:r>
      <w:r w:rsidR="00A553C9" w:rsidRPr="00A20A9E">
        <w:rPr>
          <w:rFonts w:eastAsia="Calibri"/>
        </w:rPr>
        <w:t>NPV of eligible</w:t>
      </w:r>
      <w:r w:rsidRPr="00A20A9E">
        <w:rPr>
          <w:rFonts w:eastAsia="Calibri"/>
        </w:rPr>
        <w:t xml:space="preserve"> R&amp;D expenditure; CTR is the corporate tax rate; and, OFFSET is the value of the tax offset given by the R&amp;D Tax Incentive program (either 40 percent or 45 percent).</w:t>
      </w:r>
      <w:r w:rsidR="004F09FA" w:rsidRPr="00A20A9E">
        <w:rPr>
          <w:rFonts w:eastAsia="Calibri"/>
        </w:rPr>
        <w:t xml:space="preserve"> Using the equation (5) we can write:</w:t>
      </w:r>
    </w:p>
    <w:p w14:paraId="6FBB95E1" w14:textId="293B2E84" w:rsidR="005741C0" w:rsidRDefault="005741C0" w:rsidP="005741C0">
      <w:pPr>
        <w:pStyle w:val="Text"/>
        <w:jc w:val="center"/>
        <w:rPr>
          <w:rFonts w:eastAsia="Calibri"/>
        </w:rPr>
      </w:pPr>
      <w:r>
        <w:rPr>
          <w:noProof/>
          <w:lang w:eastAsia="en-AU"/>
        </w:rPr>
        <w:drawing>
          <wp:inline distT="0" distB="0" distL="0" distR="0" wp14:anchorId="5E743B2B" wp14:editId="36A262DA">
            <wp:extent cx="5161905" cy="457143"/>
            <wp:effectExtent l="0" t="0" r="1270" b="635"/>
            <wp:docPr id="13" name="Picture 13" descr="T subscript 0 minus T subscript 1 equals left parenthesis offset minus begin fraction CTR over 1 one beta end fraction right parenthesis multiply R&amp;D sub 1 vertical line 1" title="Equation 7 tax revenue forgone for the R&amp;D Tax Incentive simpl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61905" cy="457143"/>
                    </a:xfrm>
                    <a:prstGeom prst="rect">
                      <a:avLst/>
                    </a:prstGeom>
                  </pic:spPr>
                </pic:pic>
              </a:graphicData>
            </a:graphic>
          </wp:inline>
        </w:drawing>
      </w:r>
    </w:p>
    <w:p w14:paraId="49C7FC31" w14:textId="33C1D716" w:rsidR="00A20A9E" w:rsidRDefault="00A553C9" w:rsidP="00A20A9E">
      <w:pPr>
        <w:pStyle w:val="Text"/>
        <w:rPr>
          <w:rFonts w:eastAsia="Calibri"/>
        </w:rPr>
      </w:pPr>
      <w:r>
        <w:rPr>
          <w:rFonts w:eastAsia="Calibri"/>
        </w:rPr>
        <w:t xml:space="preserve">We estimate </w:t>
      </w:r>
      <w:r w:rsidR="000860F1">
        <w:rPr>
          <w:rFonts w:eastAsia="Calibri"/>
        </w:rPr>
        <w:t>tax revenue forgone</w:t>
      </w:r>
      <w:r>
        <w:rPr>
          <w:rFonts w:eastAsia="Calibri"/>
        </w:rPr>
        <w:t xml:space="preserve"> for each firm in the sample using</w:t>
      </w:r>
      <w:r w:rsidR="004F09FA">
        <w:rPr>
          <w:rFonts w:eastAsia="Calibri"/>
        </w:rPr>
        <w:t xml:space="preserve"> R&amp;D </w:t>
      </w:r>
      <w:r>
        <w:rPr>
          <w:rFonts w:eastAsia="Calibri"/>
        </w:rPr>
        <w:t>data from the BERD</w:t>
      </w:r>
      <w:r w:rsidR="002E0BFA">
        <w:rPr>
          <w:rFonts w:eastAsia="Calibri"/>
        </w:rPr>
        <w:t xml:space="preserve"> making the simplifying assumption that all R&amp;D is </w:t>
      </w:r>
      <w:r w:rsidR="004F09FA">
        <w:rPr>
          <w:rFonts w:eastAsia="Calibri"/>
        </w:rPr>
        <w:t>eligib</w:t>
      </w:r>
      <w:r w:rsidR="002E0BFA">
        <w:rPr>
          <w:rFonts w:eastAsia="Calibri"/>
        </w:rPr>
        <w:t xml:space="preserve">le. </w:t>
      </w:r>
      <w:r w:rsidR="00A20A9E">
        <w:rPr>
          <w:rFonts w:eastAsia="Calibri"/>
        </w:rPr>
        <w:t>We do not model differences in firm</w:t>
      </w:r>
      <w:r w:rsidR="00E16809">
        <w:rPr>
          <w:rFonts w:eastAsia="Calibri"/>
        </w:rPr>
        <w:t>’</w:t>
      </w:r>
      <w:r w:rsidR="00A20A9E">
        <w:rPr>
          <w:rFonts w:eastAsia="Calibri"/>
        </w:rPr>
        <w:t>s ability to benefit from the Incentive due to</w:t>
      </w:r>
      <w:r w:rsidR="00C977F5">
        <w:rPr>
          <w:rFonts w:eastAsia="Calibri"/>
        </w:rPr>
        <w:t xml:space="preserve"> lack of</w:t>
      </w:r>
      <w:r w:rsidR="00A20A9E">
        <w:rPr>
          <w:rFonts w:eastAsia="Calibri"/>
        </w:rPr>
        <w:t xml:space="preserve"> taxable profits, the refundable offset or time costs of money associated with carry-forward/backs. </w:t>
      </w:r>
      <w:r w:rsidR="007D0FD1">
        <w:rPr>
          <w:rFonts w:eastAsia="Calibri"/>
        </w:rPr>
        <w:t>Time costs associated with allowable d</w:t>
      </w:r>
      <w:r w:rsidR="00A20A9E">
        <w:rPr>
          <w:rFonts w:eastAsia="Calibri"/>
        </w:rPr>
        <w:t xml:space="preserve">epreciation </w:t>
      </w:r>
      <w:r w:rsidR="007D0FD1">
        <w:rPr>
          <w:rFonts w:eastAsia="Calibri"/>
        </w:rPr>
        <w:t xml:space="preserve">rates for </w:t>
      </w:r>
      <w:r w:rsidR="00A20A9E">
        <w:rPr>
          <w:rFonts w:eastAsia="Calibri"/>
        </w:rPr>
        <w:t xml:space="preserve">capital type R&amp;D expenditure is also not modelled. The implication of these assumptions is minimised since we focus on the difference in tax liabilities – the same assumptions are applied to the no policy case (the counterfactual with 100 percent deduction at 30 percent corporate income tax rate) and the policy case. Using ATO data could potentially improve these estimates, but the potential for incomplete data would need to be carefully considered and accommodated (since firms can carry </w:t>
      </w:r>
      <w:r w:rsidR="00A20A9E">
        <w:rPr>
          <w:rFonts w:eastAsia="Calibri"/>
        </w:rPr>
        <w:lastRenderedPageBreak/>
        <w:t>forward and back claims and update their tax position ex-post). Carry forwards also introduces the complexity of discount</w:t>
      </w:r>
      <w:r w:rsidR="00E16809">
        <w:rPr>
          <w:rFonts w:eastAsia="Calibri"/>
        </w:rPr>
        <w:t xml:space="preserve">ing revenue </w:t>
      </w:r>
      <w:r w:rsidR="00405489">
        <w:rPr>
          <w:rFonts w:eastAsia="Calibri"/>
        </w:rPr>
        <w:t>forgone</w:t>
      </w:r>
      <w:r w:rsidR="00E16809">
        <w:rPr>
          <w:rFonts w:eastAsia="Calibri"/>
        </w:rPr>
        <w:t>.</w:t>
      </w:r>
    </w:p>
    <w:p w14:paraId="1822B89F" w14:textId="35B6C25F" w:rsidR="00146B28" w:rsidRDefault="00146B28" w:rsidP="00D21EC4">
      <w:pPr>
        <w:pStyle w:val="Text"/>
        <w:rPr>
          <w:rFonts w:eastAsia="Calibri"/>
        </w:rPr>
      </w:pPr>
      <w:r>
        <w:rPr>
          <w:rFonts w:eastAsia="Calibri"/>
        </w:rPr>
        <w:t>An analogous estimate for the R&amp;D tax Concession shows that</w:t>
      </w:r>
    </w:p>
    <w:p w14:paraId="3F4B954C" w14:textId="2435D2DE" w:rsidR="005741C0" w:rsidRDefault="005741C0" w:rsidP="005741C0">
      <w:pPr>
        <w:pStyle w:val="Text"/>
        <w:jc w:val="center"/>
        <w:rPr>
          <w:rFonts w:eastAsia="Calibri"/>
        </w:rPr>
      </w:pPr>
      <w:r>
        <w:rPr>
          <w:noProof/>
          <w:lang w:eastAsia="en-AU"/>
        </w:rPr>
        <w:drawing>
          <wp:inline distT="0" distB="0" distL="0" distR="0" wp14:anchorId="3FE76112" wp14:editId="406C2430">
            <wp:extent cx="5161905" cy="485714"/>
            <wp:effectExtent l="0" t="0" r="1270" b="0"/>
            <wp:docPr id="14" name="Picture 14" descr="T subscript zero minus CTR left bracket left parenthesis begin fraction 1.25 beta plus 0.25 over 1 plus beta end fraction right parenthesis multiply R&amp;D sub 1 vertical line 1 baseline plus 0.5 INC right bracket" title="Equation 8 tax revenue forgone for the R&amp;D Tax Conc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61905" cy="485714"/>
                    </a:xfrm>
                    <a:prstGeom prst="rect">
                      <a:avLst/>
                    </a:prstGeom>
                  </pic:spPr>
                </pic:pic>
              </a:graphicData>
            </a:graphic>
          </wp:inline>
        </w:drawing>
      </w:r>
    </w:p>
    <w:p w14:paraId="440BCFF7" w14:textId="2746797D" w:rsidR="00020FFC" w:rsidRPr="00D2481A" w:rsidRDefault="00D2481A" w:rsidP="00244D01">
      <w:pPr>
        <w:pStyle w:val="Text"/>
        <w:rPr>
          <w:rFonts w:eastAsia="Calibri"/>
        </w:rPr>
      </w:pPr>
      <w:r>
        <w:rPr>
          <w:rFonts w:eastAsia="Calibri"/>
        </w:rPr>
        <w:t xml:space="preserve">Where </w:t>
      </w:r>
      <w:r>
        <w:rPr>
          <w:noProof/>
          <w:lang w:eastAsia="en-AU"/>
        </w:rPr>
        <w:drawing>
          <wp:inline distT="0" distB="0" distL="0" distR="0" wp14:anchorId="037B2C1E" wp14:editId="7193D273">
            <wp:extent cx="2304762" cy="276190"/>
            <wp:effectExtent l="0" t="0" r="635" b="0"/>
            <wp:docPr id="15" name="Picture 15" descr="INC equals max left brace left parenthesis R&amp;D one vertical line one baseline minus begin fraction 1 over 3 end fraction sigma-summation underscript t minus one overscript t minus 4 endscripts R&amp;D sub one vertical line one baseline right parenthesis comma 0 right bracket" title=" Incremental concession or INC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04762" cy="276190"/>
                    </a:xfrm>
                    <a:prstGeom prst="rect">
                      <a:avLst/>
                    </a:prstGeom>
                  </pic:spPr>
                </pic:pic>
              </a:graphicData>
            </a:graphic>
          </wp:inline>
        </w:drawing>
      </w:r>
      <w:r w:rsidR="00510483" w:rsidRPr="009F04CF">
        <w:rPr>
          <w:rFonts w:eastAsia="Calibri"/>
        </w:rPr>
        <w:t>is the component of R&amp;D eligible for the incremental Concession (expenditure above a 3 year lagged moving average). For tractability we assume that INC is independent of treatment.</w:t>
      </w:r>
      <w:r w:rsidR="00510483">
        <w:rPr>
          <w:rFonts w:eastAsia="Calibri"/>
        </w:rPr>
        <w:t xml:space="preserve"> </w:t>
      </w:r>
    </w:p>
    <w:p w14:paraId="14361239" w14:textId="77777777" w:rsidR="006C5259" w:rsidRPr="00FB000B" w:rsidRDefault="00017579" w:rsidP="006C5259">
      <w:pPr>
        <w:pStyle w:val="Text"/>
        <w:rPr>
          <w:rFonts w:eastAsia="Calibri"/>
        </w:rPr>
      </w:pPr>
      <w:r>
        <w:rPr>
          <w:rFonts w:eastAsia="Calibri"/>
        </w:rPr>
        <w:t>W</w:t>
      </w:r>
      <w:r w:rsidR="00244D01">
        <w:rPr>
          <w:rFonts w:eastAsia="Calibri"/>
        </w:rPr>
        <w:t xml:space="preserve">e arrive at an estimated additionality for the R&amp;D tax Incentive Policy of approximately </w:t>
      </w:r>
      <w:r w:rsidR="00020FFC">
        <w:rPr>
          <w:rFonts w:eastAsia="Calibri"/>
        </w:rPr>
        <w:t>0.</w:t>
      </w:r>
      <w:r w:rsidR="005D074E">
        <w:rPr>
          <w:rFonts w:eastAsia="Calibri"/>
        </w:rPr>
        <w:t>8</w:t>
      </w:r>
      <w:r w:rsidR="00244D01">
        <w:rPr>
          <w:rFonts w:eastAsia="Calibri"/>
        </w:rPr>
        <w:t xml:space="preserve"> dollars of additional R&amp;D per dollar of revenue </w:t>
      </w:r>
      <w:r w:rsidR="00405489">
        <w:rPr>
          <w:rFonts w:eastAsia="Calibri"/>
        </w:rPr>
        <w:t>forgone</w:t>
      </w:r>
      <w:r w:rsidR="00244D01">
        <w:rPr>
          <w:rFonts w:eastAsia="Calibri"/>
        </w:rPr>
        <w:t xml:space="preserve">. </w:t>
      </w:r>
      <w:r w:rsidR="00020FFC">
        <w:rPr>
          <w:rFonts w:eastAsia="Calibri"/>
        </w:rPr>
        <w:t xml:space="preserve">For the </w:t>
      </w:r>
      <w:r w:rsidR="00E570CD">
        <w:rPr>
          <w:rFonts w:eastAsia="Calibri"/>
        </w:rPr>
        <w:t>Concession</w:t>
      </w:r>
      <w:r w:rsidR="00020FFC">
        <w:rPr>
          <w:rFonts w:eastAsia="Calibri"/>
        </w:rPr>
        <w:t xml:space="preserve">, the </w:t>
      </w:r>
      <w:r w:rsidR="00E570CD">
        <w:rPr>
          <w:rFonts w:eastAsia="Calibri"/>
        </w:rPr>
        <w:t xml:space="preserve">estimated </w:t>
      </w:r>
      <w:r w:rsidR="007D0FD1">
        <w:rPr>
          <w:rFonts w:eastAsia="Calibri"/>
        </w:rPr>
        <w:t>policy impact suggest</w:t>
      </w:r>
      <w:r w:rsidR="00E570CD">
        <w:rPr>
          <w:rFonts w:eastAsia="Calibri"/>
        </w:rPr>
        <w:t>s an additionality of 1.</w:t>
      </w:r>
      <w:r w:rsidR="005D074E">
        <w:rPr>
          <w:rFonts w:eastAsia="Calibri"/>
        </w:rPr>
        <w:t>7</w:t>
      </w:r>
      <w:r w:rsidR="00E570CD">
        <w:rPr>
          <w:rFonts w:eastAsia="Calibri"/>
        </w:rPr>
        <w:t>.</w:t>
      </w:r>
      <w:r w:rsidR="00020FFC">
        <w:rPr>
          <w:rFonts w:eastAsia="Calibri"/>
        </w:rPr>
        <w:t xml:space="preserve"> </w:t>
      </w:r>
    </w:p>
    <w:p w14:paraId="7965BFDD" w14:textId="77777777" w:rsidR="00E77026" w:rsidRDefault="00E77026" w:rsidP="00E77026">
      <w:pPr>
        <w:pStyle w:val="Heading1"/>
        <w:rPr>
          <w:rFonts w:eastAsia="Calibri"/>
        </w:rPr>
      </w:pPr>
      <w:r>
        <w:rPr>
          <w:rFonts w:eastAsia="Calibri"/>
        </w:rPr>
        <w:t>Difference-in-difference</w:t>
      </w:r>
    </w:p>
    <w:p w14:paraId="4F7E731A" w14:textId="77777777" w:rsidR="000F6FFA" w:rsidRDefault="000F6FFA" w:rsidP="00A82693">
      <w:pPr>
        <w:pStyle w:val="Text"/>
        <w:rPr>
          <w:rFonts w:eastAsia="Calibri"/>
        </w:rPr>
      </w:pPr>
      <w:r>
        <w:rPr>
          <w:rFonts w:eastAsia="Calibri"/>
        </w:rPr>
        <w:t xml:space="preserve">The </w:t>
      </w:r>
      <w:r w:rsidR="001F6B71">
        <w:rPr>
          <w:rFonts w:eastAsia="Calibri"/>
        </w:rPr>
        <w:t xml:space="preserve">R&amp;D </w:t>
      </w:r>
      <w:r>
        <w:rPr>
          <w:rFonts w:eastAsia="Calibri"/>
        </w:rPr>
        <w:t>Tax Incentive</w:t>
      </w:r>
      <w:r w:rsidR="001F6B71">
        <w:rPr>
          <w:rFonts w:eastAsia="Calibri"/>
        </w:rPr>
        <w:t>, introduced in 2012,</w:t>
      </w:r>
      <w:r>
        <w:rPr>
          <w:rFonts w:eastAsia="Calibri"/>
        </w:rPr>
        <w:t xml:space="preserve"> </w:t>
      </w:r>
      <w:r w:rsidR="00244D01">
        <w:rPr>
          <w:rFonts w:eastAsia="Calibri"/>
        </w:rPr>
        <w:t>is somewhat</w:t>
      </w:r>
      <w:r>
        <w:rPr>
          <w:rFonts w:eastAsia="Calibri"/>
        </w:rPr>
        <w:t xml:space="preserve"> more generous than the </w:t>
      </w:r>
      <w:r w:rsidR="001F6B71">
        <w:rPr>
          <w:rFonts w:eastAsia="Calibri"/>
        </w:rPr>
        <w:t xml:space="preserve">R&amp;D Tax </w:t>
      </w:r>
      <w:r>
        <w:rPr>
          <w:rFonts w:eastAsia="Calibri"/>
        </w:rPr>
        <w:t>Concession it replaced.</w:t>
      </w:r>
      <w:r w:rsidR="00244D01">
        <w:rPr>
          <w:rFonts w:eastAsia="Calibri"/>
        </w:rPr>
        <w:t xml:space="preserve"> </w:t>
      </w:r>
      <w:r w:rsidR="008D5E5E">
        <w:rPr>
          <w:rFonts w:eastAsia="Calibri"/>
        </w:rPr>
        <w:t xml:space="preserve">The Tax Incentive </w:t>
      </w:r>
      <w:r w:rsidR="008D5E5E" w:rsidRPr="009F04CF">
        <w:rPr>
          <w:rFonts w:eastAsia="Calibri"/>
        </w:rPr>
        <w:t>comprises a 45 percent offset (rebate) for small companies (turnover less than $20 million) and a 40 percent offset (rebate) for large companies (turnover greater than $20 million).</w:t>
      </w:r>
      <w:r w:rsidR="008D5E5E">
        <w:rPr>
          <w:rFonts w:eastAsia="Calibri"/>
        </w:rPr>
        <w:t xml:space="preserve"> </w:t>
      </w:r>
      <w:r w:rsidR="00A8178D">
        <w:rPr>
          <w:rFonts w:eastAsia="Calibri"/>
        </w:rPr>
        <w:t>Under the Concession scheme firms could deduct 125 percent of eligible R&amp;D spending and an additional 50 percent of expenditure over and above the average of the past three years</w:t>
      </w:r>
      <w:r w:rsidR="00DE0D57">
        <w:rPr>
          <w:rFonts w:eastAsia="Calibri"/>
        </w:rPr>
        <w:t xml:space="preserve"> (with a corporate income tax rate of 30 percent in 2011)</w:t>
      </w:r>
      <w:r w:rsidR="00A8178D">
        <w:rPr>
          <w:rFonts w:eastAsia="Calibri"/>
        </w:rPr>
        <w:t xml:space="preserve">. </w:t>
      </w:r>
      <w:r w:rsidR="00244D01">
        <w:rPr>
          <w:rFonts w:eastAsia="Calibri"/>
        </w:rPr>
        <w:t>For a</w:t>
      </w:r>
      <w:r w:rsidR="00A8178D">
        <w:rPr>
          <w:rFonts w:eastAsia="Calibri"/>
        </w:rPr>
        <w:t xml:space="preserve"> hypothetical</w:t>
      </w:r>
      <w:r w:rsidR="00244D01">
        <w:rPr>
          <w:rFonts w:eastAsia="Calibri"/>
        </w:rPr>
        <w:t xml:space="preserve"> large firm </w:t>
      </w:r>
      <w:r w:rsidR="00A8178D">
        <w:rPr>
          <w:rFonts w:eastAsia="Calibri"/>
        </w:rPr>
        <w:t>increasing</w:t>
      </w:r>
      <w:r w:rsidR="00A01646">
        <w:rPr>
          <w:rFonts w:eastAsia="Calibri"/>
        </w:rPr>
        <w:t xml:space="preserve"> nominal R&amp;D spend by 5 percent per year, the</w:t>
      </w:r>
      <w:r w:rsidR="00A8178D">
        <w:rPr>
          <w:rFonts w:eastAsia="Calibri"/>
        </w:rPr>
        <w:t xml:space="preserve"> </w:t>
      </w:r>
      <w:r w:rsidR="00A8178D" w:rsidRPr="00135946">
        <w:rPr>
          <w:rFonts w:eastAsia="Calibri"/>
        </w:rPr>
        <w:t>Incentive policy ref</w:t>
      </w:r>
      <w:r w:rsidR="00A01646" w:rsidRPr="00135946">
        <w:rPr>
          <w:rFonts w:eastAsia="Calibri"/>
        </w:rPr>
        <w:t xml:space="preserve">lects an increase </w:t>
      </w:r>
      <w:r w:rsidR="00A8178D" w:rsidRPr="00135946">
        <w:rPr>
          <w:rFonts w:eastAsia="Calibri"/>
        </w:rPr>
        <w:t>from about 8.9 cents on the dollar to 10 cents on the dollar</w:t>
      </w:r>
      <w:r w:rsidR="00A8178D">
        <w:rPr>
          <w:rFonts w:eastAsia="Calibri"/>
        </w:rPr>
        <w:t>.</w:t>
      </w:r>
      <w:r w:rsidR="00A01646">
        <w:rPr>
          <w:rFonts w:eastAsia="Calibri"/>
        </w:rPr>
        <w:t xml:space="preserve"> This figure is higher for small firms and firms that do not increase their R&amp;D spend and smaller for firms that typically increase their R&amp;D spend more than 5 percent per annum.</w:t>
      </w:r>
    </w:p>
    <w:p w14:paraId="411282FD" w14:textId="77777777" w:rsidR="00A8178D" w:rsidRDefault="00A8178D" w:rsidP="00A8178D">
      <w:pPr>
        <w:pStyle w:val="Text"/>
        <w:rPr>
          <w:rFonts w:eastAsia="Calibri"/>
        </w:rPr>
      </w:pPr>
      <w:r>
        <w:rPr>
          <w:rFonts w:eastAsia="Calibri"/>
        </w:rPr>
        <w:t xml:space="preserve">The policy </w:t>
      </w:r>
      <w:r w:rsidR="000F4A09">
        <w:rPr>
          <w:rFonts w:eastAsia="Calibri"/>
        </w:rPr>
        <w:t xml:space="preserve">change </w:t>
      </w:r>
      <w:r>
        <w:rPr>
          <w:rFonts w:eastAsia="Calibri"/>
        </w:rPr>
        <w:t>allows us to implement a difference-in-difference estimator</w:t>
      </w:r>
      <w:r w:rsidR="003D5BF2">
        <w:rPr>
          <w:rFonts w:eastAsia="Calibri"/>
        </w:rPr>
        <w:t xml:space="preserve">. The difference-in-difference approach </w:t>
      </w:r>
      <w:r>
        <w:rPr>
          <w:rFonts w:eastAsia="Calibri"/>
        </w:rPr>
        <w:t>can provide a substantially stronger basis for evaluating the causal effects of policy than either pro</w:t>
      </w:r>
      <w:r w:rsidR="000F4A09">
        <w:rPr>
          <w:rFonts w:eastAsia="Calibri"/>
        </w:rPr>
        <w:t xml:space="preserve">pensity score matching or OLS. </w:t>
      </w:r>
      <w:r>
        <w:rPr>
          <w:rFonts w:eastAsia="Calibri"/>
        </w:rPr>
        <w:t xml:space="preserve">Difference-in-difference estimators </w:t>
      </w:r>
      <w:r w:rsidRPr="003B2520">
        <w:rPr>
          <w:rFonts w:eastAsia="Calibri"/>
        </w:rPr>
        <w:t xml:space="preserve">do not rely on the assumption that </w:t>
      </w:r>
      <w:r>
        <w:rPr>
          <w:rFonts w:eastAsia="Calibri"/>
        </w:rPr>
        <w:t xml:space="preserve">there are </w:t>
      </w:r>
      <w:r w:rsidRPr="003B2520">
        <w:rPr>
          <w:rFonts w:eastAsia="Calibri"/>
        </w:rPr>
        <w:t>no unobserved factors</w:t>
      </w:r>
      <w:r w:rsidR="00960118">
        <w:rPr>
          <w:rFonts w:eastAsia="Calibri"/>
        </w:rPr>
        <w:t xml:space="preserve"> which</w:t>
      </w:r>
      <w:r w:rsidRPr="003B2520">
        <w:rPr>
          <w:rFonts w:eastAsia="Calibri"/>
        </w:rPr>
        <w:t xml:space="preserve"> determine both selection and R&amp;D investment. </w:t>
      </w:r>
      <w:r>
        <w:rPr>
          <w:rFonts w:eastAsia="Calibri"/>
        </w:rPr>
        <w:t>Instead, difference-in-difference is based on what is known as the ‘parallel trends assumption’. The parallel trend</w:t>
      </w:r>
      <w:r w:rsidR="00960118">
        <w:rPr>
          <w:rFonts w:eastAsia="Calibri"/>
        </w:rPr>
        <w:t>s</w:t>
      </w:r>
      <w:r>
        <w:rPr>
          <w:rFonts w:eastAsia="Calibri"/>
        </w:rPr>
        <w:t xml:space="preserve"> assumption states that, even though </w:t>
      </w:r>
      <w:r w:rsidR="00780648">
        <w:rPr>
          <w:rFonts w:eastAsia="Calibri"/>
        </w:rPr>
        <w:t>claiming</w:t>
      </w:r>
      <w:r>
        <w:rPr>
          <w:rFonts w:eastAsia="Calibri"/>
        </w:rPr>
        <w:t xml:space="preserve"> and non-</w:t>
      </w:r>
      <w:r w:rsidR="00780648">
        <w:rPr>
          <w:rFonts w:eastAsia="Calibri"/>
        </w:rPr>
        <w:t>claiming</w:t>
      </w:r>
      <w:r>
        <w:rPr>
          <w:rFonts w:eastAsia="Calibri"/>
        </w:rPr>
        <w:t xml:space="preserve"> firms exhibit a different level of R&amp;D investment (and this may be </w:t>
      </w:r>
      <w:r w:rsidR="000F4A09">
        <w:rPr>
          <w:rFonts w:eastAsia="Calibri"/>
        </w:rPr>
        <w:t>determined in part</w:t>
      </w:r>
      <w:r>
        <w:rPr>
          <w:rFonts w:eastAsia="Calibri"/>
        </w:rPr>
        <w:t xml:space="preserve"> by unobserved factors </w:t>
      </w:r>
      <w:r w:rsidR="000F4A09">
        <w:rPr>
          <w:rFonts w:eastAsia="Calibri"/>
        </w:rPr>
        <w:t>which also</w:t>
      </w:r>
      <w:r>
        <w:rPr>
          <w:rFonts w:eastAsia="Calibri"/>
        </w:rPr>
        <w:t xml:space="preserve"> determine the decision to register) it is plausible that they exhibit the same trend over </w:t>
      </w:r>
      <w:r>
        <w:rPr>
          <w:rFonts w:eastAsia="Calibri"/>
        </w:rPr>
        <w:lastRenderedPageBreak/>
        <w:t xml:space="preserve">time. </w:t>
      </w:r>
      <w:r w:rsidR="00B955A9">
        <w:rPr>
          <w:rFonts w:eastAsia="Calibri"/>
        </w:rPr>
        <w:t>That is</w:t>
      </w:r>
      <w:r>
        <w:rPr>
          <w:rFonts w:eastAsia="Calibri"/>
        </w:rPr>
        <w:t xml:space="preserve">, the assumption is that R&amp;D investment by </w:t>
      </w:r>
      <w:r w:rsidR="00780648">
        <w:rPr>
          <w:rFonts w:eastAsia="Calibri"/>
        </w:rPr>
        <w:t>claiming</w:t>
      </w:r>
      <w:r>
        <w:rPr>
          <w:rFonts w:eastAsia="Calibri"/>
        </w:rPr>
        <w:t xml:space="preserve"> and non-</w:t>
      </w:r>
      <w:r w:rsidR="00780648">
        <w:rPr>
          <w:rFonts w:eastAsia="Calibri"/>
        </w:rPr>
        <w:t>claiming</w:t>
      </w:r>
      <w:r>
        <w:rPr>
          <w:rFonts w:eastAsia="Calibri"/>
        </w:rPr>
        <w:t xml:space="preserve"> firms move in parallel over time because they are subject to the same macro-economic conditions. </w:t>
      </w:r>
    </w:p>
    <w:p w14:paraId="3E3E43BC" w14:textId="77777777" w:rsidR="00D2481A" w:rsidRDefault="00B955A9" w:rsidP="003B5FF6">
      <w:pPr>
        <w:pStyle w:val="Text"/>
        <w:rPr>
          <w:rFonts w:eastAsia="Calibri"/>
        </w:rPr>
      </w:pPr>
      <w:r>
        <w:rPr>
          <w:rFonts w:eastAsia="Calibri"/>
        </w:rPr>
        <w:t>The d</w:t>
      </w:r>
      <w:r w:rsidR="00A20A9E">
        <w:rPr>
          <w:rFonts w:eastAsia="Calibri"/>
        </w:rPr>
        <w:t>ifference-in-difference</w:t>
      </w:r>
      <w:r w:rsidR="00737CFA">
        <w:rPr>
          <w:rFonts w:eastAsia="Calibri"/>
        </w:rPr>
        <w:t xml:space="preserve"> </w:t>
      </w:r>
      <w:r>
        <w:rPr>
          <w:rFonts w:eastAsia="Calibri"/>
        </w:rPr>
        <w:t xml:space="preserve">method </w:t>
      </w:r>
      <w:r w:rsidR="00737CFA">
        <w:rPr>
          <w:rFonts w:eastAsia="Calibri"/>
        </w:rPr>
        <w:t>reflect</w:t>
      </w:r>
      <w:r>
        <w:rPr>
          <w:rFonts w:eastAsia="Calibri"/>
        </w:rPr>
        <w:t>s</w:t>
      </w:r>
      <w:r w:rsidR="00737CFA">
        <w:rPr>
          <w:rFonts w:eastAsia="Calibri"/>
        </w:rPr>
        <w:t xml:space="preserve"> the change in outcome variable (R&amp;D) exhibited by the treated firms </w:t>
      </w:r>
      <w:r w:rsidR="003B5FF6">
        <w:rPr>
          <w:rFonts w:eastAsia="Calibri"/>
        </w:rPr>
        <w:t xml:space="preserve">over and above the change in outcome variable exhibited by the control group. </w:t>
      </w:r>
      <w:r w:rsidR="00737CFA">
        <w:rPr>
          <w:rFonts w:eastAsia="Calibri"/>
        </w:rPr>
        <w:t>In this case</w:t>
      </w:r>
      <w:r w:rsidR="000F4A09">
        <w:rPr>
          <w:rFonts w:eastAsia="Calibri"/>
        </w:rPr>
        <w:t>, the treated sample consist</w:t>
      </w:r>
      <w:r>
        <w:rPr>
          <w:rFonts w:eastAsia="Calibri"/>
        </w:rPr>
        <w:t>s</w:t>
      </w:r>
      <w:r w:rsidR="000F4A09">
        <w:rPr>
          <w:rFonts w:eastAsia="Calibri"/>
        </w:rPr>
        <w:t xml:space="preserve"> of 1256</w:t>
      </w:r>
      <w:r w:rsidR="00737CFA">
        <w:rPr>
          <w:rFonts w:eastAsia="Calibri"/>
        </w:rPr>
        <w:t xml:space="preserve"> firms </w:t>
      </w:r>
      <w:r w:rsidR="000F4A09">
        <w:rPr>
          <w:rFonts w:eastAsia="Calibri"/>
        </w:rPr>
        <w:t xml:space="preserve">which </w:t>
      </w:r>
      <w:r w:rsidR="00737CFA">
        <w:rPr>
          <w:rFonts w:eastAsia="Calibri"/>
        </w:rPr>
        <w:t>claim</w:t>
      </w:r>
      <w:r w:rsidR="000F4A09">
        <w:rPr>
          <w:rFonts w:eastAsia="Calibri"/>
        </w:rPr>
        <w:t>ed</w:t>
      </w:r>
      <w:r w:rsidR="00737CFA">
        <w:rPr>
          <w:rFonts w:eastAsia="Calibri"/>
        </w:rPr>
        <w:t xml:space="preserve"> the Concession in 2011 and the Incentive in 2012</w:t>
      </w:r>
      <w:r w:rsidR="000F4A09">
        <w:rPr>
          <w:rFonts w:eastAsia="Calibri"/>
        </w:rPr>
        <w:t xml:space="preserve">. </w:t>
      </w:r>
      <w:r w:rsidR="00737CFA">
        <w:rPr>
          <w:rFonts w:eastAsia="Calibri"/>
        </w:rPr>
        <w:t xml:space="preserve">The control group </w:t>
      </w:r>
      <w:r w:rsidR="000F4A09">
        <w:rPr>
          <w:rFonts w:eastAsia="Calibri"/>
        </w:rPr>
        <w:t>consist</w:t>
      </w:r>
      <w:r>
        <w:rPr>
          <w:rFonts w:eastAsia="Calibri"/>
        </w:rPr>
        <w:t>s</w:t>
      </w:r>
      <w:r w:rsidR="000F4A09">
        <w:rPr>
          <w:rFonts w:eastAsia="Calibri"/>
        </w:rPr>
        <w:t xml:space="preserve"> of 206 </w:t>
      </w:r>
      <w:r w:rsidR="00737CFA">
        <w:rPr>
          <w:rFonts w:eastAsia="Calibri"/>
        </w:rPr>
        <w:t xml:space="preserve">R&amp;D active firms which do not claim any tax subsidy in </w:t>
      </w:r>
      <w:r w:rsidR="000F4A09">
        <w:rPr>
          <w:rFonts w:eastAsia="Calibri"/>
        </w:rPr>
        <w:t xml:space="preserve">either </w:t>
      </w:r>
      <w:r w:rsidR="00737CFA">
        <w:rPr>
          <w:rFonts w:eastAsia="Calibri"/>
        </w:rPr>
        <w:t>2011 or 2012</w:t>
      </w:r>
      <w:r w:rsidR="000F4A09">
        <w:rPr>
          <w:rFonts w:eastAsia="Calibri"/>
        </w:rPr>
        <w:t xml:space="preserve">. Denoting R&amp;D expenditure by firms in the control group by </w:t>
      </w:r>
      <m:oMath>
        <m:sSub>
          <m:sSubPr>
            <m:ctrlPr>
              <w:rPr>
                <w:rFonts w:ascii="Cambria Math" w:hAnsi="Cambria Math"/>
              </w:rPr>
            </m:ctrlPr>
          </m:sSubPr>
          <m:e>
            <m:r>
              <m:rPr>
                <m:sty m:val="p"/>
              </m:rPr>
              <w:rPr>
                <w:rFonts w:ascii="Cambria Math" w:hAnsi="Cambria Math"/>
              </w:rPr>
              <m:t>R&amp;D</m:t>
            </m:r>
          </m:e>
          <m:sub>
            <m:r>
              <m:rPr>
                <m:sty m:val="p"/>
              </m:rPr>
              <w:rPr>
                <w:rFonts w:ascii="Cambria Math" w:hAnsi="Cambria Math"/>
              </w:rPr>
              <m:t>0|2011</m:t>
            </m:r>
          </m:sub>
        </m:sSub>
      </m:oMath>
      <w:r w:rsidR="000F4A09">
        <w:rPr>
          <w:rFonts w:eastAsia="Calibri"/>
        </w:rPr>
        <w:t xml:space="preserve"> and </w:t>
      </w:r>
      <m:oMath>
        <m:sSub>
          <m:sSubPr>
            <m:ctrlPr>
              <w:rPr>
                <w:rFonts w:ascii="Cambria Math" w:hAnsi="Cambria Math"/>
              </w:rPr>
            </m:ctrlPr>
          </m:sSubPr>
          <m:e>
            <m:r>
              <m:rPr>
                <m:sty m:val="p"/>
              </m:rPr>
              <w:rPr>
                <w:rFonts w:ascii="Cambria Math" w:hAnsi="Cambria Math"/>
              </w:rPr>
              <m:t>R&amp;D</m:t>
            </m:r>
          </m:e>
          <m:sub>
            <m:r>
              <m:rPr>
                <m:sty m:val="p"/>
              </m:rPr>
              <w:rPr>
                <w:rFonts w:ascii="Cambria Math" w:hAnsi="Cambria Math"/>
              </w:rPr>
              <m:t>0|2012</m:t>
            </m:r>
          </m:sub>
        </m:sSub>
      </m:oMath>
      <w:r w:rsidR="000F4A09">
        <w:rPr>
          <w:rFonts w:eastAsia="Calibri"/>
        </w:rPr>
        <w:t xml:space="preserve"> and R&amp;D expenditure by the treated group in 2011 and 2012 by </w:t>
      </w:r>
      <m:oMath>
        <m:sSub>
          <m:sSubPr>
            <m:ctrlPr>
              <w:rPr>
                <w:rFonts w:ascii="Cambria Math" w:hAnsi="Cambria Math"/>
              </w:rPr>
            </m:ctrlPr>
          </m:sSubPr>
          <m:e>
            <m:r>
              <m:rPr>
                <m:sty m:val="p"/>
              </m:rPr>
              <w:rPr>
                <w:rFonts w:ascii="Cambria Math" w:hAnsi="Cambria Math"/>
              </w:rPr>
              <m:t>R&amp;D</m:t>
            </m:r>
          </m:e>
          <m:sub>
            <m:r>
              <m:rPr>
                <m:sty m:val="p"/>
              </m:rPr>
              <w:rPr>
                <w:rFonts w:ascii="Cambria Math" w:hAnsi="Cambria Math"/>
              </w:rPr>
              <m:t>1|2011</m:t>
            </m:r>
          </m:sub>
        </m:sSub>
      </m:oMath>
      <w:r w:rsidR="000F4A09">
        <w:rPr>
          <w:rFonts w:eastAsia="Calibri"/>
        </w:rPr>
        <w:t xml:space="preserve"> and </w:t>
      </w:r>
      <m:oMath>
        <m:sSub>
          <m:sSubPr>
            <m:ctrlPr>
              <w:rPr>
                <w:rFonts w:ascii="Cambria Math" w:hAnsi="Cambria Math"/>
              </w:rPr>
            </m:ctrlPr>
          </m:sSubPr>
          <m:e>
            <m:r>
              <m:rPr>
                <m:sty m:val="p"/>
              </m:rPr>
              <w:rPr>
                <w:rFonts w:ascii="Cambria Math" w:hAnsi="Cambria Math"/>
              </w:rPr>
              <m:t>R&amp;D</m:t>
            </m:r>
          </m:e>
          <m:sub>
            <m:r>
              <m:rPr>
                <m:sty m:val="p"/>
              </m:rPr>
              <w:rPr>
                <w:rFonts w:ascii="Cambria Math" w:hAnsi="Cambria Math"/>
              </w:rPr>
              <m:t>1|2012</m:t>
            </m:r>
          </m:sub>
        </m:sSub>
      </m:oMath>
      <w:r w:rsidR="000F4A09">
        <w:rPr>
          <w:rFonts w:eastAsia="Calibri"/>
        </w:rPr>
        <w:t>, respectively, then t</w:t>
      </w:r>
      <w:r w:rsidR="00737CFA">
        <w:rPr>
          <w:rFonts w:eastAsia="Calibri"/>
        </w:rPr>
        <w:t xml:space="preserve">he difference-in-difference estimator can be </w:t>
      </w:r>
      <w:r w:rsidR="003B5FF6">
        <w:rPr>
          <w:rFonts w:eastAsia="Calibri"/>
        </w:rPr>
        <w:t>written as</w:t>
      </w:r>
      <w:r w:rsidR="00D726C9">
        <w:rPr>
          <w:rFonts w:eastAsia="Calibri"/>
        </w:rPr>
        <w:t>:</w:t>
      </w:r>
    </w:p>
    <w:p w14:paraId="7E37F5E1" w14:textId="1B128EF1" w:rsidR="00A8178D" w:rsidRDefault="00D2481A" w:rsidP="00D2481A">
      <w:pPr>
        <w:pStyle w:val="Text"/>
        <w:jc w:val="center"/>
        <w:rPr>
          <w:rFonts w:eastAsia="Calibri"/>
        </w:rPr>
      </w:pPr>
      <w:r>
        <w:rPr>
          <w:noProof/>
          <w:lang w:eastAsia="en-AU"/>
        </w:rPr>
        <w:drawing>
          <wp:inline distT="0" distB="0" distL="0" distR="0" wp14:anchorId="6071A3AA" wp14:editId="545EDF8A">
            <wp:extent cx="5133333" cy="419048"/>
            <wp:effectExtent l="0" t="0" r="0" b="635"/>
            <wp:docPr id="16" name="Picture 16" descr="Left parenthesis R&amp;D sub 1 vertical line 2012 baseline minus R&amp;D sub 1 vertical line 2011 baseline right parenthesis minus left parenthesis R&amp;D sub 0 vertical one 2012 baseline  minus R&amp;D sub 0 vertical line 2011 baseline right parenthesis" title="Equation 9 difference-in-difference estim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33333" cy="419048"/>
                    </a:xfrm>
                    <a:prstGeom prst="rect">
                      <a:avLst/>
                    </a:prstGeom>
                  </pic:spPr>
                </pic:pic>
              </a:graphicData>
            </a:graphic>
          </wp:inline>
        </w:drawing>
      </w:r>
    </w:p>
    <w:p w14:paraId="30B3B16E" w14:textId="77777777" w:rsidR="00706F47" w:rsidRDefault="00706F47" w:rsidP="003B5FF6">
      <w:pPr>
        <w:pStyle w:val="Text"/>
        <w:rPr>
          <w:rFonts w:eastAsia="Calibri"/>
        </w:rPr>
      </w:pPr>
    </w:p>
    <w:p w14:paraId="1D801A2E" w14:textId="62EF4AC4" w:rsidR="00D726C9" w:rsidRDefault="003B5FF6" w:rsidP="00A82693">
      <w:pPr>
        <w:pStyle w:val="Text"/>
        <w:rPr>
          <w:rFonts w:eastAsia="Calibri"/>
        </w:rPr>
      </w:pPr>
      <w:r>
        <w:rPr>
          <w:rFonts w:eastAsia="Calibri"/>
        </w:rPr>
        <w:t>For statistical inference, i</w:t>
      </w:r>
      <w:r w:rsidR="00D726C9">
        <w:rPr>
          <w:rFonts w:eastAsia="Calibri"/>
        </w:rPr>
        <w:t xml:space="preserve">t is </w:t>
      </w:r>
      <w:r>
        <w:rPr>
          <w:rFonts w:eastAsia="Calibri"/>
        </w:rPr>
        <w:t xml:space="preserve">straightforward to </w:t>
      </w:r>
      <w:r w:rsidR="00D726C9">
        <w:rPr>
          <w:rFonts w:eastAsia="Calibri"/>
        </w:rPr>
        <w:t>derive t</w:t>
      </w:r>
      <w:r>
        <w:rPr>
          <w:rFonts w:eastAsia="Calibri"/>
        </w:rPr>
        <w:t xml:space="preserve">he </w:t>
      </w:r>
      <w:r w:rsidR="00A20A9E">
        <w:rPr>
          <w:rFonts w:eastAsia="Calibri"/>
        </w:rPr>
        <w:t>difference-in-difference</w:t>
      </w:r>
      <w:r>
        <w:rPr>
          <w:rFonts w:eastAsia="Calibri"/>
        </w:rPr>
        <w:t xml:space="preserve"> estimate using </w:t>
      </w:r>
      <w:r w:rsidR="00D726C9">
        <w:rPr>
          <w:rFonts w:eastAsia="Calibri"/>
        </w:rPr>
        <w:t xml:space="preserve">a regression model given by: </w:t>
      </w:r>
    </w:p>
    <w:p w14:paraId="1114210A" w14:textId="3085801B" w:rsidR="00D2481A" w:rsidRDefault="00D2481A" w:rsidP="00D2481A">
      <w:pPr>
        <w:pStyle w:val="Text"/>
        <w:jc w:val="center"/>
        <w:rPr>
          <w:rFonts w:eastAsia="Calibri"/>
        </w:rPr>
      </w:pPr>
      <w:r>
        <w:rPr>
          <w:noProof/>
          <w:lang w:eastAsia="en-AU"/>
        </w:rPr>
        <w:drawing>
          <wp:inline distT="0" distB="0" distL="0" distR="0" wp14:anchorId="0C9057DD" wp14:editId="24A062C5">
            <wp:extent cx="5142857" cy="380952"/>
            <wp:effectExtent l="0" t="0" r="1270" b="635"/>
            <wp:docPr id="17" name="Picture 17" descr="R&amp;D sub it equals beta sub 0 baseline plus beta sub 1 baseline plus beta sub 2 baseline Y2012 plus beta sub 3 baseline left parenthesis Registered multiply Y2012 right parenthesis plus u" title="Equation 10 –difference-in-difference estimate using a regression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142857" cy="380952"/>
                    </a:xfrm>
                    <a:prstGeom prst="rect">
                      <a:avLst/>
                    </a:prstGeom>
                  </pic:spPr>
                </pic:pic>
              </a:graphicData>
            </a:graphic>
          </wp:inline>
        </w:drawing>
      </w:r>
    </w:p>
    <w:p w14:paraId="0170CC99" w14:textId="4DC6133A" w:rsidR="00874DD5" w:rsidRDefault="00874DD5" w:rsidP="00A82693">
      <w:pPr>
        <w:pStyle w:val="Text"/>
        <w:rPr>
          <w:rFonts w:eastAsia="Calibri"/>
        </w:rPr>
      </w:pPr>
      <w:r>
        <w:rPr>
          <w:rFonts w:eastAsia="Calibri"/>
        </w:rPr>
        <w:t xml:space="preserve">Where </w:t>
      </w:r>
      <w:r w:rsidRPr="00AF1493">
        <w:rPr>
          <w:rFonts w:eastAsia="Calibri"/>
          <w:i/>
        </w:rPr>
        <w:t>Registered</w:t>
      </w:r>
      <w:r>
        <w:rPr>
          <w:rFonts w:eastAsia="Calibri"/>
        </w:rPr>
        <w:t xml:space="preserve"> is a dummy for the firms registered for tax subsidies in both 2011 and 2012. </w:t>
      </w:r>
      <m:oMath>
        <m:sSub>
          <m:sSubPr>
            <m:ctrlPr>
              <w:rPr>
                <w:rFonts w:ascii="Cambria Math" w:eastAsia="Calibri" w:hAnsi="Cambria Math"/>
                <w:i/>
              </w:rPr>
            </m:ctrlPr>
          </m:sSubPr>
          <m:e>
            <m:r>
              <w:rPr>
                <w:rFonts w:ascii="Cambria Math" w:hAnsi="Cambria Math"/>
              </w:rPr>
              <m:t>β</m:t>
            </m:r>
          </m:e>
          <m:sub>
            <m:r>
              <w:rPr>
                <w:rFonts w:ascii="Cambria Math" w:hAnsi="Cambria Math"/>
              </w:rPr>
              <m:t>1</m:t>
            </m:r>
          </m:sub>
        </m:sSub>
      </m:oMath>
      <w:r>
        <w:rPr>
          <w:rFonts w:eastAsia="Calibri"/>
        </w:rPr>
        <w:t xml:space="preserve"> reflects the average difference in R&amp;D spending between registered and unregistered firms in both years</w:t>
      </w:r>
      <w:r w:rsidR="00960118">
        <w:rPr>
          <w:rFonts w:eastAsia="Calibri"/>
        </w:rPr>
        <w:t xml:space="preserve">, </w:t>
      </w:r>
      <w:r w:rsidRPr="00AF1493">
        <w:rPr>
          <w:rFonts w:eastAsia="Calibri"/>
          <w:i/>
        </w:rPr>
        <w:t>Y2012</w:t>
      </w:r>
      <w:r>
        <w:rPr>
          <w:rFonts w:eastAsia="Calibri"/>
        </w:rPr>
        <w:t xml:space="preserve"> is a period dummy and is equal to 1 in 2012 and 0 in 2011. The coefficient </w:t>
      </w:r>
      <m:oMath>
        <m:sSub>
          <m:sSubPr>
            <m:ctrlPr>
              <w:rPr>
                <w:rFonts w:ascii="Cambria Math" w:eastAsia="Calibri" w:hAnsi="Cambria Math"/>
                <w:i/>
              </w:rPr>
            </m:ctrlPr>
          </m:sSubPr>
          <m:e>
            <m:r>
              <w:rPr>
                <w:rFonts w:ascii="Cambria Math" w:hAnsi="Cambria Math"/>
              </w:rPr>
              <m:t>β</m:t>
            </m:r>
          </m:e>
          <m:sub>
            <m:r>
              <w:rPr>
                <w:rFonts w:ascii="Cambria Math" w:hAnsi="Cambria Math"/>
              </w:rPr>
              <m:t>2</m:t>
            </m:r>
          </m:sub>
        </m:sSub>
      </m:oMath>
      <w:r>
        <w:rPr>
          <w:rFonts w:eastAsia="Calibri"/>
        </w:rPr>
        <w:t xml:space="preserve"> reflects the average </w:t>
      </w:r>
      <w:r w:rsidR="00BF4574">
        <w:rPr>
          <w:rFonts w:eastAsia="Calibri"/>
        </w:rPr>
        <w:t xml:space="preserve">growth in R&amp;D </w:t>
      </w:r>
      <w:r>
        <w:rPr>
          <w:rFonts w:eastAsia="Calibri"/>
        </w:rPr>
        <w:t xml:space="preserve">between periods. The coefficient of interest is </w:t>
      </w:r>
      <m:oMath>
        <m:sSub>
          <m:sSubPr>
            <m:ctrlPr>
              <w:rPr>
                <w:rFonts w:ascii="Cambria Math" w:eastAsia="Calibri" w:hAnsi="Cambria Math"/>
                <w:i/>
              </w:rPr>
            </m:ctrlPr>
          </m:sSubPr>
          <m:e>
            <m:r>
              <w:rPr>
                <w:rFonts w:ascii="Cambria Math" w:hAnsi="Cambria Math"/>
              </w:rPr>
              <m:t>β</m:t>
            </m:r>
          </m:e>
          <m:sub>
            <m:r>
              <w:rPr>
                <w:rFonts w:ascii="Cambria Math" w:hAnsi="Cambria Math"/>
              </w:rPr>
              <m:t>3</m:t>
            </m:r>
          </m:sub>
        </m:sSub>
      </m:oMath>
      <w:r w:rsidR="00166F55">
        <w:rPr>
          <w:rFonts w:eastAsia="Calibri"/>
        </w:rPr>
        <w:t xml:space="preserve"> </w:t>
      </w:r>
      <w:r>
        <w:rPr>
          <w:rFonts w:eastAsia="Calibri"/>
        </w:rPr>
        <w:t xml:space="preserve">(the interacted term) </w:t>
      </w:r>
      <w:r w:rsidR="00960118">
        <w:rPr>
          <w:rFonts w:eastAsia="Calibri"/>
        </w:rPr>
        <w:t xml:space="preserve">which </w:t>
      </w:r>
      <w:r>
        <w:rPr>
          <w:rFonts w:eastAsia="Calibri"/>
        </w:rPr>
        <w:t xml:space="preserve">can equivalently be </w:t>
      </w:r>
      <w:r w:rsidR="00166F55">
        <w:rPr>
          <w:rFonts w:eastAsia="Calibri"/>
        </w:rPr>
        <w:t>retrieved from a model of the form:</w:t>
      </w:r>
    </w:p>
    <w:p w14:paraId="30503518" w14:textId="7FDEFD68" w:rsidR="00706F47" w:rsidRDefault="00D2481A" w:rsidP="00D2481A">
      <w:pPr>
        <w:pStyle w:val="Text"/>
        <w:jc w:val="center"/>
        <w:rPr>
          <w:rFonts w:eastAsia="Calibri"/>
        </w:rPr>
      </w:pPr>
      <w:r>
        <w:rPr>
          <w:noProof/>
          <w:lang w:eastAsia="en-AU"/>
        </w:rPr>
        <w:drawing>
          <wp:inline distT="0" distB="0" distL="0" distR="0" wp14:anchorId="44D3E614" wp14:editId="3C906903">
            <wp:extent cx="5114286" cy="447619"/>
            <wp:effectExtent l="0" t="0" r="0" b="0"/>
            <wp:docPr id="18" name="Picture 18" descr="Triangle R&amp;D sub I equals beta sub 3 baseline Registered plus epsilon" title="Equation 11 change in R&amp;D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14286" cy="447619"/>
                    </a:xfrm>
                    <a:prstGeom prst="rect">
                      <a:avLst/>
                    </a:prstGeom>
                  </pic:spPr>
                </pic:pic>
              </a:graphicData>
            </a:graphic>
          </wp:inline>
        </w:drawing>
      </w:r>
    </w:p>
    <w:p w14:paraId="5D54D725" w14:textId="605EC18E" w:rsidR="007F3B31" w:rsidRDefault="00166F55" w:rsidP="00A82693">
      <w:pPr>
        <w:pStyle w:val="Text"/>
        <w:rPr>
          <w:rFonts w:eastAsia="Calibri"/>
        </w:rPr>
      </w:pPr>
      <w:r>
        <w:rPr>
          <w:rFonts w:eastAsia="Calibri"/>
        </w:rPr>
        <w:t xml:space="preserve">The latter model reflects the first difference transformation </w:t>
      </w:r>
      <w:r w:rsidR="000E5562">
        <w:rPr>
          <w:rFonts w:eastAsia="Calibri"/>
        </w:rPr>
        <w:t xml:space="preserve">of equation (10) thereby controlling for </w:t>
      </w:r>
      <w:r>
        <w:rPr>
          <w:rFonts w:eastAsia="Calibri"/>
        </w:rPr>
        <w:t xml:space="preserve">individual fixed effects. </w:t>
      </w:r>
      <w:r w:rsidR="000E5562">
        <w:rPr>
          <w:rFonts w:eastAsia="Calibri"/>
        </w:rPr>
        <w:t xml:space="preserve">Controlling for individual attributes </w:t>
      </w:r>
      <w:r>
        <w:rPr>
          <w:rFonts w:eastAsia="Calibri"/>
        </w:rPr>
        <w:t xml:space="preserve">does not impact on </w:t>
      </w:r>
      <w:r w:rsidR="00D726C9">
        <w:rPr>
          <w:rFonts w:eastAsia="Calibri"/>
        </w:rPr>
        <w:t>identification</w:t>
      </w:r>
      <w:r>
        <w:rPr>
          <w:rFonts w:eastAsia="Calibri"/>
        </w:rPr>
        <w:t xml:space="preserve"> of the coefficient of interest</w:t>
      </w:r>
      <w:r w:rsidR="00D726C9">
        <w:rPr>
          <w:rFonts w:eastAsia="Calibri"/>
        </w:rPr>
        <w:t>, but can increase the efficiency (</w:t>
      </w:r>
      <w:r w:rsidR="007F3B31">
        <w:rPr>
          <w:rFonts w:eastAsia="Calibri"/>
        </w:rPr>
        <w:t>Angrist and Pisch</w:t>
      </w:r>
      <w:r>
        <w:rPr>
          <w:rFonts w:eastAsia="Calibri"/>
        </w:rPr>
        <w:t>ke</w:t>
      </w:r>
      <w:r w:rsidR="007F3B31">
        <w:rPr>
          <w:rFonts w:eastAsia="Calibri"/>
        </w:rPr>
        <w:t xml:space="preserve"> 2009</w:t>
      </w:r>
      <w:r w:rsidR="00D726C9">
        <w:rPr>
          <w:rFonts w:eastAsia="Calibri"/>
        </w:rPr>
        <w:t>). Results for the es</w:t>
      </w:r>
      <w:r w:rsidR="007F3B31">
        <w:rPr>
          <w:rFonts w:eastAsia="Calibri"/>
        </w:rPr>
        <w:t>t</w:t>
      </w:r>
      <w:r w:rsidR="00733990">
        <w:rPr>
          <w:rFonts w:eastAsia="Calibri"/>
        </w:rPr>
        <w:t>imates are presented in table 9</w:t>
      </w:r>
      <w:r w:rsidR="00D726C9">
        <w:rPr>
          <w:rFonts w:eastAsia="Calibri"/>
        </w:rPr>
        <w:t xml:space="preserve"> below</w:t>
      </w:r>
      <w:r w:rsidR="007F3B31">
        <w:rPr>
          <w:rFonts w:eastAsia="Calibri"/>
        </w:rPr>
        <w:t xml:space="preserve">; column 1 presents </w:t>
      </w:r>
      <w:r w:rsidR="000E5562">
        <w:rPr>
          <w:rFonts w:eastAsia="Calibri"/>
        </w:rPr>
        <w:t>baseline result (equation 11)</w:t>
      </w:r>
      <w:r w:rsidR="007F3B31">
        <w:rPr>
          <w:rFonts w:eastAsia="Calibri"/>
        </w:rPr>
        <w:t xml:space="preserve"> and in column</w:t>
      </w:r>
      <w:r w:rsidR="000E5562">
        <w:rPr>
          <w:rFonts w:eastAsia="Calibri"/>
        </w:rPr>
        <w:t xml:space="preserve"> 2 additional time varying firm-</w:t>
      </w:r>
      <w:r w:rsidR="007F3B31">
        <w:rPr>
          <w:rFonts w:eastAsia="Calibri"/>
        </w:rPr>
        <w:t xml:space="preserve">level controls are </w:t>
      </w:r>
      <w:r w:rsidR="000E5562">
        <w:rPr>
          <w:rFonts w:eastAsia="Calibri"/>
        </w:rPr>
        <w:t>added</w:t>
      </w:r>
      <w:r w:rsidR="007F3B31">
        <w:rPr>
          <w:rFonts w:eastAsia="Calibri"/>
        </w:rPr>
        <w:t xml:space="preserve">. These indicate that the transition from </w:t>
      </w:r>
      <w:r w:rsidR="007F3B31">
        <w:rPr>
          <w:rFonts w:eastAsia="Calibri"/>
        </w:rPr>
        <w:lastRenderedPageBreak/>
        <w:t>the Concession to the Incentive policy led to an increase in R&amp;D spending of around 13 per</w:t>
      </w:r>
      <w:r w:rsidR="00B955A9">
        <w:rPr>
          <w:rFonts w:eastAsia="Calibri"/>
        </w:rPr>
        <w:t xml:space="preserve"> </w:t>
      </w:r>
      <w:r w:rsidR="007F3B31">
        <w:rPr>
          <w:rFonts w:eastAsia="Calibri"/>
        </w:rPr>
        <w:t>cent for those firms which transitioned in 2012 and is statistically significant at the 5 per</w:t>
      </w:r>
      <w:r w:rsidR="00B955A9">
        <w:rPr>
          <w:rFonts w:eastAsia="Calibri"/>
        </w:rPr>
        <w:t xml:space="preserve"> </w:t>
      </w:r>
      <w:r w:rsidR="007F3B31">
        <w:rPr>
          <w:rFonts w:eastAsia="Calibri"/>
        </w:rPr>
        <w:t>cent level.</w:t>
      </w:r>
    </w:p>
    <w:p w14:paraId="1ACE9F9A" w14:textId="2BF0B274" w:rsidR="007F3B31" w:rsidRDefault="00733990" w:rsidP="007F3B31">
      <w:pPr>
        <w:pStyle w:val="Caption"/>
        <w:rPr>
          <w:rFonts w:eastAsia="Calibri"/>
        </w:rPr>
      </w:pPr>
      <w:r>
        <w:rPr>
          <w:rFonts w:eastAsia="Calibri"/>
        </w:rPr>
        <w:t>Table 9</w:t>
      </w:r>
      <w:r w:rsidR="00B955A9">
        <w:rPr>
          <w:rFonts w:eastAsia="Calibri"/>
        </w:rPr>
        <w:t>. D</w:t>
      </w:r>
      <w:r w:rsidR="00A20A9E">
        <w:rPr>
          <w:rFonts w:eastAsia="Calibri"/>
        </w:rPr>
        <w:t>ifference-in-difference</w:t>
      </w:r>
      <w:r w:rsidR="007F3B31">
        <w:rPr>
          <w:rFonts w:eastAsia="Calibri"/>
        </w:rPr>
        <w:t xml:space="preserve"> estimates. Dependent variable: growth in R&amp;D</w:t>
      </w:r>
      <w:r w:rsidR="00B955A9">
        <w:rPr>
          <w:rFonts w:eastAsia="Calibri"/>
        </w:rPr>
        <w:t xml:space="preserve"> expenditure</w:t>
      </w:r>
    </w:p>
    <w:tbl>
      <w:tblPr>
        <w:tblW w:w="6248" w:type="dxa"/>
        <w:tblInd w:w="108" w:type="dxa"/>
        <w:tblBorders>
          <w:top w:val="single" w:sz="4" w:space="0" w:color="auto"/>
          <w:bottom w:val="single" w:sz="4" w:space="0" w:color="auto"/>
        </w:tblBorders>
        <w:tblLook w:val="04A0" w:firstRow="1" w:lastRow="0" w:firstColumn="1" w:lastColumn="0" w:noHBand="0" w:noVBand="1"/>
        <w:tblCaption w:val="Table 9: Table of difference-in-difference estimates."/>
        <w:tblDescription w:val="The dependent variable is growth in R&amp;D expenditure. Squared parenthesis denotes standard deviation. Round parenthesis denotes number of observations.&#10;&#10;Column 1: Firms receiving R&amp;D tax subsidies from both 2011 and 2012: 0.136 [0.0560] (1,462)&#10;Column 2: Firms receiving R&amp;D tax subsidies from both 2011 and 2012 controlling for growth in turnover, growth in wages and grant recipient status: 0.126 [0.0558] (1,462)"/>
      </w:tblPr>
      <w:tblGrid>
        <w:gridCol w:w="3250"/>
        <w:gridCol w:w="1454"/>
        <w:gridCol w:w="1544"/>
      </w:tblGrid>
      <w:tr w:rsidR="00E21DEE" w:rsidRPr="00E21DEE" w14:paraId="5827A9B8" w14:textId="77777777" w:rsidTr="00D04A09">
        <w:trPr>
          <w:cantSplit/>
          <w:trHeight w:val="264"/>
          <w:tblHeader/>
        </w:trPr>
        <w:tc>
          <w:tcPr>
            <w:tcW w:w="3250" w:type="dxa"/>
            <w:tcBorders>
              <w:top w:val="single" w:sz="4" w:space="0" w:color="auto"/>
              <w:bottom w:val="single" w:sz="4" w:space="0" w:color="auto"/>
            </w:tcBorders>
            <w:shd w:val="clear" w:color="auto" w:fill="auto"/>
            <w:noWrap/>
            <w:vAlign w:val="bottom"/>
            <w:hideMark/>
          </w:tcPr>
          <w:p w14:paraId="03CDA5C6" w14:textId="77777777" w:rsidR="00E21DEE" w:rsidRPr="007F3B31" w:rsidRDefault="00E21DEE" w:rsidP="00E21DEE">
            <w:pPr>
              <w:pStyle w:val="Tablenumber"/>
              <w:rPr>
                <w:b/>
                <w:lang w:val="en-GB" w:eastAsia="en-GB"/>
              </w:rPr>
            </w:pPr>
          </w:p>
        </w:tc>
        <w:tc>
          <w:tcPr>
            <w:tcW w:w="1454" w:type="dxa"/>
            <w:tcBorders>
              <w:top w:val="single" w:sz="4" w:space="0" w:color="auto"/>
              <w:bottom w:val="single" w:sz="4" w:space="0" w:color="auto"/>
            </w:tcBorders>
            <w:shd w:val="clear" w:color="auto" w:fill="auto"/>
            <w:noWrap/>
            <w:vAlign w:val="bottom"/>
            <w:hideMark/>
          </w:tcPr>
          <w:p w14:paraId="035D53B5" w14:textId="77777777" w:rsidR="00E21DEE" w:rsidRPr="007F3B31" w:rsidRDefault="0032199D" w:rsidP="00E21DEE">
            <w:pPr>
              <w:pStyle w:val="Tablenumber"/>
              <w:rPr>
                <w:b/>
                <w:lang w:val="en-GB" w:eastAsia="en-GB"/>
              </w:rPr>
            </w:pPr>
            <w:r w:rsidRPr="007F3B31">
              <w:rPr>
                <w:b/>
                <w:lang w:val="en-GB" w:eastAsia="en-GB"/>
              </w:rPr>
              <w:t>(1)</w:t>
            </w:r>
          </w:p>
        </w:tc>
        <w:tc>
          <w:tcPr>
            <w:tcW w:w="1544" w:type="dxa"/>
            <w:tcBorders>
              <w:top w:val="single" w:sz="4" w:space="0" w:color="auto"/>
              <w:bottom w:val="single" w:sz="4" w:space="0" w:color="auto"/>
            </w:tcBorders>
            <w:shd w:val="clear" w:color="auto" w:fill="auto"/>
            <w:noWrap/>
            <w:vAlign w:val="bottom"/>
            <w:hideMark/>
          </w:tcPr>
          <w:p w14:paraId="2E60F1C4" w14:textId="77777777" w:rsidR="00E21DEE" w:rsidRPr="007F3B31" w:rsidRDefault="0032199D" w:rsidP="00E21DEE">
            <w:pPr>
              <w:pStyle w:val="Tablenumber"/>
              <w:rPr>
                <w:b/>
                <w:lang w:val="en-GB" w:eastAsia="en-GB"/>
              </w:rPr>
            </w:pPr>
            <w:r w:rsidRPr="007F3B31">
              <w:rPr>
                <w:b/>
                <w:lang w:val="en-GB" w:eastAsia="en-GB"/>
              </w:rPr>
              <w:t>(2)</w:t>
            </w:r>
          </w:p>
        </w:tc>
      </w:tr>
      <w:tr w:rsidR="00E21DEE" w:rsidRPr="00E21DEE" w14:paraId="1EDD6933" w14:textId="77777777" w:rsidTr="00D04A09">
        <w:trPr>
          <w:cantSplit/>
          <w:trHeight w:val="264"/>
        </w:trPr>
        <w:tc>
          <w:tcPr>
            <w:tcW w:w="3250" w:type="dxa"/>
            <w:tcBorders>
              <w:top w:val="single" w:sz="4" w:space="0" w:color="auto"/>
            </w:tcBorders>
            <w:shd w:val="clear" w:color="auto" w:fill="auto"/>
            <w:noWrap/>
            <w:vAlign w:val="bottom"/>
            <w:hideMark/>
          </w:tcPr>
          <w:p w14:paraId="04A6D68F" w14:textId="77777777" w:rsidR="00E21DEE" w:rsidRPr="00E21DEE" w:rsidRDefault="00E21DEE" w:rsidP="00E21DEE">
            <w:pPr>
              <w:pStyle w:val="Tablenumber"/>
              <w:rPr>
                <w:lang w:val="en-GB" w:eastAsia="en-GB"/>
              </w:rPr>
            </w:pPr>
          </w:p>
        </w:tc>
        <w:tc>
          <w:tcPr>
            <w:tcW w:w="1454" w:type="dxa"/>
            <w:tcBorders>
              <w:top w:val="single" w:sz="4" w:space="0" w:color="auto"/>
            </w:tcBorders>
            <w:shd w:val="clear" w:color="auto" w:fill="auto"/>
            <w:noWrap/>
            <w:vAlign w:val="bottom"/>
            <w:hideMark/>
          </w:tcPr>
          <w:p w14:paraId="0F81CFD8" w14:textId="77777777" w:rsidR="00E21DEE" w:rsidRPr="00E21DEE" w:rsidRDefault="00E21DEE" w:rsidP="00E21DEE">
            <w:pPr>
              <w:pStyle w:val="Tablenumber"/>
              <w:rPr>
                <w:lang w:val="en-GB" w:eastAsia="en-GB"/>
              </w:rPr>
            </w:pPr>
          </w:p>
        </w:tc>
        <w:tc>
          <w:tcPr>
            <w:tcW w:w="1544" w:type="dxa"/>
            <w:tcBorders>
              <w:top w:val="single" w:sz="4" w:space="0" w:color="auto"/>
            </w:tcBorders>
            <w:shd w:val="clear" w:color="auto" w:fill="auto"/>
            <w:noWrap/>
            <w:vAlign w:val="bottom"/>
            <w:hideMark/>
          </w:tcPr>
          <w:p w14:paraId="020F452C" w14:textId="77777777" w:rsidR="00E21DEE" w:rsidRPr="00E21DEE" w:rsidRDefault="00E21DEE" w:rsidP="00E21DEE">
            <w:pPr>
              <w:pStyle w:val="Tablenumber"/>
              <w:rPr>
                <w:lang w:val="en-GB" w:eastAsia="en-GB"/>
              </w:rPr>
            </w:pPr>
          </w:p>
        </w:tc>
      </w:tr>
      <w:tr w:rsidR="00E21DEE" w:rsidRPr="00E21DEE" w14:paraId="62404632" w14:textId="77777777" w:rsidTr="00D04A09">
        <w:trPr>
          <w:cantSplit/>
          <w:trHeight w:val="264"/>
        </w:trPr>
        <w:tc>
          <w:tcPr>
            <w:tcW w:w="3250" w:type="dxa"/>
            <w:shd w:val="clear" w:color="auto" w:fill="auto"/>
            <w:noWrap/>
            <w:vAlign w:val="bottom"/>
            <w:hideMark/>
          </w:tcPr>
          <w:p w14:paraId="2F19968F" w14:textId="77777777" w:rsidR="00E21DEE" w:rsidRPr="00E21DEE" w:rsidRDefault="007F3B31" w:rsidP="007F3B31">
            <w:pPr>
              <w:pStyle w:val="Tablenumber"/>
              <w:rPr>
                <w:rFonts w:ascii="Arial" w:hAnsi="Arial" w:cs="Arial"/>
                <w:lang w:val="en-GB" w:eastAsia="en-GB"/>
              </w:rPr>
            </w:pPr>
            <w:r>
              <w:rPr>
                <w:rFonts w:ascii="Arial" w:hAnsi="Arial" w:cs="Arial"/>
                <w:lang w:val="en-GB" w:eastAsia="en-GB"/>
              </w:rPr>
              <w:t>Firms receiving R&amp;D tax subsidies (</w:t>
            </w:r>
            <w:r w:rsidR="0032199D">
              <w:rPr>
                <w:rFonts w:ascii="Arial" w:hAnsi="Arial" w:cs="Arial"/>
                <w:lang w:val="en-GB" w:eastAsia="en-GB"/>
              </w:rPr>
              <w:t>Concession</w:t>
            </w:r>
            <w:r>
              <w:rPr>
                <w:rFonts w:ascii="Arial" w:hAnsi="Arial" w:cs="Arial"/>
                <w:lang w:val="en-GB" w:eastAsia="en-GB"/>
              </w:rPr>
              <w:t xml:space="preserve"> in 2011 and </w:t>
            </w:r>
            <w:r w:rsidR="0032199D">
              <w:rPr>
                <w:rFonts w:ascii="Arial" w:hAnsi="Arial" w:cs="Arial"/>
                <w:lang w:val="en-GB" w:eastAsia="en-GB"/>
              </w:rPr>
              <w:t xml:space="preserve">Incentive </w:t>
            </w:r>
            <w:r>
              <w:rPr>
                <w:rFonts w:ascii="Arial" w:hAnsi="Arial" w:cs="Arial"/>
                <w:lang w:val="en-GB" w:eastAsia="en-GB"/>
              </w:rPr>
              <w:t>in 2012)</w:t>
            </w:r>
          </w:p>
        </w:tc>
        <w:tc>
          <w:tcPr>
            <w:tcW w:w="1454" w:type="dxa"/>
            <w:shd w:val="clear" w:color="auto" w:fill="auto"/>
            <w:noWrap/>
            <w:vAlign w:val="bottom"/>
            <w:hideMark/>
          </w:tcPr>
          <w:p w14:paraId="03B1ABF1" w14:textId="77777777" w:rsidR="00E21DEE" w:rsidRPr="00E21DEE" w:rsidRDefault="00E21DEE" w:rsidP="00E21DEE">
            <w:pPr>
              <w:pStyle w:val="Tablenumber"/>
              <w:rPr>
                <w:rFonts w:ascii="Arial" w:hAnsi="Arial" w:cs="Arial"/>
                <w:lang w:val="en-GB" w:eastAsia="en-GB"/>
              </w:rPr>
            </w:pPr>
            <w:r w:rsidRPr="00E21DEE">
              <w:rPr>
                <w:rFonts w:ascii="Arial" w:hAnsi="Arial" w:cs="Arial"/>
                <w:lang w:val="en-GB" w:eastAsia="en-GB"/>
              </w:rPr>
              <w:t>0.136**</w:t>
            </w:r>
          </w:p>
        </w:tc>
        <w:tc>
          <w:tcPr>
            <w:tcW w:w="1544" w:type="dxa"/>
            <w:shd w:val="clear" w:color="auto" w:fill="auto"/>
            <w:noWrap/>
            <w:vAlign w:val="bottom"/>
            <w:hideMark/>
          </w:tcPr>
          <w:p w14:paraId="521DF4AC" w14:textId="77777777" w:rsidR="00E21DEE" w:rsidRPr="00E21DEE" w:rsidRDefault="00E21DEE" w:rsidP="00E21DEE">
            <w:pPr>
              <w:pStyle w:val="Tablenumber"/>
              <w:rPr>
                <w:rFonts w:ascii="Arial" w:hAnsi="Arial" w:cs="Arial"/>
                <w:lang w:val="en-GB" w:eastAsia="en-GB"/>
              </w:rPr>
            </w:pPr>
            <w:r w:rsidRPr="00E21DEE">
              <w:rPr>
                <w:rFonts w:ascii="Arial" w:hAnsi="Arial" w:cs="Arial"/>
                <w:lang w:val="en-GB" w:eastAsia="en-GB"/>
              </w:rPr>
              <w:t>0.126**</w:t>
            </w:r>
          </w:p>
        </w:tc>
      </w:tr>
      <w:tr w:rsidR="00E21DEE" w:rsidRPr="00E21DEE" w14:paraId="53DE83AF" w14:textId="77777777" w:rsidTr="00D04A09">
        <w:trPr>
          <w:cantSplit/>
          <w:trHeight w:val="264"/>
        </w:trPr>
        <w:tc>
          <w:tcPr>
            <w:tcW w:w="3250" w:type="dxa"/>
            <w:shd w:val="clear" w:color="auto" w:fill="auto"/>
            <w:noWrap/>
            <w:vAlign w:val="bottom"/>
            <w:hideMark/>
          </w:tcPr>
          <w:p w14:paraId="56D1D297" w14:textId="77777777" w:rsidR="00E21DEE" w:rsidRPr="00E21DEE" w:rsidRDefault="00E21DEE" w:rsidP="00E21DEE">
            <w:pPr>
              <w:pStyle w:val="Tablenumber"/>
              <w:rPr>
                <w:rFonts w:ascii="Arial" w:hAnsi="Arial" w:cs="Arial"/>
                <w:lang w:val="en-GB" w:eastAsia="en-GB"/>
              </w:rPr>
            </w:pPr>
          </w:p>
        </w:tc>
        <w:tc>
          <w:tcPr>
            <w:tcW w:w="1454" w:type="dxa"/>
            <w:shd w:val="clear" w:color="auto" w:fill="auto"/>
            <w:noWrap/>
            <w:vAlign w:val="bottom"/>
            <w:hideMark/>
          </w:tcPr>
          <w:p w14:paraId="4A88D04F" w14:textId="77777777" w:rsidR="00E21DEE" w:rsidRPr="00E21DEE" w:rsidRDefault="00E21DEE" w:rsidP="00E21DEE">
            <w:pPr>
              <w:pStyle w:val="Tablenumber"/>
              <w:rPr>
                <w:rFonts w:ascii="Arial" w:hAnsi="Arial" w:cs="Arial"/>
                <w:lang w:val="en-GB" w:eastAsia="en-GB"/>
              </w:rPr>
            </w:pPr>
            <w:r w:rsidRPr="00E21DEE">
              <w:rPr>
                <w:rFonts w:ascii="Arial" w:hAnsi="Arial" w:cs="Arial"/>
                <w:lang w:val="en-GB" w:eastAsia="en-GB"/>
              </w:rPr>
              <w:t>(0.0560)</w:t>
            </w:r>
          </w:p>
        </w:tc>
        <w:tc>
          <w:tcPr>
            <w:tcW w:w="1544" w:type="dxa"/>
            <w:shd w:val="clear" w:color="auto" w:fill="auto"/>
            <w:noWrap/>
            <w:vAlign w:val="bottom"/>
            <w:hideMark/>
          </w:tcPr>
          <w:p w14:paraId="7DAC3E49" w14:textId="77777777" w:rsidR="00E21DEE" w:rsidRPr="00E21DEE" w:rsidRDefault="00E21DEE" w:rsidP="00E21DEE">
            <w:pPr>
              <w:pStyle w:val="Tablenumber"/>
              <w:rPr>
                <w:rFonts w:ascii="Arial" w:hAnsi="Arial" w:cs="Arial"/>
                <w:lang w:val="en-GB" w:eastAsia="en-GB"/>
              </w:rPr>
            </w:pPr>
            <w:r w:rsidRPr="00E21DEE">
              <w:rPr>
                <w:rFonts w:ascii="Arial" w:hAnsi="Arial" w:cs="Arial"/>
                <w:lang w:val="en-GB" w:eastAsia="en-GB"/>
              </w:rPr>
              <w:t>(0.0558)</w:t>
            </w:r>
          </w:p>
        </w:tc>
      </w:tr>
      <w:tr w:rsidR="00E21DEE" w:rsidRPr="00E21DEE" w14:paraId="21093592" w14:textId="77777777" w:rsidTr="00D04A09">
        <w:trPr>
          <w:cantSplit/>
          <w:trHeight w:val="264"/>
        </w:trPr>
        <w:tc>
          <w:tcPr>
            <w:tcW w:w="3250" w:type="dxa"/>
            <w:shd w:val="clear" w:color="auto" w:fill="auto"/>
            <w:noWrap/>
            <w:vAlign w:val="bottom"/>
            <w:hideMark/>
          </w:tcPr>
          <w:p w14:paraId="1A6EB282" w14:textId="77777777" w:rsidR="00E21DEE" w:rsidRPr="00E21DEE" w:rsidRDefault="007F3B31" w:rsidP="007F3B31">
            <w:pPr>
              <w:pStyle w:val="Tablenumber"/>
              <w:rPr>
                <w:rFonts w:ascii="Arial" w:hAnsi="Arial" w:cs="Arial"/>
                <w:lang w:val="en-GB" w:eastAsia="en-GB"/>
              </w:rPr>
            </w:pPr>
            <w:r>
              <w:rPr>
                <w:rFonts w:ascii="Arial" w:hAnsi="Arial" w:cs="Arial"/>
                <w:lang w:val="en-GB" w:eastAsia="en-GB"/>
              </w:rPr>
              <w:t>Growth in t</w:t>
            </w:r>
            <w:r w:rsidR="00E21DEE">
              <w:rPr>
                <w:rFonts w:ascii="Arial" w:hAnsi="Arial" w:cs="Arial"/>
                <w:lang w:val="en-GB" w:eastAsia="en-GB"/>
              </w:rPr>
              <w:t>urnover</w:t>
            </w:r>
          </w:p>
        </w:tc>
        <w:tc>
          <w:tcPr>
            <w:tcW w:w="1454" w:type="dxa"/>
            <w:shd w:val="clear" w:color="auto" w:fill="auto"/>
            <w:noWrap/>
            <w:vAlign w:val="bottom"/>
            <w:hideMark/>
          </w:tcPr>
          <w:p w14:paraId="23C2E837" w14:textId="77777777" w:rsidR="00E21DEE" w:rsidRPr="00E21DEE" w:rsidRDefault="00E21DEE" w:rsidP="00E21DEE">
            <w:pPr>
              <w:pStyle w:val="Tablenumber"/>
              <w:rPr>
                <w:rFonts w:ascii="Arial" w:hAnsi="Arial" w:cs="Arial"/>
                <w:lang w:val="en-GB" w:eastAsia="en-GB"/>
              </w:rPr>
            </w:pPr>
          </w:p>
        </w:tc>
        <w:tc>
          <w:tcPr>
            <w:tcW w:w="1544" w:type="dxa"/>
            <w:shd w:val="clear" w:color="auto" w:fill="auto"/>
            <w:noWrap/>
            <w:vAlign w:val="bottom"/>
            <w:hideMark/>
          </w:tcPr>
          <w:p w14:paraId="0753484C" w14:textId="77777777" w:rsidR="00E21DEE" w:rsidRPr="00E21DEE" w:rsidRDefault="00E21DEE" w:rsidP="00E21DEE">
            <w:pPr>
              <w:pStyle w:val="Tablenumber"/>
              <w:rPr>
                <w:rFonts w:ascii="Arial" w:hAnsi="Arial" w:cs="Arial"/>
                <w:lang w:val="en-GB" w:eastAsia="en-GB"/>
              </w:rPr>
            </w:pPr>
            <w:r w:rsidRPr="00E21DEE">
              <w:rPr>
                <w:rFonts w:ascii="Arial" w:hAnsi="Arial" w:cs="Arial"/>
                <w:lang w:val="en-GB" w:eastAsia="en-GB"/>
              </w:rPr>
              <w:t>0.0246**</w:t>
            </w:r>
          </w:p>
        </w:tc>
      </w:tr>
      <w:tr w:rsidR="00E21DEE" w:rsidRPr="00E21DEE" w14:paraId="0537D1CD" w14:textId="77777777" w:rsidTr="00D04A09">
        <w:trPr>
          <w:cantSplit/>
          <w:trHeight w:val="264"/>
        </w:trPr>
        <w:tc>
          <w:tcPr>
            <w:tcW w:w="3250" w:type="dxa"/>
            <w:shd w:val="clear" w:color="auto" w:fill="auto"/>
            <w:noWrap/>
            <w:vAlign w:val="bottom"/>
            <w:hideMark/>
          </w:tcPr>
          <w:p w14:paraId="7958F116" w14:textId="77777777" w:rsidR="00E21DEE" w:rsidRPr="00E21DEE" w:rsidRDefault="00E21DEE" w:rsidP="00E21DEE">
            <w:pPr>
              <w:pStyle w:val="Tablenumber"/>
              <w:rPr>
                <w:rFonts w:ascii="Arial" w:hAnsi="Arial" w:cs="Arial"/>
                <w:lang w:val="en-GB" w:eastAsia="en-GB"/>
              </w:rPr>
            </w:pPr>
          </w:p>
        </w:tc>
        <w:tc>
          <w:tcPr>
            <w:tcW w:w="1454" w:type="dxa"/>
            <w:shd w:val="clear" w:color="auto" w:fill="auto"/>
            <w:noWrap/>
            <w:vAlign w:val="bottom"/>
            <w:hideMark/>
          </w:tcPr>
          <w:p w14:paraId="6425CB08" w14:textId="77777777" w:rsidR="00E21DEE" w:rsidRPr="00E21DEE" w:rsidRDefault="00E21DEE" w:rsidP="00E21DEE">
            <w:pPr>
              <w:pStyle w:val="Tablenumber"/>
              <w:rPr>
                <w:lang w:val="en-GB" w:eastAsia="en-GB"/>
              </w:rPr>
            </w:pPr>
          </w:p>
        </w:tc>
        <w:tc>
          <w:tcPr>
            <w:tcW w:w="1544" w:type="dxa"/>
            <w:shd w:val="clear" w:color="auto" w:fill="auto"/>
            <w:noWrap/>
            <w:vAlign w:val="bottom"/>
            <w:hideMark/>
          </w:tcPr>
          <w:p w14:paraId="18EADD48" w14:textId="77777777" w:rsidR="00E21DEE" w:rsidRPr="00E21DEE" w:rsidRDefault="00E21DEE" w:rsidP="00E21DEE">
            <w:pPr>
              <w:pStyle w:val="Tablenumber"/>
              <w:rPr>
                <w:rFonts w:ascii="Arial" w:hAnsi="Arial" w:cs="Arial"/>
                <w:lang w:val="en-GB" w:eastAsia="en-GB"/>
              </w:rPr>
            </w:pPr>
            <w:r w:rsidRPr="00E21DEE">
              <w:rPr>
                <w:rFonts w:ascii="Arial" w:hAnsi="Arial" w:cs="Arial"/>
                <w:lang w:val="en-GB" w:eastAsia="en-GB"/>
              </w:rPr>
              <w:t>(0.0114)</w:t>
            </w:r>
          </w:p>
        </w:tc>
      </w:tr>
      <w:tr w:rsidR="00E21DEE" w:rsidRPr="00E21DEE" w14:paraId="04A600F1" w14:textId="77777777" w:rsidTr="00D04A09">
        <w:trPr>
          <w:cantSplit/>
          <w:trHeight w:val="264"/>
        </w:trPr>
        <w:tc>
          <w:tcPr>
            <w:tcW w:w="3250" w:type="dxa"/>
            <w:shd w:val="clear" w:color="auto" w:fill="auto"/>
            <w:noWrap/>
            <w:vAlign w:val="bottom"/>
            <w:hideMark/>
          </w:tcPr>
          <w:p w14:paraId="49785341" w14:textId="77777777" w:rsidR="00E21DEE" w:rsidRPr="00E21DEE" w:rsidRDefault="007F3B31" w:rsidP="007F3B31">
            <w:pPr>
              <w:pStyle w:val="Tablenumber"/>
              <w:rPr>
                <w:rFonts w:ascii="Arial" w:hAnsi="Arial" w:cs="Arial"/>
                <w:lang w:val="en-GB" w:eastAsia="en-GB"/>
              </w:rPr>
            </w:pPr>
            <w:r>
              <w:rPr>
                <w:rFonts w:ascii="Arial" w:hAnsi="Arial" w:cs="Arial"/>
                <w:lang w:val="en-GB" w:eastAsia="en-GB"/>
              </w:rPr>
              <w:t>Growth in w</w:t>
            </w:r>
            <w:r w:rsidR="00E21DEE">
              <w:rPr>
                <w:rFonts w:ascii="Arial" w:hAnsi="Arial" w:cs="Arial"/>
                <w:lang w:val="en-GB" w:eastAsia="en-GB"/>
              </w:rPr>
              <w:t>ages</w:t>
            </w:r>
          </w:p>
        </w:tc>
        <w:tc>
          <w:tcPr>
            <w:tcW w:w="1454" w:type="dxa"/>
            <w:shd w:val="clear" w:color="auto" w:fill="auto"/>
            <w:noWrap/>
            <w:vAlign w:val="bottom"/>
            <w:hideMark/>
          </w:tcPr>
          <w:p w14:paraId="281EBDC8" w14:textId="77777777" w:rsidR="00E21DEE" w:rsidRPr="00E21DEE" w:rsidRDefault="00E21DEE" w:rsidP="00E21DEE">
            <w:pPr>
              <w:pStyle w:val="Tablenumber"/>
              <w:rPr>
                <w:rFonts w:ascii="Arial" w:hAnsi="Arial" w:cs="Arial"/>
                <w:lang w:val="en-GB" w:eastAsia="en-GB"/>
              </w:rPr>
            </w:pPr>
          </w:p>
        </w:tc>
        <w:tc>
          <w:tcPr>
            <w:tcW w:w="1544" w:type="dxa"/>
            <w:shd w:val="clear" w:color="auto" w:fill="auto"/>
            <w:noWrap/>
            <w:vAlign w:val="bottom"/>
            <w:hideMark/>
          </w:tcPr>
          <w:p w14:paraId="3E635AFA" w14:textId="77777777" w:rsidR="00E21DEE" w:rsidRPr="00E21DEE" w:rsidRDefault="00E21DEE" w:rsidP="00E21DEE">
            <w:pPr>
              <w:pStyle w:val="Tablenumber"/>
              <w:rPr>
                <w:rFonts w:ascii="Arial" w:hAnsi="Arial" w:cs="Arial"/>
                <w:lang w:val="en-GB" w:eastAsia="en-GB"/>
              </w:rPr>
            </w:pPr>
            <w:r w:rsidRPr="00E21DEE">
              <w:rPr>
                <w:rFonts w:ascii="Arial" w:hAnsi="Arial" w:cs="Arial"/>
                <w:lang w:val="en-GB" w:eastAsia="en-GB"/>
              </w:rPr>
              <w:t>0.0350***</w:t>
            </w:r>
          </w:p>
        </w:tc>
      </w:tr>
      <w:tr w:rsidR="00E21DEE" w:rsidRPr="00E21DEE" w14:paraId="201B2043" w14:textId="77777777" w:rsidTr="00D04A09">
        <w:trPr>
          <w:cantSplit/>
          <w:trHeight w:val="264"/>
        </w:trPr>
        <w:tc>
          <w:tcPr>
            <w:tcW w:w="3250" w:type="dxa"/>
            <w:shd w:val="clear" w:color="auto" w:fill="auto"/>
            <w:noWrap/>
            <w:vAlign w:val="bottom"/>
            <w:hideMark/>
          </w:tcPr>
          <w:p w14:paraId="6F7EC20A" w14:textId="77777777" w:rsidR="00E21DEE" w:rsidRPr="00E21DEE" w:rsidRDefault="00E21DEE" w:rsidP="00E21DEE">
            <w:pPr>
              <w:pStyle w:val="Tablenumber"/>
              <w:rPr>
                <w:rFonts w:ascii="Arial" w:hAnsi="Arial" w:cs="Arial"/>
                <w:lang w:val="en-GB" w:eastAsia="en-GB"/>
              </w:rPr>
            </w:pPr>
          </w:p>
        </w:tc>
        <w:tc>
          <w:tcPr>
            <w:tcW w:w="1454" w:type="dxa"/>
            <w:shd w:val="clear" w:color="auto" w:fill="auto"/>
            <w:noWrap/>
            <w:vAlign w:val="bottom"/>
            <w:hideMark/>
          </w:tcPr>
          <w:p w14:paraId="6CE6E514" w14:textId="77777777" w:rsidR="00E21DEE" w:rsidRPr="00E21DEE" w:rsidRDefault="00E21DEE" w:rsidP="00E21DEE">
            <w:pPr>
              <w:pStyle w:val="Tablenumber"/>
              <w:rPr>
                <w:lang w:val="en-GB" w:eastAsia="en-GB"/>
              </w:rPr>
            </w:pPr>
          </w:p>
        </w:tc>
        <w:tc>
          <w:tcPr>
            <w:tcW w:w="1544" w:type="dxa"/>
            <w:shd w:val="clear" w:color="auto" w:fill="auto"/>
            <w:noWrap/>
            <w:vAlign w:val="bottom"/>
            <w:hideMark/>
          </w:tcPr>
          <w:p w14:paraId="70EF1C3C" w14:textId="77777777" w:rsidR="00E21DEE" w:rsidRPr="00E21DEE" w:rsidRDefault="00E21DEE" w:rsidP="00E21DEE">
            <w:pPr>
              <w:pStyle w:val="Tablenumber"/>
              <w:rPr>
                <w:rFonts w:ascii="Arial" w:hAnsi="Arial" w:cs="Arial"/>
                <w:lang w:val="en-GB" w:eastAsia="en-GB"/>
              </w:rPr>
            </w:pPr>
            <w:r w:rsidRPr="00E21DEE">
              <w:rPr>
                <w:rFonts w:ascii="Arial" w:hAnsi="Arial" w:cs="Arial"/>
                <w:lang w:val="en-GB" w:eastAsia="en-GB"/>
              </w:rPr>
              <w:t>(0.0125)</w:t>
            </w:r>
          </w:p>
        </w:tc>
      </w:tr>
      <w:tr w:rsidR="00E21DEE" w:rsidRPr="00E21DEE" w14:paraId="2A068B02" w14:textId="77777777" w:rsidTr="00D04A09">
        <w:trPr>
          <w:cantSplit/>
          <w:trHeight w:val="264"/>
        </w:trPr>
        <w:tc>
          <w:tcPr>
            <w:tcW w:w="3250" w:type="dxa"/>
            <w:shd w:val="clear" w:color="auto" w:fill="auto"/>
            <w:noWrap/>
            <w:vAlign w:val="bottom"/>
            <w:hideMark/>
          </w:tcPr>
          <w:p w14:paraId="4BB1648F" w14:textId="77777777" w:rsidR="00E21DEE" w:rsidRPr="00E21DEE" w:rsidRDefault="00E21DEE" w:rsidP="00E21DEE">
            <w:pPr>
              <w:pStyle w:val="Tablenumber"/>
              <w:rPr>
                <w:rFonts w:ascii="Arial" w:hAnsi="Arial" w:cs="Arial"/>
                <w:lang w:val="en-GB" w:eastAsia="en-GB"/>
              </w:rPr>
            </w:pPr>
            <w:r>
              <w:rPr>
                <w:rFonts w:ascii="Arial" w:hAnsi="Arial" w:cs="Arial"/>
                <w:lang w:val="en-GB" w:eastAsia="en-GB"/>
              </w:rPr>
              <w:t>Grant</w:t>
            </w:r>
          </w:p>
        </w:tc>
        <w:tc>
          <w:tcPr>
            <w:tcW w:w="1454" w:type="dxa"/>
            <w:shd w:val="clear" w:color="auto" w:fill="auto"/>
            <w:noWrap/>
            <w:vAlign w:val="bottom"/>
            <w:hideMark/>
          </w:tcPr>
          <w:p w14:paraId="6F6BA0F5" w14:textId="77777777" w:rsidR="00E21DEE" w:rsidRPr="00E21DEE" w:rsidRDefault="00E21DEE" w:rsidP="00E21DEE">
            <w:pPr>
              <w:pStyle w:val="Tablenumber"/>
              <w:rPr>
                <w:rFonts w:ascii="Arial" w:hAnsi="Arial" w:cs="Arial"/>
                <w:lang w:val="en-GB" w:eastAsia="en-GB"/>
              </w:rPr>
            </w:pPr>
          </w:p>
        </w:tc>
        <w:tc>
          <w:tcPr>
            <w:tcW w:w="1544" w:type="dxa"/>
            <w:shd w:val="clear" w:color="auto" w:fill="auto"/>
            <w:noWrap/>
            <w:vAlign w:val="bottom"/>
            <w:hideMark/>
          </w:tcPr>
          <w:p w14:paraId="0F0ABD22" w14:textId="77777777" w:rsidR="00E21DEE" w:rsidRPr="00E21DEE" w:rsidRDefault="00E21DEE" w:rsidP="00E21DEE">
            <w:pPr>
              <w:pStyle w:val="Tablenumber"/>
              <w:rPr>
                <w:rFonts w:ascii="Arial" w:hAnsi="Arial" w:cs="Arial"/>
                <w:lang w:val="en-GB" w:eastAsia="en-GB"/>
              </w:rPr>
            </w:pPr>
            <w:r w:rsidRPr="00E21DEE">
              <w:rPr>
                <w:rFonts w:ascii="Arial" w:hAnsi="Arial" w:cs="Arial"/>
                <w:lang w:val="en-GB" w:eastAsia="en-GB"/>
              </w:rPr>
              <w:t>0.0424***</w:t>
            </w:r>
          </w:p>
        </w:tc>
      </w:tr>
      <w:tr w:rsidR="00E21DEE" w:rsidRPr="00E21DEE" w14:paraId="17140100" w14:textId="77777777" w:rsidTr="00D04A09">
        <w:trPr>
          <w:cantSplit/>
          <w:trHeight w:val="264"/>
        </w:trPr>
        <w:tc>
          <w:tcPr>
            <w:tcW w:w="3250" w:type="dxa"/>
            <w:shd w:val="clear" w:color="auto" w:fill="auto"/>
            <w:noWrap/>
            <w:vAlign w:val="bottom"/>
            <w:hideMark/>
          </w:tcPr>
          <w:p w14:paraId="580F9468" w14:textId="77777777" w:rsidR="00E21DEE" w:rsidRPr="00E21DEE" w:rsidRDefault="00E21DEE" w:rsidP="00E21DEE">
            <w:pPr>
              <w:pStyle w:val="Tablenumber"/>
              <w:rPr>
                <w:rFonts w:ascii="Arial" w:hAnsi="Arial" w:cs="Arial"/>
                <w:lang w:val="en-GB" w:eastAsia="en-GB"/>
              </w:rPr>
            </w:pPr>
          </w:p>
        </w:tc>
        <w:tc>
          <w:tcPr>
            <w:tcW w:w="1454" w:type="dxa"/>
            <w:shd w:val="clear" w:color="auto" w:fill="auto"/>
            <w:noWrap/>
            <w:vAlign w:val="bottom"/>
            <w:hideMark/>
          </w:tcPr>
          <w:p w14:paraId="68BD3AF6" w14:textId="77777777" w:rsidR="00E21DEE" w:rsidRPr="00E21DEE" w:rsidRDefault="00E21DEE" w:rsidP="00E21DEE">
            <w:pPr>
              <w:pStyle w:val="Tablenumber"/>
              <w:rPr>
                <w:lang w:val="en-GB" w:eastAsia="en-GB"/>
              </w:rPr>
            </w:pPr>
          </w:p>
        </w:tc>
        <w:tc>
          <w:tcPr>
            <w:tcW w:w="1544" w:type="dxa"/>
            <w:shd w:val="clear" w:color="auto" w:fill="auto"/>
            <w:noWrap/>
            <w:vAlign w:val="bottom"/>
            <w:hideMark/>
          </w:tcPr>
          <w:p w14:paraId="3E8BDFC3" w14:textId="77777777" w:rsidR="00E21DEE" w:rsidRPr="00E21DEE" w:rsidRDefault="00E21DEE" w:rsidP="00E21DEE">
            <w:pPr>
              <w:pStyle w:val="Tablenumber"/>
              <w:rPr>
                <w:rFonts w:ascii="Arial" w:hAnsi="Arial" w:cs="Arial"/>
                <w:lang w:val="en-GB" w:eastAsia="en-GB"/>
              </w:rPr>
            </w:pPr>
            <w:r w:rsidRPr="00E21DEE">
              <w:rPr>
                <w:rFonts w:ascii="Arial" w:hAnsi="Arial" w:cs="Arial"/>
                <w:lang w:val="en-GB" w:eastAsia="en-GB"/>
              </w:rPr>
              <w:t>(0.0112)</w:t>
            </w:r>
          </w:p>
        </w:tc>
      </w:tr>
      <w:tr w:rsidR="00E21DEE" w:rsidRPr="00E21DEE" w14:paraId="43CDB1DB" w14:textId="77777777" w:rsidTr="00D04A09">
        <w:trPr>
          <w:cantSplit/>
          <w:trHeight w:val="264"/>
        </w:trPr>
        <w:tc>
          <w:tcPr>
            <w:tcW w:w="3250" w:type="dxa"/>
            <w:shd w:val="clear" w:color="auto" w:fill="auto"/>
            <w:noWrap/>
            <w:vAlign w:val="bottom"/>
            <w:hideMark/>
          </w:tcPr>
          <w:p w14:paraId="75772993" w14:textId="77777777" w:rsidR="00E21DEE" w:rsidRPr="00E21DEE" w:rsidRDefault="00E21DEE" w:rsidP="00E21DEE">
            <w:pPr>
              <w:pStyle w:val="Tablenumber"/>
              <w:rPr>
                <w:rFonts w:ascii="Arial" w:hAnsi="Arial" w:cs="Arial"/>
                <w:lang w:val="en-GB" w:eastAsia="en-GB"/>
              </w:rPr>
            </w:pPr>
            <w:r w:rsidRPr="00E21DEE">
              <w:rPr>
                <w:rFonts w:ascii="Arial" w:hAnsi="Arial" w:cs="Arial"/>
                <w:lang w:val="en-GB" w:eastAsia="en-GB"/>
              </w:rPr>
              <w:t>Observations</w:t>
            </w:r>
          </w:p>
        </w:tc>
        <w:tc>
          <w:tcPr>
            <w:tcW w:w="1454" w:type="dxa"/>
            <w:shd w:val="clear" w:color="auto" w:fill="auto"/>
            <w:noWrap/>
            <w:vAlign w:val="bottom"/>
            <w:hideMark/>
          </w:tcPr>
          <w:p w14:paraId="7782DEAA" w14:textId="77777777" w:rsidR="00E21DEE" w:rsidRPr="00E21DEE" w:rsidRDefault="00E21DEE" w:rsidP="00E21DEE">
            <w:pPr>
              <w:pStyle w:val="Tablenumber"/>
              <w:rPr>
                <w:rFonts w:ascii="Arial" w:hAnsi="Arial" w:cs="Arial"/>
                <w:lang w:val="en-GB" w:eastAsia="en-GB"/>
              </w:rPr>
            </w:pPr>
            <w:r w:rsidRPr="00E21DEE">
              <w:rPr>
                <w:rFonts w:ascii="Arial" w:hAnsi="Arial" w:cs="Arial"/>
                <w:lang w:val="en-GB" w:eastAsia="en-GB"/>
              </w:rPr>
              <w:t>1,462</w:t>
            </w:r>
          </w:p>
        </w:tc>
        <w:tc>
          <w:tcPr>
            <w:tcW w:w="1544" w:type="dxa"/>
            <w:shd w:val="clear" w:color="auto" w:fill="auto"/>
            <w:noWrap/>
            <w:vAlign w:val="bottom"/>
            <w:hideMark/>
          </w:tcPr>
          <w:p w14:paraId="72A5201B" w14:textId="77777777" w:rsidR="00E21DEE" w:rsidRPr="00E21DEE" w:rsidRDefault="00E21DEE" w:rsidP="00E21DEE">
            <w:pPr>
              <w:pStyle w:val="Tablenumber"/>
              <w:rPr>
                <w:rFonts w:ascii="Arial" w:hAnsi="Arial" w:cs="Arial"/>
                <w:lang w:val="en-GB" w:eastAsia="en-GB"/>
              </w:rPr>
            </w:pPr>
            <w:r w:rsidRPr="00E21DEE">
              <w:rPr>
                <w:rFonts w:ascii="Arial" w:hAnsi="Arial" w:cs="Arial"/>
                <w:lang w:val="en-GB" w:eastAsia="en-GB"/>
              </w:rPr>
              <w:t>1,462</w:t>
            </w:r>
          </w:p>
        </w:tc>
      </w:tr>
      <w:tr w:rsidR="00E21DEE" w:rsidRPr="00E21DEE" w14:paraId="0DA0E123" w14:textId="77777777" w:rsidTr="00D04A09">
        <w:trPr>
          <w:cantSplit/>
          <w:trHeight w:val="264"/>
        </w:trPr>
        <w:tc>
          <w:tcPr>
            <w:tcW w:w="3250" w:type="dxa"/>
            <w:shd w:val="clear" w:color="auto" w:fill="auto"/>
            <w:noWrap/>
            <w:vAlign w:val="bottom"/>
            <w:hideMark/>
          </w:tcPr>
          <w:p w14:paraId="452CF6C0" w14:textId="77777777" w:rsidR="00E21DEE" w:rsidRPr="00E21DEE" w:rsidRDefault="00E21DEE" w:rsidP="00E21DEE">
            <w:pPr>
              <w:pStyle w:val="Tablenumber"/>
              <w:rPr>
                <w:rFonts w:ascii="Arial" w:hAnsi="Arial" w:cs="Arial"/>
                <w:lang w:val="en-GB" w:eastAsia="en-GB"/>
              </w:rPr>
            </w:pPr>
            <w:r w:rsidRPr="00E21DEE">
              <w:rPr>
                <w:rFonts w:ascii="Arial" w:hAnsi="Arial" w:cs="Arial"/>
                <w:lang w:val="en-GB" w:eastAsia="en-GB"/>
              </w:rPr>
              <w:t>R-squared</w:t>
            </w:r>
          </w:p>
        </w:tc>
        <w:tc>
          <w:tcPr>
            <w:tcW w:w="1454" w:type="dxa"/>
            <w:shd w:val="clear" w:color="auto" w:fill="auto"/>
            <w:noWrap/>
            <w:vAlign w:val="bottom"/>
            <w:hideMark/>
          </w:tcPr>
          <w:p w14:paraId="6902F592" w14:textId="77777777" w:rsidR="00E21DEE" w:rsidRPr="00E21DEE" w:rsidRDefault="00E21DEE" w:rsidP="00E21DEE">
            <w:pPr>
              <w:pStyle w:val="Tablenumber"/>
              <w:rPr>
                <w:rFonts w:ascii="Arial" w:hAnsi="Arial" w:cs="Arial"/>
                <w:lang w:val="en-GB" w:eastAsia="en-GB"/>
              </w:rPr>
            </w:pPr>
            <w:r w:rsidRPr="00E21DEE">
              <w:rPr>
                <w:rFonts w:ascii="Arial" w:hAnsi="Arial" w:cs="Arial"/>
                <w:lang w:val="en-GB" w:eastAsia="en-GB"/>
              </w:rPr>
              <w:t>0.004</w:t>
            </w:r>
          </w:p>
        </w:tc>
        <w:tc>
          <w:tcPr>
            <w:tcW w:w="1544" w:type="dxa"/>
            <w:shd w:val="clear" w:color="auto" w:fill="auto"/>
            <w:noWrap/>
            <w:vAlign w:val="bottom"/>
            <w:hideMark/>
          </w:tcPr>
          <w:p w14:paraId="3193C95E" w14:textId="77777777" w:rsidR="00E21DEE" w:rsidRPr="00E21DEE" w:rsidRDefault="00E21DEE" w:rsidP="00E21DEE">
            <w:pPr>
              <w:pStyle w:val="Tablenumber"/>
              <w:rPr>
                <w:rFonts w:ascii="Arial" w:hAnsi="Arial" w:cs="Arial"/>
                <w:lang w:val="en-GB" w:eastAsia="en-GB"/>
              </w:rPr>
            </w:pPr>
            <w:r w:rsidRPr="00E21DEE">
              <w:rPr>
                <w:rFonts w:ascii="Arial" w:hAnsi="Arial" w:cs="Arial"/>
                <w:lang w:val="en-GB" w:eastAsia="en-GB"/>
              </w:rPr>
              <w:t>0.026</w:t>
            </w:r>
          </w:p>
        </w:tc>
      </w:tr>
    </w:tbl>
    <w:p w14:paraId="70F3137D" w14:textId="439AA692" w:rsidR="00D726C9" w:rsidRDefault="00733990" w:rsidP="00344C03">
      <w:pPr>
        <w:pStyle w:val="Tablenote"/>
        <w:rPr>
          <w:rFonts w:eastAsia="Calibri"/>
        </w:rPr>
      </w:pPr>
      <w:r>
        <w:rPr>
          <w:rFonts w:eastAsia="Calibri"/>
        </w:rPr>
        <w:t xml:space="preserve">Notes: </w:t>
      </w:r>
      <w:r w:rsidR="00344C03" w:rsidRPr="00344C03">
        <w:rPr>
          <w:rFonts w:eastAsia="Calibri"/>
        </w:rPr>
        <w:t>Robust standard errors in parentheses</w:t>
      </w:r>
      <w:r>
        <w:rPr>
          <w:rFonts w:eastAsia="Calibri"/>
        </w:rPr>
        <w:t xml:space="preserve">. </w:t>
      </w:r>
      <w:r w:rsidR="00344C03" w:rsidRPr="00344C03">
        <w:rPr>
          <w:rFonts w:eastAsia="Calibri"/>
        </w:rPr>
        <w:t>*** p&lt;0.01, ** p&lt;0.05, * p&lt;0.1</w:t>
      </w:r>
    </w:p>
    <w:p w14:paraId="383FA6CF" w14:textId="77777777" w:rsidR="006A1BEE" w:rsidRDefault="007F3B31" w:rsidP="00E570CD">
      <w:pPr>
        <w:pStyle w:val="Text"/>
        <w:rPr>
          <w:rFonts w:eastAsia="Calibri"/>
        </w:rPr>
      </w:pPr>
      <w:r>
        <w:rPr>
          <w:rFonts w:eastAsia="Calibri"/>
        </w:rPr>
        <w:t xml:space="preserve">The </w:t>
      </w:r>
      <w:r w:rsidR="00A20A9E">
        <w:rPr>
          <w:rFonts w:eastAsia="Calibri"/>
        </w:rPr>
        <w:t>difference-in-difference</w:t>
      </w:r>
      <w:r>
        <w:rPr>
          <w:rFonts w:eastAsia="Calibri"/>
        </w:rPr>
        <w:t xml:space="preserve"> results suggest that the introduction of the more generous R&amp;D tax Incentive policy led to a 13.6 percent increase in R&amp;D spending by the sample of firms registered in both 2011 and 2012. Using an analogous</w:t>
      </w:r>
      <w:r w:rsidR="006A1BEE">
        <w:rPr>
          <w:rFonts w:eastAsia="Calibri"/>
        </w:rPr>
        <w:t xml:space="preserve"> counterfactual type</w:t>
      </w:r>
      <w:r>
        <w:rPr>
          <w:rFonts w:eastAsia="Calibri"/>
        </w:rPr>
        <w:t xml:space="preserve"> approach as described in the previous section we estimate </w:t>
      </w:r>
      <w:r w:rsidR="00E570CD">
        <w:rPr>
          <w:rFonts w:eastAsia="Calibri"/>
        </w:rPr>
        <w:t xml:space="preserve">the policy impact </w:t>
      </w:r>
      <w:r w:rsidRPr="00E570CD">
        <w:rPr>
          <w:rFonts w:eastAsia="Calibri"/>
        </w:rPr>
        <w:t>translates to 1.</w:t>
      </w:r>
      <w:r w:rsidR="005D074E">
        <w:rPr>
          <w:rFonts w:eastAsia="Calibri"/>
        </w:rPr>
        <w:t xml:space="preserve">9 </w:t>
      </w:r>
      <w:r w:rsidRPr="00E570CD">
        <w:rPr>
          <w:rFonts w:eastAsia="Calibri"/>
        </w:rPr>
        <w:t xml:space="preserve">dollars of additional R&amp;D invested per dollar of tax revenue </w:t>
      </w:r>
      <w:r w:rsidR="00405489">
        <w:rPr>
          <w:rFonts w:eastAsia="Calibri"/>
        </w:rPr>
        <w:t>forgone</w:t>
      </w:r>
      <w:r w:rsidRPr="00E570CD">
        <w:rPr>
          <w:rFonts w:eastAsia="Calibri"/>
        </w:rPr>
        <w:t xml:space="preserve"> for the sample of firms.</w:t>
      </w:r>
      <w:r w:rsidR="000E5562">
        <w:rPr>
          <w:rFonts w:eastAsia="Calibri"/>
        </w:rPr>
        <w:t xml:space="preserve"> </w:t>
      </w:r>
      <w:r w:rsidR="006A1BEE">
        <w:rPr>
          <w:rFonts w:eastAsia="Calibri"/>
        </w:rPr>
        <w:t>In this case, we use the difference between the estimated counterfactual R&amp;D in 2012 (see equation 5) and</w:t>
      </w:r>
      <w:r w:rsidR="005604F8">
        <w:rPr>
          <w:rFonts w:eastAsia="Calibri"/>
        </w:rPr>
        <w:t xml:space="preserve"> recorded R&amp;D in 2011 as a proxy for the </w:t>
      </w:r>
      <w:r w:rsidR="006A1BEE">
        <w:rPr>
          <w:rFonts w:eastAsia="Calibri"/>
        </w:rPr>
        <w:t>share of R&amp;D eligible for the augmented 175 percent Concession rate</w:t>
      </w:r>
      <w:r w:rsidR="005604F8">
        <w:rPr>
          <w:rFonts w:eastAsia="Calibri"/>
        </w:rPr>
        <w:t>.</w:t>
      </w:r>
      <w:r w:rsidR="006A1BEE">
        <w:rPr>
          <w:rFonts w:eastAsia="Calibri"/>
        </w:rPr>
        <w:t xml:space="preserve"> </w:t>
      </w:r>
    </w:p>
    <w:p w14:paraId="7CEF2B89" w14:textId="77777777" w:rsidR="006C58B6" w:rsidRDefault="000E5562" w:rsidP="00E570CD">
      <w:pPr>
        <w:pStyle w:val="Text"/>
        <w:rPr>
          <w:rFonts w:eastAsia="Calibri"/>
        </w:rPr>
      </w:pPr>
      <w:r>
        <w:rPr>
          <w:rFonts w:eastAsia="Calibri"/>
        </w:rPr>
        <w:t>Observe that th</w:t>
      </w:r>
      <w:r w:rsidR="005604F8">
        <w:rPr>
          <w:rFonts w:eastAsia="Calibri"/>
        </w:rPr>
        <w:t>e estimate of 1.</w:t>
      </w:r>
      <w:r w:rsidR="005D074E">
        <w:rPr>
          <w:rFonts w:eastAsia="Calibri"/>
        </w:rPr>
        <w:t>9</w:t>
      </w:r>
      <w:r>
        <w:rPr>
          <w:rFonts w:eastAsia="Calibri"/>
        </w:rPr>
        <w:t xml:space="preserve"> is considerably higher than the additionality </w:t>
      </w:r>
      <w:r w:rsidR="005604F8">
        <w:rPr>
          <w:rFonts w:eastAsia="Calibri"/>
        </w:rPr>
        <w:t xml:space="preserve">for the same program </w:t>
      </w:r>
      <w:r>
        <w:rPr>
          <w:rFonts w:eastAsia="Calibri"/>
        </w:rPr>
        <w:t>estimated using the matching approach (which was 0.</w:t>
      </w:r>
      <w:r w:rsidR="005D074E">
        <w:rPr>
          <w:rFonts w:eastAsia="Calibri"/>
        </w:rPr>
        <w:t>8</w:t>
      </w:r>
      <w:r w:rsidR="00C977F5">
        <w:rPr>
          <w:rFonts w:eastAsia="Calibri"/>
        </w:rPr>
        <w:t xml:space="preserve"> and not significant</w:t>
      </w:r>
      <w:r>
        <w:rPr>
          <w:rFonts w:eastAsia="Calibri"/>
        </w:rPr>
        <w:t xml:space="preserve">). We have no immediate explanation for this difference. </w:t>
      </w:r>
      <w:r w:rsidR="00C977F5">
        <w:rPr>
          <w:rFonts w:eastAsia="Calibri"/>
        </w:rPr>
        <w:t>It may simply reflect the lack of precision with which the treatment effect is estimated using matching. We also note also that t</w:t>
      </w:r>
      <w:r>
        <w:rPr>
          <w:rFonts w:eastAsia="Calibri"/>
        </w:rPr>
        <w:t xml:space="preserve">he sample used for difference-in-difference include only firms which have R&amp;D expenditure recorded in </w:t>
      </w:r>
      <w:r w:rsidR="00C977F5" w:rsidRPr="00C977F5">
        <w:rPr>
          <w:rFonts w:eastAsia="Calibri"/>
          <w:u w:val="single"/>
        </w:rPr>
        <w:t>both</w:t>
      </w:r>
      <w:r w:rsidR="00C977F5">
        <w:rPr>
          <w:rFonts w:eastAsia="Calibri"/>
        </w:rPr>
        <w:t xml:space="preserve"> </w:t>
      </w:r>
      <w:r>
        <w:rPr>
          <w:rFonts w:eastAsia="Calibri"/>
        </w:rPr>
        <w:t xml:space="preserve">2011 and 2012 and omits firms which transition from claiming to not-claiming </w:t>
      </w:r>
      <w:r w:rsidR="00C977F5">
        <w:rPr>
          <w:rFonts w:eastAsia="Calibri"/>
        </w:rPr>
        <w:t>status</w:t>
      </w:r>
      <w:r>
        <w:rPr>
          <w:rFonts w:eastAsia="Calibri"/>
        </w:rPr>
        <w:t xml:space="preserve"> (and visa-versa). We tentatively suggest that the difference-in-difference provides more confidence that the effect is causal, however, since the data used to derive </w:t>
      </w:r>
      <w:r w:rsidR="005604F8">
        <w:rPr>
          <w:rFonts w:eastAsia="Calibri"/>
        </w:rPr>
        <w:t>the estimate</w:t>
      </w:r>
      <w:r>
        <w:rPr>
          <w:rFonts w:eastAsia="Calibri"/>
        </w:rPr>
        <w:t xml:space="preserve"> exclude </w:t>
      </w:r>
      <w:r w:rsidR="005604F8">
        <w:rPr>
          <w:rFonts w:eastAsia="Calibri"/>
        </w:rPr>
        <w:t>many</w:t>
      </w:r>
      <w:r>
        <w:rPr>
          <w:rFonts w:eastAsia="Calibri"/>
        </w:rPr>
        <w:t xml:space="preserve"> claiming firms</w:t>
      </w:r>
      <w:r w:rsidR="00C977F5">
        <w:rPr>
          <w:rFonts w:eastAsia="Calibri"/>
        </w:rPr>
        <w:t>, we cannot claim that this is representative of the effect on all claiming firms.</w:t>
      </w:r>
      <w:r>
        <w:rPr>
          <w:rFonts w:eastAsia="Calibri"/>
        </w:rPr>
        <w:t xml:space="preserve"> It would be valuable to investigate this difference more deeply, possibly including undertaking matching before performing the difference-in-difference estimates.</w:t>
      </w:r>
    </w:p>
    <w:p w14:paraId="7E662CE3" w14:textId="77777777" w:rsidR="007F3B31" w:rsidRDefault="007F3B31" w:rsidP="000F4A09">
      <w:pPr>
        <w:pStyle w:val="Text"/>
        <w:rPr>
          <w:rFonts w:eastAsia="Calibri"/>
        </w:rPr>
      </w:pPr>
      <w:r>
        <w:rPr>
          <w:rFonts w:eastAsia="Calibri"/>
        </w:rPr>
        <w:t xml:space="preserve">Recall that the assumption underlying the difference-in-difference approach to policy evaluation is </w:t>
      </w:r>
      <w:r w:rsidR="000F4A09">
        <w:rPr>
          <w:rFonts w:eastAsia="Calibri"/>
        </w:rPr>
        <w:t xml:space="preserve">that </w:t>
      </w:r>
      <w:r w:rsidR="00B955A9">
        <w:rPr>
          <w:rFonts w:eastAsia="Calibri"/>
        </w:rPr>
        <w:t xml:space="preserve">the </w:t>
      </w:r>
      <w:r w:rsidR="000F4A09">
        <w:rPr>
          <w:rFonts w:eastAsia="Calibri"/>
        </w:rPr>
        <w:t xml:space="preserve">trends in R&amp;D expenditure by </w:t>
      </w:r>
      <w:r w:rsidR="00344C03">
        <w:rPr>
          <w:rFonts w:eastAsia="Calibri"/>
        </w:rPr>
        <w:t xml:space="preserve">treated </w:t>
      </w:r>
      <w:r w:rsidR="00960118">
        <w:rPr>
          <w:rFonts w:eastAsia="Calibri"/>
        </w:rPr>
        <w:t xml:space="preserve">and </w:t>
      </w:r>
      <w:r w:rsidR="004F09FA">
        <w:rPr>
          <w:rFonts w:eastAsia="Calibri"/>
        </w:rPr>
        <w:t>untreated firms would</w:t>
      </w:r>
      <w:r w:rsidR="000F4A09">
        <w:rPr>
          <w:rFonts w:eastAsia="Calibri"/>
        </w:rPr>
        <w:t xml:space="preserve"> move in parallel over time</w:t>
      </w:r>
      <w:r w:rsidR="004F09FA">
        <w:rPr>
          <w:rFonts w:eastAsia="Calibri"/>
        </w:rPr>
        <w:t>, in the absence of policy change</w:t>
      </w:r>
      <w:r w:rsidR="000F4A09">
        <w:rPr>
          <w:rFonts w:eastAsia="Calibri"/>
        </w:rPr>
        <w:t xml:space="preserve">. To provide some empirical support to this proposition we undertook </w:t>
      </w:r>
      <w:r w:rsidR="000F4A09">
        <w:rPr>
          <w:rFonts w:eastAsia="Calibri"/>
        </w:rPr>
        <w:lastRenderedPageBreak/>
        <w:t xml:space="preserve">a falsification test using data from the same sample of firms over </w:t>
      </w:r>
      <w:r w:rsidR="004F09FA">
        <w:rPr>
          <w:rFonts w:eastAsia="Calibri"/>
        </w:rPr>
        <w:t xml:space="preserve">the </w:t>
      </w:r>
      <w:r w:rsidR="000F4A09">
        <w:rPr>
          <w:rFonts w:eastAsia="Calibri"/>
        </w:rPr>
        <w:t>2010 to 2011</w:t>
      </w:r>
      <w:r w:rsidR="004F09FA">
        <w:rPr>
          <w:rFonts w:eastAsia="Calibri"/>
        </w:rPr>
        <w:t xml:space="preserve"> period – that is, the years immediately prior to the policy shift</w:t>
      </w:r>
      <w:r w:rsidR="000F4A09">
        <w:rPr>
          <w:rFonts w:eastAsia="Calibri"/>
        </w:rPr>
        <w:t xml:space="preserve">. </w:t>
      </w:r>
      <w:r w:rsidR="004F09FA">
        <w:rPr>
          <w:rFonts w:eastAsia="Calibri"/>
        </w:rPr>
        <w:t xml:space="preserve">The falsification test </w:t>
      </w:r>
      <w:r w:rsidR="000F4A09">
        <w:rPr>
          <w:rFonts w:eastAsia="Calibri"/>
        </w:rPr>
        <w:t xml:space="preserve">effectively involves estimating the same model using the data for the same firms in the year that no policy shift occurred was introduced. The result indicates that </w:t>
      </w:r>
      <w:r>
        <w:rPr>
          <w:rFonts w:eastAsia="Calibri"/>
        </w:rPr>
        <w:t>the groups of firms do exhibit parallel trends between 2010 and 2011</w:t>
      </w:r>
      <w:r w:rsidR="000F4A09">
        <w:rPr>
          <w:rFonts w:eastAsia="Calibri"/>
        </w:rPr>
        <w:t xml:space="preserve"> (the coefficient on the interacted term</w:t>
      </w:r>
      <w:r w:rsidR="004F09FA">
        <w:rPr>
          <w:rFonts w:eastAsia="Calibri"/>
        </w:rPr>
        <w:t xml:space="preserve"> is insignificant when the prior year data is used). </w:t>
      </w:r>
      <w:r w:rsidR="000F4A09">
        <w:rPr>
          <w:rFonts w:eastAsia="Calibri"/>
        </w:rPr>
        <w:t>This increases our confidence in the parallel trend assumption and therefore in interpreting our result as causal</w:t>
      </w:r>
      <w:r w:rsidR="004F09FA">
        <w:rPr>
          <w:rFonts w:eastAsia="Calibri"/>
        </w:rPr>
        <w:t xml:space="preserve"> is valid</w:t>
      </w:r>
      <w:r>
        <w:rPr>
          <w:rFonts w:eastAsia="Calibri"/>
        </w:rPr>
        <w:t>.</w:t>
      </w:r>
    </w:p>
    <w:p w14:paraId="30D505EA" w14:textId="77777777" w:rsidR="009F04CF" w:rsidRPr="009F04CF" w:rsidRDefault="009F04CF" w:rsidP="00E77026">
      <w:pPr>
        <w:pStyle w:val="Heading1"/>
      </w:pPr>
      <w:r w:rsidRPr="009F04CF">
        <w:t>Regression discontinuity design</w:t>
      </w:r>
    </w:p>
    <w:p w14:paraId="7750A8D0" w14:textId="77777777" w:rsidR="009F04CF" w:rsidRPr="009F04CF" w:rsidRDefault="009F04CF" w:rsidP="00A82693">
      <w:pPr>
        <w:pStyle w:val="Text"/>
        <w:rPr>
          <w:rFonts w:eastAsia="Calibri"/>
        </w:rPr>
      </w:pPr>
      <w:r w:rsidRPr="009F04CF">
        <w:rPr>
          <w:rFonts w:eastAsia="Calibri"/>
        </w:rPr>
        <w:t xml:space="preserve">Our </w:t>
      </w:r>
      <w:r w:rsidR="00E77026">
        <w:rPr>
          <w:rFonts w:eastAsia="Calibri"/>
        </w:rPr>
        <w:t>final</w:t>
      </w:r>
      <w:r w:rsidRPr="009F04CF">
        <w:rPr>
          <w:rFonts w:eastAsia="Calibri"/>
        </w:rPr>
        <w:t xml:space="preserve"> approach uses a regression discontinuity design (see for example Imbens and Kalyanaraman, 2012; Calonico </w:t>
      </w:r>
      <w:r w:rsidRPr="009F04CF">
        <w:rPr>
          <w:rFonts w:eastAsia="Calibri"/>
          <w:i/>
        </w:rPr>
        <w:t>et al.,</w:t>
      </w:r>
      <w:r w:rsidRPr="009F04CF">
        <w:rPr>
          <w:rFonts w:eastAsia="Calibri"/>
        </w:rPr>
        <w:t xml:space="preserve"> 2014). </w:t>
      </w:r>
      <w:r w:rsidR="006C191D">
        <w:rPr>
          <w:rFonts w:eastAsia="Calibri"/>
        </w:rPr>
        <w:t>Given an appropriate data and policy context</w:t>
      </w:r>
      <w:r w:rsidR="00964264">
        <w:rPr>
          <w:rFonts w:eastAsia="Calibri"/>
        </w:rPr>
        <w:t>,</w:t>
      </w:r>
      <w:r w:rsidR="006C191D">
        <w:rPr>
          <w:rFonts w:eastAsia="Calibri"/>
        </w:rPr>
        <w:t xml:space="preserve"> regression discontinuity design can provide </w:t>
      </w:r>
      <w:r w:rsidR="00964264">
        <w:rPr>
          <w:rFonts w:eastAsia="Calibri"/>
        </w:rPr>
        <w:t xml:space="preserve">the </w:t>
      </w:r>
      <w:r w:rsidR="006C191D">
        <w:rPr>
          <w:rFonts w:eastAsia="Calibri"/>
        </w:rPr>
        <w:t>strongest method for establishing causality of the methods presented in this report. T</w:t>
      </w:r>
      <w:r w:rsidRPr="009F04CF">
        <w:rPr>
          <w:rFonts w:eastAsia="Calibri"/>
        </w:rPr>
        <w:t>he R&amp;D Tax Incentive has a discontinuity for firms with a turnover above $20 million – firms with annual turnovers over $20 million are eligible to claim a 40</w:t>
      </w:r>
      <w:r w:rsidR="00F426A9">
        <w:rPr>
          <w:rFonts w:eastAsia="Calibri"/>
        </w:rPr>
        <w:t xml:space="preserve"> percent </w:t>
      </w:r>
      <w:r w:rsidRPr="009F04CF">
        <w:rPr>
          <w:rFonts w:eastAsia="Calibri"/>
        </w:rPr>
        <w:t>non-refundable tax offset, while firms with turnovers below $20 million are eligible to claim a 45</w:t>
      </w:r>
      <w:r w:rsidR="00F426A9">
        <w:rPr>
          <w:rFonts w:eastAsia="Calibri"/>
        </w:rPr>
        <w:t xml:space="preserve"> percent </w:t>
      </w:r>
      <w:r w:rsidRPr="009F04CF">
        <w:rPr>
          <w:rFonts w:eastAsia="Calibri"/>
        </w:rPr>
        <w:t xml:space="preserve">refundable tax offset. The idea behind the regression discontinuity design we setup is that firms which are just above and just below the $20 million cut-off are highly likely to be very similar in all respects other than in the benefit they get from tax subsidies. Regression discontinuity designs have recently become popular in economics, as the discipline’s focus has shifted towards quasi-experimental methods. The central idea behind regression discontinuity design is that the assignment to treatment (in this case, the size of the R&amp;D tax offset) is determined by whether a “running variable” exceeds a known cut-off point. A key advantage of regression discontinuity designs is that they are relatively free of assumptions, including the assumption of random assignment. This makes regression discontinuity designs potentially more credible than other quasi-experimental methods such as difference-in-differences estimation or instrumental variables approaches. Lee (2008) shows formally that regression discontinuity estimates are unbiased and consistent within the neighbourhood of the cut-off as long as participants cannot precisely manipulate their position vis-à-vis of the threshold. In this context, this means that, as long as firms cannot precisely manipulate their reported turnover to fall under the $20 million cut-off, the estimates will be consistent and unbiased. Turnover is difficult for firms to exercise any control </w:t>
      </w:r>
      <w:r w:rsidR="00B160AD">
        <w:rPr>
          <w:rFonts w:eastAsia="Calibri"/>
        </w:rPr>
        <w:t>over</w:t>
      </w:r>
      <w:r w:rsidR="00B160AD" w:rsidRPr="009F04CF">
        <w:rPr>
          <w:rFonts w:eastAsia="Calibri"/>
        </w:rPr>
        <w:t xml:space="preserve"> </w:t>
      </w:r>
      <w:r w:rsidRPr="009F04CF">
        <w:rPr>
          <w:rFonts w:eastAsia="Calibri"/>
        </w:rPr>
        <w:t xml:space="preserve">to qualify for the higher rate. In contrast, taxable profit is amenable to various claimable investments, </w:t>
      </w:r>
      <w:r w:rsidRPr="009F04CF">
        <w:rPr>
          <w:rFonts w:eastAsia="Calibri"/>
        </w:rPr>
        <w:lastRenderedPageBreak/>
        <w:t xml:space="preserve">depreciation schedules used over fixed assets, as well as interest repayments which vary depending on financial structure. </w:t>
      </w:r>
    </w:p>
    <w:p w14:paraId="6C69265A" w14:textId="4F758ED6" w:rsidR="009F04CF" w:rsidRDefault="009F04CF" w:rsidP="00A82693">
      <w:pPr>
        <w:pStyle w:val="Text"/>
        <w:rPr>
          <w:rFonts w:eastAsia="Calibri"/>
        </w:rPr>
      </w:pPr>
      <w:r w:rsidRPr="009F04CF">
        <w:rPr>
          <w:rFonts w:eastAsia="Calibri"/>
        </w:rPr>
        <w:t>The cut-off we consider is a turnover of $20 million per annum. As per ATO guidelines, firms with annual turnovers below $20 million receive a 45</w:t>
      </w:r>
      <w:r w:rsidR="00F426A9">
        <w:rPr>
          <w:rFonts w:eastAsia="Calibri"/>
        </w:rPr>
        <w:t xml:space="preserve"> percent </w:t>
      </w:r>
      <w:r w:rsidRPr="009F04CF">
        <w:rPr>
          <w:rFonts w:eastAsia="Calibri"/>
        </w:rPr>
        <w:t>refundable tax offset, while firms above the cut-off receive a 40</w:t>
      </w:r>
      <w:r w:rsidR="00F426A9">
        <w:rPr>
          <w:rFonts w:eastAsia="Calibri"/>
        </w:rPr>
        <w:t xml:space="preserve"> percent </w:t>
      </w:r>
      <w:r w:rsidRPr="009F04CF">
        <w:rPr>
          <w:rFonts w:eastAsia="Calibri"/>
        </w:rPr>
        <w:t>non-refundable tax offset. Specifically, we estimate:</w:t>
      </w:r>
    </w:p>
    <w:p w14:paraId="6BF58553" w14:textId="696CFBBF" w:rsidR="00D2481A" w:rsidRPr="009F04CF" w:rsidRDefault="00D2481A" w:rsidP="00D2481A">
      <w:pPr>
        <w:pStyle w:val="Text"/>
        <w:jc w:val="center"/>
        <w:rPr>
          <w:rFonts w:eastAsia="Calibri"/>
        </w:rPr>
      </w:pPr>
      <w:r>
        <w:rPr>
          <w:noProof/>
          <w:lang w:eastAsia="en-AU"/>
        </w:rPr>
        <w:drawing>
          <wp:inline distT="0" distB="0" distL="0" distR="0" wp14:anchorId="1502C4ED" wp14:editId="2DE0BDBF">
            <wp:extent cx="5114286" cy="447619"/>
            <wp:effectExtent l="0" t="0" r="0" b="0"/>
            <wp:docPr id="19" name="Picture 19" descr="Natural logarithm left parenthesis R&amp;D expenditure right parenthesis sub I baseline equals f left parenthesis Turnover right parenthesis sub I baseline plus gamma Above Cut Off sub I baseline plus u sub i" title="Equation 12: Percentage of R&amp;D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14286" cy="447619"/>
                    </a:xfrm>
                    <a:prstGeom prst="rect">
                      <a:avLst/>
                    </a:prstGeom>
                  </pic:spPr>
                </pic:pic>
              </a:graphicData>
            </a:graphic>
          </wp:inline>
        </w:drawing>
      </w:r>
    </w:p>
    <w:p w14:paraId="7C5B408D" w14:textId="36D6E827" w:rsidR="009F04CF" w:rsidRDefault="009F04CF" w:rsidP="00A82693">
      <w:pPr>
        <w:pStyle w:val="Text"/>
        <w:rPr>
          <w:rFonts w:eastAsia="Calibri"/>
        </w:rPr>
      </w:pPr>
      <w:r w:rsidRPr="009F04CF">
        <w:rPr>
          <w:rFonts w:eastAsia="Calibri"/>
        </w:rPr>
        <w:t xml:space="preserve">where </w:t>
      </w:r>
      <w:r w:rsidRPr="009F04CF">
        <w:rPr>
          <w:rFonts w:eastAsia="Calibri"/>
          <w:i/>
        </w:rPr>
        <w:t xml:space="preserve">Above Cut Off </w:t>
      </w:r>
      <w:r w:rsidRPr="009F04CF">
        <w:rPr>
          <w:rFonts w:eastAsia="Calibri"/>
        </w:rPr>
        <w:t xml:space="preserve">is a dummy variable set equal to 1 if firm </w:t>
      </w:r>
      <w:r w:rsidRPr="009F04CF">
        <w:rPr>
          <w:rFonts w:eastAsia="Calibri"/>
          <w:i/>
        </w:rPr>
        <w:t xml:space="preserve">i </w:t>
      </w:r>
      <w:r w:rsidRPr="009F04CF">
        <w:rPr>
          <w:rFonts w:eastAsia="Calibri"/>
        </w:rPr>
        <w:t xml:space="preserve">has a turnover greater than $20 million, </w:t>
      </w:r>
      <w:r w:rsidRPr="009F04CF">
        <w:rPr>
          <w:rFonts w:eastAsia="Calibri"/>
          <w:i/>
        </w:rPr>
        <w:t>u</w:t>
      </w:r>
      <w:r w:rsidRPr="009F04CF">
        <w:rPr>
          <w:rFonts w:eastAsia="Calibri"/>
        </w:rPr>
        <w:t xml:space="preserve"> is a stochastic error term, and </w:t>
      </w:r>
      <w:r w:rsidRPr="009F04CF">
        <w:rPr>
          <w:rFonts w:eastAsia="Calibri"/>
          <w:i/>
        </w:rPr>
        <w:t xml:space="preserve">f(Turnover) </w:t>
      </w:r>
      <w:r w:rsidRPr="009F04CF">
        <w:rPr>
          <w:rFonts w:eastAsia="Calibri"/>
        </w:rPr>
        <w:t>is a n</w:t>
      </w:r>
      <w:r w:rsidRPr="009F04CF">
        <w:rPr>
          <w:rFonts w:eastAsia="Calibri"/>
          <w:vertAlign w:val="superscript"/>
        </w:rPr>
        <w:t>th</w:t>
      </w:r>
      <w:r w:rsidRPr="009F04CF">
        <w:rPr>
          <w:rFonts w:eastAsia="Calibri"/>
        </w:rPr>
        <w:t xml:space="preserve"> order polynomial. In this study, we follow the convention in the statistical literature and use a first order polynomial. This convention reflects the view that real world data is well approximated </w:t>
      </w:r>
      <w:r w:rsidRPr="009F04CF">
        <w:rPr>
          <w:rFonts w:eastAsia="Calibri"/>
          <w:i/>
        </w:rPr>
        <w:t xml:space="preserve">locally </w:t>
      </w:r>
      <w:r w:rsidRPr="009F04CF">
        <w:rPr>
          <w:rFonts w:eastAsia="Calibri"/>
        </w:rPr>
        <w:t xml:space="preserve">by linear patterns. Of course, we do not expect relationships between two given variables to be linear over the entire ranges of both variables. However, within small neighbourhoods around known points of interest (i.e., locally to the cut-off), we would expect real world processes to be well captured by linear patterns. In effect, we run a linear regression on both sides of the cut-off point, and we allow the coefficients estimated in the regression to be different on each side of the threshold. That is, we specify </w:t>
      </w:r>
      <w:r w:rsidRPr="009F04CF">
        <w:rPr>
          <w:rFonts w:eastAsia="Calibri"/>
          <w:i/>
        </w:rPr>
        <w:t xml:space="preserve">f </w:t>
      </w:r>
      <w:r w:rsidRPr="009F04CF">
        <w:rPr>
          <w:rFonts w:eastAsia="Calibri"/>
        </w:rPr>
        <w:t>as:</w:t>
      </w:r>
    </w:p>
    <w:p w14:paraId="03D567D4" w14:textId="77777777" w:rsidR="00D2481A" w:rsidRDefault="00D2481A" w:rsidP="00D2481A">
      <w:pPr>
        <w:pStyle w:val="Text"/>
        <w:jc w:val="center"/>
        <w:rPr>
          <w:rFonts w:eastAsia="Calibri"/>
        </w:rPr>
      </w:pPr>
      <w:r>
        <w:rPr>
          <w:noProof/>
          <w:lang w:eastAsia="en-AU"/>
        </w:rPr>
        <w:drawing>
          <wp:inline distT="0" distB="0" distL="0" distR="0" wp14:anchorId="4DDB8E19" wp14:editId="75AF7C50">
            <wp:extent cx="5142857" cy="457143"/>
            <wp:effectExtent l="0" t="0" r="1270" b="635"/>
            <wp:docPr id="20" name="Picture 20" descr="F left parenthesis TO right parenthesis sub I baseline equals alpha plus beta sub 1 baseline Above sub I plus beta sub 2 baseline left parenthesis TO sub I baseline minus c right parenthesis plus beta sub 3 baseline Above sub I baseline multiply left parenthesis TO sub I baseline c right parenthesis right parenthesis plus v sub i" title="Equation 13: Turnover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142857" cy="457143"/>
                    </a:xfrm>
                    <a:prstGeom prst="rect">
                      <a:avLst/>
                    </a:prstGeom>
                  </pic:spPr>
                </pic:pic>
              </a:graphicData>
            </a:graphic>
          </wp:inline>
        </w:drawing>
      </w:r>
    </w:p>
    <w:p w14:paraId="0D25C509" w14:textId="08176048" w:rsidR="009F04CF" w:rsidRPr="009F04CF" w:rsidRDefault="009F04CF" w:rsidP="00A82693">
      <w:pPr>
        <w:pStyle w:val="Text"/>
        <w:rPr>
          <w:rFonts w:eastAsia="Calibri"/>
        </w:rPr>
      </w:pPr>
      <w:r w:rsidRPr="009F04CF">
        <w:t xml:space="preserve">where </w:t>
      </w:r>
      <w:r w:rsidRPr="009F04CF">
        <w:rPr>
          <w:i/>
        </w:rPr>
        <w:t xml:space="preserve">c </w:t>
      </w:r>
      <w:r w:rsidRPr="009F04CF">
        <w:t xml:space="preserve">is the cut-off point ($20 million), </w:t>
      </w:r>
      <w:r w:rsidRPr="009F04CF">
        <w:rPr>
          <w:i/>
        </w:rPr>
        <w:t xml:space="preserve">TO </w:t>
      </w:r>
      <w:r w:rsidRPr="009F04CF">
        <w:t xml:space="preserve">and </w:t>
      </w:r>
      <w:r w:rsidRPr="009F04CF">
        <w:rPr>
          <w:i/>
        </w:rPr>
        <w:t xml:space="preserve">Above </w:t>
      </w:r>
      <w:r w:rsidRPr="009F04CF">
        <w:t xml:space="preserve">are shorthand notations </w:t>
      </w:r>
      <w:r w:rsidRPr="009F04CF">
        <w:rPr>
          <w:rFonts w:eastAsia="Calibri"/>
        </w:rPr>
        <w:t xml:space="preserve">for </w:t>
      </w:r>
      <w:r w:rsidRPr="009F04CF">
        <w:rPr>
          <w:rFonts w:eastAsia="Calibri"/>
          <w:i/>
        </w:rPr>
        <w:t xml:space="preserve">Turnover </w:t>
      </w:r>
      <w:r w:rsidRPr="009F04CF">
        <w:rPr>
          <w:rFonts w:eastAsia="Calibri"/>
        </w:rPr>
        <w:t>and</w:t>
      </w:r>
      <w:r w:rsidRPr="009F04CF">
        <w:rPr>
          <w:rFonts w:eastAsia="Calibri"/>
          <w:i/>
        </w:rPr>
        <w:t xml:space="preserve"> Above Cut Off </w:t>
      </w:r>
      <w:r w:rsidRPr="009F04CF">
        <w:rPr>
          <w:rFonts w:eastAsia="Calibri"/>
        </w:rPr>
        <w:t xml:space="preserve">respectively, and </w:t>
      </w:r>
      <w:r w:rsidRPr="009F04CF">
        <w:rPr>
          <w:rFonts w:eastAsia="Calibri"/>
          <w:i/>
        </w:rPr>
        <w:t>v</w:t>
      </w:r>
      <w:r w:rsidRPr="009F04CF">
        <w:rPr>
          <w:i/>
        </w:rPr>
        <w:t xml:space="preserve"> </w:t>
      </w:r>
      <w:r w:rsidRPr="009F04CF">
        <w:t>is a stochastic error term.</w:t>
      </w:r>
      <w:r w:rsidRPr="009F04CF">
        <w:rPr>
          <w:rFonts w:eastAsia="Calibri"/>
        </w:rPr>
        <w:t xml:space="preserve"> We estimate equation (</w:t>
      </w:r>
      <w:r w:rsidR="00B160AD">
        <w:rPr>
          <w:rFonts w:eastAsia="Calibri"/>
        </w:rPr>
        <w:t>12</w:t>
      </w:r>
      <w:r w:rsidRPr="009F04CF">
        <w:rPr>
          <w:rFonts w:eastAsia="Calibri"/>
        </w:rPr>
        <w:t xml:space="preserve">) while specifying </w:t>
      </w:r>
      <w:r w:rsidRPr="009F04CF">
        <w:rPr>
          <w:rFonts w:eastAsia="Calibri"/>
          <w:i/>
        </w:rPr>
        <w:t xml:space="preserve">f (Turnover) </w:t>
      </w:r>
      <w:r w:rsidRPr="009F04CF">
        <w:rPr>
          <w:rFonts w:eastAsia="Calibri"/>
        </w:rPr>
        <w:t>as dictated by equation (</w:t>
      </w:r>
      <w:r w:rsidR="00B160AD">
        <w:rPr>
          <w:rFonts w:eastAsia="Calibri"/>
        </w:rPr>
        <w:t>13</w:t>
      </w:r>
      <w:r w:rsidRPr="009F04CF">
        <w:rPr>
          <w:rFonts w:eastAsia="Calibri"/>
        </w:rPr>
        <w:t>) to obtain the average causal effect on R&amp;D investment of getting a 45</w:t>
      </w:r>
      <w:r w:rsidR="00F426A9">
        <w:rPr>
          <w:rFonts w:eastAsia="Calibri"/>
        </w:rPr>
        <w:t xml:space="preserve"> percent </w:t>
      </w:r>
      <w:r w:rsidRPr="009F04CF">
        <w:rPr>
          <w:rFonts w:eastAsia="Calibri"/>
        </w:rPr>
        <w:t>tax offset relative to getting a 40</w:t>
      </w:r>
      <w:r w:rsidR="00F426A9">
        <w:rPr>
          <w:rFonts w:eastAsia="Calibri"/>
        </w:rPr>
        <w:t xml:space="preserve"> percent </w:t>
      </w:r>
      <w:r w:rsidRPr="009F04CF">
        <w:rPr>
          <w:rFonts w:eastAsia="Calibri"/>
        </w:rPr>
        <w:t>tax offset.</w:t>
      </w:r>
    </w:p>
    <w:p w14:paraId="7D04AF33" w14:textId="77777777" w:rsidR="00032962" w:rsidRPr="009F04CF" w:rsidRDefault="00032962" w:rsidP="00032962">
      <w:pPr>
        <w:pStyle w:val="Text"/>
        <w:rPr>
          <w:rFonts w:eastAsia="Calibri"/>
        </w:rPr>
      </w:pPr>
      <w:r w:rsidRPr="009F04CF">
        <w:rPr>
          <w:rFonts w:eastAsia="Calibri"/>
        </w:rPr>
        <w:t xml:space="preserve">We apply a regression discontinuity design to the annual turnover threshold of $20 million. </w:t>
      </w:r>
      <w:r>
        <w:rPr>
          <w:rFonts w:eastAsia="Calibri"/>
        </w:rPr>
        <w:t>Under the R&amp;D Tax Incentive policy, firms with a turnover below 20 million are eligible to benefit from an offset that is five percentage points higher than those with a turnover above 20 million.</w:t>
      </w:r>
      <w:r w:rsidRPr="009F04CF">
        <w:rPr>
          <w:rFonts w:eastAsia="Calibri"/>
        </w:rPr>
        <w:t xml:space="preserve"> We exploit this strict cut-off point as a chance to compare firms which receive higher R&amp;D tax subsidies (the firms below the threshold) to firms with a comparatively lower tax break (the firms above the threshold). We exploit the fact that the firms immediately below and above the threshold vary smoothly in all their characteristics across the threshold, with the exception of treatment status. This is so because the treatment status is itself a well-defined function of the threshold: firms with turnovers below $20 million know for certain that they will be receiving the higher tax incentive, while firms above it know </w:t>
      </w:r>
      <w:r w:rsidRPr="009F04CF">
        <w:rPr>
          <w:rFonts w:eastAsia="Calibri"/>
        </w:rPr>
        <w:lastRenderedPageBreak/>
        <w:t>for certain that they will be receiving the lower tax incentive. Equations (</w:t>
      </w:r>
      <w:r w:rsidR="00B160AD">
        <w:rPr>
          <w:rFonts w:eastAsia="Calibri"/>
        </w:rPr>
        <w:t>12</w:t>
      </w:r>
      <w:r w:rsidRPr="009F04CF">
        <w:rPr>
          <w:rFonts w:eastAsia="Calibri"/>
        </w:rPr>
        <w:t>) and (</w:t>
      </w:r>
      <w:r w:rsidR="00B160AD">
        <w:rPr>
          <w:rFonts w:eastAsia="Calibri"/>
        </w:rPr>
        <w:t>13</w:t>
      </w:r>
      <w:r w:rsidRPr="009F04CF">
        <w:rPr>
          <w:rFonts w:eastAsia="Calibri"/>
        </w:rPr>
        <w:t>) above lay out the specifics of the econometric model we estimate.</w:t>
      </w:r>
    </w:p>
    <w:p w14:paraId="37C23BED" w14:textId="060BEFFC" w:rsidR="00032962" w:rsidRPr="009F04CF" w:rsidRDefault="00733990" w:rsidP="00032962">
      <w:pPr>
        <w:pStyle w:val="Text"/>
        <w:rPr>
          <w:rFonts w:eastAsia="Calibri"/>
        </w:rPr>
      </w:pPr>
      <w:r>
        <w:rPr>
          <w:rFonts w:eastAsia="Calibri"/>
        </w:rPr>
        <w:t>Table 10</w:t>
      </w:r>
      <w:r w:rsidR="00032962" w:rsidRPr="009F04CF">
        <w:rPr>
          <w:rFonts w:eastAsia="Calibri"/>
        </w:rPr>
        <w:t xml:space="preserve"> displays the results. For the baseline sample in Column (1), the model finds no statistically significant difference in R&amp;D expenditure between firms below the $20 million cut-off and firms above the cut-off. As such, and perhaps surprisingly, we find no evidence that firms which receive a smaller offset perform any less R&amp;D as a result. In columns (2) to (</w:t>
      </w:r>
      <w:r w:rsidR="00B160AD">
        <w:rPr>
          <w:rFonts w:eastAsia="Calibri"/>
        </w:rPr>
        <w:t>5</w:t>
      </w:r>
      <w:r w:rsidR="00032962" w:rsidRPr="009F04CF">
        <w:rPr>
          <w:rFonts w:eastAsia="Calibri"/>
        </w:rPr>
        <w:t xml:space="preserve">), we experiment with alternative dependent variables, including the stock of R&amp;D, </w:t>
      </w:r>
      <w:r w:rsidR="00032962">
        <w:rPr>
          <w:rFonts w:eastAsia="Calibri"/>
        </w:rPr>
        <w:t>R&amp;D person-years</w:t>
      </w:r>
      <w:r w:rsidR="00E570CD">
        <w:rPr>
          <w:rFonts w:eastAsia="Calibri"/>
        </w:rPr>
        <w:t xml:space="preserve"> </w:t>
      </w:r>
      <w:r w:rsidR="00032962" w:rsidRPr="009F04CF">
        <w:rPr>
          <w:rFonts w:eastAsia="Calibri"/>
        </w:rPr>
        <w:t>and R&amp;D intensity measured both as R&amp;D expenditure per $1,000 of turnover and R&amp;D expenditure per $1,000 of wages. We do not find a significant result in any of these specifications.</w:t>
      </w:r>
      <w:r w:rsidR="00032962">
        <w:rPr>
          <w:rFonts w:eastAsia="Calibri"/>
        </w:rPr>
        <w:t xml:space="preserve"> As a robustness test, we considered log transforming the data which reduces dispersion, </w:t>
      </w:r>
      <w:r w:rsidR="00964264">
        <w:rPr>
          <w:rFonts w:eastAsia="Calibri"/>
        </w:rPr>
        <w:t xml:space="preserve">however </w:t>
      </w:r>
      <w:r w:rsidR="00032962">
        <w:rPr>
          <w:rFonts w:eastAsia="Calibri"/>
        </w:rPr>
        <w:t>this did not change the result.</w:t>
      </w:r>
    </w:p>
    <w:p w14:paraId="3181CB70" w14:textId="77777777" w:rsidR="00032962" w:rsidRDefault="00032962" w:rsidP="00032962">
      <w:pPr>
        <w:pStyle w:val="Text"/>
        <w:rPr>
          <w:rFonts w:eastAsia="Calibri"/>
        </w:rPr>
      </w:pPr>
      <w:r w:rsidRPr="009F04CF">
        <w:rPr>
          <w:rFonts w:eastAsia="Calibri"/>
        </w:rPr>
        <w:t>In sum we are unable to observe a significant impact of the difference in the incentive rate between 40 and 45 percent. It is possible that whatever impact the difference has is too small to be observable. However, the number of observations used in the regression discontinuity design is not very large. Goldberger</w:t>
      </w:r>
      <w:r>
        <w:rPr>
          <w:rFonts w:eastAsia="Calibri"/>
        </w:rPr>
        <w:t xml:space="preserve"> (</w:t>
      </w:r>
      <w:r w:rsidRPr="009F04CF">
        <w:rPr>
          <w:rFonts w:eastAsia="Calibri"/>
        </w:rPr>
        <w:t>1972</w:t>
      </w:r>
      <w:r>
        <w:rPr>
          <w:rFonts w:eastAsia="Calibri"/>
        </w:rPr>
        <w:t>) observes that in order t</w:t>
      </w:r>
      <w:r w:rsidRPr="009F04CF">
        <w:rPr>
          <w:rFonts w:eastAsia="Calibri"/>
        </w:rPr>
        <w:t xml:space="preserve">o generate the same explanatory power as a randomized controlled trial, which is the best scientific method for causal inference, regression discontinuity designs need 2.75 times as many observations. We can therefore think of the results below as equivalent to being obtained from a randomized controlled trial </w:t>
      </w:r>
      <w:r>
        <w:rPr>
          <w:rFonts w:eastAsia="Calibri"/>
        </w:rPr>
        <w:t xml:space="preserve">with </w:t>
      </w:r>
      <w:r w:rsidRPr="009F04CF">
        <w:rPr>
          <w:rFonts w:eastAsia="Calibri"/>
        </w:rPr>
        <w:t>approximately 16 observations. The small sample size may therefore be driving the absence of a result. Performing the analysis again when the 2014 BERD surve</w:t>
      </w:r>
      <w:r>
        <w:rPr>
          <w:rFonts w:eastAsia="Calibri"/>
        </w:rPr>
        <w:t>y results become available may help reconcile this issue</w:t>
      </w:r>
      <w:r w:rsidRPr="009F04CF">
        <w:rPr>
          <w:rFonts w:eastAsia="Calibri"/>
        </w:rPr>
        <w:t xml:space="preserve">. </w:t>
      </w:r>
    </w:p>
    <w:p w14:paraId="5B666772" w14:textId="12997326" w:rsidR="00032962" w:rsidRPr="009F04CF" w:rsidRDefault="00733990" w:rsidP="00032962">
      <w:pPr>
        <w:rPr>
          <w:rFonts w:ascii="Times New Roman" w:hAnsi="Times New Roman"/>
          <w:b/>
          <w:bCs/>
          <w:lang w:eastAsia="en-AU"/>
        </w:rPr>
      </w:pPr>
      <w:r>
        <w:rPr>
          <w:rFonts w:ascii="Times New Roman" w:hAnsi="Times New Roman"/>
          <w:b/>
          <w:bCs/>
          <w:lang w:eastAsia="en-AU"/>
        </w:rPr>
        <w:t>Table 10</w:t>
      </w:r>
      <w:r w:rsidR="00032962" w:rsidRPr="009F04CF">
        <w:rPr>
          <w:rFonts w:ascii="Times New Roman" w:hAnsi="Times New Roman"/>
          <w:b/>
          <w:bCs/>
          <w:lang w:eastAsia="en-AU"/>
        </w:rPr>
        <w:t>. Regression Discontinuity Estimates, Dollar Scale.</w:t>
      </w:r>
    </w:p>
    <w:tbl>
      <w:tblPr>
        <w:tblW w:w="4490" w:type="pct"/>
        <w:jc w:val="center"/>
        <w:tblLayout w:type="fixed"/>
        <w:tblLook w:val="04A0" w:firstRow="1" w:lastRow="0" w:firstColumn="1" w:lastColumn="0" w:noHBand="0" w:noVBand="1"/>
        <w:tblCaption w:val="Table 10: Regression Discontinuity Estimates, Dollar Scale"/>
        <w:tblDescription w:val="Column denotes dependent variable.  Squared parenthesis denotes standard deviation for the associated parameter estimates. Round parenthesis denotes number of observations.&#10;&#10;Column 1, Log of R&amp;D investment: 0.191 [0.730] (43)&#10;Column 2, Log of R&amp;D stock: -0.793 [0.760] (38)&#10;Column 3, Log of Human resources devoted to R&amp;D -0.053 [1.120] (43)&#10;Column 4, R&amp;D expenditure per 1,000 dollar of turnover: 0.051 [0.061] (43)&#10;Column 5, R&amp;D expenditure per 1,000 dollar of wages: 0.034 [0.210] (43)"/>
      </w:tblPr>
      <w:tblGrid>
        <w:gridCol w:w="1895"/>
        <w:gridCol w:w="1235"/>
        <w:gridCol w:w="956"/>
        <w:gridCol w:w="1370"/>
        <w:gridCol w:w="1292"/>
        <w:gridCol w:w="1357"/>
      </w:tblGrid>
      <w:tr w:rsidR="00032962" w:rsidRPr="00A82693" w14:paraId="36AF787B" w14:textId="77777777" w:rsidTr="00D04A09">
        <w:trPr>
          <w:cantSplit/>
          <w:trHeight w:val="900"/>
          <w:tblHeader/>
          <w:jc w:val="center"/>
        </w:trPr>
        <w:tc>
          <w:tcPr>
            <w:tcW w:w="1169" w:type="pct"/>
            <w:tcBorders>
              <w:top w:val="single" w:sz="4" w:space="0" w:color="auto"/>
              <w:left w:val="nil"/>
              <w:bottom w:val="single" w:sz="4" w:space="0" w:color="auto"/>
              <w:right w:val="nil"/>
            </w:tcBorders>
            <w:shd w:val="clear" w:color="auto" w:fill="auto"/>
            <w:noWrap/>
            <w:vAlign w:val="center"/>
            <w:hideMark/>
          </w:tcPr>
          <w:p w14:paraId="043432A4" w14:textId="77777777" w:rsidR="00032962" w:rsidRPr="009F04CF" w:rsidRDefault="00032962" w:rsidP="000823CF">
            <w:pPr>
              <w:pStyle w:val="Tablenumber"/>
              <w:ind w:left="0"/>
              <w:contextualSpacing w:val="0"/>
              <w:jc w:val="left"/>
              <w:rPr>
                <w:lang w:eastAsia="en-AU"/>
              </w:rPr>
            </w:pPr>
            <w:r w:rsidRPr="009F04CF">
              <w:rPr>
                <w:lang w:eastAsia="en-AU"/>
              </w:rPr>
              <w:t>Dependent Variable:</w:t>
            </w:r>
          </w:p>
        </w:tc>
        <w:tc>
          <w:tcPr>
            <w:tcW w:w="762" w:type="pct"/>
            <w:tcBorders>
              <w:top w:val="single" w:sz="4" w:space="0" w:color="auto"/>
              <w:left w:val="nil"/>
              <w:bottom w:val="single" w:sz="4" w:space="0" w:color="auto"/>
              <w:right w:val="nil"/>
            </w:tcBorders>
            <w:shd w:val="clear" w:color="auto" w:fill="auto"/>
            <w:vAlign w:val="center"/>
            <w:hideMark/>
          </w:tcPr>
          <w:p w14:paraId="61877180" w14:textId="29E617BE" w:rsidR="00032962" w:rsidRPr="009F04CF" w:rsidRDefault="00032962" w:rsidP="000823CF">
            <w:pPr>
              <w:pStyle w:val="Tablenumber"/>
              <w:ind w:left="0"/>
              <w:contextualSpacing w:val="0"/>
              <w:jc w:val="left"/>
              <w:rPr>
                <w:lang w:eastAsia="en-AU"/>
              </w:rPr>
            </w:pPr>
            <w:r w:rsidRPr="009F04CF">
              <w:rPr>
                <w:lang w:eastAsia="en-AU"/>
              </w:rPr>
              <w:t>ln(R&amp;D investment)</w:t>
            </w:r>
            <w:r w:rsidR="00010003">
              <w:rPr>
                <w:lang w:eastAsia="en-AU"/>
              </w:rPr>
              <w:t xml:space="preserve"> (1)</w:t>
            </w:r>
          </w:p>
        </w:tc>
        <w:tc>
          <w:tcPr>
            <w:tcW w:w="590" w:type="pct"/>
            <w:tcBorders>
              <w:top w:val="single" w:sz="4" w:space="0" w:color="auto"/>
              <w:left w:val="nil"/>
              <w:bottom w:val="single" w:sz="4" w:space="0" w:color="auto"/>
              <w:right w:val="nil"/>
            </w:tcBorders>
            <w:shd w:val="clear" w:color="auto" w:fill="auto"/>
            <w:vAlign w:val="center"/>
            <w:hideMark/>
          </w:tcPr>
          <w:p w14:paraId="241A36FC" w14:textId="45869507" w:rsidR="00032962" w:rsidRPr="009F04CF" w:rsidRDefault="00032962" w:rsidP="000823CF">
            <w:pPr>
              <w:pStyle w:val="Tablenumber"/>
              <w:ind w:left="0"/>
              <w:contextualSpacing w:val="0"/>
              <w:jc w:val="left"/>
              <w:rPr>
                <w:lang w:eastAsia="en-AU"/>
              </w:rPr>
            </w:pPr>
            <w:r w:rsidRPr="009F04CF">
              <w:rPr>
                <w:lang w:eastAsia="en-AU"/>
              </w:rPr>
              <w:t>ln(R&amp;D stock)</w:t>
            </w:r>
            <w:r w:rsidR="00010003">
              <w:rPr>
                <w:lang w:eastAsia="en-AU"/>
              </w:rPr>
              <w:t xml:space="preserve"> (2)</w:t>
            </w:r>
          </w:p>
        </w:tc>
        <w:tc>
          <w:tcPr>
            <w:tcW w:w="845" w:type="pct"/>
            <w:tcBorders>
              <w:top w:val="single" w:sz="4" w:space="0" w:color="auto"/>
              <w:left w:val="nil"/>
              <w:bottom w:val="single" w:sz="4" w:space="0" w:color="auto"/>
              <w:right w:val="nil"/>
            </w:tcBorders>
            <w:shd w:val="clear" w:color="auto" w:fill="auto"/>
            <w:vAlign w:val="center"/>
            <w:hideMark/>
          </w:tcPr>
          <w:p w14:paraId="1CBC2236" w14:textId="7EF40DA0" w:rsidR="00032962" w:rsidRPr="009F04CF" w:rsidRDefault="00032962" w:rsidP="000823CF">
            <w:pPr>
              <w:pStyle w:val="Tablenumber"/>
              <w:ind w:left="0"/>
              <w:contextualSpacing w:val="0"/>
              <w:jc w:val="left"/>
              <w:rPr>
                <w:lang w:eastAsia="en-AU"/>
              </w:rPr>
            </w:pPr>
            <w:r w:rsidRPr="009F04CF">
              <w:rPr>
                <w:lang w:eastAsia="en-AU"/>
              </w:rPr>
              <w:t>ln(</w:t>
            </w:r>
            <w:r>
              <w:rPr>
                <w:lang w:eastAsia="en-AU"/>
              </w:rPr>
              <w:t>Human resources devoted to R&amp;D</w:t>
            </w:r>
            <w:r w:rsidRPr="009F04CF">
              <w:rPr>
                <w:lang w:eastAsia="en-AU"/>
              </w:rPr>
              <w:t>)</w:t>
            </w:r>
            <w:r w:rsidR="00010003">
              <w:rPr>
                <w:lang w:eastAsia="en-AU"/>
              </w:rPr>
              <w:t xml:space="preserve"> (3)</w:t>
            </w:r>
          </w:p>
        </w:tc>
        <w:tc>
          <w:tcPr>
            <w:tcW w:w="797" w:type="pct"/>
            <w:tcBorders>
              <w:top w:val="single" w:sz="4" w:space="0" w:color="auto"/>
              <w:left w:val="nil"/>
              <w:bottom w:val="single" w:sz="4" w:space="0" w:color="auto"/>
              <w:right w:val="nil"/>
            </w:tcBorders>
            <w:shd w:val="clear" w:color="auto" w:fill="auto"/>
            <w:vAlign w:val="center"/>
            <w:hideMark/>
          </w:tcPr>
          <w:p w14:paraId="78794216" w14:textId="02C3086A" w:rsidR="00032962" w:rsidRPr="009F04CF" w:rsidRDefault="00032962" w:rsidP="000823CF">
            <w:pPr>
              <w:pStyle w:val="Tablenumber"/>
              <w:ind w:left="0"/>
              <w:contextualSpacing w:val="0"/>
              <w:jc w:val="left"/>
              <w:rPr>
                <w:lang w:eastAsia="en-AU"/>
              </w:rPr>
            </w:pPr>
            <w:r w:rsidRPr="009F04CF">
              <w:rPr>
                <w:lang w:eastAsia="en-AU"/>
              </w:rPr>
              <w:t>R&amp;D expenditure per $1,000 of turnover</w:t>
            </w:r>
            <w:r w:rsidR="00010003">
              <w:rPr>
                <w:lang w:eastAsia="en-AU"/>
              </w:rPr>
              <w:t xml:space="preserve"> (4)</w:t>
            </w:r>
          </w:p>
        </w:tc>
        <w:tc>
          <w:tcPr>
            <w:tcW w:w="837" w:type="pct"/>
            <w:tcBorders>
              <w:top w:val="single" w:sz="4" w:space="0" w:color="auto"/>
              <w:left w:val="nil"/>
              <w:bottom w:val="single" w:sz="4" w:space="0" w:color="auto"/>
              <w:right w:val="nil"/>
            </w:tcBorders>
            <w:shd w:val="clear" w:color="auto" w:fill="auto"/>
            <w:vAlign w:val="center"/>
            <w:hideMark/>
          </w:tcPr>
          <w:p w14:paraId="5EE94957" w14:textId="792D08B9" w:rsidR="00032962" w:rsidRPr="009F04CF" w:rsidRDefault="00032962" w:rsidP="000823CF">
            <w:pPr>
              <w:pStyle w:val="Tablenumber"/>
              <w:ind w:left="0"/>
              <w:contextualSpacing w:val="0"/>
              <w:jc w:val="left"/>
              <w:rPr>
                <w:lang w:eastAsia="en-AU"/>
              </w:rPr>
            </w:pPr>
            <w:r w:rsidRPr="009F04CF">
              <w:rPr>
                <w:lang w:eastAsia="en-AU"/>
              </w:rPr>
              <w:t>R&amp;D expenditure per $1,000 of wages</w:t>
            </w:r>
            <w:r w:rsidR="00010003">
              <w:rPr>
                <w:lang w:eastAsia="en-AU"/>
              </w:rPr>
              <w:t xml:space="preserve"> (5)</w:t>
            </w:r>
          </w:p>
        </w:tc>
      </w:tr>
      <w:tr w:rsidR="00032962" w:rsidRPr="00A82693" w14:paraId="31A97A4D" w14:textId="77777777" w:rsidTr="00D04A09">
        <w:trPr>
          <w:cantSplit/>
          <w:trHeight w:val="300"/>
          <w:jc w:val="center"/>
        </w:trPr>
        <w:tc>
          <w:tcPr>
            <w:tcW w:w="1169" w:type="pct"/>
            <w:tcBorders>
              <w:top w:val="single" w:sz="4" w:space="0" w:color="auto"/>
              <w:left w:val="nil"/>
              <w:bottom w:val="nil"/>
              <w:right w:val="nil"/>
            </w:tcBorders>
            <w:shd w:val="clear" w:color="auto" w:fill="auto"/>
            <w:noWrap/>
            <w:vAlign w:val="center"/>
            <w:hideMark/>
          </w:tcPr>
          <w:p w14:paraId="04ADD36A" w14:textId="77777777" w:rsidR="00032962" w:rsidRPr="009F04CF" w:rsidRDefault="00032962" w:rsidP="000823CF">
            <w:pPr>
              <w:pStyle w:val="Tablenumber"/>
              <w:ind w:left="0"/>
              <w:contextualSpacing w:val="0"/>
              <w:jc w:val="left"/>
              <w:rPr>
                <w:lang w:eastAsia="en-AU"/>
              </w:rPr>
            </w:pPr>
          </w:p>
        </w:tc>
        <w:tc>
          <w:tcPr>
            <w:tcW w:w="762" w:type="pct"/>
            <w:tcBorders>
              <w:top w:val="single" w:sz="4" w:space="0" w:color="auto"/>
              <w:left w:val="nil"/>
              <w:bottom w:val="nil"/>
              <w:right w:val="nil"/>
            </w:tcBorders>
            <w:shd w:val="clear" w:color="auto" w:fill="auto"/>
            <w:noWrap/>
            <w:vAlign w:val="center"/>
            <w:hideMark/>
          </w:tcPr>
          <w:p w14:paraId="1B943CFC" w14:textId="77777777" w:rsidR="00032962" w:rsidRPr="009F04CF" w:rsidRDefault="00032962" w:rsidP="000823CF">
            <w:pPr>
              <w:pStyle w:val="Tablenumber"/>
              <w:ind w:left="0"/>
              <w:contextualSpacing w:val="0"/>
              <w:jc w:val="left"/>
              <w:rPr>
                <w:lang w:eastAsia="en-AU"/>
              </w:rPr>
            </w:pPr>
          </w:p>
        </w:tc>
        <w:tc>
          <w:tcPr>
            <w:tcW w:w="590" w:type="pct"/>
            <w:tcBorders>
              <w:top w:val="single" w:sz="4" w:space="0" w:color="auto"/>
              <w:left w:val="nil"/>
              <w:bottom w:val="nil"/>
              <w:right w:val="nil"/>
            </w:tcBorders>
            <w:shd w:val="clear" w:color="auto" w:fill="auto"/>
            <w:noWrap/>
            <w:vAlign w:val="bottom"/>
            <w:hideMark/>
          </w:tcPr>
          <w:p w14:paraId="20F46139" w14:textId="77777777" w:rsidR="00032962" w:rsidRPr="009F04CF" w:rsidRDefault="00032962" w:rsidP="000823CF">
            <w:pPr>
              <w:pStyle w:val="Tablenumber"/>
              <w:ind w:left="0"/>
              <w:contextualSpacing w:val="0"/>
              <w:jc w:val="left"/>
              <w:rPr>
                <w:lang w:eastAsia="en-AU"/>
              </w:rPr>
            </w:pPr>
          </w:p>
        </w:tc>
        <w:tc>
          <w:tcPr>
            <w:tcW w:w="845" w:type="pct"/>
            <w:tcBorders>
              <w:top w:val="single" w:sz="4" w:space="0" w:color="auto"/>
              <w:left w:val="nil"/>
              <w:bottom w:val="nil"/>
              <w:right w:val="nil"/>
            </w:tcBorders>
            <w:shd w:val="clear" w:color="auto" w:fill="auto"/>
            <w:noWrap/>
            <w:vAlign w:val="bottom"/>
            <w:hideMark/>
          </w:tcPr>
          <w:p w14:paraId="5A427ABB" w14:textId="77777777" w:rsidR="00032962" w:rsidRPr="009F04CF" w:rsidRDefault="00032962" w:rsidP="000823CF">
            <w:pPr>
              <w:pStyle w:val="Tablenumber"/>
              <w:ind w:left="0"/>
              <w:contextualSpacing w:val="0"/>
              <w:jc w:val="left"/>
              <w:rPr>
                <w:lang w:eastAsia="en-AU"/>
              </w:rPr>
            </w:pPr>
          </w:p>
        </w:tc>
        <w:tc>
          <w:tcPr>
            <w:tcW w:w="797" w:type="pct"/>
            <w:tcBorders>
              <w:top w:val="single" w:sz="4" w:space="0" w:color="auto"/>
              <w:left w:val="nil"/>
              <w:bottom w:val="nil"/>
              <w:right w:val="nil"/>
            </w:tcBorders>
            <w:shd w:val="clear" w:color="auto" w:fill="auto"/>
            <w:noWrap/>
            <w:vAlign w:val="bottom"/>
            <w:hideMark/>
          </w:tcPr>
          <w:p w14:paraId="436B4C86" w14:textId="77777777" w:rsidR="00032962" w:rsidRPr="009F04CF" w:rsidRDefault="00032962" w:rsidP="000823CF">
            <w:pPr>
              <w:pStyle w:val="Tablenumber"/>
              <w:ind w:left="0"/>
              <w:contextualSpacing w:val="0"/>
              <w:jc w:val="left"/>
              <w:rPr>
                <w:lang w:eastAsia="en-AU"/>
              </w:rPr>
            </w:pPr>
          </w:p>
        </w:tc>
        <w:tc>
          <w:tcPr>
            <w:tcW w:w="837" w:type="pct"/>
            <w:tcBorders>
              <w:top w:val="single" w:sz="4" w:space="0" w:color="auto"/>
              <w:left w:val="nil"/>
              <w:bottom w:val="nil"/>
              <w:right w:val="nil"/>
            </w:tcBorders>
            <w:shd w:val="clear" w:color="auto" w:fill="auto"/>
            <w:noWrap/>
            <w:vAlign w:val="bottom"/>
            <w:hideMark/>
          </w:tcPr>
          <w:p w14:paraId="06637C70" w14:textId="77777777" w:rsidR="00032962" w:rsidRPr="009F04CF" w:rsidRDefault="00032962" w:rsidP="000823CF">
            <w:pPr>
              <w:pStyle w:val="Tablenumber"/>
              <w:ind w:left="0"/>
              <w:contextualSpacing w:val="0"/>
              <w:jc w:val="left"/>
              <w:rPr>
                <w:lang w:eastAsia="en-AU"/>
              </w:rPr>
            </w:pPr>
          </w:p>
        </w:tc>
      </w:tr>
      <w:tr w:rsidR="00032962" w:rsidRPr="00A82693" w14:paraId="4E895814" w14:textId="77777777" w:rsidTr="00D04A09">
        <w:trPr>
          <w:cantSplit/>
          <w:trHeight w:val="300"/>
          <w:jc w:val="center"/>
        </w:trPr>
        <w:tc>
          <w:tcPr>
            <w:tcW w:w="1169" w:type="pct"/>
            <w:tcBorders>
              <w:top w:val="nil"/>
              <w:left w:val="nil"/>
              <w:bottom w:val="nil"/>
              <w:right w:val="nil"/>
            </w:tcBorders>
            <w:shd w:val="clear" w:color="auto" w:fill="auto"/>
            <w:noWrap/>
            <w:vAlign w:val="center"/>
            <w:hideMark/>
          </w:tcPr>
          <w:p w14:paraId="4DC5BCDB" w14:textId="77777777" w:rsidR="00032962" w:rsidRPr="00A82693" w:rsidRDefault="00032962" w:rsidP="000823CF">
            <w:pPr>
              <w:pStyle w:val="Tablenumber"/>
              <w:ind w:left="0"/>
              <w:contextualSpacing w:val="0"/>
              <w:jc w:val="left"/>
              <w:rPr>
                <w:lang w:eastAsia="en-AU"/>
              </w:rPr>
            </w:pPr>
            <w:r w:rsidRPr="00A82693">
              <w:rPr>
                <w:lang w:eastAsia="en-AU"/>
              </w:rPr>
              <w:t>Treatment</w:t>
            </w:r>
          </w:p>
        </w:tc>
        <w:tc>
          <w:tcPr>
            <w:tcW w:w="762" w:type="pct"/>
            <w:tcBorders>
              <w:top w:val="nil"/>
              <w:left w:val="nil"/>
              <w:bottom w:val="nil"/>
              <w:right w:val="nil"/>
            </w:tcBorders>
            <w:shd w:val="clear" w:color="auto" w:fill="auto"/>
            <w:noWrap/>
            <w:vAlign w:val="center"/>
            <w:hideMark/>
          </w:tcPr>
          <w:p w14:paraId="35EAF214" w14:textId="77777777" w:rsidR="00032962" w:rsidRPr="009F04CF" w:rsidRDefault="00032962" w:rsidP="000823CF">
            <w:pPr>
              <w:pStyle w:val="Tablenumber"/>
              <w:ind w:left="0"/>
              <w:contextualSpacing w:val="0"/>
              <w:jc w:val="left"/>
              <w:rPr>
                <w:lang w:eastAsia="en-AU"/>
              </w:rPr>
            </w:pPr>
            <w:r w:rsidRPr="009F04CF">
              <w:rPr>
                <w:lang w:eastAsia="en-AU"/>
              </w:rPr>
              <w:t>0.191</w:t>
            </w:r>
          </w:p>
        </w:tc>
        <w:tc>
          <w:tcPr>
            <w:tcW w:w="590" w:type="pct"/>
            <w:tcBorders>
              <w:top w:val="nil"/>
              <w:left w:val="nil"/>
              <w:bottom w:val="nil"/>
              <w:right w:val="nil"/>
            </w:tcBorders>
            <w:shd w:val="clear" w:color="auto" w:fill="auto"/>
            <w:noWrap/>
            <w:vAlign w:val="center"/>
            <w:hideMark/>
          </w:tcPr>
          <w:p w14:paraId="1155BEE9" w14:textId="77777777" w:rsidR="00032962" w:rsidRPr="009F04CF" w:rsidRDefault="00032962" w:rsidP="000823CF">
            <w:pPr>
              <w:pStyle w:val="Tablenumber"/>
              <w:ind w:left="0"/>
              <w:contextualSpacing w:val="0"/>
              <w:jc w:val="left"/>
              <w:rPr>
                <w:lang w:eastAsia="en-AU"/>
              </w:rPr>
            </w:pPr>
            <w:r w:rsidRPr="009F04CF">
              <w:rPr>
                <w:lang w:eastAsia="en-AU"/>
              </w:rPr>
              <w:t>-0.793</w:t>
            </w:r>
          </w:p>
        </w:tc>
        <w:tc>
          <w:tcPr>
            <w:tcW w:w="845" w:type="pct"/>
            <w:tcBorders>
              <w:top w:val="nil"/>
              <w:left w:val="nil"/>
              <w:bottom w:val="nil"/>
              <w:right w:val="nil"/>
            </w:tcBorders>
            <w:shd w:val="clear" w:color="auto" w:fill="auto"/>
            <w:noWrap/>
            <w:vAlign w:val="center"/>
            <w:hideMark/>
          </w:tcPr>
          <w:p w14:paraId="2189BBBA" w14:textId="77777777" w:rsidR="00032962" w:rsidRPr="009F04CF" w:rsidRDefault="00032962" w:rsidP="000823CF">
            <w:pPr>
              <w:pStyle w:val="Tablenumber"/>
              <w:ind w:left="0"/>
              <w:contextualSpacing w:val="0"/>
              <w:jc w:val="left"/>
              <w:rPr>
                <w:lang w:eastAsia="en-AU"/>
              </w:rPr>
            </w:pPr>
            <w:r w:rsidRPr="009F04CF">
              <w:rPr>
                <w:lang w:eastAsia="en-AU"/>
              </w:rPr>
              <w:t>-0.053</w:t>
            </w:r>
          </w:p>
        </w:tc>
        <w:tc>
          <w:tcPr>
            <w:tcW w:w="797" w:type="pct"/>
            <w:tcBorders>
              <w:top w:val="nil"/>
              <w:left w:val="nil"/>
              <w:bottom w:val="nil"/>
              <w:right w:val="nil"/>
            </w:tcBorders>
            <w:shd w:val="clear" w:color="auto" w:fill="auto"/>
            <w:noWrap/>
            <w:vAlign w:val="center"/>
            <w:hideMark/>
          </w:tcPr>
          <w:p w14:paraId="3BF38232" w14:textId="77777777" w:rsidR="00032962" w:rsidRPr="009F04CF" w:rsidRDefault="00032962" w:rsidP="000823CF">
            <w:pPr>
              <w:pStyle w:val="Tablenumber"/>
              <w:ind w:left="0"/>
              <w:contextualSpacing w:val="0"/>
              <w:jc w:val="left"/>
              <w:rPr>
                <w:lang w:eastAsia="en-AU"/>
              </w:rPr>
            </w:pPr>
            <w:r w:rsidRPr="009F04CF">
              <w:rPr>
                <w:lang w:eastAsia="en-AU"/>
              </w:rPr>
              <w:t>0.051</w:t>
            </w:r>
          </w:p>
        </w:tc>
        <w:tc>
          <w:tcPr>
            <w:tcW w:w="837" w:type="pct"/>
            <w:tcBorders>
              <w:top w:val="nil"/>
              <w:left w:val="nil"/>
              <w:bottom w:val="nil"/>
              <w:right w:val="nil"/>
            </w:tcBorders>
            <w:shd w:val="clear" w:color="auto" w:fill="auto"/>
            <w:noWrap/>
            <w:vAlign w:val="center"/>
            <w:hideMark/>
          </w:tcPr>
          <w:p w14:paraId="07D697C7" w14:textId="77777777" w:rsidR="00032962" w:rsidRPr="009F04CF" w:rsidRDefault="00032962" w:rsidP="000823CF">
            <w:pPr>
              <w:pStyle w:val="Tablenumber"/>
              <w:ind w:left="0"/>
              <w:contextualSpacing w:val="0"/>
              <w:jc w:val="left"/>
              <w:rPr>
                <w:lang w:eastAsia="en-AU"/>
              </w:rPr>
            </w:pPr>
            <w:r w:rsidRPr="009F04CF">
              <w:rPr>
                <w:lang w:eastAsia="en-AU"/>
              </w:rPr>
              <w:t>0.034</w:t>
            </w:r>
          </w:p>
        </w:tc>
      </w:tr>
      <w:tr w:rsidR="00032962" w:rsidRPr="00A82693" w14:paraId="5146F891" w14:textId="77777777" w:rsidTr="00D04A09">
        <w:trPr>
          <w:cantSplit/>
          <w:trHeight w:val="300"/>
          <w:jc w:val="center"/>
        </w:trPr>
        <w:tc>
          <w:tcPr>
            <w:tcW w:w="1169" w:type="pct"/>
            <w:tcBorders>
              <w:top w:val="nil"/>
              <w:left w:val="nil"/>
              <w:bottom w:val="nil"/>
              <w:right w:val="nil"/>
            </w:tcBorders>
            <w:shd w:val="clear" w:color="auto" w:fill="auto"/>
            <w:noWrap/>
            <w:vAlign w:val="bottom"/>
            <w:hideMark/>
          </w:tcPr>
          <w:p w14:paraId="0604C63E" w14:textId="77777777" w:rsidR="00032962" w:rsidRPr="009F04CF" w:rsidRDefault="00032962" w:rsidP="000823CF">
            <w:pPr>
              <w:pStyle w:val="Tablenumber"/>
              <w:ind w:left="0"/>
              <w:contextualSpacing w:val="0"/>
              <w:jc w:val="left"/>
              <w:rPr>
                <w:lang w:eastAsia="en-AU"/>
              </w:rPr>
            </w:pPr>
          </w:p>
        </w:tc>
        <w:tc>
          <w:tcPr>
            <w:tcW w:w="762" w:type="pct"/>
            <w:tcBorders>
              <w:top w:val="nil"/>
              <w:left w:val="nil"/>
              <w:bottom w:val="nil"/>
              <w:right w:val="nil"/>
            </w:tcBorders>
            <w:shd w:val="clear" w:color="auto" w:fill="auto"/>
            <w:noWrap/>
            <w:vAlign w:val="center"/>
            <w:hideMark/>
          </w:tcPr>
          <w:p w14:paraId="0035FD3D" w14:textId="77777777" w:rsidR="00032962" w:rsidRPr="009F04CF" w:rsidRDefault="00032962" w:rsidP="000823CF">
            <w:pPr>
              <w:pStyle w:val="Tablenumber"/>
              <w:ind w:left="0"/>
              <w:contextualSpacing w:val="0"/>
              <w:jc w:val="left"/>
              <w:rPr>
                <w:lang w:eastAsia="en-AU"/>
              </w:rPr>
            </w:pPr>
            <w:r w:rsidRPr="00A82693">
              <w:rPr>
                <w:lang w:eastAsia="en-AU"/>
              </w:rPr>
              <w:t>[0.730]</w:t>
            </w:r>
          </w:p>
        </w:tc>
        <w:tc>
          <w:tcPr>
            <w:tcW w:w="590" w:type="pct"/>
            <w:tcBorders>
              <w:top w:val="nil"/>
              <w:left w:val="nil"/>
              <w:bottom w:val="nil"/>
              <w:right w:val="nil"/>
            </w:tcBorders>
            <w:shd w:val="clear" w:color="auto" w:fill="auto"/>
            <w:noWrap/>
            <w:vAlign w:val="center"/>
            <w:hideMark/>
          </w:tcPr>
          <w:p w14:paraId="3240AFEE" w14:textId="77777777" w:rsidR="00032962" w:rsidRPr="009F04CF" w:rsidRDefault="00032962" w:rsidP="000823CF">
            <w:pPr>
              <w:pStyle w:val="Tablenumber"/>
              <w:ind w:left="0"/>
              <w:contextualSpacing w:val="0"/>
              <w:jc w:val="left"/>
              <w:rPr>
                <w:lang w:eastAsia="en-AU"/>
              </w:rPr>
            </w:pPr>
            <w:r w:rsidRPr="009F04CF">
              <w:rPr>
                <w:lang w:eastAsia="en-AU"/>
              </w:rPr>
              <w:t>[0.760]</w:t>
            </w:r>
          </w:p>
        </w:tc>
        <w:tc>
          <w:tcPr>
            <w:tcW w:w="845" w:type="pct"/>
            <w:tcBorders>
              <w:top w:val="nil"/>
              <w:left w:val="nil"/>
              <w:bottom w:val="nil"/>
              <w:right w:val="nil"/>
            </w:tcBorders>
            <w:shd w:val="clear" w:color="auto" w:fill="auto"/>
            <w:noWrap/>
            <w:vAlign w:val="center"/>
            <w:hideMark/>
          </w:tcPr>
          <w:p w14:paraId="76A9FBBA" w14:textId="77777777" w:rsidR="00032962" w:rsidRPr="009F04CF" w:rsidRDefault="00032962" w:rsidP="000823CF">
            <w:pPr>
              <w:pStyle w:val="Tablenumber"/>
              <w:ind w:left="0"/>
              <w:contextualSpacing w:val="0"/>
              <w:jc w:val="left"/>
              <w:rPr>
                <w:lang w:eastAsia="en-AU"/>
              </w:rPr>
            </w:pPr>
            <w:r w:rsidRPr="009F04CF">
              <w:rPr>
                <w:lang w:eastAsia="en-AU"/>
              </w:rPr>
              <w:t>[1.120]</w:t>
            </w:r>
          </w:p>
        </w:tc>
        <w:tc>
          <w:tcPr>
            <w:tcW w:w="797" w:type="pct"/>
            <w:tcBorders>
              <w:top w:val="nil"/>
              <w:left w:val="nil"/>
              <w:bottom w:val="nil"/>
              <w:right w:val="nil"/>
            </w:tcBorders>
            <w:shd w:val="clear" w:color="auto" w:fill="auto"/>
            <w:noWrap/>
            <w:vAlign w:val="center"/>
            <w:hideMark/>
          </w:tcPr>
          <w:p w14:paraId="722AF49F" w14:textId="77777777" w:rsidR="00032962" w:rsidRPr="009F04CF" w:rsidRDefault="00032962" w:rsidP="000823CF">
            <w:pPr>
              <w:pStyle w:val="Tablenumber"/>
              <w:ind w:left="0"/>
              <w:contextualSpacing w:val="0"/>
              <w:jc w:val="left"/>
              <w:rPr>
                <w:lang w:eastAsia="en-AU"/>
              </w:rPr>
            </w:pPr>
            <w:r w:rsidRPr="009F04CF">
              <w:rPr>
                <w:lang w:eastAsia="en-AU"/>
              </w:rPr>
              <w:t>[0.061]</w:t>
            </w:r>
          </w:p>
        </w:tc>
        <w:tc>
          <w:tcPr>
            <w:tcW w:w="837" w:type="pct"/>
            <w:tcBorders>
              <w:top w:val="nil"/>
              <w:left w:val="nil"/>
              <w:bottom w:val="nil"/>
              <w:right w:val="nil"/>
            </w:tcBorders>
            <w:shd w:val="clear" w:color="auto" w:fill="auto"/>
            <w:noWrap/>
            <w:vAlign w:val="center"/>
            <w:hideMark/>
          </w:tcPr>
          <w:p w14:paraId="74F760BC" w14:textId="77777777" w:rsidR="00032962" w:rsidRPr="009F04CF" w:rsidRDefault="00032962" w:rsidP="000823CF">
            <w:pPr>
              <w:pStyle w:val="Tablenumber"/>
              <w:ind w:left="0"/>
              <w:contextualSpacing w:val="0"/>
              <w:jc w:val="left"/>
              <w:rPr>
                <w:lang w:eastAsia="en-AU"/>
              </w:rPr>
            </w:pPr>
            <w:r w:rsidRPr="009F04CF">
              <w:rPr>
                <w:lang w:eastAsia="en-AU"/>
              </w:rPr>
              <w:t>[0.210]</w:t>
            </w:r>
          </w:p>
        </w:tc>
      </w:tr>
      <w:tr w:rsidR="00032962" w:rsidRPr="00A82693" w14:paraId="2E6AD205" w14:textId="77777777" w:rsidTr="00D04A09">
        <w:trPr>
          <w:cantSplit/>
          <w:trHeight w:val="300"/>
          <w:jc w:val="center"/>
        </w:trPr>
        <w:tc>
          <w:tcPr>
            <w:tcW w:w="1169" w:type="pct"/>
            <w:tcBorders>
              <w:top w:val="nil"/>
              <w:left w:val="nil"/>
              <w:bottom w:val="nil"/>
              <w:right w:val="nil"/>
            </w:tcBorders>
            <w:shd w:val="clear" w:color="auto" w:fill="auto"/>
            <w:noWrap/>
            <w:vAlign w:val="bottom"/>
            <w:hideMark/>
          </w:tcPr>
          <w:p w14:paraId="2ABABEA6" w14:textId="77777777" w:rsidR="00032962" w:rsidRPr="009F04CF" w:rsidRDefault="00032962" w:rsidP="000823CF">
            <w:pPr>
              <w:pStyle w:val="Tablenumber"/>
              <w:ind w:left="0"/>
              <w:contextualSpacing w:val="0"/>
              <w:jc w:val="left"/>
              <w:rPr>
                <w:lang w:eastAsia="en-AU"/>
              </w:rPr>
            </w:pPr>
          </w:p>
        </w:tc>
        <w:tc>
          <w:tcPr>
            <w:tcW w:w="762" w:type="pct"/>
            <w:tcBorders>
              <w:top w:val="nil"/>
              <w:left w:val="nil"/>
              <w:bottom w:val="nil"/>
              <w:right w:val="nil"/>
            </w:tcBorders>
            <w:shd w:val="clear" w:color="auto" w:fill="auto"/>
            <w:noWrap/>
            <w:vAlign w:val="center"/>
            <w:hideMark/>
          </w:tcPr>
          <w:p w14:paraId="5930B654" w14:textId="77777777" w:rsidR="00032962" w:rsidRPr="009F04CF" w:rsidRDefault="00032962" w:rsidP="000823CF">
            <w:pPr>
              <w:pStyle w:val="Tablenumber"/>
              <w:ind w:left="0"/>
              <w:contextualSpacing w:val="0"/>
              <w:jc w:val="left"/>
              <w:rPr>
                <w:lang w:eastAsia="en-AU"/>
              </w:rPr>
            </w:pPr>
          </w:p>
        </w:tc>
        <w:tc>
          <w:tcPr>
            <w:tcW w:w="590" w:type="pct"/>
            <w:tcBorders>
              <w:top w:val="nil"/>
              <w:left w:val="nil"/>
              <w:bottom w:val="nil"/>
              <w:right w:val="nil"/>
            </w:tcBorders>
            <w:shd w:val="clear" w:color="auto" w:fill="auto"/>
            <w:noWrap/>
            <w:vAlign w:val="bottom"/>
            <w:hideMark/>
          </w:tcPr>
          <w:p w14:paraId="3CCF8E0E" w14:textId="77777777" w:rsidR="00032962" w:rsidRPr="009F04CF" w:rsidRDefault="00032962" w:rsidP="000823CF">
            <w:pPr>
              <w:pStyle w:val="Tablenumber"/>
              <w:ind w:left="0"/>
              <w:contextualSpacing w:val="0"/>
              <w:jc w:val="left"/>
              <w:rPr>
                <w:lang w:eastAsia="en-AU"/>
              </w:rPr>
            </w:pPr>
          </w:p>
        </w:tc>
        <w:tc>
          <w:tcPr>
            <w:tcW w:w="845" w:type="pct"/>
            <w:tcBorders>
              <w:top w:val="nil"/>
              <w:left w:val="nil"/>
              <w:bottom w:val="nil"/>
              <w:right w:val="nil"/>
            </w:tcBorders>
            <w:shd w:val="clear" w:color="auto" w:fill="auto"/>
            <w:noWrap/>
            <w:vAlign w:val="bottom"/>
            <w:hideMark/>
          </w:tcPr>
          <w:p w14:paraId="01898B40" w14:textId="77777777" w:rsidR="00032962" w:rsidRPr="009F04CF" w:rsidRDefault="00032962" w:rsidP="000823CF">
            <w:pPr>
              <w:pStyle w:val="Tablenumber"/>
              <w:ind w:left="0"/>
              <w:contextualSpacing w:val="0"/>
              <w:jc w:val="left"/>
              <w:rPr>
                <w:lang w:eastAsia="en-AU"/>
              </w:rPr>
            </w:pPr>
          </w:p>
        </w:tc>
        <w:tc>
          <w:tcPr>
            <w:tcW w:w="797" w:type="pct"/>
            <w:tcBorders>
              <w:top w:val="nil"/>
              <w:left w:val="nil"/>
              <w:bottom w:val="nil"/>
              <w:right w:val="nil"/>
            </w:tcBorders>
            <w:shd w:val="clear" w:color="auto" w:fill="auto"/>
            <w:noWrap/>
            <w:vAlign w:val="bottom"/>
            <w:hideMark/>
          </w:tcPr>
          <w:p w14:paraId="14AFD9C3" w14:textId="77777777" w:rsidR="00032962" w:rsidRPr="009F04CF" w:rsidRDefault="00032962" w:rsidP="000823CF">
            <w:pPr>
              <w:pStyle w:val="Tablenumber"/>
              <w:ind w:left="0"/>
              <w:contextualSpacing w:val="0"/>
              <w:jc w:val="left"/>
              <w:rPr>
                <w:lang w:eastAsia="en-AU"/>
              </w:rPr>
            </w:pPr>
          </w:p>
        </w:tc>
        <w:tc>
          <w:tcPr>
            <w:tcW w:w="837" w:type="pct"/>
            <w:tcBorders>
              <w:top w:val="nil"/>
              <w:left w:val="nil"/>
              <w:bottom w:val="nil"/>
              <w:right w:val="nil"/>
            </w:tcBorders>
            <w:shd w:val="clear" w:color="auto" w:fill="auto"/>
            <w:noWrap/>
            <w:vAlign w:val="bottom"/>
            <w:hideMark/>
          </w:tcPr>
          <w:p w14:paraId="3941DA91" w14:textId="77777777" w:rsidR="00032962" w:rsidRPr="009F04CF" w:rsidRDefault="00032962" w:rsidP="000823CF">
            <w:pPr>
              <w:pStyle w:val="Tablenumber"/>
              <w:ind w:left="0"/>
              <w:contextualSpacing w:val="0"/>
              <w:jc w:val="left"/>
              <w:rPr>
                <w:lang w:eastAsia="en-AU"/>
              </w:rPr>
            </w:pPr>
          </w:p>
        </w:tc>
      </w:tr>
      <w:tr w:rsidR="00032962" w:rsidRPr="00A82693" w14:paraId="0165C203" w14:textId="77777777" w:rsidTr="00D04A09">
        <w:trPr>
          <w:cantSplit/>
          <w:trHeight w:val="300"/>
          <w:jc w:val="center"/>
        </w:trPr>
        <w:tc>
          <w:tcPr>
            <w:tcW w:w="1169" w:type="pct"/>
            <w:tcBorders>
              <w:top w:val="nil"/>
              <w:left w:val="nil"/>
              <w:bottom w:val="nil"/>
              <w:right w:val="nil"/>
            </w:tcBorders>
            <w:shd w:val="clear" w:color="auto" w:fill="auto"/>
            <w:noWrap/>
            <w:vAlign w:val="center"/>
            <w:hideMark/>
          </w:tcPr>
          <w:p w14:paraId="5307C3CF" w14:textId="77777777" w:rsidR="00032962" w:rsidRPr="009F04CF" w:rsidRDefault="00032962" w:rsidP="000823CF">
            <w:pPr>
              <w:pStyle w:val="Tablenumber"/>
              <w:ind w:left="0"/>
              <w:contextualSpacing w:val="0"/>
              <w:jc w:val="left"/>
              <w:rPr>
                <w:lang w:eastAsia="en-AU"/>
              </w:rPr>
            </w:pPr>
            <w:r w:rsidRPr="009F04CF">
              <w:rPr>
                <w:lang w:eastAsia="en-AU"/>
              </w:rPr>
              <w:t>Upper &amp; Lower Cut-Offs (millions)</w:t>
            </w:r>
          </w:p>
        </w:tc>
        <w:tc>
          <w:tcPr>
            <w:tcW w:w="762" w:type="pct"/>
            <w:tcBorders>
              <w:top w:val="nil"/>
              <w:left w:val="nil"/>
              <w:bottom w:val="nil"/>
              <w:right w:val="nil"/>
            </w:tcBorders>
            <w:shd w:val="clear" w:color="auto" w:fill="auto"/>
            <w:noWrap/>
            <w:vAlign w:val="center"/>
            <w:hideMark/>
          </w:tcPr>
          <w:p w14:paraId="6BEFCCAA" w14:textId="77777777" w:rsidR="00032962" w:rsidRPr="009F04CF" w:rsidRDefault="00032962" w:rsidP="000823CF">
            <w:pPr>
              <w:pStyle w:val="Tablenumber"/>
              <w:ind w:left="0"/>
              <w:contextualSpacing w:val="0"/>
              <w:jc w:val="left"/>
              <w:rPr>
                <w:lang w:eastAsia="en-AU"/>
              </w:rPr>
            </w:pPr>
            <w:r w:rsidRPr="009F04CF">
              <w:rPr>
                <w:lang w:eastAsia="en-AU"/>
              </w:rPr>
              <w:t>4</w:t>
            </w:r>
          </w:p>
        </w:tc>
        <w:tc>
          <w:tcPr>
            <w:tcW w:w="590" w:type="pct"/>
            <w:tcBorders>
              <w:top w:val="nil"/>
              <w:left w:val="nil"/>
              <w:bottom w:val="nil"/>
              <w:right w:val="nil"/>
            </w:tcBorders>
            <w:shd w:val="clear" w:color="auto" w:fill="auto"/>
            <w:noWrap/>
            <w:vAlign w:val="center"/>
            <w:hideMark/>
          </w:tcPr>
          <w:p w14:paraId="698B883F" w14:textId="77777777" w:rsidR="00032962" w:rsidRPr="009F04CF" w:rsidRDefault="00032962" w:rsidP="000823CF">
            <w:pPr>
              <w:pStyle w:val="Tablenumber"/>
              <w:ind w:left="0"/>
              <w:contextualSpacing w:val="0"/>
              <w:jc w:val="left"/>
              <w:rPr>
                <w:lang w:eastAsia="en-AU"/>
              </w:rPr>
            </w:pPr>
            <w:r w:rsidRPr="009F04CF">
              <w:rPr>
                <w:lang w:eastAsia="en-AU"/>
              </w:rPr>
              <w:t>4</w:t>
            </w:r>
          </w:p>
        </w:tc>
        <w:tc>
          <w:tcPr>
            <w:tcW w:w="845" w:type="pct"/>
            <w:tcBorders>
              <w:top w:val="nil"/>
              <w:left w:val="nil"/>
              <w:bottom w:val="nil"/>
              <w:right w:val="nil"/>
            </w:tcBorders>
            <w:shd w:val="clear" w:color="auto" w:fill="auto"/>
            <w:noWrap/>
            <w:vAlign w:val="center"/>
            <w:hideMark/>
          </w:tcPr>
          <w:p w14:paraId="28F6C7B5" w14:textId="77777777" w:rsidR="00032962" w:rsidRPr="009F04CF" w:rsidRDefault="00032962" w:rsidP="000823CF">
            <w:pPr>
              <w:pStyle w:val="Tablenumber"/>
              <w:ind w:left="0"/>
              <w:contextualSpacing w:val="0"/>
              <w:jc w:val="left"/>
              <w:rPr>
                <w:lang w:eastAsia="en-AU"/>
              </w:rPr>
            </w:pPr>
            <w:r w:rsidRPr="009F04CF">
              <w:rPr>
                <w:lang w:eastAsia="en-AU"/>
              </w:rPr>
              <w:t>4</w:t>
            </w:r>
          </w:p>
        </w:tc>
        <w:tc>
          <w:tcPr>
            <w:tcW w:w="797" w:type="pct"/>
            <w:tcBorders>
              <w:top w:val="nil"/>
              <w:left w:val="nil"/>
              <w:bottom w:val="nil"/>
              <w:right w:val="nil"/>
            </w:tcBorders>
            <w:shd w:val="clear" w:color="auto" w:fill="auto"/>
            <w:noWrap/>
            <w:vAlign w:val="center"/>
            <w:hideMark/>
          </w:tcPr>
          <w:p w14:paraId="1E583709" w14:textId="77777777" w:rsidR="00032962" w:rsidRPr="009F04CF" w:rsidRDefault="00032962" w:rsidP="000823CF">
            <w:pPr>
              <w:pStyle w:val="Tablenumber"/>
              <w:ind w:left="0"/>
              <w:contextualSpacing w:val="0"/>
              <w:jc w:val="left"/>
              <w:rPr>
                <w:lang w:eastAsia="en-AU"/>
              </w:rPr>
            </w:pPr>
            <w:r w:rsidRPr="009F04CF">
              <w:rPr>
                <w:lang w:eastAsia="en-AU"/>
              </w:rPr>
              <w:t>4</w:t>
            </w:r>
          </w:p>
        </w:tc>
        <w:tc>
          <w:tcPr>
            <w:tcW w:w="837" w:type="pct"/>
            <w:tcBorders>
              <w:top w:val="nil"/>
              <w:left w:val="nil"/>
              <w:bottom w:val="nil"/>
              <w:right w:val="nil"/>
            </w:tcBorders>
            <w:shd w:val="clear" w:color="auto" w:fill="auto"/>
            <w:noWrap/>
            <w:vAlign w:val="center"/>
            <w:hideMark/>
          </w:tcPr>
          <w:p w14:paraId="3944044D" w14:textId="77777777" w:rsidR="00032962" w:rsidRPr="009F04CF" w:rsidRDefault="00032962" w:rsidP="000823CF">
            <w:pPr>
              <w:pStyle w:val="Tablenumber"/>
              <w:ind w:left="0"/>
              <w:contextualSpacing w:val="0"/>
              <w:jc w:val="left"/>
              <w:rPr>
                <w:lang w:eastAsia="en-AU"/>
              </w:rPr>
            </w:pPr>
            <w:r w:rsidRPr="009F04CF">
              <w:rPr>
                <w:lang w:eastAsia="en-AU"/>
              </w:rPr>
              <w:t>4</w:t>
            </w:r>
          </w:p>
        </w:tc>
      </w:tr>
      <w:tr w:rsidR="00032962" w:rsidRPr="00A82693" w14:paraId="4033384D" w14:textId="77777777" w:rsidTr="00D04A09">
        <w:trPr>
          <w:cantSplit/>
          <w:trHeight w:val="300"/>
          <w:jc w:val="center"/>
        </w:trPr>
        <w:tc>
          <w:tcPr>
            <w:tcW w:w="1169" w:type="pct"/>
            <w:tcBorders>
              <w:top w:val="nil"/>
              <w:left w:val="nil"/>
              <w:bottom w:val="nil"/>
              <w:right w:val="nil"/>
            </w:tcBorders>
            <w:shd w:val="clear" w:color="auto" w:fill="auto"/>
            <w:noWrap/>
            <w:vAlign w:val="bottom"/>
            <w:hideMark/>
          </w:tcPr>
          <w:p w14:paraId="37D09DDE" w14:textId="77777777" w:rsidR="00032962" w:rsidRPr="009F04CF" w:rsidRDefault="00032962" w:rsidP="000823CF">
            <w:pPr>
              <w:pStyle w:val="Tablenumber"/>
              <w:ind w:left="0"/>
              <w:contextualSpacing w:val="0"/>
              <w:jc w:val="left"/>
              <w:rPr>
                <w:lang w:eastAsia="en-AU"/>
              </w:rPr>
            </w:pPr>
          </w:p>
        </w:tc>
        <w:tc>
          <w:tcPr>
            <w:tcW w:w="762" w:type="pct"/>
            <w:tcBorders>
              <w:top w:val="nil"/>
              <w:left w:val="nil"/>
              <w:bottom w:val="nil"/>
              <w:right w:val="nil"/>
            </w:tcBorders>
            <w:shd w:val="clear" w:color="auto" w:fill="auto"/>
            <w:noWrap/>
            <w:vAlign w:val="center"/>
            <w:hideMark/>
          </w:tcPr>
          <w:p w14:paraId="59453101" w14:textId="77777777" w:rsidR="00032962" w:rsidRPr="009F04CF" w:rsidRDefault="00032962" w:rsidP="000823CF">
            <w:pPr>
              <w:pStyle w:val="Tablenumber"/>
              <w:ind w:left="0"/>
              <w:contextualSpacing w:val="0"/>
              <w:jc w:val="left"/>
              <w:rPr>
                <w:lang w:eastAsia="en-AU"/>
              </w:rPr>
            </w:pPr>
          </w:p>
        </w:tc>
        <w:tc>
          <w:tcPr>
            <w:tcW w:w="590" w:type="pct"/>
            <w:tcBorders>
              <w:top w:val="nil"/>
              <w:left w:val="nil"/>
              <w:bottom w:val="nil"/>
              <w:right w:val="nil"/>
            </w:tcBorders>
            <w:shd w:val="clear" w:color="auto" w:fill="auto"/>
            <w:noWrap/>
            <w:vAlign w:val="bottom"/>
            <w:hideMark/>
          </w:tcPr>
          <w:p w14:paraId="4E75D31F" w14:textId="77777777" w:rsidR="00032962" w:rsidRPr="009F04CF" w:rsidRDefault="00032962" w:rsidP="000823CF">
            <w:pPr>
              <w:pStyle w:val="Tablenumber"/>
              <w:ind w:left="0"/>
              <w:contextualSpacing w:val="0"/>
              <w:jc w:val="left"/>
              <w:rPr>
                <w:lang w:eastAsia="en-AU"/>
              </w:rPr>
            </w:pPr>
          </w:p>
        </w:tc>
        <w:tc>
          <w:tcPr>
            <w:tcW w:w="845" w:type="pct"/>
            <w:tcBorders>
              <w:top w:val="nil"/>
              <w:left w:val="nil"/>
              <w:bottom w:val="nil"/>
              <w:right w:val="nil"/>
            </w:tcBorders>
            <w:shd w:val="clear" w:color="auto" w:fill="auto"/>
            <w:noWrap/>
            <w:vAlign w:val="bottom"/>
            <w:hideMark/>
          </w:tcPr>
          <w:p w14:paraId="19312B59" w14:textId="77777777" w:rsidR="00032962" w:rsidRPr="009F04CF" w:rsidRDefault="00032962" w:rsidP="000823CF">
            <w:pPr>
              <w:pStyle w:val="Tablenumber"/>
              <w:ind w:left="0"/>
              <w:contextualSpacing w:val="0"/>
              <w:jc w:val="left"/>
              <w:rPr>
                <w:lang w:eastAsia="en-AU"/>
              </w:rPr>
            </w:pPr>
          </w:p>
        </w:tc>
        <w:tc>
          <w:tcPr>
            <w:tcW w:w="797" w:type="pct"/>
            <w:tcBorders>
              <w:top w:val="nil"/>
              <w:left w:val="nil"/>
              <w:bottom w:val="nil"/>
              <w:right w:val="nil"/>
            </w:tcBorders>
            <w:shd w:val="clear" w:color="auto" w:fill="auto"/>
            <w:noWrap/>
            <w:vAlign w:val="bottom"/>
            <w:hideMark/>
          </w:tcPr>
          <w:p w14:paraId="0E58BC11" w14:textId="77777777" w:rsidR="00032962" w:rsidRPr="009F04CF" w:rsidRDefault="00032962" w:rsidP="000823CF">
            <w:pPr>
              <w:pStyle w:val="Tablenumber"/>
              <w:ind w:left="0"/>
              <w:contextualSpacing w:val="0"/>
              <w:jc w:val="left"/>
              <w:rPr>
                <w:lang w:eastAsia="en-AU"/>
              </w:rPr>
            </w:pPr>
          </w:p>
        </w:tc>
        <w:tc>
          <w:tcPr>
            <w:tcW w:w="837" w:type="pct"/>
            <w:tcBorders>
              <w:top w:val="nil"/>
              <w:left w:val="nil"/>
              <w:bottom w:val="nil"/>
              <w:right w:val="nil"/>
            </w:tcBorders>
            <w:shd w:val="clear" w:color="auto" w:fill="auto"/>
            <w:noWrap/>
            <w:vAlign w:val="bottom"/>
            <w:hideMark/>
          </w:tcPr>
          <w:p w14:paraId="7D339DA2" w14:textId="77777777" w:rsidR="00032962" w:rsidRPr="009F04CF" w:rsidRDefault="00032962" w:rsidP="000823CF">
            <w:pPr>
              <w:pStyle w:val="Tablenumber"/>
              <w:ind w:left="0"/>
              <w:contextualSpacing w:val="0"/>
              <w:jc w:val="left"/>
              <w:rPr>
                <w:lang w:eastAsia="en-AU"/>
              </w:rPr>
            </w:pPr>
          </w:p>
        </w:tc>
      </w:tr>
      <w:tr w:rsidR="00032962" w:rsidRPr="00A82693" w14:paraId="4670EFEE" w14:textId="77777777" w:rsidTr="00D04A09">
        <w:trPr>
          <w:cantSplit/>
          <w:trHeight w:val="300"/>
          <w:jc w:val="center"/>
        </w:trPr>
        <w:tc>
          <w:tcPr>
            <w:tcW w:w="1169" w:type="pct"/>
            <w:tcBorders>
              <w:top w:val="nil"/>
              <w:left w:val="nil"/>
              <w:bottom w:val="nil"/>
              <w:right w:val="nil"/>
            </w:tcBorders>
            <w:shd w:val="clear" w:color="auto" w:fill="auto"/>
            <w:noWrap/>
            <w:vAlign w:val="center"/>
            <w:hideMark/>
          </w:tcPr>
          <w:p w14:paraId="0803C3C2" w14:textId="77777777" w:rsidR="00032962" w:rsidRPr="009F04CF" w:rsidRDefault="00032962" w:rsidP="000823CF">
            <w:pPr>
              <w:pStyle w:val="Tablenumber"/>
              <w:ind w:left="0"/>
              <w:contextualSpacing w:val="0"/>
              <w:jc w:val="left"/>
              <w:rPr>
                <w:lang w:eastAsia="en-AU"/>
              </w:rPr>
            </w:pPr>
            <w:r w:rsidRPr="009F04CF">
              <w:rPr>
                <w:lang w:eastAsia="en-AU"/>
              </w:rPr>
              <w:t>Observations</w:t>
            </w:r>
          </w:p>
        </w:tc>
        <w:tc>
          <w:tcPr>
            <w:tcW w:w="762" w:type="pct"/>
            <w:tcBorders>
              <w:top w:val="nil"/>
              <w:left w:val="nil"/>
              <w:bottom w:val="nil"/>
              <w:right w:val="nil"/>
            </w:tcBorders>
            <w:shd w:val="clear" w:color="auto" w:fill="auto"/>
            <w:noWrap/>
            <w:vAlign w:val="center"/>
            <w:hideMark/>
          </w:tcPr>
          <w:p w14:paraId="13799E87" w14:textId="77777777" w:rsidR="00032962" w:rsidRPr="009F04CF" w:rsidRDefault="00032962" w:rsidP="000823CF">
            <w:pPr>
              <w:pStyle w:val="Tablenumber"/>
              <w:ind w:left="0"/>
              <w:contextualSpacing w:val="0"/>
              <w:jc w:val="left"/>
              <w:rPr>
                <w:lang w:eastAsia="en-AU"/>
              </w:rPr>
            </w:pPr>
            <w:r w:rsidRPr="009F04CF">
              <w:rPr>
                <w:lang w:eastAsia="en-AU"/>
              </w:rPr>
              <w:t>43</w:t>
            </w:r>
          </w:p>
        </w:tc>
        <w:tc>
          <w:tcPr>
            <w:tcW w:w="590" w:type="pct"/>
            <w:tcBorders>
              <w:top w:val="nil"/>
              <w:left w:val="nil"/>
              <w:bottom w:val="nil"/>
              <w:right w:val="nil"/>
            </w:tcBorders>
            <w:shd w:val="clear" w:color="auto" w:fill="auto"/>
            <w:noWrap/>
            <w:vAlign w:val="bottom"/>
            <w:hideMark/>
          </w:tcPr>
          <w:p w14:paraId="3BC36B99" w14:textId="77777777" w:rsidR="00032962" w:rsidRPr="009F04CF" w:rsidRDefault="00032962" w:rsidP="000823CF">
            <w:pPr>
              <w:pStyle w:val="Tablenumber"/>
              <w:ind w:left="0"/>
              <w:contextualSpacing w:val="0"/>
              <w:jc w:val="left"/>
              <w:rPr>
                <w:lang w:eastAsia="en-AU"/>
              </w:rPr>
            </w:pPr>
            <w:r w:rsidRPr="009F04CF">
              <w:rPr>
                <w:lang w:eastAsia="en-AU"/>
              </w:rPr>
              <w:t>38</w:t>
            </w:r>
          </w:p>
        </w:tc>
        <w:tc>
          <w:tcPr>
            <w:tcW w:w="845" w:type="pct"/>
            <w:tcBorders>
              <w:top w:val="nil"/>
              <w:left w:val="nil"/>
              <w:bottom w:val="nil"/>
              <w:right w:val="nil"/>
            </w:tcBorders>
            <w:shd w:val="clear" w:color="auto" w:fill="auto"/>
            <w:noWrap/>
            <w:vAlign w:val="bottom"/>
            <w:hideMark/>
          </w:tcPr>
          <w:p w14:paraId="53039C28" w14:textId="77777777" w:rsidR="00032962" w:rsidRPr="009F04CF" w:rsidRDefault="00032962" w:rsidP="000823CF">
            <w:pPr>
              <w:pStyle w:val="Tablenumber"/>
              <w:ind w:left="0"/>
              <w:contextualSpacing w:val="0"/>
              <w:jc w:val="left"/>
              <w:rPr>
                <w:lang w:eastAsia="en-AU"/>
              </w:rPr>
            </w:pPr>
            <w:r w:rsidRPr="009F04CF">
              <w:rPr>
                <w:lang w:eastAsia="en-AU"/>
              </w:rPr>
              <w:t>43</w:t>
            </w:r>
          </w:p>
        </w:tc>
        <w:tc>
          <w:tcPr>
            <w:tcW w:w="797" w:type="pct"/>
            <w:tcBorders>
              <w:top w:val="nil"/>
              <w:left w:val="nil"/>
              <w:bottom w:val="nil"/>
              <w:right w:val="nil"/>
            </w:tcBorders>
            <w:shd w:val="clear" w:color="auto" w:fill="auto"/>
            <w:noWrap/>
            <w:vAlign w:val="bottom"/>
            <w:hideMark/>
          </w:tcPr>
          <w:p w14:paraId="4C8A80A0" w14:textId="77777777" w:rsidR="00032962" w:rsidRPr="009F04CF" w:rsidRDefault="00032962" w:rsidP="000823CF">
            <w:pPr>
              <w:pStyle w:val="Tablenumber"/>
              <w:ind w:left="0"/>
              <w:contextualSpacing w:val="0"/>
              <w:jc w:val="left"/>
              <w:rPr>
                <w:lang w:eastAsia="en-AU"/>
              </w:rPr>
            </w:pPr>
            <w:r w:rsidRPr="009F04CF">
              <w:rPr>
                <w:lang w:eastAsia="en-AU"/>
              </w:rPr>
              <w:t>43</w:t>
            </w:r>
          </w:p>
        </w:tc>
        <w:tc>
          <w:tcPr>
            <w:tcW w:w="837" w:type="pct"/>
            <w:tcBorders>
              <w:top w:val="nil"/>
              <w:left w:val="nil"/>
              <w:bottom w:val="nil"/>
              <w:right w:val="nil"/>
            </w:tcBorders>
            <w:shd w:val="clear" w:color="auto" w:fill="auto"/>
            <w:noWrap/>
            <w:vAlign w:val="bottom"/>
            <w:hideMark/>
          </w:tcPr>
          <w:p w14:paraId="787548A6" w14:textId="77777777" w:rsidR="00032962" w:rsidRPr="009F04CF" w:rsidRDefault="00032962" w:rsidP="000823CF">
            <w:pPr>
              <w:pStyle w:val="Tablenumber"/>
              <w:ind w:left="0"/>
              <w:contextualSpacing w:val="0"/>
              <w:jc w:val="left"/>
              <w:rPr>
                <w:lang w:eastAsia="en-AU"/>
              </w:rPr>
            </w:pPr>
            <w:r w:rsidRPr="009F04CF">
              <w:rPr>
                <w:lang w:eastAsia="en-AU"/>
              </w:rPr>
              <w:t>43</w:t>
            </w:r>
          </w:p>
        </w:tc>
      </w:tr>
      <w:tr w:rsidR="00032962" w:rsidRPr="009F04CF" w14:paraId="30A568AE" w14:textId="77777777" w:rsidTr="00D04A09">
        <w:trPr>
          <w:cantSplit/>
          <w:trHeight w:val="570"/>
          <w:jc w:val="center"/>
        </w:trPr>
        <w:tc>
          <w:tcPr>
            <w:tcW w:w="5000" w:type="pct"/>
            <w:gridSpan w:val="6"/>
            <w:tcBorders>
              <w:top w:val="single" w:sz="4" w:space="0" w:color="auto"/>
              <w:left w:val="nil"/>
              <w:bottom w:val="nil"/>
              <w:right w:val="nil"/>
            </w:tcBorders>
            <w:shd w:val="clear" w:color="auto" w:fill="auto"/>
            <w:vAlign w:val="center"/>
            <w:hideMark/>
          </w:tcPr>
          <w:p w14:paraId="75B15F64" w14:textId="77777777" w:rsidR="00032962" w:rsidRPr="00BF4574" w:rsidRDefault="00032962" w:rsidP="000823CF">
            <w:pPr>
              <w:rPr>
                <w:rFonts w:ascii="Arial" w:hAnsi="Arial" w:cs="Arial"/>
                <w:sz w:val="18"/>
                <w:szCs w:val="18"/>
                <w:lang w:eastAsia="en-AU"/>
              </w:rPr>
            </w:pPr>
            <w:r w:rsidRPr="00BF4574">
              <w:rPr>
                <w:rFonts w:ascii="Arial" w:hAnsi="Arial" w:cs="Arial"/>
                <w:sz w:val="18"/>
                <w:szCs w:val="18"/>
                <w:lang w:eastAsia="en-AU"/>
              </w:rPr>
              <w:t>*** p&lt;0.01, ** p&lt;0.05, * p&lt;0.1. Regression discontinuity estimates with first-order polynomial (local linear regressions). Upper &amp; Lower Cut-Offs of $4 million mean the local linear regressions are estimated in the $16-20 million window and in the $20-24 million window. The number of observations is the combined number of observations from both windows.</w:t>
            </w:r>
          </w:p>
        </w:tc>
      </w:tr>
    </w:tbl>
    <w:p w14:paraId="54AD9D86" w14:textId="77777777" w:rsidR="00032962" w:rsidRPr="009F04CF" w:rsidRDefault="00032962" w:rsidP="00032962">
      <w:pPr>
        <w:spacing w:after="240" w:line="360" w:lineRule="auto"/>
        <w:ind w:firstLine="720"/>
        <w:rPr>
          <w:rFonts w:ascii="Times New Roman" w:eastAsia="Calibri" w:hAnsi="Times New Roman"/>
        </w:rPr>
      </w:pPr>
    </w:p>
    <w:p w14:paraId="2380EE01" w14:textId="77777777" w:rsidR="009F04CF" w:rsidRPr="009F04CF" w:rsidRDefault="005A1FBD" w:rsidP="00833C96">
      <w:pPr>
        <w:pStyle w:val="Heading1"/>
      </w:pPr>
      <w:r>
        <w:lastRenderedPageBreak/>
        <w:t>Conclusion and f</w:t>
      </w:r>
      <w:r w:rsidR="009F04CF" w:rsidRPr="009F04CF">
        <w:t xml:space="preserve">uture </w:t>
      </w:r>
      <w:r>
        <w:t>d</w:t>
      </w:r>
      <w:r w:rsidR="009F04CF" w:rsidRPr="009F04CF">
        <w:t>irections</w:t>
      </w:r>
    </w:p>
    <w:p w14:paraId="24376B6A" w14:textId="77777777" w:rsidR="001D11F1" w:rsidRDefault="005A1FBD" w:rsidP="00A648FD">
      <w:pPr>
        <w:pStyle w:val="Text"/>
        <w:rPr>
          <w:rFonts w:eastAsia="Calibri"/>
        </w:rPr>
      </w:pPr>
      <w:r>
        <w:rPr>
          <w:rFonts w:eastAsia="Calibri"/>
        </w:rPr>
        <w:t>Estimating the additionality for R&amp;D tax policies is an empirically difficult task. The fundamental difficulty is a feature of the schemes themselves which is difficult to overcome even</w:t>
      </w:r>
      <w:r w:rsidR="00860191">
        <w:rPr>
          <w:rFonts w:eastAsia="Calibri"/>
        </w:rPr>
        <w:t xml:space="preserve"> using comprehensive data that was available for this study. As a general observation, </w:t>
      </w:r>
      <w:r>
        <w:rPr>
          <w:rFonts w:eastAsia="Calibri"/>
        </w:rPr>
        <w:t>there exist</w:t>
      </w:r>
      <w:r w:rsidR="00B160AD">
        <w:rPr>
          <w:rFonts w:eastAsia="Calibri"/>
        </w:rPr>
        <w:t>s</w:t>
      </w:r>
      <w:r>
        <w:rPr>
          <w:rFonts w:eastAsia="Calibri"/>
        </w:rPr>
        <w:t xml:space="preserve"> little truly exogenous variation in policy benefit between firms; and, the prospect of identifying a valid and comparable control group (group of non-benefiting firms) is limited. Nonetheless, th</w:t>
      </w:r>
      <w:r w:rsidR="00993CC4">
        <w:rPr>
          <w:rFonts w:eastAsia="Calibri"/>
        </w:rPr>
        <w:t>e availability of the comprehensive firm level data from the EABLD</w:t>
      </w:r>
      <w:r w:rsidR="00197D7B">
        <w:rPr>
          <w:rFonts w:eastAsia="Calibri"/>
        </w:rPr>
        <w:t>, made possible through new initiatives of the ABS,</w:t>
      </w:r>
      <w:r w:rsidR="00993CC4">
        <w:rPr>
          <w:rFonts w:eastAsia="Calibri"/>
        </w:rPr>
        <w:t xml:space="preserve"> has allowed us to make </w:t>
      </w:r>
      <w:r w:rsidR="001D11F1">
        <w:rPr>
          <w:rFonts w:eastAsia="Calibri"/>
        </w:rPr>
        <w:t>important</w:t>
      </w:r>
      <w:r w:rsidR="00993CC4">
        <w:rPr>
          <w:rFonts w:eastAsia="Calibri"/>
        </w:rPr>
        <w:t xml:space="preserve"> inroad</w:t>
      </w:r>
      <w:r w:rsidR="001D11F1">
        <w:rPr>
          <w:rFonts w:eastAsia="Calibri"/>
        </w:rPr>
        <w:t>s</w:t>
      </w:r>
      <w:r w:rsidR="00993CC4">
        <w:rPr>
          <w:rFonts w:eastAsia="Calibri"/>
        </w:rPr>
        <w:t xml:space="preserve"> in understanding the efficacy of the R&amp;D tax subsidies in Australia. </w:t>
      </w:r>
    </w:p>
    <w:p w14:paraId="7D208D2F" w14:textId="77777777" w:rsidR="001D11F1" w:rsidRDefault="00275177" w:rsidP="00A648FD">
      <w:pPr>
        <w:pStyle w:val="Text"/>
        <w:rPr>
          <w:rFonts w:eastAsia="Calibri"/>
        </w:rPr>
      </w:pPr>
      <w:r>
        <w:rPr>
          <w:rFonts w:eastAsia="Calibri"/>
        </w:rPr>
        <w:t>W</w:t>
      </w:r>
      <w:r w:rsidR="00993CC4">
        <w:rPr>
          <w:rFonts w:eastAsia="Calibri"/>
        </w:rPr>
        <w:t xml:space="preserve">e report a significant difference in R&amp;D spending between firms </w:t>
      </w:r>
      <w:r w:rsidR="00EC0A43">
        <w:rPr>
          <w:rFonts w:eastAsia="Calibri"/>
        </w:rPr>
        <w:t>that benefit from the tax subsidies</w:t>
      </w:r>
      <w:r w:rsidR="00993CC4">
        <w:rPr>
          <w:rFonts w:eastAsia="Calibri"/>
        </w:rPr>
        <w:t xml:space="preserve"> </w:t>
      </w:r>
      <w:r w:rsidR="00EC0A43">
        <w:rPr>
          <w:rFonts w:eastAsia="Calibri"/>
        </w:rPr>
        <w:t>and</w:t>
      </w:r>
      <w:r w:rsidR="00993CC4">
        <w:rPr>
          <w:rFonts w:eastAsia="Calibri"/>
        </w:rPr>
        <w:t xml:space="preserve"> those that do not, controlling for other observable firm level characteristics </w:t>
      </w:r>
      <w:r w:rsidR="00780648">
        <w:rPr>
          <w:rFonts w:eastAsia="Calibri"/>
        </w:rPr>
        <w:t>comprising</w:t>
      </w:r>
      <w:r w:rsidR="00993CC4">
        <w:rPr>
          <w:rFonts w:eastAsia="Calibri"/>
        </w:rPr>
        <w:t xml:space="preserve"> industry, turnover</w:t>
      </w:r>
      <w:r w:rsidR="007331F5">
        <w:rPr>
          <w:rFonts w:eastAsia="Calibri"/>
        </w:rPr>
        <w:t xml:space="preserve">, wages and participation in </w:t>
      </w:r>
      <w:r w:rsidR="00993CC4">
        <w:rPr>
          <w:rFonts w:eastAsia="Calibri"/>
        </w:rPr>
        <w:t xml:space="preserve">other forms of government support. </w:t>
      </w:r>
      <w:r w:rsidR="003F5AB2">
        <w:rPr>
          <w:rFonts w:eastAsia="Calibri"/>
        </w:rPr>
        <w:t>T</w:t>
      </w:r>
      <w:r w:rsidR="001D11F1">
        <w:rPr>
          <w:rFonts w:eastAsia="Calibri"/>
        </w:rPr>
        <w:t xml:space="preserve">he most compelling evidence of a causal effect of policy comes from the difference-in-difference estimates. These suggest that firms which were claiming the R&amp;D tax Concession in 2011 and benefited from the more generous R&amp;D Tax Incentive in 2012 increased their R&amp;D spending by approximately </w:t>
      </w:r>
      <w:r w:rsidR="001D11F1" w:rsidRPr="00E570CD">
        <w:rPr>
          <w:rFonts w:eastAsia="Calibri"/>
        </w:rPr>
        <w:t>14</w:t>
      </w:r>
      <w:r w:rsidR="001D11F1">
        <w:rPr>
          <w:rFonts w:eastAsia="Calibri"/>
        </w:rPr>
        <w:t xml:space="preserve"> percent. </w:t>
      </w:r>
    </w:p>
    <w:p w14:paraId="64D52F72" w14:textId="093CBAB5" w:rsidR="003F5AB2" w:rsidRDefault="00780648" w:rsidP="00A648FD">
      <w:pPr>
        <w:pStyle w:val="Text"/>
        <w:rPr>
          <w:rFonts w:eastAsia="Calibri"/>
        </w:rPr>
      </w:pPr>
      <w:r>
        <w:rPr>
          <w:rFonts w:eastAsia="Calibri"/>
        </w:rPr>
        <w:t xml:space="preserve">The analysis presented in this report suggests that </w:t>
      </w:r>
      <w:r w:rsidR="003F5AB2">
        <w:rPr>
          <w:rFonts w:eastAsia="Calibri"/>
        </w:rPr>
        <w:t xml:space="preserve">R&amp;D </w:t>
      </w:r>
      <w:r>
        <w:rPr>
          <w:rFonts w:eastAsia="Calibri"/>
        </w:rPr>
        <w:t>t</w:t>
      </w:r>
      <w:r w:rsidR="003F5AB2">
        <w:rPr>
          <w:rFonts w:eastAsia="Calibri"/>
        </w:rPr>
        <w:t xml:space="preserve">ax policy </w:t>
      </w:r>
      <w:r>
        <w:rPr>
          <w:rFonts w:eastAsia="Calibri"/>
        </w:rPr>
        <w:t xml:space="preserve">review, evaluation or reform should apply </w:t>
      </w:r>
      <w:r w:rsidR="003F5AB2">
        <w:rPr>
          <w:rFonts w:eastAsia="Calibri"/>
        </w:rPr>
        <w:t>a benchmark additionali</w:t>
      </w:r>
      <w:r w:rsidR="002E0BFA">
        <w:rPr>
          <w:rFonts w:eastAsia="Calibri"/>
        </w:rPr>
        <w:t>ty in the range</w:t>
      </w:r>
      <w:r w:rsidR="0074289D">
        <w:rPr>
          <w:rFonts w:eastAsia="Calibri"/>
        </w:rPr>
        <w:t xml:space="preserve"> </w:t>
      </w:r>
      <w:r w:rsidR="002E0BFA">
        <w:rPr>
          <w:rFonts w:eastAsia="Calibri"/>
        </w:rPr>
        <w:t>of 0.</w:t>
      </w:r>
      <w:r w:rsidR="00964264">
        <w:rPr>
          <w:rFonts w:eastAsia="Calibri"/>
        </w:rPr>
        <w:t>8</w:t>
      </w:r>
      <w:r w:rsidR="0074289D">
        <w:rPr>
          <w:rFonts w:eastAsia="Calibri"/>
        </w:rPr>
        <w:t>–1.9</w:t>
      </w:r>
      <w:r w:rsidR="003F5AB2">
        <w:rPr>
          <w:rFonts w:eastAsia="Calibri"/>
        </w:rPr>
        <w:t xml:space="preserve">, </w:t>
      </w:r>
      <w:r>
        <w:rPr>
          <w:rFonts w:eastAsia="Calibri"/>
        </w:rPr>
        <w:t xml:space="preserve">observing that </w:t>
      </w:r>
      <w:r w:rsidR="003F5AB2">
        <w:rPr>
          <w:rFonts w:eastAsia="Calibri"/>
        </w:rPr>
        <w:t>the results from our preferred approach fall</w:t>
      </w:r>
      <w:r>
        <w:rPr>
          <w:rFonts w:eastAsia="Calibri"/>
        </w:rPr>
        <w:t xml:space="preserve"> toward</w:t>
      </w:r>
      <w:r w:rsidR="003F5AB2">
        <w:rPr>
          <w:rFonts w:eastAsia="Calibri"/>
        </w:rPr>
        <w:t xml:space="preserve"> the upper end of this range. </w:t>
      </w:r>
      <w:r>
        <w:rPr>
          <w:rFonts w:eastAsia="Calibri"/>
        </w:rPr>
        <w:t xml:space="preserve">Our estimated </w:t>
      </w:r>
      <w:r w:rsidR="003F5AB2" w:rsidRPr="00FB000B">
        <w:rPr>
          <w:rFonts w:eastAsia="Calibri"/>
        </w:rPr>
        <w:t>additionality falls within the range provided by the international literature</w:t>
      </w:r>
      <w:r w:rsidR="003F5AB2">
        <w:rPr>
          <w:rFonts w:eastAsia="Calibri"/>
        </w:rPr>
        <w:t xml:space="preserve"> and </w:t>
      </w:r>
      <w:r>
        <w:rPr>
          <w:rFonts w:eastAsia="Calibri"/>
        </w:rPr>
        <w:t xml:space="preserve">is quite </w:t>
      </w:r>
      <w:r w:rsidR="003F5AB2">
        <w:rPr>
          <w:rFonts w:eastAsia="Calibri"/>
        </w:rPr>
        <w:t>close to Hall</w:t>
      </w:r>
      <w:r>
        <w:rPr>
          <w:rFonts w:eastAsia="Calibri"/>
        </w:rPr>
        <w:t>’s</w:t>
      </w:r>
      <w:r w:rsidR="003F5AB2">
        <w:rPr>
          <w:rFonts w:eastAsia="Calibri"/>
        </w:rPr>
        <w:t xml:space="preserve"> (1993) seminal estimate that the US R&amp;D tax credit in the 1980s induced around 2 dollars of additional R&amp;D for every dollar of tax revenue </w:t>
      </w:r>
      <w:r w:rsidR="00405489">
        <w:rPr>
          <w:rFonts w:eastAsia="Calibri"/>
        </w:rPr>
        <w:t>forgone</w:t>
      </w:r>
      <w:r w:rsidR="003F5AB2" w:rsidRPr="00FB000B">
        <w:rPr>
          <w:rFonts w:eastAsia="Calibri"/>
        </w:rPr>
        <w:t xml:space="preserve">. </w:t>
      </w:r>
      <w:r w:rsidR="00A20A9E">
        <w:rPr>
          <w:rFonts w:eastAsia="Calibri"/>
        </w:rPr>
        <w:t xml:space="preserve">In the estimates presented in this report, </w:t>
      </w:r>
      <w:r w:rsidR="003F5AB2" w:rsidRPr="00FB000B">
        <w:rPr>
          <w:rFonts w:eastAsia="Calibri"/>
        </w:rPr>
        <w:t>some firms in the sample ha</w:t>
      </w:r>
      <w:r w:rsidR="00A20A9E">
        <w:rPr>
          <w:rFonts w:eastAsia="Calibri"/>
        </w:rPr>
        <w:t>d</w:t>
      </w:r>
      <w:r w:rsidR="003F5AB2" w:rsidRPr="00FB000B">
        <w:rPr>
          <w:rFonts w:eastAsia="Calibri"/>
        </w:rPr>
        <w:t xml:space="preserve"> been claiming for many years, whereas others may be claiming for the first time</w:t>
      </w:r>
      <w:r w:rsidR="00A20A9E">
        <w:rPr>
          <w:rFonts w:eastAsia="Calibri"/>
        </w:rPr>
        <w:t xml:space="preserve">. As such, </w:t>
      </w:r>
      <w:r w:rsidR="003F5AB2" w:rsidRPr="00FB000B">
        <w:rPr>
          <w:rFonts w:eastAsia="Calibri"/>
        </w:rPr>
        <w:t>the estimate can be thought of as a weighted average long</w:t>
      </w:r>
      <w:r w:rsidR="00A20A9E">
        <w:rPr>
          <w:rFonts w:eastAsia="Calibri"/>
        </w:rPr>
        <w:t>-</w:t>
      </w:r>
      <w:r w:rsidR="003F5AB2" w:rsidRPr="00FB000B">
        <w:rPr>
          <w:rFonts w:eastAsia="Calibri"/>
        </w:rPr>
        <w:t>run and short</w:t>
      </w:r>
      <w:r w:rsidR="00A20A9E">
        <w:rPr>
          <w:rFonts w:eastAsia="Calibri"/>
        </w:rPr>
        <w:t>-</w:t>
      </w:r>
      <w:r w:rsidR="003F5AB2" w:rsidRPr="00FB000B">
        <w:rPr>
          <w:rFonts w:eastAsia="Calibri"/>
        </w:rPr>
        <w:t>run effect.</w:t>
      </w:r>
    </w:p>
    <w:p w14:paraId="618A0D7E" w14:textId="77777777" w:rsidR="002E0BFA" w:rsidRDefault="00C358ED" w:rsidP="00A648FD">
      <w:pPr>
        <w:pStyle w:val="Text"/>
        <w:rPr>
          <w:rFonts w:eastAsia="Calibri"/>
        </w:rPr>
      </w:pPr>
      <w:r>
        <w:rPr>
          <w:rFonts w:eastAsia="Calibri"/>
        </w:rPr>
        <w:t>There are a number of ways that the analysis covered in th</w:t>
      </w:r>
      <w:r w:rsidR="002E0BFA">
        <w:rPr>
          <w:rFonts w:eastAsia="Calibri"/>
        </w:rPr>
        <w:t xml:space="preserve">is report could be </w:t>
      </w:r>
      <w:r>
        <w:rPr>
          <w:rFonts w:eastAsia="Calibri"/>
        </w:rPr>
        <w:t>extended</w:t>
      </w:r>
      <w:r w:rsidR="003F5AB2">
        <w:rPr>
          <w:rFonts w:eastAsia="Calibri"/>
        </w:rPr>
        <w:t xml:space="preserve"> </w:t>
      </w:r>
      <w:r w:rsidR="002E0BFA">
        <w:rPr>
          <w:rFonts w:eastAsia="Calibri"/>
        </w:rPr>
        <w:t xml:space="preserve">in order </w:t>
      </w:r>
      <w:r w:rsidR="003F5AB2">
        <w:rPr>
          <w:rFonts w:eastAsia="Calibri"/>
        </w:rPr>
        <w:t>to improve precision and confidence</w:t>
      </w:r>
      <w:r>
        <w:rPr>
          <w:rFonts w:eastAsia="Calibri"/>
        </w:rPr>
        <w:t xml:space="preserve">. </w:t>
      </w:r>
      <w:r w:rsidR="002E0BFA">
        <w:rPr>
          <w:rFonts w:eastAsia="Calibri"/>
        </w:rPr>
        <w:t>These are outlined below.</w:t>
      </w:r>
    </w:p>
    <w:p w14:paraId="083475E4" w14:textId="77777777" w:rsidR="001D11F1" w:rsidRDefault="003F5AB2" w:rsidP="00BF4574">
      <w:pPr>
        <w:pStyle w:val="Text"/>
        <w:numPr>
          <w:ilvl w:val="0"/>
          <w:numId w:val="37"/>
        </w:numPr>
        <w:rPr>
          <w:rFonts w:eastAsia="Calibri"/>
        </w:rPr>
      </w:pPr>
      <w:r>
        <w:rPr>
          <w:rFonts w:eastAsia="Calibri"/>
        </w:rPr>
        <w:t xml:space="preserve">Estimated change to tax revenue </w:t>
      </w:r>
      <w:r w:rsidR="00405489">
        <w:rPr>
          <w:rFonts w:eastAsia="Calibri"/>
        </w:rPr>
        <w:t>forgone</w:t>
      </w:r>
      <w:r>
        <w:rPr>
          <w:rFonts w:eastAsia="Calibri"/>
        </w:rPr>
        <w:t xml:space="preserve"> could</w:t>
      </w:r>
      <w:r w:rsidR="001D11F1">
        <w:rPr>
          <w:rFonts w:eastAsia="Calibri"/>
        </w:rPr>
        <w:t xml:space="preserve"> potentially be improved by using ATO data to estimate tax revenue </w:t>
      </w:r>
      <w:r w:rsidR="00405489">
        <w:rPr>
          <w:rFonts w:eastAsia="Calibri"/>
        </w:rPr>
        <w:t>forgone</w:t>
      </w:r>
      <w:r w:rsidR="001D11F1">
        <w:rPr>
          <w:rFonts w:eastAsia="Calibri"/>
        </w:rPr>
        <w:t xml:space="preserve"> under each scheme.</w:t>
      </w:r>
      <w:r w:rsidR="002E0BFA">
        <w:rPr>
          <w:rFonts w:eastAsia="Calibri"/>
        </w:rPr>
        <w:t xml:space="preserve"> In the analysis above, estimates of the </w:t>
      </w:r>
      <w:r w:rsidR="002E0BFA">
        <w:rPr>
          <w:rFonts w:eastAsia="Calibri"/>
        </w:rPr>
        <w:lastRenderedPageBreak/>
        <w:t>average treatment effect of R&amp;D tax subsidies are converted to additionalit</w:t>
      </w:r>
      <w:r w:rsidR="008B2187">
        <w:rPr>
          <w:rFonts w:eastAsia="Calibri"/>
        </w:rPr>
        <w:t>ies</w:t>
      </w:r>
      <w:r w:rsidR="002E0BFA">
        <w:rPr>
          <w:rFonts w:eastAsia="Calibri"/>
        </w:rPr>
        <w:t xml:space="preserve"> using </w:t>
      </w:r>
      <w:r w:rsidR="008B2187">
        <w:rPr>
          <w:rFonts w:eastAsia="Calibri"/>
        </w:rPr>
        <w:t>a</w:t>
      </w:r>
      <w:r w:rsidR="002E0BFA">
        <w:rPr>
          <w:rFonts w:eastAsia="Calibri"/>
        </w:rPr>
        <w:t xml:space="preserve"> method based on BERD data</w:t>
      </w:r>
      <w:r w:rsidR="008B2187">
        <w:rPr>
          <w:rFonts w:eastAsia="Calibri"/>
        </w:rPr>
        <w:t xml:space="preserve"> and described in the text</w:t>
      </w:r>
      <w:r w:rsidR="002E0BFA">
        <w:rPr>
          <w:rFonts w:eastAsia="Calibri"/>
        </w:rPr>
        <w:t>.</w:t>
      </w:r>
    </w:p>
    <w:p w14:paraId="5F9B5A82" w14:textId="77777777" w:rsidR="004A56B8" w:rsidRDefault="00780648" w:rsidP="00712F14">
      <w:pPr>
        <w:pStyle w:val="Text"/>
        <w:numPr>
          <w:ilvl w:val="0"/>
          <w:numId w:val="37"/>
        </w:numPr>
        <w:rPr>
          <w:rFonts w:eastAsia="Calibri"/>
        </w:rPr>
      </w:pPr>
      <w:r>
        <w:rPr>
          <w:rFonts w:eastAsia="Calibri"/>
        </w:rPr>
        <w:t>T</w:t>
      </w:r>
      <w:r w:rsidR="00993CC4">
        <w:rPr>
          <w:rFonts w:eastAsia="Calibri"/>
        </w:rPr>
        <w:t xml:space="preserve">he </w:t>
      </w:r>
      <w:r w:rsidR="001D11F1">
        <w:rPr>
          <w:rFonts w:eastAsia="Calibri"/>
        </w:rPr>
        <w:t xml:space="preserve">statistical </w:t>
      </w:r>
      <w:r w:rsidR="00993CC4">
        <w:rPr>
          <w:rFonts w:eastAsia="Calibri"/>
        </w:rPr>
        <w:t>estimate</w:t>
      </w:r>
      <w:r w:rsidR="001D11F1">
        <w:rPr>
          <w:rFonts w:eastAsia="Calibri"/>
        </w:rPr>
        <w:t xml:space="preserve"> of the average</w:t>
      </w:r>
      <w:r w:rsidR="00993CC4">
        <w:rPr>
          <w:rFonts w:eastAsia="Calibri"/>
        </w:rPr>
        <w:t xml:space="preserve"> </w:t>
      </w:r>
      <w:r w:rsidR="001D11F1">
        <w:rPr>
          <w:rFonts w:eastAsia="Calibri"/>
        </w:rPr>
        <w:t xml:space="preserve">treatment effect derived from propensity score </w:t>
      </w:r>
      <w:r w:rsidR="004A56B8">
        <w:rPr>
          <w:rFonts w:eastAsia="Calibri"/>
        </w:rPr>
        <w:t>matching approach</w:t>
      </w:r>
      <w:r w:rsidR="00993CC4">
        <w:rPr>
          <w:rFonts w:eastAsia="Calibri"/>
        </w:rPr>
        <w:t xml:space="preserve"> </w:t>
      </w:r>
      <w:r w:rsidR="007331F5">
        <w:rPr>
          <w:rFonts w:eastAsia="Calibri"/>
        </w:rPr>
        <w:t xml:space="preserve">could </w:t>
      </w:r>
      <w:r>
        <w:rPr>
          <w:rFonts w:eastAsia="Calibri"/>
        </w:rPr>
        <w:t>be improved through</w:t>
      </w:r>
      <w:r w:rsidR="00EC0A43">
        <w:rPr>
          <w:rFonts w:eastAsia="Calibri"/>
        </w:rPr>
        <w:t xml:space="preserve"> a </w:t>
      </w:r>
      <w:r w:rsidR="007331F5">
        <w:rPr>
          <w:rFonts w:eastAsia="Calibri"/>
        </w:rPr>
        <w:t xml:space="preserve">more </w:t>
      </w:r>
      <w:r w:rsidR="00EC0A43">
        <w:rPr>
          <w:rFonts w:eastAsia="Calibri"/>
        </w:rPr>
        <w:t>systematic and comp</w:t>
      </w:r>
      <w:r w:rsidR="001D11F1">
        <w:rPr>
          <w:rFonts w:eastAsia="Calibri"/>
        </w:rPr>
        <w:t>rehensive sensitivity analysis</w:t>
      </w:r>
      <w:r w:rsidR="00712F14">
        <w:rPr>
          <w:rFonts w:eastAsia="Calibri"/>
        </w:rPr>
        <w:t xml:space="preserve"> relating to the design of the matching algorithm</w:t>
      </w:r>
      <w:r w:rsidR="001D11F1">
        <w:rPr>
          <w:rFonts w:eastAsia="Calibri"/>
        </w:rPr>
        <w:t>.</w:t>
      </w:r>
    </w:p>
    <w:p w14:paraId="65EC0D48" w14:textId="77777777" w:rsidR="00CB77E3" w:rsidRDefault="00CB31AF" w:rsidP="00BF4574">
      <w:pPr>
        <w:pStyle w:val="Text"/>
        <w:numPr>
          <w:ilvl w:val="0"/>
          <w:numId w:val="37"/>
        </w:numPr>
        <w:rPr>
          <w:rFonts w:eastAsia="Calibri"/>
        </w:rPr>
      </w:pPr>
      <w:r>
        <w:rPr>
          <w:rFonts w:eastAsia="Calibri"/>
        </w:rPr>
        <w:t xml:space="preserve">Deeper analysis of the transition to the incentive policy </w:t>
      </w:r>
      <w:r w:rsidR="00522195">
        <w:rPr>
          <w:rFonts w:eastAsia="Calibri"/>
        </w:rPr>
        <w:t>provides important potential to improve the accuracy of estimates and confidence in the result</w:t>
      </w:r>
      <w:r w:rsidR="00C358ED">
        <w:rPr>
          <w:rFonts w:eastAsia="Calibri"/>
        </w:rPr>
        <w:t xml:space="preserve">. It may be valuable to consider the applicability of continuous treatment models, which allow for the fact that the policy shift affected some firms more than others. </w:t>
      </w:r>
      <w:r w:rsidR="00CB77E3">
        <w:rPr>
          <w:rFonts w:eastAsia="Calibri"/>
        </w:rPr>
        <w:t>The difference-in-difference estimates can be improved by applying a matching procedure to the sample of non-claiming firms to those claiming firms that transition from the Concession to Incentive policy be</w:t>
      </w:r>
      <w:r w:rsidR="002E0BFA">
        <w:rPr>
          <w:rFonts w:eastAsia="Calibri"/>
        </w:rPr>
        <w:t>fore undertaking the difference-</w:t>
      </w:r>
      <w:r w:rsidR="00CB77E3">
        <w:rPr>
          <w:rFonts w:eastAsia="Calibri"/>
        </w:rPr>
        <w:t>in</w:t>
      </w:r>
      <w:r w:rsidR="002E0BFA">
        <w:rPr>
          <w:rFonts w:eastAsia="Calibri"/>
        </w:rPr>
        <w:t>-</w:t>
      </w:r>
      <w:r w:rsidR="00CB77E3">
        <w:rPr>
          <w:rFonts w:eastAsia="Calibri"/>
        </w:rPr>
        <w:t xml:space="preserve">difference regression. In our view, this would provide the best possible evaluation given the data currently available. </w:t>
      </w:r>
    </w:p>
    <w:p w14:paraId="2BC67E1D" w14:textId="77777777" w:rsidR="009F04CF" w:rsidRDefault="00CB77E3" w:rsidP="00BF4574">
      <w:pPr>
        <w:pStyle w:val="Text"/>
        <w:numPr>
          <w:ilvl w:val="0"/>
          <w:numId w:val="37"/>
        </w:numPr>
        <w:rPr>
          <w:rFonts w:eastAsia="Calibri"/>
        </w:rPr>
      </w:pPr>
      <w:r>
        <w:rPr>
          <w:rFonts w:eastAsia="Calibri"/>
        </w:rPr>
        <w:t>W</w:t>
      </w:r>
      <w:r w:rsidRPr="009F04CF">
        <w:rPr>
          <w:rFonts w:eastAsia="Calibri"/>
        </w:rPr>
        <w:t xml:space="preserve">hen </w:t>
      </w:r>
      <w:r>
        <w:rPr>
          <w:rFonts w:eastAsia="Calibri"/>
        </w:rPr>
        <w:t xml:space="preserve">company R&amp;D (BERD) </w:t>
      </w:r>
      <w:r w:rsidRPr="009F04CF">
        <w:rPr>
          <w:rFonts w:eastAsia="Calibri"/>
        </w:rPr>
        <w:t xml:space="preserve">data for the year 2014 </w:t>
      </w:r>
      <w:r>
        <w:rPr>
          <w:rFonts w:eastAsia="Calibri"/>
        </w:rPr>
        <w:t xml:space="preserve">(and 2013) are </w:t>
      </w:r>
      <w:r w:rsidRPr="009F04CF">
        <w:rPr>
          <w:rFonts w:eastAsia="Calibri"/>
        </w:rPr>
        <w:t>available</w:t>
      </w:r>
      <w:r>
        <w:rPr>
          <w:rFonts w:eastAsia="Calibri"/>
        </w:rPr>
        <w:t xml:space="preserve"> i</w:t>
      </w:r>
      <w:r w:rsidR="001D11F1">
        <w:rPr>
          <w:rFonts w:eastAsia="Calibri"/>
        </w:rPr>
        <w:t>t would be valuable to</w:t>
      </w:r>
      <w:r w:rsidR="00EC0A43">
        <w:rPr>
          <w:rFonts w:eastAsia="Calibri"/>
        </w:rPr>
        <w:t xml:space="preserve"> </w:t>
      </w:r>
      <w:r w:rsidR="009F04CF" w:rsidRPr="009F04CF">
        <w:rPr>
          <w:rFonts w:eastAsia="Calibri"/>
        </w:rPr>
        <w:t>re-</w:t>
      </w:r>
      <w:r w:rsidR="00EC0A43">
        <w:rPr>
          <w:rFonts w:eastAsia="Calibri"/>
        </w:rPr>
        <w:t>visit and re-</w:t>
      </w:r>
      <w:r w:rsidR="009F04CF" w:rsidRPr="009F04CF">
        <w:rPr>
          <w:rFonts w:eastAsia="Calibri"/>
        </w:rPr>
        <w:t>estimate the regression discontinuity design</w:t>
      </w:r>
      <w:r w:rsidR="00522195">
        <w:rPr>
          <w:rFonts w:eastAsia="Calibri"/>
        </w:rPr>
        <w:t>.</w:t>
      </w:r>
      <w:r w:rsidR="009F04CF" w:rsidRPr="009F04CF">
        <w:rPr>
          <w:rFonts w:eastAsia="Calibri"/>
        </w:rPr>
        <w:t xml:space="preserve"> </w:t>
      </w:r>
      <w:r w:rsidR="00EC0A43">
        <w:rPr>
          <w:rFonts w:eastAsia="Calibri"/>
        </w:rPr>
        <w:t>T</w:t>
      </w:r>
      <w:r w:rsidR="009F04CF" w:rsidRPr="009F04CF">
        <w:rPr>
          <w:rFonts w:eastAsia="Calibri"/>
        </w:rPr>
        <w:t>he regression discontinuity design as applied here</w:t>
      </w:r>
      <w:r w:rsidR="002306BB">
        <w:rPr>
          <w:rFonts w:eastAsia="Calibri"/>
        </w:rPr>
        <w:t xml:space="preserve"> </w:t>
      </w:r>
      <w:r w:rsidR="00522195">
        <w:rPr>
          <w:rFonts w:eastAsia="Calibri"/>
        </w:rPr>
        <w:t xml:space="preserve">uses the $20 million threshold feature of the Incentive policy and therefore is based on only </w:t>
      </w:r>
      <w:r w:rsidR="009F04CF" w:rsidRPr="009F04CF">
        <w:rPr>
          <w:rFonts w:eastAsia="Calibri"/>
        </w:rPr>
        <w:t>one year of data for a newly introduced program</w:t>
      </w:r>
      <w:r w:rsidR="00522195">
        <w:rPr>
          <w:rFonts w:eastAsia="Calibri"/>
        </w:rPr>
        <w:t xml:space="preserve"> and</w:t>
      </w:r>
      <w:r w:rsidR="009F04CF" w:rsidRPr="009F04CF">
        <w:rPr>
          <w:rFonts w:eastAsia="Calibri"/>
        </w:rPr>
        <w:t xml:space="preserve"> would greatly benefit from longer data coverage.</w:t>
      </w:r>
    </w:p>
    <w:p w14:paraId="78E0FB25" w14:textId="77777777" w:rsidR="009F04CF" w:rsidRPr="009F04CF" w:rsidRDefault="00EC69E3" w:rsidP="00BF4574">
      <w:pPr>
        <w:pStyle w:val="Text"/>
        <w:numPr>
          <w:ilvl w:val="0"/>
          <w:numId w:val="37"/>
        </w:numPr>
        <w:rPr>
          <w:rFonts w:eastAsia="Calibri"/>
        </w:rPr>
      </w:pPr>
      <w:r>
        <w:rPr>
          <w:rFonts w:eastAsia="Calibri"/>
        </w:rPr>
        <w:t>A</w:t>
      </w:r>
      <w:r w:rsidR="009F04CF" w:rsidRPr="009F04CF">
        <w:rPr>
          <w:rFonts w:eastAsia="Calibri"/>
        </w:rPr>
        <w:t xml:space="preserve"> </w:t>
      </w:r>
      <w:r>
        <w:rPr>
          <w:rFonts w:eastAsia="Calibri"/>
        </w:rPr>
        <w:t xml:space="preserve">powerful </w:t>
      </w:r>
      <w:r w:rsidR="009F04CF" w:rsidRPr="009F04CF">
        <w:rPr>
          <w:rFonts w:eastAsia="Calibri"/>
        </w:rPr>
        <w:t xml:space="preserve">approach to evaluate tax subsidies in Australia would be via a policy experiment. One option would be to provide a larger incentive than is currently allowable to a randomly selected group of firms. With appropriate study design it would be possible to provide such a credit to </w:t>
      </w:r>
      <w:r w:rsidR="001D11F1">
        <w:rPr>
          <w:rFonts w:eastAsia="Calibri"/>
        </w:rPr>
        <w:t xml:space="preserve">perhaps </w:t>
      </w:r>
      <w:r w:rsidR="009F04CF" w:rsidRPr="009F04CF">
        <w:rPr>
          <w:rFonts w:eastAsia="Calibri"/>
        </w:rPr>
        <w:t xml:space="preserve">as few as </w:t>
      </w:r>
      <w:r w:rsidR="001D11F1">
        <w:rPr>
          <w:rFonts w:eastAsia="Calibri"/>
        </w:rPr>
        <w:t>50</w:t>
      </w:r>
      <w:r w:rsidR="009F04CF" w:rsidRPr="009F04CF">
        <w:rPr>
          <w:rFonts w:eastAsia="Calibri"/>
        </w:rPr>
        <w:t xml:space="preserve"> firms.</w:t>
      </w:r>
      <w:r w:rsidR="001D11F1">
        <w:rPr>
          <w:rFonts w:eastAsia="Calibri"/>
        </w:rPr>
        <w:t xml:space="preserve"> While an approach would be </w:t>
      </w:r>
      <w:r w:rsidR="00CB77E3">
        <w:rPr>
          <w:rFonts w:eastAsia="Calibri"/>
        </w:rPr>
        <w:t xml:space="preserve">very </w:t>
      </w:r>
      <w:r w:rsidR="001D11F1">
        <w:rPr>
          <w:rFonts w:eastAsia="Calibri"/>
        </w:rPr>
        <w:t xml:space="preserve">expensive as compared to this small study, the expense would likely </w:t>
      </w:r>
      <w:r w:rsidR="002E0BFA">
        <w:rPr>
          <w:rFonts w:eastAsia="Calibri"/>
        </w:rPr>
        <w:t>amount to</w:t>
      </w:r>
      <w:r w:rsidR="001D11F1">
        <w:rPr>
          <w:rFonts w:eastAsia="Calibri"/>
        </w:rPr>
        <w:t xml:space="preserve"> only a fraction of a percent of the total annual program costs and would generate unprecedented insight into the efficacy of tax policy for the purpose of stimulating R&amp;D investment</w:t>
      </w:r>
      <w:r w:rsidR="002E0BFA">
        <w:rPr>
          <w:rFonts w:eastAsia="Calibri"/>
        </w:rPr>
        <w:t xml:space="preserve">. Results </w:t>
      </w:r>
      <w:r w:rsidR="00522195">
        <w:rPr>
          <w:rFonts w:eastAsia="Calibri"/>
        </w:rPr>
        <w:t>would be of both domestic and international relevance</w:t>
      </w:r>
      <w:r w:rsidR="001D11F1">
        <w:rPr>
          <w:rFonts w:eastAsia="Calibri"/>
        </w:rPr>
        <w:t>.</w:t>
      </w:r>
      <w:r w:rsidR="009F04CF" w:rsidRPr="009F04CF">
        <w:rPr>
          <w:rFonts w:eastAsia="Calibri"/>
        </w:rPr>
        <w:t xml:space="preserve"> </w:t>
      </w:r>
    </w:p>
    <w:p w14:paraId="6A0FA7C2" w14:textId="77777777" w:rsidR="00EC0A43" w:rsidRDefault="00EC0A43">
      <w:pPr>
        <w:spacing w:before="0"/>
        <w:jc w:val="left"/>
        <w:rPr>
          <w:rFonts w:cs="Arial"/>
          <w:b/>
          <w:kern w:val="28"/>
          <w:sz w:val="28"/>
        </w:rPr>
      </w:pPr>
      <w:r>
        <w:br w:type="page"/>
      </w:r>
    </w:p>
    <w:p w14:paraId="75A3BE46" w14:textId="77777777" w:rsidR="009F04CF" w:rsidRPr="009F04CF" w:rsidRDefault="009F04CF" w:rsidP="00EC0A43">
      <w:pPr>
        <w:pStyle w:val="Heading1"/>
      </w:pPr>
      <w:r w:rsidRPr="009F04CF">
        <w:lastRenderedPageBreak/>
        <w:t>References</w:t>
      </w:r>
    </w:p>
    <w:p w14:paraId="25C78CDA" w14:textId="77777777" w:rsidR="00344C03" w:rsidRDefault="00344C03" w:rsidP="00A648FD">
      <w:pPr>
        <w:pStyle w:val="Text"/>
        <w:ind w:left="397" w:hanging="397"/>
        <w:rPr>
          <w:rFonts w:eastAsia="Calibri"/>
        </w:rPr>
      </w:pPr>
      <w:r>
        <w:rPr>
          <w:rFonts w:eastAsia="Calibri"/>
        </w:rPr>
        <w:t>Angrist, J and Pischke, J (2009), Mostly Harmless Econometrics, Princeton University Press</w:t>
      </w:r>
    </w:p>
    <w:p w14:paraId="73733F9D" w14:textId="77777777" w:rsidR="009F04CF" w:rsidRPr="009F04CF" w:rsidRDefault="009F04CF" w:rsidP="00A648FD">
      <w:pPr>
        <w:pStyle w:val="Text"/>
        <w:ind w:left="397" w:hanging="397"/>
        <w:rPr>
          <w:rFonts w:eastAsia="Calibri"/>
        </w:rPr>
      </w:pPr>
      <w:r w:rsidRPr="009F04CF">
        <w:rPr>
          <w:rFonts w:eastAsia="Calibri"/>
        </w:rPr>
        <w:t>ATO (2002a), Information Sheet – R&amp;D Tax Concession Core Technology for R&amp;D. Australian Taxation Office, Canberra.</w:t>
      </w:r>
    </w:p>
    <w:p w14:paraId="275C619F" w14:textId="77777777" w:rsidR="009F04CF" w:rsidRPr="009F04CF" w:rsidRDefault="009F04CF" w:rsidP="00A648FD">
      <w:pPr>
        <w:pStyle w:val="Text"/>
        <w:ind w:left="397" w:hanging="397"/>
        <w:rPr>
          <w:rFonts w:eastAsia="Calibri"/>
        </w:rPr>
      </w:pPr>
      <w:r w:rsidRPr="009F04CF">
        <w:rPr>
          <w:rFonts w:eastAsia="Calibri"/>
        </w:rPr>
        <w:t xml:space="preserve">ATO (2002b), R&amp;D Tax Concession Information Sheet – ‘On Own behalf’ Provisions. Australian Taxation Office, Canberra. </w:t>
      </w:r>
    </w:p>
    <w:p w14:paraId="1E19E6B5" w14:textId="77777777" w:rsidR="009F04CF" w:rsidRPr="009F04CF" w:rsidRDefault="009F04CF" w:rsidP="00A648FD">
      <w:pPr>
        <w:pStyle w:val="Text"/>
        <w:ind w:left="397" w:hanging="397"/>
        <w:rPr>
          <w:rFonts w:eastAsia="Calibri"/>
        </w:rPr>
      </w:pPr>
      <w:r w:rsidRPr="009F04CF">
        <w:rPr>
          <w:rFonts w:eastAsia="Calibri"/>
        </w:rPr>
        <w:t>ATO (2006), You and Your Shares. Australian Taxation Office, Canberra.</w:t>
      </w:r>
    </w:p>
    <w:p w14:paraId="62B46E57" w14:textId="77777777" w:rsidR="009F04CF" w:rsidRPr="009F04CF" w:rsidRDefault="009F04CF" w:rsidP="00A648FD">
      <w:pPr>
        <w:pStyle w:val="Text"/>
        <w:ind w:left="397" w:hanging="397"/>
        <w:rPr>
          <w:rFonts w:eastAsia="Calibri"/>
        </w:rPr>
      </w:pPr>
      <w:r w:rsidRPr="009F04CF">
        <w:rPr>
          <w:rFonts w:eastAsia="Calibri"/>
        </w:rPr>
        <w:t>Becker, S.O. and Ichino, A. (2002), ‘Estimation of Average Treatment Effects Based on Propensity Scores’, The Stata Journal, 2, 358-377.</w:t>
      </w:r>
    </w:p>
    <w:p w14:paraId="3EF9EF79" w14:textId="77777777" w:rsidR="009F04CF" w:rsidRDefault="009F04CF" w:rsidP="00A648FD">
      <w:pPr>
        <w:pStyle w:val="Text"/>
        <w:ind w:left="397" w:hanging="397"/>
        <w:rPr>
          <w:rFonts w:eastAsia="Calibri"/>
        </w:rPr>
      </w:pPr>
      <w:r w:rsidRPr="009F04CF">
        <w:rPr>
          <w:rFonts w:eastAsia="Calibri"/>
        </w:rPr>
        <w:t>Bernstein, J. (1986), ‘The Effect of Direct and Indirect tax Incentives on Canadian Industrial R&amp;D investments’, Canadian Journal of Economics, 12, 438–48.</w:t>
      </w:r>
    </w:p>
    <w:p w14:paraId="1564D611" w14:textId="77777777" w:rsidR="00DC56A5" w:rsidRPr="009F04CF" w:rsidRDefault="00DC56A5" w:rsidP="00A648FD">
      <w:pPr>
        <w:pStyle w:val="Text"/>
        <w:ind w:left="397" w:hanging="397"/>
        <w:rPr>
          <w:rFonts w:eastAsia="Calibri"/>
        </w:rPr>
      </w:pPr>
      <w:r w:rsidRPr="009F04CF">
        <w:rPr>
          <w:rFonts w:eastAsia="Calibri"/>
        </w:rPr>
        <w:t>BIE (1993), Research Report 50. R&amp;D, Innovation and Competitiveness: An Evaluation of the Research and Development Tax Concession. Bureau of Industry Economics, Canberra.</w:t>
      </w:r>
    </w:p>
    <w:p w14:paraId="58750D3C" w14:textId="77777777" w:rsidR="009F04CF" w:rsidRPr="009F04CF" w:rsidRDefault="009F04CF" w:rsidP="00A648FD">
      <w:pPr>
        <w:pStyle w:val="Text"/>
        <w:ind w:left="397" w:hanging="397"/>
        <w:rPr>
          <w:rFonts w:eastAsia="Calibri"/>
        </w:rPr>
      </w:pPr>
      <w:r w:rsidRPr="009F04CF">
        <w:rPr>
          <w:rFonts w:eastAsia="Calibri"/>
        </w:rPr>
        <w:t>Bloom, N., Griffith, R. and Van Reenen, J. (2002), ‘Do R&amp;D Tax subsidies Work? Evidence from a Panel of Countries 1979–1997’, Journal of Public Economics, 85, 1–31.</w:t>
      </w:r>
    </w:p>
    <w:p w14:paraId="1D89A671" w14:textId="77777777" w:rsidR="009F04CF" w:rsidRPr="009F04CF" w:rsidRDefault="009F04CF" w:rsidP="00A648FD">
      <w:pPr>
        <w:pStyle w:val="Text"/>
        <w:ind w:left="397" w:hanging="397"/>
        <w:rPr>
          <w:rFonts w:eastAsia="Calibri"/>
        </w:rPr>
      </w:pPr>
      <w:r w:rsidRPr="009F04CF">
        <w:rPr>
          <w:rFonts w:eastAsia="Calibri"/>
        </w:rPr>
        <w:t>Calonico, S., Cattaneo, M.D. and Titiunik, R. (2014), ‘Robust Data-Driven Inference in the Regression-Discontinuity Design’, The Stata Journal, 14, 909-946.</w:t>
      </w:r>
    </w:p>
    <w:p w14:paraId="44C30941" w14:textId="77777777" w:rsidR="009F04CF" w:rsidRPr="009F04CF" w:rsidRDefault="009F04CF" w:rsidP="00A648FD">
      <w:pPr>
        <w:pStyle w:val="Text"/>
        <w:ind w:left="397" w:hanging="397"/>
        <w:rPr>
          <w:rFonts w:eastAsia="Calibri"/>
        </w:rPr>
      </w:pPr>
      <w:r w:rsidRPr="009F04CF">
        <w:rPr>
          <w:rFonts w:eastAsia="Calibri"/>
        </w:rPr>
        <w:t>CIE (2003), ‘Review of the R&amp;D Tax Concession Program Canberra’, Prepared for the Department of Industry, Tourism and Resources by Centre for International Economics.</w:t>
      </w:r>
    </w:p>
    <w:p w14:paraId="0946D20A" w14:textId="77777777" w:rsidR="009F04CF" w:rsidRPr="009F04CF" w:rsidRDefault="009F04CF" w:rsidP="00A648FD">
      <w:pPr>
        <w:pStyle w:val="Text"/>
        <w:ind w:left="397" w:hanging="397"/>
        <w:rPr>
          <w:rFonts w:eastAsia="Calibri"/>
        </w:rPr>
      </w:pPr>
      <w:r w:rsidRPr="009F04CF">
        <w:rPr>
          <w:rFonts w:eastAsia="Calibri"/>
        </w:rPr>
        <w:t>Dagenais, M., Mohnen, P. and Therrien, P. (1997), Do Canadian Firms Respond to the Fiscal Incentives to Research and Development. Scientific Series. Centre Interuniversitaire de Recherche en Analyse des Organisations (CIRANO), Montreal.</w:t>
      </w:r>
    </w:p>
    <w:p w14:paraId="7CF491C9" w14:textId="77777777" w:rsidR="009F04CF" w:rsidRPr="009F04CF" w:rsidRDefault="009F04CF" w:rsidP="00A648FD">
      <w:pPr>
        <w:pStyle w:val="Text"/>
        <w:ind w:left="397" w:hanging="397"/>
        <w:rPr>
          <w:rFonts w:eastAsia="Calibri"/>
        </w:rPr>
      </w:pPr>
      <w:r w:rsidRPr="009F04CF">
        <w:rPr>
          <w:rFonts w:eastAsia="Calibri"/>
        </w:rPr>
        <w:t>DITR (2005), The R&amp;D Tax Concession – Impact on the Firm. Department of Industry Tourism and Resources, Canberra.</w:t>
      </w:r>
    </w:p>
    <w:p w14:paraId="4D89C926" w14:textId="77777777" w:rsidR="009F04CF" w:rsidRPr="009F04CF" w:rsidRDefault="009F04CF" w:rsidP="00A648FD">
      <w:pPr>
        <w:pStyle w:val="Text"/>
        <w:ind w:left="397" w:hanging="397"/>
        <w:rPr>
          <w:rFonts w:eastAsia="Calibri"/>
        </w:rPr>
      </w:pPr>
      <w:r w:rsidRPr="009F04CF">
        <w:rPr>
          <w:rFonts w:eastAsia="Calibri"/>
        </w:rPr>
        <w:t>DITR (2007a), How R&amp;D Assistance How R&amp;D Assistance Influences Company Behaviour. Department of Industry Tourism and Resources, Canberra.</w:t>
      </w:r>
    </w:p>
    <w:p w14:paraId="39F69DAF" w14:textId="77777777" w:rsidR="009F04CF" w:rsidRPr="009F04CF" w:rsidRDefault="009F04CF" w:rsidP="00A648FD">
      <w:pPr>
        <w:pStyle w:val="Text"/>
        <w:ind w:left="397" w:hanging="397"/>
        <w:rPr>
          <w:rFonts w:eastAsia="Calibri"/>
        </w:rPr>
      </w:pPr>
      <w:r w:rsidRPr="009F04CF">
        <w:rPr>
          <w:rFonts w:eastAsia="Calibri"/>
        </w:rPr>
        <w:lastRenderedPageBreak/>
        <w:t>Eisner, R., Albert, S.H. and Sullivan, Martin A. (1984), ‘The New Incremental Tax subsidy for R&amp;D: Incentive or Disincentive?’, National Tax Journal, 37, 171–84.</w:t>
      </w:r>
    </w:p>
    <w:p w14:paraId="450C051C" w14:textId="77777777" w:rsidR="009F04CF" w:rsidRPr="009F04CF" w:rsidRDefault="009F04CF" w:rsidP="00A648FD">
      <w:pPr>
        <w:pStyle w:val="Text"/>
        <w:ind w:left="397" w:hanging="397"/>
        <w:rPr>
          <w:rFonts w:eastAsia="Calibri"/>
        </w:rPr>
      </w:pPr>
      <w:r w:rsidRPr="009F04CF">
        <w:rPr>
          <w:rFonts w:eastAsia="Calibri"/>
        </w:rPr>
        <w:t>Falk, M. (2006), ‘What Drives Business Research and Development (R&amp;D) Intensity Across Organisation for Economic Co-Operation and Development (OECD) Countries?’, Applied Economics, 38, 533–47.</w:t>
      </w:r>
    </w:p>
    <w:p w14:paraId="792CE866" w14:textId="77777777" w:rsidR="009F04CF" w:rsidRPr="009F04CF" w:rsidRDefault="009F04CF" w:rsidP="00A648FD">
      <w:pPr>
        <w:pStyle w:val="Text"/>
        <w:ind w:left="397" w:hanging="397"/>
        <w:rPr>
          <w:rFonts w:eastAsia="Calibri"/>
        </w:rPr>
      </w:pPr>
      <w:r w:rsidRPr="009F04CF">
        <w:rPr>
          <w:rFonts w:eastAsia="Calibri"/>
        </w:rPr>
        <w:t>Goldberger, A.S. (1972), ‘Selection Bias in Evaluating Treatment Effects: Some Formal Illustrations’, Discussion Paper No. 123, University of Wisconsin Institute for Research on Poverty, Madison, WI.</w:t>
      </w:r>
    </w:p>
    <w:p w14:paraId="4ADC7A1B" w14:textId="77777777" w:rsidR="009F04CF" w:rsidRPr="009F04CF" w:rsidRDefault="009F04CF" w:rsidP="00A648FD">
      <w:pPr>
        <w:pStyle w:val="Text"/>
        <w:ind w:left="397" w:hanging="397"/>
        <w:rPr>
          <w:rFonts w:eastAsia="Calibri"/>
        </w:rPr>
      </w:pPr>
      <w:r w:rsidRPr="009F04CF">
        <w:rPr>
          <w:rFonts w:eastAsia="Calibri"/>
        </w:rPr>
        <w:t>Guellec, D. and Van Pottelsberghe, B. (2003), ‘The Impact of Public R&amp;D investment on Business R&amp;D’, Economics of Innovation and New Technology, 12, 225–43.</w:t>
      </w:r>
    </w:p>
    <w:p w14:paraId="07452A9D" w14:textId="77777777" w:rsidR="009F04CF" w:rsidRPr="009F04CF" w:rsidRDefault="009F04CF" w:rsidP="00A648FD">
      <w:pPr>
        <w:pStyle w:val="Text"/>
        <w:ind w:left="397" w:hanging="397"/>
        <w:rPr>
          <w:rFonts w:eastAsia="Calibri"/>
        </w:rPr>
      </w:pPr>
      <w:r w:rsidRPr="009F04CF">
        <w:rPr>
          <w:rFonts w:eastAsia="Calibri"/>
        </w:rPr>
        <w:t>Hall, B. (1992), ‘R&amp;D Tax Policy During the Eighties: Success of Failure’, Working Paper No. 4240, NBER, Cambridge, MA.</w:t>
      </w:r>
    </w:p>
    <w:p w14:paraId="0380837C" w14:textId="77777777" w:rsidR="006A69BB" w:rsidRDefault="006A69BB" w:rsidP="00A648FD">
      <w:pPr>
        <w:pStyle w:val="Text"/>
        <w:ind w:left="397" w:hanging="397"/>
        <w:rPr>
          <w:rFonts w:eastAsia="Calibri"/>
        </w:rPr>
      </w:pPr>
      <w:r>
        <w:rPr>
          <w:rFonts w:ascii="Arial" w:hAnsi="Arial" w:cs="Arial"/>
          <w:color w:val="222222"/>
          <w:sz w:val="20"/>
          <w:szCs w:val="20"/>
          <w:shd w:val="clear" w:color="auto" w:fill="FFFFFF"/>
        </w:rPr>
        <w:t>Halvorsen, R., and Palmquist, R. (1980), ‘The Interpretation of Dummy Variables in Semilogarithmic Equations’,</w:t>
      </w:r>
      <w:r>
        <w:rPr>
          <w:rStyle w:val="apple-converted-space"/>
          <w:rFonts w:ascii="Arial" w:hAnsi="Arial" w:cs="Arial"/>
          <w:color w:val="222222"/>
          <w:sz w:val="20"/>
          <w:szCs w:val="20"/>
          <w:shd w:val="clear" w:color="auto" w:fill="FFFFFF"/>
        </w:rPr>
        <w:t> </w:t>
      </w:r>
      <w:r w:rsidRPr="00AF1493">
        <w:rPr>
          <w:rFonts w:ascii="Arial" w:hAnsi="Arial" w:cs="Arial"/>
          <w:iCs/>
          <w:color w:val="222222"/>
          <w:sz w:val="20"/>
          <w:szCs w:val="20"/>
          <w:shd w:val="clear" w:color="auto" w:fill="FFFFFF"/>
        </w:rPr>
        <w:t>The American Economic Review</w:t>
      </w:r>
      <w:r w:rsidRPr="006A69BB">
        <w:rPr>
          <w:rFonts w:ascii="Arial" w:hAnsi="Arial" w:cs="Arial"/>
          <w:color w:val="222222"/>
          <w:sz w:val="20"/>
          <w:szCs w:val="20"/>
          <w:shd w:val="clear" w:color="auto" w:fill="FFFFFF"/>
        </w:rPr>
        <w:t>,</w:t>
      </w:r>
      <w:r w:rsidRPr="006A69BB">
        <w:rPr>
          <w:rStyle w:val="apple-converted-space"/>
          <w:rFonts w:ascii="Arial" w:hAnsi="Arial" w:cs="Arial"/>
          <w:color w:val="222222"/>
          <w:sz w:val="20"/>
          <w:szCs w:val="20"/>
          <w:shd w:val="clear" w:color="auto" w:fill="FFFFFF"/>
        </w:rPr>
        <w:t> </w:t>
      </w:r>
      <w:r w:rsidRPr="00AF1493">
        <w:rPr>
          <w:rFonts w:ascii="Arial" w:hAnsi="Arial" w:cs="Arial"/>
          <w:iCs/>
          <w:color w:val="222222"/>
          <w:sz w:val="20"/>
          <w:szCs w:val="20"/>
          <w:shd w:val="clear" w:color="auto" w:fill="FFFFFF"/>
        </w:rPr>
        <w:t>70</w:t>
      </w:r>
      <w:r>
        <w:rPr>
          <w:rFonts w:ascii="Arial" w:hAnsi="Arial" w:cs="Arial"/>
          <w:iCs/>
          <w:color w:val="222222"/>
          <w:sz w:val="20"/>
          <w:szCs w:val="20"/>
          <w:shd w:val="clear" w:color="auto" w:fill="FFFFFF"/>
        </w:rPr>
        <w:t>,</w:t>
      </w:r>
      <w:r>
        <w:rPr>
          <w:rFonts w:ascii="Arial" w:hAnsi="Arial" w:cs="Arial"/>
          <w:color w:val="222222"/>
          <w:sz w:val="20"/>
          <w:szCs w:val="20"/>
          <w:shd w:val="clear" w:color="auto" w:fill="FFFFFF"/>
        </w:rPr>
        <w:t xml:space="preserve"> 474–475.</w:t>
      </w:r>
      <w:r w:rsidRPr="009F04CF">
        <w:rPr>
          <w:rFonts w:eastAsia="Calibri"/>
        </w:rPr>
        <w:t xml:space="preserve"> </w:t>
      </w:r>
    </w:p>
    <w:p w14:paraId="7440D33B" w14:textId="77777777" w:rsidR="009F04CF" w:rsidRPr="009F04CF" w:rsidRDefault="009F04CF" w:rsidP="00A648FD">
      <w:pPr>
        <w:pStyle w:val="Text"/>
        <w:ind w:left="397" w:hanging="397"/>
        <w:rPr>
          <w:rFonts w:eastAsia="Calibri"/>
        </w:rPr>
      </w:pPr>
      <w:r w:rsidRPr="009F04CF">
        <w:rPr>
          <w:rFonts w:eastAsia="Calibri"/>
        </w:rPr>
        <w:t xml:space="preserve">Harris, R., Li, Q.C. and Trainor, M. (2009), ‘Is a higher rate of R&amp;D tax subsidy a panacea for low levels of R&amp;D in disadvantaged regions?’, </w:t>
      </w:r>
      <w:r w:rsidRPr="009F04CF">
        <w:rPr>
          <w:rFonts w:eastAsia="Calibri"/>
          <w:iCs/>
        </w:rPr>
        <w:t xml:space="preserve">Research Policy </w:t>
      </w:r>
      <w:r w:rsidRPr="009F04CF">
        <w:rPr>
          <w:rFonts w:eastAsia="Calibri"/>
        </w:rPr>
        <w:t>38: 192–205.</w:t>
      </w:r>
    </w:p>
    <w:p w14:paraId="75F47E8F" w14:textId="77777777" w:rsidR="009E14D3" w:rsidRDefault="009E14D3" w:rsidP="00A648FD">
      <w:pPr>
        <w:pStyle w:val="Text"/>
        <w:ind w:left="397" w:hanging="397"/>
        <w:rPr>
          <w:rFonts w:eastAsia="Calibri"/>
        </w:rPr>
      </w:pPr>
      <w:r w:rsidRPr="009E14D3">
        <w:rPr>
          <w:rFonts w:eastAsia="Calibri"/>
        </w:rPr>
        <w:t xml:space="preserve">Iacus, </w:t>
      </w:r>
      <w:r>
        <w:rPr>
          <w:rFonts w:eastAsia="Calibri"/>
        </w:rPr>
        <w:t xml:space="preserve">S. </w:t>
      </w:r>
      <w:r w:rsidRPr="009E14D3">
        <w:rPr>
          <w:rFonts w:eastAsia="Calibri"/>
        </w:rPr>
        <w:t>M</w:t>
      </w:r>
      <w:r>
        <w:rPr>
          <w:rFonts w:eastAsia="Calibri"/>
        </w:rPr>
        <w:t>3</w:t>
      </w:r>
      <w:r w:rsidRPr="009E14D3">
        <w:rPr>
          <w:rFonts w:eastAsia="Calibri"/>
        </w:rPr>
        <w:t>, K</w:t>
      </w:r>
      <w:r>
        <w:rPr>
          <w:rFonts w:eastAsia="Calibri"/>
        </w:rPr>
        <w:t>ing G. and Porro, G. (2012), ‘</w:t>
      </w:r>
      <w:r w:rsidRPr="009E14D3">
        <w:rPr>
          <w:rFonts w:eastAsia="Calibri"/>
        </w:rPr>
        <w:t>Causal Inference Without Balance Chec</w:t>
      </w:r>
      <w:r>
        <w:rPr>
          <w:rFonts w:eastAsia="Calibri"/>
        </w:rPr>
        <w:t>king: Coarsened Exact Matching’,</w:t>
      </w:r>
      <w:r w:rsidRPr="009E14D3">
        <w:rPr>
          <w:rFonts w:eastAsia="Calibri"/>
        </w:rPr>
        <w:t xml:space="preserve"> Political Analysis</w:t>
      </w:r>
      <w:r>
        <w:rPr>
          <w:rFonts w:eastAsia="Calibri"/>
        </w:rPr>
        <w:t>, 20, 1-24.</w:t>
      </w:r>
    </w:p>
    <w:p w14:paraId="3FA82504" w14:textId="77777777" w:rsidR="009F04CF" w:rsidRPr="009F04CF" w:rsidRDefault="009F04CF" w:rsidP="00A648FD">
      <w:pPr>
        <w:pStyle w:val="Text"/>
        <w:ind w:left="397" w:hanging="397"/>
        <w:rPr>
          <w:rFonts w:eastAsia="Calibri"/>
        </w:rPr>
      </w:pPr>
      <w:r w:rsidRPr="009F04CF">
        <w:rPr>
          <w:rFonts w:eastAsia="Calibri"/>
        </w:rPr>
        <w:t>Imbens, G. and Kalyanaraman, K. (2012), ‘Optimal Bandwidth Choice for the Regression Discontinuity Estimator’, Review of Economic Studies, 79, 1-27.</w:t>
      </w:r>
    </w:p>
    <w:p w14:paraId="30A0E80A" w14:textId="77777777" w:rsidR="009F04CF" w:rsidRPr="009F04CF" w:rsidRDefault="009F04CF" w:rsidP="00A648FD">
      <w:pPr>
        <w:pStyle w:val="Text"/>
        <w:ind w:left="397" w:hanging="397"/>
        <w:rPr>
          <w:rFonts w:eastAsia="Calibri"/>
        </w:rPr>
      </w:pPr>
      <w:r w:rsidRPr="009F04CF">
        <w:rPr>
          <w:rFonts w:eastAsia="Calibri"/>
        </w:rPr>
        <w:t>IR&amp;D Board (2004), Overseas Research and Development Activities Guidelines 2004. Industry Research and Development Board, Canberra.</w:t>
      </w:r>
    </w:p>
    <w:p w14:paraId="27F29C74" w14:textId="77777777" w:rsidR="009F04CF" w:rsidRPr="009F04CF" w:rsidRDefault="009F04CF" w:rsidP="00A648FD">
      <w:pPr>
        <w:pStyle w:val="Text"/>
        <w:ind w:left="397" w:hanging="397"/>
        <w:rPr>
          <w:rFonts w:eastAsia="Calibri"/>
        </w:rPr>
      </w:pPr>
      <w:r w:rsidRPr="009F04CF">
        <w:rPr>
          <w:rFonts w:eastAsia="Calibri"/>
        </w:rPr>
        <w:t>IT 244 (1987), Taxation Ruling No. IT 2442. Income Tax: Concession for Eligible Research and Development Expenditure. Commissioner of Taxation, Australia.</w:t>
      </w:r>
    </w:p>
    <w:p w14:paraId="2168D94C" w14:textId="77777777" w:rsidR="001016F5" w:rsidRDefault="001016F5" w:rsidP="00A648FD">
      <w:pPr>
        <w:pStyle w:val="Text"/>
        <w:ind w:left="397" w:hanging="397"/>
        <w:rPr>
          <w:rFonts w:eastAsia="Calibri"/>
        </w:rPr>
      </w:pPr>
      <w:r>
        <w:rPr>
          <w:rFonts w:ascii="Arial" w:hAnsi="Arial" w:cs="Arial"/>
          <w:color w:val="222222"/>
          <w:sz w:val="20"/>
          <w:szCs w:val="20"/>
          <w:shd w:val="clear" w:color="auto" w:fill="FFFFFF"/>
        </w:rPr>
        <w:t>Kennedy, P. E.. (1981). ‘Estimation with Correctly Interpreted Dummy Variables in Semilogarithmic Equations’</w:t>
      </w:r>
      <w:r>
        <w:rPr>
          <w:rStyle w:val="apple-converted-space"/>
          <w:rFonts w:ascii="Arial" w:hAnsi="Arial" w:cs="Arial"/>
          <w:color w:val="222222"/>
          <w:sz w:val="20"/>
          <w:szCs w:val="20"/>
          <w:shd w:val="clear" w:color="auto" w:fill="FFFFFF"/>
        </w:rPr>
        <w:t> </w:t>
      </w:r>
      <w:r w:rsidRPr="00AF1493">
        <w:rPr>
          <w:rFonts w:ascii="Arial" w:hAnsi="Arial" w:cs="Arial"/>
          <w:iCs/>
          <w:color w:val="222222"/>
          <w:sz w:val="20"/>
          <w:szCs w:val="20"/>
          <w:shd w:val="clear" w:color="auto" w:fill="FFFFFF"/>
        </w:rPr>
        <w:t>The American Economic Review</w:t>
      </w:r>
      <w:r w:rsidRPr="001016F5">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r w:rsidRPr="00AF1493">
        <w:rPr>
          <w:rFonts w:ascii="Arial" w:hAnsi="Arial" w:cs="Arial"/>
          <w:iCs/>
          <w:color w:val="222222"/>
          <w:sz w:val="20"/>
          <w:szCs w:val="20"/>
          <w:shd w:val="clear" w:color="auto" w:fill="FFFFFF"/>
        </w:rPr>
        <w:t>71</w:t>
      </w:r>
      <w:r>
        <w:rPr>
          <w:rFonts w:ascii="Arial" w:hAnsi="Arial" w:cs="Arial"/>
          <w:color w:val="222222"/>
          <w:sz w:val="20"/>
          <w:szCs w:val="20"/>
          <w:shd w:val="clear" w:color="auto" w:fill="FFFFFF"/>
        </w:rPr>
        <w:t>, 801–801.</w:t>
      </w:r>
      <w:r w:rsidRPr="009F04CF">
        <w:rPr>
          <w:rFonts w:eastAsia="Calibri"/>
        </w:rPr>
        <w:t xml:space="preserve"> </w:t>
      </w:r>
    </w:p>
    <w:p w14:paraId="4E64F334" w14:textId="77777777" w:rsidR="009F04CF" w:rsidRDefault="009F04CF" w:rsidP="00A648FD">
      <w:pPr>
        <w:pStyle w:val="Text"/>
        <w:ind w:left="397" w:hanging="397"/>
        <w:rPr>
          <w:rFonts w:eastAsia="Calibri"/>
        </w:rPr>
      </w:pPr>
      <w:r w:rsidRPr="009F04CF">
        <w:rPr>
          <w:rFonts w:eastAsia="Calibri"/>
        </w:rPr>
        <w:t xml:space="preserve">Koga, T. (2003), ‘Firm Size and R&amp;D Tax Incentives.’ </w:t>
      </w:r>
      <w:r w:rsidRPr="009F04CF">
        <w:rPr>
          <w:rFonts w:eastAsia="Calibri"/>
          <w:iCs/>
        </w:rPr>
        <w:t>Technovation</w:t>
      </w:r>
      <w:r w:rsidR="00A14C8D">
        <w:rPr>
          <w:rFonts w:eastAsia="Calibri"/>
          <w:iCs/>
        </w:rPr>
        <w:t>,</w:t>
      </w:r>
      <w:r w:rsidRPr="009F04CF">
        <w:rPr>
          <w:rFonts w:eastAsia="Calibri"/>
          <w:iCs/>
        </w:rPr>
        <w:t xml:space="preserve"> </w:t>
      </w:r>
      <w:r w:rsidRPr="009F04CF">
        <w:rPr>
          <w:rFonts w:eastAsia="Calibri"/>
        </w:rPr>
        <w:t>23</w:t>
      </w:r>
      <w:r w:rsidR="00A14C8D">
        <w:rPr>
          <w:rFonts w:eastAsia="Calibri"/>
        </w:rPr>
        <w:t>,</w:t>
      </w:r>
      <w:r w:rsidR="00A14C8D" w:rsidRPr="009F04CF">
        <w:rPr>
          <w:rFonts w:eastAsia="Calibri"/>
        </w:rPr>
        <w:t xml:space="preserve"> </w:t>
      </w:r>
      <w:r w:rsidRPr="009F04CF">
        <w:rPr>
          <w:rFonts w:eastAsia="Calibri"/>
        </w:rPr>
        <w:t>643-648.</w:t>
      </w:r>
    </w:p>
    <w:p w14:paraId="11D2ED62" w14:textId="77777777" w:rsidR="00A14C8D" w:rsidRPr="009F04CF" w:rsidRDefault="00A14C8D" w:rsidP="00A648FD">
      <w:pPr>
        <w:pStyle w:val="Text"/>
        <w:ind w:left="397" w:hanging="397"/>
        <w:rPr>
          <w:rFonts w:eastAsia="Calibri"/>
        </w:rPr>
      </w:pPr>
    </w:p>
    <w:p w14:paraId="63E973C2" w14:textId="77777777" w:rsidR="00A14C8D" w:rsidRDefault="00A14C8D" w:rsidP="00A648FD">
      <w:pPr>
        <w:pStyle w:val="Text"/>
        <w:ind w:left="397" w:hanging="397"/>
        <w:rPr>
          <w:rFonts w:eastAsia="Calibri"/>
        </w:rPr>
      </w:pPr>
      <w:r>
        <w:rPr>
          <w:rFonts w:eastAsia="Calibri"/>
        </w:rPr>
        <w:lastRenderedPageBreak/>
        <w:t>Krautmann, A.C. and Ciecka, J., (2006), ‘Interpreting the regression coefficient in semi-logarithmic functions: A note’, Indian Journal of Economics and Business, 5, 121-125.</w:t>
      </w:r>
    </w:p>
    <w:p w14:paraId="0E0ACB4C" w14:textId="77777777" w:rsidR="009F04CF" w:rsidRPr="009F04CF" w:rsidRDefault="009F04CF" w:rsidP="00A648FD">
      <w:pPr>
        <w:pStyle w:val="Text"/>
        <w:ind w:left="397" w:hanging="397"/>
        <w:rPr>
          <w:rFonts w:eastAsia="Calibri"/>
        </w:rPr>
      </w:pPr>
      <w:r w:rsidRPr="009F04CF">
        <w:rPr>
          <w:rFonts w:eastAsia="Calibri"/>
        </w:rPr>
        <w:t>Lattimore, R. (1997), ‘Research and Development Fiscal Incentives in Australia: Impacts and Policy Lessons’, in Lattimore, R. (eds), Policy Evaluation in Innovation and Technology: Towards Best Practices. OECD, Paris; 91–134.</w:t>
      </w:r>
    </w:p>
    <w:p w14:paraId="4F25D2B6" w14:textId="79683607" w:rsidR="009F04CF" w:rsidRPr="009F04CF" w:rsidRDefault="009F04CF" w:rsidP="00A648FD">
      <w:pPr>
        <w:pStyle w:val="Text"/>
        <w:ind w:left="397" w:hanging="397"/>
        <w:rPr>
          <w:rFonts w:eastAsia="Calibri"/>
        </w:rPr>
      </w:pPr>
      <w:r w:rsidRPr="009F04CF">
        <w:rPr>
          <w:rFonts w:eastAsia="Calibri"/>
        </w:rPr>
        <w:t>Leuven, E. and Sianesi, B., (2003). ‘PSMATCH2: Stata module to perform full Mahalanobis and propensity score matching, common support graphing, and</w:t>
      </w:r>
      <w:r w:rsidR="005F049A">
        <w:rPr>
          <w:rFonts w:eastAsia="Calibri"/>
        </w:rPr>
        <w:t xml:space="preserve"> covariate imbalance testing’. </w:t>
      </w:r>
      <w:r w:rsidRPr="009F04CF">
        <w:rPr>
          <w:rFonts w:eastAsia="Calibri"/>
        </w:rPr>
        <w:t>http://ideas.repec.org/c/boc/bocode/s432001.html.</w:t>
      </w:r>
    </w:p>
    <w:p w14:paraId="7911817B" w14:textId="77777777" w:rsidR="009F04CF" w:rsidRPr="009F04CF" w:rsidRDefault="009F04CF" w:rsidP="00A648FD">
      <w:pPr>
        <w:pStyle w:val="Text"/>
        <w:ind w:left="397" w:hanging="397"/>
        <w:rPr>
          <w:rFonts w:eastAsia="Calibri"/>
        </w:rPr>
      </w:pPr>
      <w:r w:rsidRPr="009F04CF">
        <w:rPr>
          <w:rFonts w:eastAsia="Calibri"/>
        </w:rPr>
        <w:t>Lokshin, P. and Mohnen, P., (2007), ‘Measuring the effectiveness of R&amp;D tax subsidies in the Netherlands’, United Nations University Merit Working Paper.</w:t>
      </w:r>
    </w:p>
    <w:p w14:paraId="2FA14512" w14:textId="77777777" w:rsidR="00131780" w:rsidRDefault="00131780" w:rsidP="00A648FD">
      <w:pPr>
        <w:pStyle w:val="Text"/>
        <w:ind w:left="397" w:hanging="397"/>
        <w:rPr>
          <w:rFonts w:eastAsia="Calibri"/>
        </w:rPr>
      </w:pPr>
      <w:r>
        <w:rPr>
          <w:rFonts w:eastAsia="Calibri"/>
        </w:rPr>
        <w:t>Maddala, G.S. and Wu, S., (1999), ‘A comparative study of unit root tests with panel data and a new simple test’, Oxford Bulletin of Economics and Statistics, 61, 631-652.</w:t>
      </w:r>
    </w:p>
    <w:p w14:paraId="58E380E7" w14:textId="77777777" w:rsidR="009F04CF" w:rsidRPr="009F04CF" w:rsidRDefault="009F04CF" w:rsidP="00A648FD">
      <w:pPr>
        <w:pStyle w:val="Text"/>
        <w:ind w:left="397" w:hanging="397"/>
        <w:rPr>
          <w:rFonts w:eastAsia="Calibri"/>
        </w:rPr>
      </w:pPr>
      <w:r w:rsidRPr="009F04CF">
        <w:rPr>
          <w:rFonts w:eastAsia="Calibri"/>
        </w:rPr>
        <w:t>Mansfield, E. (1986), ‘The R&amp;D Tax subsidy and Other Technology Policy Issues’, The American Economic Review, Papers and Proceedings, 76, 190–4.</w:t>
      </w:r>
    </w:p>
    <w:p w14:paraId="2AD5150E" w14:textId="77777777" w:rsidR="009F04CF" w:rsidRPr="009F04CF" w:rsidRDefault="009F04CF" w:rsidP="00A648FD">
      <w:pPr>
        <w:pStyle w:val="Text"/>
        <w:ind w:left="397" w:hanging="397"/>
        <w:rPr>
          <w:rFonts w:eastAsia="Calibri"/>
        </w:rPr>
      </w:pPr>
      <w:r w:rsidRPr="009F04CF">
        <w:rPr>
          <w:rFonts w:eastAsia="Calibri"/>
        </w:rPr>
        <w:t>Mulkay, B. and Mairesse, J. (2003), ‘The Effect of the R&amp;D Tax subsidy in France’, EEA-ESEM Conference; 20–24 August 2003, Stockholm, Sweden. Available from: http://www.eea-esem.com/eea-esem/2003/prog/viewpaper.asp?pid=2250</w:t>
      </w:r>
    </w:p>
    <w:p w14:paraId="4B958C95" w14:textId="77777777" w:rsidR="009F04CF" w:rsidRPr="009F04CF" w:rsidRDefault="009F04CF" w:rsidP="00A648FD">
      <w:pPr>
        <w:pStyle w:val="Text"/>
        <w:ind w:left="397" w:hanging="397"/>
        <w:rPr>
          <w:rFonts w:eastAsia="Calibri"/>
          <w:b/>
        </w:rPr>
      </w:pPr>
      <w:r w:rsidRPr="009F04CF">
        <w:rPr>
          <w:rFonts w:eastAsia="Calibri"/>
        </w:rPr>
        <w:t xml:space="preserve">Parisi, M. L., &amp; Sembenelli, A. (2003), “Is private R &amp; D spending sensitive to its price? Empirical evidence on panel data for Italy”, </w:t>
      </w:r>
      <w:r w:rsidRPr="009F04CF">
        <w:rPr>
          <w:rFonts w:eastAsia="Calibri"/>
          <w:iCs/>
        </w:rPr>
        <w:t>Empirica</w:t>
      </w:r>
      <w:r w:rsidRPr="009F04CF">
        <w:rPr>
          <w:rFonts w:eastAsia="Calibri"/>
        </w:rPr>
        <w:t>, 30, 357-377.</w:t>
      </w:r>
    </w:p>
    <w:p w14:paraId="433F0972" w14:textId="77777777" w:rsidR="009F04CF" w:rsidRPr="009F04CF" w:rsidRDefault="009F04CF" w:rsidP="00A648FD">
      <w:pPr>
        <w:pStyle w:val="Text"/>
        <w:ind w:left="397" w:hanging="397"/>
        <w:rPr>
          <w:rFonts w:eastAsia="Calibri"/>
        </w:rPr>
      </w:pPr>
      <w:r w:rsidRPr="009F04CF">
        <w:rPr>
          <w:rFonts w:eastAsia="Calibri"/>
        </w:rPr>
        <w:t>SFPAC (Senate Finance and Public Administration Committee) (1999), Senate Finance and Public Administration Committee. Inquiry into Business Taxation Reform. Chapter 7. Parliament of Australia, Canberra.</w:t>
      </w:r>
    </w:p>
    <w:p w14:paraId="645A21AB" w14:textId="77777777" w:rsidR="009F04CF" w:rsidRPr="009F04CF" w:rsidRDefault="009F04CF" w:rsidP="00A648FD">
      <w:pPr>
        <w:pStyle w:val="Text"/>
        <w:ind w:left="397" w:hanging="397"/>
        <w:rPr>
          <w:rFonts w:eastAsia="Calibri"/>
        </w:rPr>
      </w:pPr>
      <w:r w:rsidRPr="009F04CF">
        <w:rPr>
          <w:rFonts w:eastAsia="Calibri"/>
        </w:rPr>
        <w:t>Thomas, D., Manly, T. and Schulman, C. (2003), ‘An International Investigation of the Influence of Dividend Taxation on Research and Development Tax subsidies’, The Journal of the American Taxation Association, 25, 35–54.</w:t>
      </w:r>
    </w:p>
    <w:p w14:paraId="70CA935B" w14:textId="77777777" w:rsidR="009F04CF" w:rsidRPr="009F04CF" w:rsidRDefault="009F04CF" w:rsidP="00A648FD">
      <w:pPr>
        <w:pStyle w:val="Text"/>
        <w:ind w:left="397" w:hanging="397"/>
        <w:rPr>
          <w:rFonts w:eastAsia="Calibri"/>
        </w:rPr>
      </w:pPr>
      <w:r w:rsidRPr="009F04CF">
        <w:rPr>
          <w:rFonts w:eastAsia="Calibri"/>
        </w:rPr>
        <w:t>Thomson, R. (2010), ‘Tax Policy and R&amp;D Investment by Australian Firms’, The Economic Record, 86, 260–80.</w:t>
      </w:r>
    </w:p>
    <w:p w14:paraId="2683FC07" w14:textId="77777777" w:rsidR="009F04CF" w:rsidRDefault="009F04CF" w:rsidP="00A648FD">
      <w:pPr>
        <w:pStyle w:val="Text"/>
        <w:ind w:left="397" w:hanging="397"/>
        <w:rPr>
          <w:rFonts w:eastAsia="Calibri"/>
        </w:rPr>
      </w:pPr>
      <w:r w:rsidRPr="009F04CF">
        <w:rPr>
          <w:rFonts w:eastAsia="Calibri"/>
        </w:rPr>
        <w:lastRenderedPageBreak/>
        <w:t xml:space="preserve">Thomson, R. and Jensen, P.H. (2013), ‘The Effects of Public Subsidies on </w:t>
      </w:r>
      <w:r w:rsidR="0070354F">
        <w:rPr>
          <w:rFonts w:eastAsia="Calibri"/>
        </w:rPr>
        <w:t>R&amp;D person-years</w:t>
      </w:r>
      <w:r w:rsidRPr="009F04CF">
        <w:rPr>
          <w:rFonts w:eastAsia="Calibri"/>
        </w:rPr>
        <w:t xml:space="preserve">: Evidence from OECD Countries’, </w:t>
      </w:r>
      <w:r w:rsidRPr="009F04CF">
        <w:rPr>
          <w:rFonts w:eastAsia="Calibri"/>
          <w:iCs/>
        </w:rPr>
        <w:t>National Tax Journal</w:t>
      </w:r>
      <w:r w:rsidRPr="009F04CF">
        <w:rPr>
          <w:rFonts w:eastAsia="Calibri"/>
        </w:rPr>
        <w:t>, 66, 281–310.</w:t>
      </w:r>
    </w:p>
    <w:p w14:paraId="306856A9" w14:textId="77777777" w:rsidR="00B312D0" w:rsidRPr="00B312D0" w:rsidRDefault="00B312D0" w:rsidP="00B312D0">
      <w:pPr>
        <w:pStyle w:val="Text"/>
        <w:ind w:left="397" w:hanging="397"/>
        <w:rPr>
          <w:rFonts w:eastAsia="Calibri"/>
        </w:rPr>
      </w:pPr>
      <w:r w:rsidRPr="00B312D0">
        <w:rPr>
          <w:rFonts w:eastAsia="Calibri"/>
        </w:rPr>
        <w:t>Thomson, R., (forthcoming), The effectiveness of R&amp;D tax credits</w:t>
      </w:r>
      <w:r w:rsidRPr="00AA32FD">
        <w:rPr>
          <w:rFonts w:eastAsia="Calibri"/>
          <w:i/>
        </w:rPr>
        <w:t>, Review of Economics and Statistics</w:t>
      </w:r>
    </w:p>
    <w:p w14:paraId="2DD15B20" w14:textId="77777777" w:rsidR="009F04CF" w:rsidRPr="00AA32FD" w:rsidRDefault="009F04CF" w:rsidP="00AA32FD">
      <w:pPr>
        <w:pStyle w:val="Text"/>
        <w:ind w:left="397" w:hanging="397"/>
        <w:rPr>
          <w:rFonts w:eastAsia="Calibri"/>
        </w:rPr>
      </w:pPr>
      <w:r w:rsidRPr="009F04CF">
        <w:rPr>
          <w:rFonts w:eastAsia="Calibri"/>
        </w:rPr>
        <w:t xml:space="preserve">Wilson, D.J. (2009), ‘Beggar Thy Neighbour? The In-state, Out-of-state, and Aggregate Effects of R&amp;D Tax subsidies’, </w:t>
      </w:r>
      <w:r w:rsidRPr="009F04CF">
        <w:rPr>
          <w:rFonts w:eastAsia="Calibri"/>
          <w:iCs/>
        </w:rPr>
        <w:t xml:space="preserve">Review of Economics and Statistics </w:t>
      </w:r>
      <w:r w:rsidRPr="009F04CF">
        <w:rPr>
          <w:rFonts w:eastAsia="Calibri"/>
        </w:rPr>
        <w:t>91, 431–436.</w:t>
      </w:r>
    </w:p>
    <w:sectPr w:rsidR="009F04CF" w:rsidRPr="00AA32FD" w:rsidSect="00A0090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EA778" w14:textId="77777777" w:rsidR="00E143D0" w:rsidRDefault="00E143D0">
      <w:r>
        <w:separator/>
      </w:r>
    </w:p>
  </w:endnote>
  <w:endnote w:type="continuationSeparator" w:id="0">
    <w:p w14:paraId="676A9292" w14:textId="77777777" w:rsidR="00E143D0" w:rsidRDefault="00E143D0">
      <w:r>
        <w:continuationSeparator/>
      </w:r>
    </w:p>
  </w:endnote>
  <w:endnote w:type="continuationNotice" w:id="1">
    <w:p w14:paraId="7181E7FF" w14:textId="77777777" w:rsidR="00E143D0" w:rsidRDefault="00E143D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1ADFF" w14:textId="77777777" w:rsidR="00E143D0" w:rsidRPr="00B33238" w:rsidRDefault="00E143D0" w:rsidP="00B33238">
    <w:pPr>
      <w:pStyle w:val="Footer"/>
    </w:pPr>
    <w:r w:rsidRPr="00B33238">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747139"/>
      <w:docPartObj>
        <w:docPartGallery w:val="Page Numbers (Bottom of Page)"/>
        <w:docPartUnique/>
      </w:docPartObj>
    </w:sdtPr>
    <w:sdtContent>
      <w:p w14:paraId="68AED098" w14:textId="188C705A" w:rsidR="00E143D0" w:rsidRDefault="00E143D0" w:rsidP="000D4158">
        <w:pPr>
          <w:pStyle w:val="Footer"/>
        </w:pPr>
        <w:r>
          <w:fldChar w:fldCharType="begin"/>
        </w:r>
        <w:r>
          <w:instrText xml:space="preserve"> PAGE   \* MERGEFORMAT </w:instrText>
        </w:r>
        <w:r>
          <w:fldChar w:fldCharType="separate"/>
        </w:r>
        <w:r w:rsidR="00331681">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67192" w14:textId="77777777" w:rsidR="00E143D0" w:rsidRDefault="00E143D0">
      <w:r>
        <w:separator/>
      </w:r>
    </w:p>
  </w:footnote>
  <w:footnote w:type="continuationSeparator" w:id="0">
    <w:p w14:paraId="2DA75605" w14:textId="77777777" w:rsidR="00E143D0" w:rsidRDefault="00E143D0">
      <w:r>
        <w:continuationSeparator/>
      </w:r>
    </w:p>
  </w:footnote>
  <w:footnote w:type="continuationNotice" w:id="1">
    <w:p w14:paraId="7F348AA4" w14:textId="77777777" w:rsidR="00E143D0" w:rsidRDefault="00E143D0">
      <w:pPr>
        <w:spacing w:before="0"/>
      </w:pPr>
    </w:p>
  </w:footnote>
  <w:footnote w:id="2">
    <w:p w14:paraId="53A1AA46" w14:textId="77777777" w:rsidR="00E143D0" w:rsidRPr="00AF1493" w:rsidRDefault="00E143D0" w:rsidP="00AF1493">
      <w:pPr>
        <w:pStyle w:val="FootnoteText"/>
        <w:ind w:firstLine="0"/>
        <w:rPr>
          <w:rFonts w:asciiTheme="minorHAnsi" w:hAnsiTheme="minorHAnsi"/>
        </w:rPr>
      </w:pPr>
      <w:r w:rsidRPr="00AF1493">
        <w:rPr>
          <w:rStyle w:val="FootnoteReference"/>
          <w:rFonts w:asciiTheme="minorHAnsi" w:hAnsiTheme="minorHAnsi"/>
          <w:sz w:val="20"/>
        </w:rPr>
        <w:footnoteRef/>
      </w:r>
      <w:r w:rsidRPr="00AF1493">
        <w:rPr>
          <w:rFonts w:asciiTheme="minorHAnsi" w:hAnsiTheme="minorHAnsi"/>
          <w:sz w:val="20"/>
        </w:rPr>
        <w:t xml:space="preserve"> The interpretation of the coefficient on dummy variables when the dependent variable is in logarithmic form has drawn some discussion. Let </w:t>
      </w:r>
      <w:r w:rsidRPr="00AF1493">
        <w:rPr>
          <w:rFonts w:asciiTheme="minorHAnsi" w:hAnsiTheme="minorHAnsi"/>
          <w:i/>
          <w:sz w:val="20"/>
        </w:rPr>
        <w:t xml:space="preserve">c </w:t>
      </w:r>
      <w:r w:rsidRPr="00AF1493">
        <w:rPr>
          <w:rFonts w:asciiTheme="minorHAnsi" w:hAnsiTheme="minorHAnsi"/>
          <w:sz w:val="20"/>
        </w:rPr>
        <w:t xml:space="preserve">denote the coefficient estimated on a dummy variable in such a case. Here, we follow the traditional interpretation that when the dummy variable switches from 0 to 1, the dependent variable increases by 100 * </w:t>
      </w:r>
      <w:r w:rsidRPr="00AF1493">
        <w:rPr>
          <w:rFonts w:asciiTheme="minorHAnsi" w:hAnsiTheme="minorHAnsi"/>
          <w:i/>
          <w:sz w:val="20"/>
        </w:rPr>
        <w:t xml:space="preserve">c </w:t>
      </w:r>
      <w:r w:rsidRPr="00AF1493">
        <w:rPr>
          <w:rFonts w:asciiTheme="minorHAnsi" w:hAnsiTheme="minorHAnsi"/>
          <w:sz w:val="20"/>
        </w:rPr>
        <w:t>percentage points. Halvorsen and Palmquist (1980) propose a correction that estimates the effect on the dependent variable to be 100 * [exp(</w:t>
      </w:r>
      <w:r w:rsidRPr="00AF1493">
        <w:rPr>
          <w:rFonts w:asciiTheme="minorHAnsi" w:hAnsiTheme="minorHAnsi"/>
          <w:i/>
          <w:sz w:val="20"/>
        </w:rPr>
        <w:t>c</w:t>
      </w:r>
      <w:r w:rsidRPr="00AF1493">
        <w:rPr>
          <w:rFonts w:asciiTheme="minorHAnsi" w:hAnsiTheme="minorHAnsi"/>
          <w:sz w:val="20"/>
        </w:rPr>
        <w:t xml:space="preserve">) – 1]. Kennedy (1981) proposes a further correction that takes into account the variance of </w:t>
      </w:r>
      <w:r w:rsidRPr="00AF1493">
        <w:rPr>
          <w:rFonts w:asciiTheme="minorHAnsi" w:hAnsiTheme="minorHAnsi"/>
          <w:i/>
          <w:sz w:val="20"/>
        </w:rPr>
        <w:t>c</w:t>
      </w:r>
      <w:r w:rsidRPr="00AF1493">
        <w:rPr>
          <w:rFonts w:asciiTheme="minorHAnsi" w:hAnsiTheme="minorHAnsi"/>
          <w:sz w:val="20"/>
        </w:rPr>
        <w:t>. In Kennedy’s correction, the effect of interest is 100 * [exp(</w:t>
      </w:r>
      <w:r w:rsidRPr="00AF1493">
        <w:rPr>
          <w:rFonts w:asciiTheme="minorHAnsi" w:hAnsiTheme="minorHAnsi"/>
          <w:i/>
          <w:sz w:val="20"/>
        </w:rPr>
        <w:t xml:space="preserve">c </w:t>
      </w:r>
      <w:r w:rsidRPr="00AF1493">
        <w:rPr>
          <w:rFonts w:asciiTheme="minorHAnsi" w:hAnsiTheme="minorHAnsi"/>
          <w:sz w:val="20"/>
        </w:rPr>
        <w:t>– ½ var(</w:t>
      </w:r>
      <w:r w:rsidRPr="00AF1493">
        <w:rPr>
          <w:rFonts w:asciiTheme="minorHAnsi" w:hAnsiTheme="minorHAnsi"/>
          <w:i/>
          <w:sz w:val="20"/>
        </w:rPr>
        <w:t>c</w:t>
      </w:r>
      <w:r w:rsidRPr="00AF1493">
        <w:rPr>
          <w:rFonts w:asciiTheme="minorHAnsi" w:hAnsiTheme="minorHAnsi"/>
          <w:sz w:val="20"/>
        </w:rPr>
        <w:t xml:space="preserve">)) – 1]. Most recently Krautmann and Ciecka (2006) show that both the Halvorsen and Palmquist (1980) and the Kennedy (1980) corrections </w:t>
      </w:r>
      <w:r>
        <w:rPr>
          <w:rFonts w:asciiTheme="minorHAnsi" w:hAnsiTheme="minorHAnsi"/>
          <w:sz w:val="20"/>
        </w:rPr>
        <w:t>may be misleading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8F7"/>
    <w:multiLevelType w:val="multilevel"/>
    <w:tmpl w:val="417491AA"/>
    <w:lvl w:ilvl="0">
      <w:start w:val="1"/>
      <w:numFmt w:val="decimal"/>
      <w:lvlText w:val="%1."/>
      <w:lvlJc w:val="left"/>
      <w:pPr>
        <w:tabs>
          <w:tab w:val="num" w:pos="360"/>
        </w:tabs>
        <w:ind w:left="360" w:hanging="360"/>
      </w:pPr>
    </w:lvl>
    <w:lvl w:ilvl="1">
      <w:start w:val="1"/>
      <w:numFmt w:val="decimal"/>
      <w:lvlText w:val="%1.%2."/>
      <w:lvlJc w:val="left"/>
      <w:pPr>
        <w:tabs>
          <w:tab w:val="num" w:pos="851"/>
        </w:tabs>
        <w:ind w:left="851" w:hanging="454"/>
      </w:pPr>
    </w:lvl>
    <w:lvl w:ilvl="2">
      <w:start w:val="1"/>
      <w:numFmt w:val="decimal"/>
      <w:lvlText w:val="%1.%2.%3."/>
      <w:lvlJc w:val="left"/>
      <w:pPr>
        <w:tabs>
          <w:tab w:val="num" w:pos="1531"/>
        </w:tabs>
        <w:ind w:left="1531" w:hanging="680"/>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1" w15:restartNumberingAfterBreak="0">
    <w:nsid w:val="02A0705C"/>
    <w:multiLevelType w:val="hybridMultilevel"/>
    <w:tmpl w:val="C64255A2"/>
    <w:lvl w:ilvl="0" w:tplc="1BC8243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C77438"/>
    <w:multiLevelType w:val="singleLevel"/>
    <w:tmpl w:val="595A440A"/>
    <w:lvl w:ilvl="0">
      <w:start w:val="1"/>
      <w:numFmt w:val="bullet"/>
      <w:lvlText w:val=""/>
      <w:lvlJc w:val="left"/>
      <w:pPr>
        <w:tabs>
          <w:tab w:val="num" w:pos="360"/>
        </w:tabs>
        <w:ind w:left="284" w:hanging="284"/>
      </w:pPr>
      <w:rPr>
        <w:rFonts w:ascii="Symbol" w:hAnsi="Symbol" w:hint="default"/>
      </w:rPr>
    </w:lvl>
  </w:abstractNum>
  <w:abstractNum w:abstractNumId="3" w15:restartNumberingAfterBreak="0">
    <w:nsid w:val="05D01D5C"/>
    <w:multiLevelType w:val="hybridMultilevel"/>
    <w:tmpl w:val="9038598C"/>
    <w:lvl w:ilvl="0" w:tplc="AC8A990C">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5EE3B47"/>
    <w:multiLevelType w:val="multilevel"/>
    <w:tmpl w:val="14682B14"/>
    <w:lvl w:ilvl="0">
      <w:start w:val="1"/>
      <w:numFmt w:val="decimal"/>
      <w:lvlText w:val="%1."/>
      <w:lvlJc w:val="left"/>
      <w:pPr>
        <w:tabs>
          <w:tab w:val="num" w:pos="397"/>
        </w:tabs>
        <w:ind w:left="397" w:hanging="397"/>
      </w:pPr>
    </w:lvl>
    <w:lvl w:ilvl="1">
      <w:start w:val="1"/>
      <w:numFmt w:val="decimal"/>
      <w:lvlText w:val="%1.%2."/>
      <w:lvlJc w:val="left"/>
      <w:pPr>
        <w:tabs>
          <w:tab w:val="num" w:pos="851"/>
        </w:tabs>
        <w:ind w:left="851" w:hanging="454"/>
      </w:pPr>
    </w:lvl>
    <w:lvl w:ilvl="2">
      <w:start w:val="1"/>
      <w:numFmt w:val="decimal"/>
      <w:lvlText w:val="%1.%2.%3."/>
      <w:lvlJc w:val="left"/>
      <w:pPr>
        <w:tabs>
          <w:tab w:val="num" w:pos="1531"/>
        </w:tabs>
        <w:ind w:left="1531" w:hanging="680"/>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 w15:restartNumberingAfterBreak="0">
    <w:nsid w:val="0D477FC5"/>
    <w:multiLevelType w:val="hybridMultilevel"/>
    <w:tmpl w:val="B6C8BC1C"/>
    <w:lvl w:ilvl="0" w:tplc="BE766186">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2766710"/>
    <w:multiLevelType w:val="hybridMultilevel"/>
    <w:tmpl w:val="C0261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E424E"/>
    <w:multiLevelType w:val="singleLevel"/>
    <w:tmpl w:val="85207C2C"/>
    <w:lvl w:ilvl="0">
      <w:start w:val="1"/>
      <w:numFmt w:val="bullet"/>
      <w:pStyle w:val="bullettext2"/>
      <w:lvlText w:val=""/>
      <w:lvlJc w:val="left"/>
      <w:pPr>
        <w:ind w:left="757" w:hanging="360"/>
      </w:pPr>
      <w:rPr>
        <w:rFonts w:ascii="Symbol" w:hAnsi="Symbol" w:hint="default"/>
      </w:rPr>
    </w:lvl>
  </w:abstractNum>
  <w:abstractNum w:abstractNumId="8" w15:restartNumberingAfterBreak="0">
    <w:nsid w:val="1DEE5C8A"/>
    <w:multiLevelType w:val="singleLevel"/>
    <w:tmpl w:val="A4503846"/>
    <w:lvl w:ilvl="0">
      <w:start w:val="1"/>
      <w:numFmt w:val="bullet"/>
      <w:lvlText w:val=""/>
      <w:lvlJc w:val="left"/>
      <w:pPr>
        <w:tabs>
          <w:tab w:val="num" w:pos="1778"/>
        </w:tabs>
        <w:ind w:left="1701" w:hanging="283"/>
      </w:pPr>
      <w:rPr>
        <w:rFonts w:ascii="Wingdings" w:hAnsi="Wingdings" w:hint="default"/>
      </w:rPr>
    </w:lvl>
  </w:abstractNum>
  <w:abstractNum w:abstractNumId="9" w15:restartNumberingAfterBreak="0">
    <w:nsid w:val="1EDE5174"/>
    <w:multiLevelType w:val="multilevel"/>
    <w:tmpl w:val="ED8E0D16"/>
    <w:lvl w:ilvl="0">
      <w:start w:val="1"/>
      <w:numFmt w:val="decimal"/>
      <w:lvlText w:val="%1."/>
      <w:lvlJc w:val="left"/>
      <w:pPr>
        <w:tabs>
          <w:tab w:val="num" w:pos="397"/>
        </w:tabs>
        <w:ind w:left="397" w:hanging="397"/>
      </w:pPr>
    </w:lvl>
    <w:lvl w:ilvl="1">
      <w:start w:val="1"/>
      <w:numFmt w:val="decimal"/>
      <w:lvlText w:val="%1.%2."/>
      <w:lvlJc w:val="left"/>
      <w:pPr>
        <w:tabs>
          <w:tab w:val="num" w:pos="851"/>
        </w:tabs>
        <w:ind w:left="851" w:hanging="454"/>
      </w:pPr>
    </w:lvl>
    <w:lvl w:ilvl="2">
      <w:start w:val="1"/>
      <w:numFmt w:val="decimal"/>
      <w:lvlText w:val="%1.%2.%3."/>
      <w:lvlJc w:val="left"/>
      <w:pPr>
        <w:tabs>
          <w:tab w:val="num" w:pos="1531"/>
        </w:tabs>
        <w:ind w:left="1531" w:hanging="680"/>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10" w15:restartNumberingAfterBreak="0">
    <w:nsid w:val="1F425548"/>
    <w:multiLevelType w:val="hybridMultilevel"/>
    <w:tmpl w:val="BCC6ABDE"/>
    <w:lvl w:ilvl="0" w:tplc="9B44EAB4">
      <w:start w:val="1"/>
      <w:numFmt w:val="decimal"/>
      <w:lvlText w:val="%1."/>
      <w:lvlJc w:val="left"/>
      <w:pPr>
        <w:ind w:left="1080" w:hanging="360"/>
      </w:pPr>
      <w:rPr>
        <w:rFonts w:asciiTheme="majorHAnsi" w:hAnsiTheme="majorHAnsi" w:cstheme="majorBid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62338F3"/>
    <w:multiLevelType w:val="singleLevel"/>
    <w:tmpl w:val="B1EA0C7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103888"/>
    <w:multiLevelType w:val="hybridMultilevel"/>
    <w:tmpl w:val="1166C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8E6028"/>
    <w:multiLevelType w:val="hybridMultilevel"/>
    <w:tmpl w:val="FE9E9FF0"/>
    <w:lvl w:ilvl="0" w:tplc="67D60EC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CEF5DDF"/>
    <w:multiLevelType w:val="hybridMultilevel"/>
    <w:tmpl w:val="0AFE246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6A348B"/>
    <w:multiLevelType w:val="singleLevel"/>
    <w:tmpl w:val="9B323FA2"/>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465B4F5D"/>
    <w:multiLevelType w:val="multilevel"/>
    <w:tmpl w:val="A3B00044"/>
    <w:lvl w:ilvl="0">
      <w:start w:val="1"/>
      <w:numFmt w:val="decimal"/>
      <w:lvlText w:val="%1"/>
      <w:lvlJc w:val="left"/>
      <w:pPr>
        <w:tabs>
          <w:tab w:val="num" w:pos="397"/>
        </w:tabs>
        <w:ind w:left="397" w:hanging="397"/>
      </w:pPr>
    </w:lvl>
    <w:lvl w:ilvl="1">
      <w:start w:val="1"/>
      <w:numFmt w:val="decimal"/>
      <w:lvlText w:val="%1.%2"/>
      <w:lvlJc w:val="left"/>
      <w:pPr>
        <w:tabs>
          <w:tab w:val="num" w:pos="851"/>
        </w:tabs>
        <w:ind w:left="851" w:hanging="454"/>
      </w:pPr>
    </w:lvl>
    <w:lvl w:ilvl="2">
      <w:start w:val="1"/>
      <w:numFmt w:val="decimal"/>
      <w:lvlText w:val="%1.%2.%3"/>
      <w:lvlJc w:val="left"/>
      <w:pPr>
        <w:tabs>
          <w:tab w:val="num" w:pos="1531"/>
        </w:tabs>
        <w:ind w:left="1531" w:hanging="680"/>
      </w:pPr>
    </w:lvl>
    <w:lvl w:ilvl="3">
      <w:start w:val="1"/>
      <w:numFmt w:val="decimal"/>
      <w:lvlText w:val="%1.%2.%3.%4"/>
      <w:lvlJc w:val="left"/>
      <w:pPr>
        <w:tabs>
          <w:tab w:val="num" w:pos="2268"/>
        </w:tabs>
        <w:ind w:left="2268" w:hanging="737"/>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482C7EDC"/>
    <w:multiLevelType w:val="singleLevel"/>
    <w:tmpl w:val="1BBC4E8C"/>
    <w:lvl w:ilvl="0">
      <w:start w:val="3"/>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4F830F44"/>
    <w:multiLevelType w:val="singleLevel"/>
    <w:tmpl w:val="A692E188"/>
    <w:lvl w:ilvl="0">
      <w:start w:val="1"/>
      <w:numFmt w:val="bullet"/>
      <w:lvlText w:val=""/>
      <w:lvlJc w:val="left"/>
      <w:pPr>
        <w:tabs>
          <w:tab w:val="num" w:pos="757"/>
        </w:tabs>
        <w:ind w:left="284" w:firstLine="113"/>
      </w:pPr>
      <w:rPr>
        <w:rFonts w:ascii="Symbol" w:hAnsi="Symbol" w:hint="default"/>
      </w:rPr>
    </w:lvl>
  </w:abstractNum>
  <w:abstractNum w:abstractNumId="19" w15:restartNumberingAfterBreak="0">
    <w:nsid w:val="56B368F9"/>
    <w:multiLevelType w:val="hybridMultilevel"/>
    <w:tmpl w:val="F8F0B990"/>
    <w:lvl w:ilvl="0" w:tplc="9538191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FA79AC"/>
    <w:multiLevelType w:val="multilevel"/>
    <w:tmpl w:val="DB8ADA16"/>
    <w:lvl w:ilvl="0">
      <w:start w:val="1"/>
      <w:numFmt w:val="decimal"/>
      <w:lvlText w:val="%1."/>
      <w:lvlJc w:val="left"/>
      <w:pPr>
        <w:tabs>
          <w:tab w:val="num" w:pos="720"/>
        </w:tabs>
        <w:ind w:left="360" w:hanging="360"/>
      </w:pPr>
    </w:lvl>
    <w:lvl w:ilvl="1">
      <w:start w:val="1"/>
      <w:numFmt w:val="decimal"/>
      <w:lvlText w:val="%1.%2."/>
      <w:lvlJc w:val="left"/>
      <w:pPr>
        <w:tabs>
          <w:tab w:val="num" w:pos="851"/>
        </w:tabs>
        <w:ind w:left="851" w:hanging="454"/>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21" w15:restartNumberingAfterBreak="0">
    <w:nsid w:val="5C846AF8"/>
    <w:multiLevelType w:val="multilevel"/>
    <w:tmpl w:val="A0D4709E"/>
    <w:lvl w:ilvl="0">
      <w:start w:val="1"/>
      <w:numFmt w:val="decimal"/>
      <w:lvlText w:val="%1."/>
      <w:lvlJc w:val="left"/>
      <w:pPr>
        <w:tabs>
          <w:tab w:val="num" w:pos="397"/>
        </w:tabs>
        <w:ind w:left="397" w:hanging="397"/>
      </w:pPr>
    </w:lvl>
    <w:lvl w:ilvl="1">
      <w:start w:val="1"/>
      <w:numFmt w:val="decimal"/>
      <w:lvlText w:val="%1.%2."/>
      <w:lvlJc w:val="left"/>
      <w:pPr>
        <w:tabs>
          <w:tab w:val="num" w:pos="851"/>
        </w:tabs>
        <w:ind w:left="851" w:hanging="454"/>
      </w:pPr>
    </w:lvl>
    <w:lvl w:ilvl="2">
      <w:start w:val="1"/>
      <w:numFmt w:val="decimal"/>
      <w:lvlText w:val="%1.%2.%3."/>
      <w:lvlJc w:val="left"/>
      <w:pPr>
        <w:tabs>
          <w:tab w:val="num" w:pos="1531"/>
        </w:tabs>
        <w:ind w:left="1531" w:hanging="680"/>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22" w15:restartNumberingAfterBreak="0">
    <w:nsid w:val="5ED316BD"/>
    <w:multiLevelType w:val="hybridMultilevel"/>
    <w:tmpl w:val="757CAC2A"/>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9E081B"/>
    <w:multiLevelType w:val="hybridMultilevel"/>
    <w:tmpl w:val="4E1E246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8F21DF"/>
    <w:multiLevelType w:val="hybridMultilevel"/>
    <w:tmpl w:val="2C96F56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1B313B"/>
    <w:multiLevelType w:val="singleLevel"/>
    <w:tmpl w:val="D938FB0E"/>
    <w:lvl w:ilvl="0">
      <w:start w:val="1"/>
      <w:numFmt w:val="bullet"/>
      <w:lvlText w:val=""/>
      <w:lvlJc w:val="left"/>
      <w:pPr>
        <w:tabs>
          <w:tab w:val="num" w:pos="757"/>
        </w:tabs>
        <w:ind w:left="227" w:firstLine="170"/>
      </w:pPr>
      <w:rPr>
        <w:rFonts w:ascii="Wingdings" w:hAnsi="Wingdings" w:hint="default"/>
      </w:rPr>
    </w:lvl>
  </w:abstractNum>
  <w:abstractNum w:abstractNumId="26" w15:restartNumberingAfterBreak="0">
    <w:nsid w:val="6B4B775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06C3CA0"/>
    <w:multiLevelType w:val="hybridMultilevel"/>
    <w:tmpl w:val="F47611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A37CA5"/>
    <w:multiLevelType w:val="singleLevel"/>
    <w:tmpl w:val="96548DF8"/>
    <w:lvl w:ilvl="0">
      <w:start w:val="1"/>
      <w:numFmt w:val="bullet"/>
      <w:lvlText w:val=""/>
      <w:lvlJc w:val="left"/>
      <w:pPr>
        <w:tabs>
          <w:tab w:val="num" w:pos="2061"/>
        </w:tabs>
        <w:ind w:left="284" w:firstLine="1417"/>
      </w:pPr>
      <w:rPr>
        <w:rFonts w:ascii="Symbol" w:hAnsi="Symbol" w:hint="default"/>
      </w:rPr>
    </w:lvl>
  </w:abstractNum>
  <w:abstractNum w:abstractNumId="29" w15:restartNumberingAfterBreak="0">
    <w:nsid w:val="70F00692"/>
    <w:multiLevelType w:val="singleLevel"/>
    <w:tmpl w:val="348896C4"/>
    <w:lvl w:ilvl="0">
      <w:start w:val="1"/>
      <w:numFmt w:val="bullet"/>
      <w:pStyle w:val="bullettext3"/>
      <w:lvlText w:val=""/>
      <w:lvlJc w:val="left"/>
      <w:pPr>
        <w:tabs>
          <w:tab w:val="num" w:pos="1891"/>
        </w:tabs>
        <w:ind w:left="1814" w:hanging="283"/>
      </w:pPr>
      <w:rPr>
        <w:rFonts w:ascii="Wingdings" w:hAnsi="Wingdings" w:hint="default"/>
      </w:rPr>
    </w:lvl>
  </w:abstractNum>
  <w:abstractNum w:abstractNumId="30" w15:restartNumberingAfterBreak="0">
    <w:nsid w:val="75464DEB"/>
    <w:multiLevelType w:val="hybridMultilevel"/>
    <w:tmpl w:val="6FEC24BE"/>
    <w:lvl w:ilvl="0" w:tplc="33D8556C">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6850F57"/>
    <w:multiLevelType w:val="hybridMultilevel"/>
    <w:tmpl w:val="14FC709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E2778F"/>
    <w:multiLevelType w:val="hybridMultilevel"/>
    <w:tmpl w:val="457871FC"/>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95D24DB"/>
    <w:multiLevelType w:val="hybridMultilevel"/>
    <w:tmpl w:val="D0BAEDE2"/>
    <w:lvl w:ilvl="0" w:tplc="3E68836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AB5518E"/>
    <w:multiLevelType w:val="hybridMultilevel"/>
    <w:tmpl w:val="D0BAEDE2"/>
    <w:lvl w:ilvl="0" w:tplc="3E68836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B1A6F67"/>
    <w:multiLevelType w:val="hybridMultilevel"/>
    <w:tmpl w:val="88BE6B4A"/>
    <w:lvl w:ilvl="0" w:tplc="EAB23A9A">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EB70D49"/>
    <w:multiLevelType w:val="multilevel"/>
    <w:tmpl w:val="344E2618"/>
    <w:lvl w:ilvl="0">
      <w:start w:val="1"/>
      <w:numFmt w:val="decimal"/>
      <w:lvlText w:val="%1."/>
      <w:lvlJc w:val="left"/>
      <w:pPr>
        <w:tabs>
          <w:tab w:val="num" w:pos="720"/>
        </w:tabs>
        <w:ind w:left="360" w:hanging="360"/>
      </w:pPr>
    </w:lvl>
    <w:lvl w:ilvl="1">
      <w:start w:val="1"/>
      <w:numFmt w:val="decimal"/>
      <w:lvlText w:val="%1.%2."/>
      <w:lvlJc w:val="left"/>
      <w:pPr>
        <w:tabs>
          <w:tab w:val="num" w:pos="851"/>
        </w:tabs>
        <w:ind w:left="851" w:hanging="454"/>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7" w15:restartNumberingAfterBreak="0">
    <w:nsid w:val="7ED50820"/>
    <w:multiLevelType w:val="hybridMultilevel"/>
    <w:tmpl w:val="7CE4A748"/>
    <w:lvl w:ilvl="0" w:tplc="647A2F0E">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6"/>
  </w:num>
  <w:num w:numId="2">
    <w:abstractNumId w:val="11"/>
  </w:num>
  <w:num w:numId="3">
    <w:abstractNumId w:val="26"/>
  </w:num>
  <w:num w:numId="4">
    <w:abstractNumId w:val="17"/>
  </w:num>
  <w:num w:numId="5">
    <w:abstractNumId w:val="2"/>
  </w:num>
  <w:num w:numId="6">
    <w:abstractNumId w:val="28"/>
  </w:num>
  <w:num w:numId="7">
    <w:abstractNumId w:val="15"/>
  </w:num>
  <w:num w:numId="8">
    <w:abstractNumId w:val="18"/>
  </w:num>
  <w:num w:numId="9">
    <w:abstractNumId w:val="25"/>
  </w:num>
  <w:num w:numId="10">
    <w:abstractNumId w:val="8"/>
  </w:num>
  <w:num w:numId="11">
    <w:abstractNumId w:val="7"/>
  </w:num>
  <w:num w:numId="12">
    <w:abstractNumId w:val="20"/>
  </w:num>
  <w:num w:numId="13">
    <w:abstractNumId w:val="0"/>
  </w:num>
  <w:num w:numId="14">
    <w:abstractNumId w:val="29"/>
  </w:num>
  <w:num w:numId="15">
    <w:abstractNumId w:val="21"/>
  </w:num>
  <w:num w:numId="16">
    <w:abstractNumId w:val="4"/>
  </w:num>
  <w:num w:numId="17">
    <w:abstractNumId w:val="9"/>
  </w:num>
  <w:num w:numId="18">
    <w:abstractNumId w:val="16"/>
  </w:num>
  <w:num w:numId="19">
    <w:abstractNumId w:val="19"/>
  </w:num>
  <w:num w:numId="20">
    <w:abstractNumId w:val="31"/>
  </w:num>
  <w:num w:numId="21">
    <w:abstractNumId w:val="23"/>
  </w:num>
  <w:num w:numId="22">
    <w:abstractNumId w:val="22"/>
  </w:num>
  <w:num w:numId="23">
    <w:abstractNumId w:val="37"/>
  </w:num>
  <w:num w:numId="24">
    <w:abstractNumId w:val="14"/>
  </w:num>
  <w:num w:numId="25">
    <w:abstractNumId w:val="1"/>
  </w:num>
  <w:num w:numId="26">
    <w:abstractNumId w:val="3"/>
  </w:num>
  <w:num w:numId="27">
    <w:abstractNumId w:val="34"/>
  </w:num>
  <w:num w:numId="28">
    <w:abstractNumId w:val="10"/>
  </w:num>
  <w:num w:numId="29">
    <w:abstractNumId w:val="30"/>
  </w:num>
  <w:num w:numId="30">
    <w:abstractNumId w:val="13"/>
  </w:num>
  <w:num w:numId="31">
    <w:abstractNumId w:val="35"/>
  </w:num>
  <w:num w:numId="32">
    <w:abstractNumId w:val="32"/>
  </w:num>
  <w:num w:numId="33">
    <w:abstractNumId w:val="33"/>
  </w:num>
  <w:num w:numId="34">
    <w:abstractNumId w:val="27"/>
  </w:num>
  <w:num w:numId="35">
    <w:abstractNumId w:val="5"/>
  </w:num>
  <w:num w:numId="36">
    <w:abstractNumId w:val="24"/>
  </w:num>
  <w:num w:numId="37">
    <w:abstractNumId w:val="12"/>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893"/>
    <w:rsid w:val="00006DF7"/>
    <w:rsid w:val="00010003"/>
    <w:rsid w:val="00010707"/>
    <w:rsid w:val="00017579"/>
    <w:rsid w:val="00020FFC"/>
    <w:rsid w:val="00025B5D"/>
    <w:rsid w:val="00032962"/>
    <w:rsid w:val="0004034F"/>
    <w:rsid w:val="00042B68"/>
    <w:rsid w:val="000462D5"/>
    <w:rsid w:val="000543E0"/>
    <w:rsid w:val="00062211"/>
    <w:rsid w:val="0007003C"/>
    <w:rsid w:val="00074AC9"/>
    <w:rsid w:val="000756B2"/>
    <w:rsid w:val="00080F90"/>
    <w:rsid w:val="000823CF"/>
    <w:rsid w:val="000860F1"/>
    <w:rsid w:val="00094A58"/>
    <w:rsid w:val="00095164"/>
    <w:rsid w:val="000B15B6"/>
    <w:rsid w:val="000C1BE8"/>
    <w:rsid w:val="000C4AF2"/>
    <w:rsid w:val="000D4158"/>
    <w:rsid w:val="000E50FC"/>
    <w:rsid w:val="000E5562"/>
    <w:rsid w:val="000F2818"/>
    <w:rsid w:val="000F3033"/>
    <w:rsid w:val="000F44ED"/>
    <w:rsid w:val="000F4A09"/>
    <w:rsid w:val="000F5824"/>
    <w:rsid w:val="000F6516"/>
    <w:rsid w:val="000F6FFA"/>
    <w:rsid w:val="000F7C80"/>
    <w:rsid w:val="00100460"/>
    <w:rsid w:val="001016F5"/>
    <w:rsid w:val="00115091"/>
    <w:rsid w:val="00117A8C"/>
    <w:rsid w:val="00130412"/>
    <w:rsid w:val="0013069F"/>
    <w:rsid w:val="00131780"/>
    <w:rsid w:val="00132325"/>
    <w:rsid w:val="00135946"/>
    <w:rsid w:val="00141DF9"/>
    <w:rsid w:val="0014501C"/>
    <w:rsid w:val="00146B28"/>
    <w:rsid w:val="001544B6"/>
    <w:rsid w:val="00155248"/>
    <w:rsid w:val="001576C3"/>
    <w:rsid w:val="001609EB"/>
    <w:rsid w:val="00166940"/>
    <w:rsid w:val="00166F55"/>
    <w:rsid w:val="0019638E"/>
    <w:rsid w:val="0019648C"/>
    <w:rsid w:val="001978C1"/>
    <w:rsid w:val="00197D7B"/>
    <w:rsid w:val="001A364E"/>
    <w:rsid w:val="001B225E"/>
    <w:rsid w:val="001B3C30"/>
    <w:rsid w:val="001B7A26"/>
    <w:rsid w:val="001C7C2D"/>
    <w:rsid w:val="001D11F1"/>
    <w:rsid w:val="001D2630"/>
    <w:rsid w:val="001D6C30"/>
    <w:rsid w:val="001E2152"/>
    <w:rsid w:val="001E4A03"/>
    <w:rsid w:val="001E4FA3"/>
    <w:rsid w:val="001F6AE4"/>
    <w:rsid w:val="001F6B71"/>
    <w:rsid w:val="001F6DAC"/>
    <w:rsid w:val="001F70F5"/>
    <w:rsid w:val="00204B67"/>
    <w:rsid w:val="00206676"/>
    <w:rsid w:val="00214462"/>
    <w:rsid w:val="00227712"/>
    <w:rsid w:val="002306BB"/>
    <w:rsid w:val="002369E7"/>
    <w:rsid w:val="00244D01"/>
    <w:rsid w:val="0024552E"/>
    <w:rsid w:val="00251DBF"/>
    <w:rsid w:val="00252E5B"/>
    <w:rsid w:val="00257A76"/>
    <w:rsid w:val="002602AC"/>
    <w:rsid w:val="00262D39"/>
    <w:rsid w:val="002633DA"/>
    <w:rsid w:val="00264071"/>
    <w:rsid w:val="00275177"/>
    <w:rsid w:val="00285948"/>
    <w:rsid w:val="0029416F"/>
    <w:rsid w:val="00295C04"/>
    <w:rsid w:val="002A7F16"/>
    <w:rsid w:val="002C1126"/>
    <w:rsid w:val="002C13AF"/>
    <w:rsid w:val="002C627E"/>
    <w:rsid w:val="002D243D"/>
    <w:rsid w:val="002D5419"/>
    <w:rsid w:val="002E0BFA"/>
    <w:rsid w:val="002F6142"/>
    <w:rsid w:val="002F7C3E"/>
    <w:rsid w:val="00301683"/>
    <w:rsid w:val="00306191"/>
    <w:rsid w:val="0032199D"/>
    <w:rsid w:val="0032784B"/>
    <w:rsid w:val="00331681"/>
    <w:rsid w:val="00344C03"/>
    <w:rsid w:val="00352277"/>
    <w:rsid w:val="003561AD"/>
    <w:rsid w:val="003831BD"/>
    <w:rsid w:val="00384069"/>
    <w:rsid w:val="00392BE7"/>
    <w:rsid w:val="00395190"/>
    <w:rsid w:val="00397B63"/>
    <w:rsid w:val="003A0CA0"/>
    <w:rsid w:val="003A0F38"/>
    <w:rsid w:val="003A53CF"/>
    <w:rsid w:val="003A618A"/>
    <w:rsid w:val="003B2520"/>
    <w:rsid w:val="003B4496"/>
    <w:rsid w:val="003B5FF6"/>
    <w:rsid w:val="003C0141"/>
    <w:rsid w:val="003C707B"/>
    <w:rsid w:val="003D2346"/>
    <w:rsid w:val="003D5BF2"/>
    <w:rsid w:val="003D7431"/>
    <w:rsid w:val="003E19AE"/>
    <w:rsid w:val="003F5AB2"/>
    <w:rsid w:val="00402978"/>
    <w:rsid w:val="00405489"/>
    <w:rsid w:val="00413799"/>
    <w:rsid w:val="00414FD1"/>
    <w:rsid w:val="004240A7"/>
    <w:rsid w:val="004277F0"/>
    <w:rsid w:val="00430775"/>
    <w:rsid w:val="00442123"/>
    <w:rsid w:val="004424C0"/>
    <w:rsid w:val="004502E9"/>
    <w:rsid w:val="00450DA5"/>
    <w:rsid w:val="00454932"/>
    <w:rsid w:val="00475F11"/>
    <w:rsid w:val="00487D32"/>
    <w:rsid w:val="00491A8E"/>
    <w:rsid w:val="00492085"/>
    <w:rsid w:val="00495420"/>
    <w:rsid w:val="004A0FF6"/>
    <w:rsid w:val="004A56B8"/>
    <w:rsid w:val="004A6028"/>
    <w:rsid w:val="004A6307"/>
    <w:rsid w:val="004C1AB8"/>
    <w:rsid w:val="004C6C4D"/>
    <w:rsid w:val="004E0D8F"/>
    <w:rsid w:val="004E75EB"/>
    <w:rsid w:val="004F09FA"/>
    <w:rsid w:val="004F59E0"/>
    <w:rsid w:val="004F6FDC"/>
    <w:rsid w:val="004F7446"/>
    <w:rsid w:val="00502956"/>
    <w:rsid w:val="00510483"/>
    <w:rsid w:val="00511893"/>
    <w:rsid w:val="00517E41"/>
    <w:rsid w:val="00522195"/>
    <w:rsid w:val="00522BC5"/>
    <w:rsid w:val="00535B54"/>
    <w:rsid w:val="00556800"/>
    <w:rsid w:val="005604F8"/>
    <w:rsid w:val="005741C0"/>
    <w:rsid w:val="00575865"/>
    <w:rsid w:val="0059369B"/>
    <w:rsid w:val="0059454C"/>
    <w:rsid w:val="00596FD2"/>
    <w:rsid w:val="005A1FBD"/>
    <w:rsid w:val="005A7418"/>
    <w:rsid w:val="005A7D2E"/>
    <w:rsid w:val="005B0A46"/>
    <w:rsid w:val="005B43B5"/>
    <w:rsid w:val="005C563F"/>
    <w:rsid w:val="005D074E"/>
    <w:rsid w:val="005D3CFD"/>
    <w:rsid w:val="005D4725"/>
    <w:rsid w:val="005E2EBF"/>
    <w:rsid w:val="005F049A"/>
    <w:rsid w:val="00605AD0"/>
    <w:rsid w:val="006077EC"/>
    <w:rsid w:val="00612CF3"/>
    <w:rsid w:val="00626BD0"/>
    <w:rsid w:val="00634DD5"/>
    <w:rsid w:val="00643D07"/>
    <w:rsid w:val="00645548"/>
    <w:rsid w:val="006505BE"/>
    <w:rsid w:val="006622E2"/>
    <w:rsid w:val="00666AF4"/>
    <w:rsid w:val="0067261A"/>
    <w:rsid w:val="006864C6"/>
    <w:rsid w:val="00687DAD"/>
    <w:rsid w:val="006A1BEE"/>
    <w:rsid w:val="006A23DB"/>
    <w:rsid w:val="006A69BB"/>
    <w:rsid w:val="006B0C1C"/>
    <w:rsid w:val="006B311F"/>
    <w:rsid w:val="006B682E"/>
    <w:rsid w:val="006C10C5"/>
    <w:rsid w:val="006C17F2"/>
    <w:rsid w:val="006C191D"/>
    <w:rsid w:val="006C249A"/>
    <w:rsid w:val="006C2BC6"/>
    <w:rsid w:val="006C5259"/>
    <w:rsid w:val="006C58B6"/>
    <w:rsid w:val="006D48A1"/>
    <w:rsid w:val="006F01B0"/>
    <w:rsid w:val="006F1D40"/>
    <w:rsid w:val="006F78B3"/>
    <w:rsid w:val="00700747"/>
    <w:rsid w:val="00701CC6"/>
    <w:rsid w:val="0070354F"/>
    <w:rsid w:val="00706F47"/>
    <w:rsid w:val="00712F14"/>
    <w:rsid w:val="00714F61"/>
    <w:rsid w:val="00726C54"/>
    <w:rsid w:val="007331F5"/>
    <w:rsid w:val="00733990"/>
    <w:rsid w:val="00737CFA"/>
    <w:rsid w:val="0074289D"/>
    <w:rsid w:val="0074616B"/>
    <w:rsid w:val="00746280"/>
    <w:rsid w:val="00747F07"/>
    <w:rsid w:val="00750BD3"/>
    <w:rsid w:val="0076181F"/>
    <w:rsid w:val="00764D4D"/>
    <w:rsid w:val="00766637"/>
    <w:rsid w:val="00771AF7"/>
    <w:rsid w:val="007751AF"/>
    <w:rsid w:val="00780648"/>
    <w:rsid w:val="00780BAD"/>
    <w:rsid w:val="007875CD"/>
    <w:rsid w:val="00787D0D"/>
    <w:rsid w:val="007917BA"/>
    <w:rsid w:val="00794B9C"/>
    <w:rsid w:val="007A7DE4"/>
    <w:rsid w:val="007B0BE7"/>
    <w:rsid w:val="007B3344"/>
    <w:rsid w:val="007B4F16"/>
    <w:rsid w:val="007C6337"/>
    <w:rsid w:val="007D0FD1"/>
    <w:rsid w:val="007D1929"/>
    <w:rsid w:val="007D74DC"/>
    <w:rsid w:val="007E11FE"/>
    <w:rsid w:val="007F3B31"/>
    <w:rsid w:val="007F7447"/>
    <w:rsid w:val="00800C51"/>
    <w:rsid w:val="00811CFB"/>
    <w:rsid w:val="008142C3"/>
    <w:rsid w:val="0082299E"/>
    <w:rsid w:val="0082458A"/>
    <w:rsid w:val="008264F0"/>
    <w:rsid w:val="0083374C"/>
    <w:rsid w:val="00833C96"/>
    <w:rsid w:val="00836E7D"/>
    <w:rsid w:val="00840034"/>
    <w:rsid w:val="00852E57"/>
    <w:rsid w:val="008567B8"/>
    <w:rsid w:val="00860191"/>
    <w:rsid w:val="008659EA"/>
    <w:rsid w:val="00871944"/>
    <w:rsid w:val="008722B9"/>
    <w:rsid w:val="00874DD5"/>
    <w:rsid w:val="00894F39"/>
    <w:rsid w:val="008A6B6E"/>
    <w:rsid w:val="008B0E3B"/>
    <w:rsid w:val="008B2187"/>
    <w:rsid w:val="008B309F"/>
    <w:rsid w:val="008B565F"/>
    <w:rsid w:val="008C413A"/>
    <w:rsid w:val="008D5201"/>
    <w:rsid w:val="008D5E5E"/>
    <w:rsid w:val="008D7C59"/>
    <w:rsid w:val="008D7CF1"/>
    <w:rsid w:val="008F12B9"/>
    <w:rsid w:val="008F1BC7"/>
    <w:rsid w:val="008F2167"/>
    <w:rsid w:val="008F4B79"/>
    <w:rsid w:val="008F57D0"/>
    <w:rsid w:val="00913D03"/>
    <w:rsid w:val="00916564"/>
    <w:rsid w:val="009350B5"/>
    <w:rsid w:val="00935434"/>
    <w:rsid w:val="00936C46"/>
    <w:rsid w:val="0094019A"/>
    <w:rsid w:val="00960118"/>
    <w:rsid w:val="00960C93"/>
    <w:rsid w:val="00964264"/>
    <w:rsid w:val="009653B7"/>
    <w:rsid w:val="00975964"/>
    <w:rsid w:val="009854AD"/>
    <w:rsid w:val="009856AD"/>
    <w:rsid w:val="00990840"/>
    <w:rsid w:val="00993CC4"/>
    <w:rsid w:val="00994AA3"/>
    <w:rsid w:val="00997D5B"/>
    <w:rsid w:val="009A7C03"/>
    <w:rsid w:val="009A7DFE"/>
    <w:rsid w:val="009B0B1B"/>
    <w:rsid w:val="009C6E10"/>
    <w:rsid w:val="009D0E44"/>
    <w:rsid w:val="009D198C"/>
    <w:rsid w:val="009D5D81"/>
    <w:rsid w:val="009D6787"/>
    <w:rsid w:val="009D6C9E"/>
    <w:rsid w:val="009D7234"/>
    <w:rsid w:val="009E14D3"/>
    <w:rsid w:val="009E4B41"/>
    <w:rsid w:val="009F04CF"/>
    <w:rsid w:val="009F6914"/>
    <w:rsid w:val="00A00907"/>
    <w:rsid w:val="00A01646"/>
    <w:rsid w:val="00A02961"/>
    <w:rsid w:val="00A05242"/>
    <w:rsid w:val="00A10D73"/>
    <w:rsid w:val="00A14286"/>
    <w:rsid w:val="00A14C8D"/>
    <w:rsid w:val="00A20A9E"/>
    <w:rsid w:val="00A20F82"/>
    <w:rsid w:val="00A2742B"/>
    <w:rsid w:val="00A30450"/>
    <w:rsid w:val="00A31B51"/>
    <w:rsid w:val="00A3321E"/>
    <w:rsid w:val="00A437D6"/>
    <w:rsid w:val="00A535D9"/>
    <w:rsid w:val="00A553C9"/>
    <w:rsid w:val="00A609AD"/>
    <w:rsid w:val="00A648FD"/>
    <w:rsid w:val="00A64A6C"/>
    <w:rsid w:val="00A72A1D"/>
    <w:rsid w:val="00A72C85"/>
    <w:rsid w:val="00A74C23"/>
    <w:rsid w:val="00A8178D"/>
    <w:rsid w:val="00A82693"/>
    <w:rsid w:val="00A960C5"/>
    <w:rsid w:val="00A96CE9"/>
    <w:rsid w:val="00AA32FD"/>
    <w:rsid w:val="00AD1A32"/>
    <w:rsid w:val="00AD37BA"/>
    <w:rsid w:val="00AE3AC7"/>
    <w:rsid w:val="00AE6FCD"/>
    <w:rsid w:val="00AF1493"/>
    <w:rsid w:val="00B01F87"/>
    <w:rsid w:val="00B160AD"/>
    <w:rsid w:val="00B16FD6"/>
    <w:rsid w:val="00B2211B"/>
    <w:rsid w:val="00B23178"/>
    <w:rsid w:val="00B312D0"/>
    <w:rsid w:val="00B33238"/>
    <w:rsid w:val="00B3562F"/>
    <w:rsid w:val="00B365B7"/>
    <w:rsid w:val="00B368CB"/>
    <w:rsid w:val="00B377DF"/>
    <w:rsid w:val="00B47EBC"/>
    <w:rsid w:val="00B5326E"/>
    <w:rsid w:val="00B563A4"/>
    <w:rsid w:val="00B57182"/>
    <w:rsid w:val="00B67570"/>
    <w:rsid w:val="00B712BC"/>
    <w:rsid w:val="00B74007"/>
    <w:rsid w:val="00B819BA"/>
    <w:rsid w:val="00B820AC"/>
    <w:rsid w:val="00B94425"/>
    <w:rsid w:val="00B955A9"/>
    <w:rsid w:val="00B95605"/>
    <w:rsid w:val="00B96863"/>
    <w:rsid w:val="00BB7BAF"/>
    <w:rsid w:val="00BE1031"/>
    <w:rsid w:val="00BE60FC"/>
    <w:rsid w:val="00BF4574"/>
    <w:rsid w:val="00BF7689"/>
    <w:rsid w:val="00C00A0D"/>
    <w:rsid w:val="00C15C88"/>
    <w:rsid w:val="00C21D3F"/>
    <w:rsid w:val="00C24E7A"/>
    <w:rsid w:val="00C358ED"/>
    <w:rsid w:val="00C439C8"/>
    <w:rsid w:val="00C570B3"/>
    <w:rsid w:val="00C62D31"/>
    <w:rsid w:val="00C65C6E"/>
    <w:rsid w:val="00C74B08"/>
    <w:rsid w:val="00C977F5"/>
    <w:rsid w:val="00CA115F"/>
    <w:rsid w:val="00CB31AF"/>
    <w:rsid w:val="00CB6F88"/>
    <w:rsid w:val="00CB77E3"/>
    <w:rsid w:val="00CD1666"/>
    <w:rsid w:val="00CE6DA2"/>
    <w:rsid w:val="00CF0C7E"/>
    <w:rsid w:val="00CF40E5"/>
    <w:rsid w:val="00D04A09"/>
    <w:rsid w:val="00D21EC4"/>
    <w:rsid w:val="00D2481A"/>
    <w:rsid w:val="00D27E2A"/>
    <w:rsid w:val="00D34454"/>
    <w:rsid w:val="00D34995"/>
    <w:rsid w:val="00D4117C"/>
    <w:rsid w:val="00D44650"/>
    <w:rsid w:val="00D53B69"/>
    <w:rsid w:val="00D549DE"/>
    <w:rsid w:val="00D726C9"/>
    <w:rsid w:val="00D86D93"/>
    <w:rsid w:val="00D92971"/>
    <w:rsid w:val="00DA24D2"/>
    <w:rsid w:val="00DA3FCE"/>
    <w:rsid w:val="00DB140B"/>
    <w:rsid w:val="00DB1B02"/>
    <w:rsid w:val="00DC211E"/>
    <w:rsid w:val="00DC56A5"/>
    <w:rsid w:val="00DC62CA"/>
    <w:rsid w:val="00DD0341"/>
    <w:rsid w:val="00DD1D43"/>
    <w:rsid w:val="00DE0D23"/>
    <w:rsid w:val="00DE0D57"/>
    <w:rsid w:val="00DF44C3"/>
    <w:rsid w:val="00E136BA"/>
    <w:rsid w:val="00E143D0"/>
    <w:rsid w:val="00E16809"/>
    <w:rsid w:val="00E21DEE"/>
    <w:rsid w:val="00E43856"/>
    <w:rsid w:val="00E46F83"/>
    <w:rsid w:val="00E570CD"/>
    <w:rsid w:val="00E57A08"/>
    <w:rsid w:val="00E6701C"/>
    <w:rsid w:val="00E67606"/>
    <w:rsid w:val="00E77026"/>
    <w:rsid w:val="00EA0D58"/>
    <w:rsid w:val="00EA3232"/>
    <w:rsid w:val="00EA6F47"/>
    <w:rsid w:val="00EB6AE0"/>
    <w:rsid w:val="00EB7F86"/>
    <w:rsid w:val="00EC0A43"/>
    <w:rsid w:val="00EC3C4C"/>
    <w:rsid w:val="00EC69E3"/>
    <w:rsid w:val="00ED43B1"/>
    <w:rsid w:val="00EE06A6"/>
    <w:rsid w:val="00EE3CD1"/>
    <w:rsid w:val="00EE4C5D"/>
    <w:rsid w:val="00EE52AC"/>
    <w:rsid w:val="00EE6116"/>
    <w:rsid w:val="00EF4E68"/>
    <w:rsid w:val="00F0128A"/>
    <w:rsid w:val="00F026D7"/>
    <w:rsid w:val="00F23F0B"/>
    <w:rsid w:val="00F426A9"/>
    <w:rsid w:val="00F536C2"/>
    <w:rsid w:val="00F53A8A"/>
    <w:rsid w:val="00F60601"/>
    <w:rsid w:val="00F667B2"/>
    <w:rsid w:val="00F679B0"/>
    <w:rsid w:val="00F72244"/>
    <w:rsid w:val="00F72F97"/>
    <w:rsid w:val="00F8150F"/>
    <w:rsid w:val="00F8319B"/>
    <w:rsid w:val="00F85348"/>
    <w:rsid w:val="00F8585F"/>
    <w:rsid w:val="00F86BD8"/>
    <w:rsid w:val="00F93356"/>
    <w:rsid w:val="00F9471B"/>
    <w:rsid w:val="00F94AE0"/>
    <w:rsid w:val="00FA54FA"/>
    <w:rsid w:val="00FB000B"/>
    <w:rsid w:val="00FB0E16"/>
    <w:rsid w:val="00FB14BE"/>
    <w:rsid w:val="00FB3791"/>
    <w:rsid w:val="00FC23DC"/>
    <w:rsid w:val="00FC386A"/>
    <w:rsid w:val="00FE49E9"/>
    <w:rsid w:val="00FE65D7"/>
    <w:rsid w:val="00FF501D"/>
    <w:rsid w:val="00FF65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2823AB3"/>
  <w15:docId w15:val="{7ABF61E6-836A-4EF8-88BA-42211F41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0F7C80"/>
    <w:pPr>
      <w:spacing w:before="120"/>
      <w:jc w:val="both"/>
    </w:pPr>
    <w:rPr>
      <w:rFonts w:asciiTheme="minorHAnsi" w:hAnsiTheme="minorHAnsi" w:cstheme="minorHAnsi"/>
      <w:sz w:val="22"/>
      <w:szCs w:val="22"/>
      <w:lang w:eastAsia="en-US"/>
    </w:rPr>
  </w:style>
  <w:style w:type="paragraph" w:styleId="Heading1">
    <w:name w:val="heading 1"/>
    <w:basedOn w:val="Normal"/>
    <w:next w:val="Text"/>
    <w:link w:val="Heading1Char"/>
    <w:qFormat/>
    <w:rsid w:val="000F7C80"/>
    <w:pPr>
      <w:keepNext/>
      <w:tabs>
        <w:tab w:val="left" w:pos="851"/>
        <w:tab w:val="left" w:pos="1531"/>
        <w:tab w:val="left" w:pos="2268"/>
      </w:tabs>
      <w:suppressAutoHyphens/>
      <w:spacing w:before="240"/>
      <w:outlineLvl w:val="0"/>
    </w:pPr>
    <w:rPr>
      <w:rFonts w:cs="Arial"/>
      <w:b/>
      <w:kern w:val="28"/>
      <w:sz w:val="28"/>
    </w:rPr>
  </w:style>
  <w:style w:type="paragraph" w:styleId="Heading2">
    <w:name w:val="heading 2"/>
    <w:basedOn w:val="Heading1"/>
    <w:next w:val="Text"/>
    <w:link w:val="Heading2Char"/>
    <w:qFormat/>
    <w:rsid w:val="000F7C80"/>
    <w:pPr>
      <w:spacing w:after="60"/>
      <w:outlineLvl w:val="1"/>
    </w:pPr>
    <w:rPr>
      <w:sz w:val="24"/>
      <w:szCs w:val="24"/>
    </w:rPr>
  </w:style>
  <w:style w:type="paragraph" w:styleId="Heading3">
    <w:name w:val="heading 3"/>
    <w:basedOn w:val="Heading2"/>
    <w:next w:val="Text"/>
    <w:link w:val="Heading3Char"/>
    <w:qFormat/>
    <w:rsid w:val="000F7C80"/>
    <w:pPr>
      <w:outlineLvl w:val="2"/>
    </w:pPr>
    <w:rPr>
      <w:b w:val="0"/>
      <w:i/>
    </w:rPr>
  </w:style>
  <w:style w:type="paragraph" w:styleId="Heading4">
    <w:name w:val="heading 4"/>
    <w:basedOn w:val="Heading1"/>
    <w:next w:val="Normal"/>
    <w:qFormat/>
    <w:rsid w:val="000F7C80"/>
    <w:pPr>
      <w:spacing w:before="180" w:after="60"/>
      <w:outlineLvl w:val="3"/>
    </w:pPr>
    <w:rPr>
      <w:b w:val="0"/>
      <w:u w:val="single"/>
    </w:rPr>
  </w:style>
  <w:style w:type="paragraph" w:styleId="Heading5">
    <w:name w:val="heading 5"/>
    <w:basedOn w:val="Normal"/>
    <w:next w:val="Normal"/>
    <w:rsid w:val="000F7C80"/>
    <w:pPr>
      <w:numPr>
        <w:ilvl w:val="4"/>
        <w:numId w:val="18"/>
      </w:numPr>
      <w:spacing w:after="60"/>
      <w:outlineLvl w:val="4"/>
    </w:pPr>
  </w:style>
  <w:style w:type="paragraph" w:styleId="Heading6">
    <w:name w:val="heading 6"/>
    <w:basedOn w:val="Normal"/>
    <w:next w:val="Normal"/>
    <w:rsid w:val="000F7C80"/>
    <w:pPr>
      <w:numPr>
        <w:ilvl w:val="5"/>
        <w:numId w:val="18"/>
      </w:numPr>
      <w:spacing w:after="60"/>
      <w:outlineLvl w:val="5"/>
    </w:pPr>
    <w:rPr>
      <w:i/>
    </w:rPr>
  </w:style>
  <w:style w:type="paragraph" w:styleId="Heading7">
    <w:name w:val="heading 7"/>
    <w:basedOn w:val="Normal"/>
    <w:next w:val="Normal"/>
    <w:rsid w:val="000F7C80"/>
    <w:pPr>
      <w:numPr>
        <w:ilvl w:val="6"/>
        <w:numId w:val="18"/>
      </w:numPr>
      <w:spacing w:after="60"/>
      <w:outlineLvl w:val="6"/>
    </w:pPr>
  </w:style>
  <w:style w:type="paragraph" w:styleId="Heading8">
    <w:name w:val="heading 8"/>
    <w:basedOn w:val="Normal"/>
    <w:next w:val="Normal"/>
    <w:rsid w:val="000F7C80"/>
    <w:pPr>
      <w:numPr>
        <w:ilvl w:val="7"/>
        <w:numId w:val="18"/>
      </w:numPr>
      <w:spacing w:after="60"/>
      <w:outlineLvl w:val="7"/>
    </w:pPr>
    <w:rPr>
      <w:i/>
    </w:rPr>
  </w:style>
  <w:style w:type="paragraph" w:styleId="Heading9">
    <w:name w:val="heading 9"/>
    <w:basedOn w:val="Normal"/>
    <w:next w:val="Normal"/>
    <w:rsid w:val="000F7C80"/>
    <w:pPr>
      <w:numPr>
        <w:ilvl w:val="8"/>
        <w:numId w:val="18"/>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7C80"/>
    <w:pPr>
      <w:tabs>
        <w:tab w:val="center" w:pos="4153"/>
        <w:tab w:val="right" w:pos="8306"/>
      </w:tabs>
    </w:pPr>
    <w:rPr>
      <w:b/>
      <w:sz w:val="24"/>
    </w:rPr>
  </w:style>
  <w:style w:type="paragraph" w:styleId="Footer">
    <w:name w:val="footer"/>
    <w:link w:val="FooterChar"/>
    <w:uiPriority w:val="99"/>
    <w:rsid w:val="000F7C80"/>
    <w:pPr>
      <w:tabs>
        <w:tab w:val="right" w:pos="7711"/>
      </w:tabs>
    </w:pPr>
    <w:rPr>
      <w:rFonts w:ascii="Arial" w:hAnsi="Arial"/>
      <w:noProof/>
      <w:sz w:val="16"/>
      <w:lang w:val="en-US" w:eastAsia="en-US"/>
    </w:rPr>
  </w:style>
  <w:style w:type="character" w:styleId="PageNumber">
    <w:name w:val="page number"/>
    <w:basedOn w:val="DefaultParagraphFont"/>
    <w:rsid w:val="000F7C80"/>
  </w:style>
  <w:style w:type="paragraph" w:styleId="TOC1">
    <w:name w:val="toc 1"/>
    <w:basedOn w:val="Normal"/>
    <w:next w:val="Normal"/>
    <w:semiHidden/>
    <w:rsid w:val="000F7C80"/>
    <w:pPr>
      <w:tabs>
        <w:tab w:val="left" w:pos="851"/>
        <w:tab w:val="left" w:leader="underscore" w:pos="9185"/>
      </w:tabs>
      <w:ind w:left="567"/>
    </w:pPr>
    <w:rPr>
      <w:b/>
    </w:rPr>
  </w:style>
  <w:style w:type="paragraph" w:styleId="TOC2">
    <w:name w:val="toc 2"/>
    <w:basedOn w:val="Normal"/>
    <w:next w:val="Normal"/>
    <w:semiHidden/>
    <w:rsid w:val="000F7C80"/>
    <w:pPr>
      <w:tabs>
        <w:tab w:val="left" w:pos="1304"/>
        <w:tab w:val="left" w:leader="underscore" w:pos="9185"/>
      </w:tabs>
      <w:ind w:left="1276" w:hanging="425"/>
    </w:pPr>
  </w:style>
  <w:style w:type="paragraph" w:styleId="TOC3">
    <w:name w:val="toc 3"/>
    <w:basedOn w:val="Normal"/>
    <w:next w:val="Normal"/>
    <w:semiHidden/>
    <w:rsid w:val="000F7C80"/>
    <w:pPr>
      <w:tabs>
        <w:tab w:val="left" w:pos="1871"/>
        <w:tab w:val="left" w:leader="underscore" w:pos="9185"/>
      </w:tabs>
      <w:ind w:left="1304"/>
    </w:pPr>
  </w:style>
  <w:style w:type="paragraph" w:styleId="TOC4">
    <w:name w:val="toc 4"/>
    <w:basedOn w:val="Normal"/>
    <w:next w:val="Normal"/>
    <w:semiHidden/>
    <w:rsid w:val="000F7C80"/>
    <w:pPr>
      <w:tabs>
        <w:tab w:val="left" w:pos="2608"/>
        <w:tab w:val="left" w:leader="underscore" w:pos="9185"/>
      </w:tabs>
      <w:ind w:left="1871"/>
    </w:pPr>
  </w:style>
  <w:style w:type="paragraph" w:styleId="TOC5">
    <w:name w:val="toc 5"/>
    <w:basedOn w:val="Normal"/>
    <w:next w:val="Normal"/>
    <w:semiHidden/>
    <w:rsid w:val="000F7C80"/>
    <w:pPr>
      <w:ind w:left="800"/>
    </w:pPr>
    <w:rPr>
      <w:rFonts w:ascii="Times New Roman" w:hAnsi="Times New Roman"/>
      <w:sz w:val="18"/>
    </w:rPr>
  </w:style>
  <w:style w:type="paragraph" w:styleId="TOC6">
    <w:name w:val="toc 6"/>
    <w:basedOn w:val="Normal"/>
    <w:next w:val="Normal"/>
    <w:semiHidden/>
    <w:rsid w:val="000F7C80"/>
    <w:pPr>
      <w:ind w:left="1000"/>
    </w:pPr>
    <w:rPr>
      <w:rFonts w:ascii="Times New Roman" w:hAnsi="Times New Roman"/>
      <w:sz w:val="18"/>
    </w:rPr>
  </w:style>
  <w:style w:type="paragraph" w:styleId="TOC7">
    <w:name w:val="toc 7"/>
    <w:basedOn w:val="Normal"/>
    <w:next w:val="Normal"/>
    <w:semiHidden/>
    <w:rsid w:val="000F7C80"/>
    <w:pPr>
      <w:ind w:left="1200"/>
    </w:pPr>
    <w:rPr>
      <w:rFonts w:ascii="Times New Roman" w:hAnsi="Times New Roman"/>
      <w:sz w:val="18"/>
    </w:rPr>
  </w:style>
  <w:style w:type="paragraph" w:styleId="TOC8">
    <w:name w:val="toc 8"/>
    <w:basedOn w:val="Normal"/>
    <w:next w:val="Normal"/>
    <w:semiHidden/>
    <w:rsid w:val="000F7C80"/>
    <w:pPr>
      <w:ind w:left="1400"/>
    </w:pPr>
    <w:rPr>
      <w:rFonts w:ascii="Times New Roman" w:hAnsi="Times New Roman"/>
      <w:sz w:val="18"/>
    </w:rPr>
  </w:style>
  <w:style w:type="paragraph" w:styleId="TOC9">
    <w:name w:val="toc 9"/>
    <w:basedOn w:val="Normal"/>
    <w:next w:val="Normal"/>
    <w:semiHidden/>
    <w:rsid w:val="000F7C80"/>
    <w:pPr>
      <w:ind w:left="1600"/>
    </w:pPr>
    <w:rPr>
      <w:rFonts w:ascii="Times New Roman" w:hAnsi="Times New Roman"/>
      <w:sz w:val="18"/>
    </w:rPr>
  </w:style>
  <w:style w:type="paragraph" w:styleId="DocumentMap">
    <w:name w:val="Document Map"/>
    <w:basedOn w:val="Normal"/>
    <w:semiHidden/>
    <w:rsid w:val="000F7C80"/>
    <w:pPr>
      <w:shd w:val="clear" w:color="auto" w:fill="000080"/>
    </w:pPr>
    <w:rPr>
      <w:rFonts w:ascii="Tahoma" w:hAnsi="Tahoma"/>
    </w:rPr>
  </w:style>
  <w:style w:type="character" w:styleId="Hyperlink">
    <w:name w:val="Hyperlink"/>
    <w:rsid w:val="000F7C80"/>
    <w:rPr>
      <w:color w:val="0000FF"/>
      <w:u w:val="single"/>
    </w:rPr>
  </w:style>
  <w:style w:type="paragraph" w:styleId="Caption">
    <w:name w:val="caption"/>
    <w:basedOn w:val="Normal"/>
    <w:next w:val="Normal"/>
    <w:qFormat/>
    <w:rsid w:val="000F7C80"/>
    <w:pPr>
      <w:spacing w:before="240"/>
    </w:pPr>
    <w:rPr>
      <w:b/>
    </w:rPr>
  </w:style>
  <w:style w:type="paragraph" w:styleId="BodyText">
    <w:name w:val="Body Text"/>
    <w:basedOn w:val="Title"/>
    <w:rsid w:val="000F7C80"/>
    <w:pPr>
      <w:spacing w:line="360" w:lineRule="auto"/>
    </w:pPr>
    <w:rPr>
      <w:rFonts w:asciiTheme="minorHAnsi" w:hAnsiTheme="minorHAnsi"/>
      <w:b w:val="0"/>
      <w:sz w:val="22"/>
    </w:rPr>
  </w:style>
  <w:style w:type="paragraph" w:customStyle="1" w:styleId="bullettext2">
    <w:name w:val="bullet text2"/>
    <w:basedOn w:val="Normal"/>
    <w:rsid w:val="000F7C80"/>
    <w:pPr>
      <w:numPr>
        <w:numId w:val="11"/>
      </w:numPr>
      <w:tabs>
        <w:tab w:val="left" w:pos="680"/>
      </w:tabs>
    </w:pPr>
  </w:style>
  <w:style w:type="paragraph" w:customStyle="1" w:styleId="normalindent1">
    <w:name w:val="normal indent1"/>
    <w:basedOn w:val="Normal"/>
    <w:pPr>
      <w:tabs>
        <w:tab w:val="left" w:pos="397"/>
      </w:tabs>
      <w:ind w:left="397"/>
    </w:pPr>
  </w:style>
  <w:style w:type="paragraph" w:customStyle="1" w:styleId="normalindent3">
    <w:name w:val="normal indent3"/>
    <w:basedOn w:val="Normal"/>
    <w:pPr>
      <w:tabs>
        <w:tab w:val="left" w:pos="1418"/>
      </w:tabs>
      <w:ind w:left="1531"/>
    </w:pPr>
  </w:style>
  <w:style w:type="paragraph" w:customStyle="1" w:styleId="normalindent2">
    <w:name w:val="normal indent2"/>
    <w:basedOn w:val="Normal"/>
    <w:pPr>
      <w:tabs>
        <w:tab w:val="left" w:pos="851"/>
      </w:tabs>
      <w:ind w:left="851"/>
    </w:pPr>
    <w:rPr>
      <w:snapToGrid w:val="0"/>
    </w:rPr>
  </w:style>
  <w:style w:type="paragraph" w:customStyle="1" w:styleId="TableNormal1">
    <w:name w:val="Table Normal1"/>
    <w:basedOn w:val="Normal"/>
    <w:rsid w:val="000F7C80"/>
    <w:pPr>
      <w:spacing w:before="60" w:after="60"/>
      <w:ind w:left="-30" w:right="-28"/>
      <w:jc w:val="center"/>
    </w:pPr>
    <w:rPr>
      <w:snapToGrid w:val="0"/>
      <w:color w:val="000000"/>
      <w:sz w:val="16"/>
    </w:rPr>
  </w:style>
  <w:style w:type="paragraph" w:customStyle="1" w:styleId="normalindent4">
    <w:name w:val="normal indent4"/>
    <w:basedOn w:val="normalindent1"/>
    <w:pPr>
      <w:spacing w:after="120"/>
      <w:ind w:left="2268"/>
    </w:pPr>
  </w:style>
  <w:style w:type="paragraph" w:customStyle="1" w:styleId="bullettext3">
    <w:name w:val="bullet text3"/>
    <w:basedOn w:val="bullettext2"/>
    <w:rsid w:val="000F7C80"/>
    <w:pPr>
      <w:numPr>
        <w:numId w:val="14"/>
      </w:numPr>
      <w:tabs>
        <w:tab w:val="clear" w:pos="1891"/>
        <w:tab w:val="left" w:pos="1843"/>
      </w:tabs>
    </w:pPr>
  </w:style>
  <w:style w:type="paragraph" w:customStyle="1" w:styleId="bullettext4">
    <w:name w:val="bullet text4"/>
    <w:basedOn w:val="bullettext3"/>
    <w:rsid w:val="000F7C80"/>
    <w:pPr>
      <w:tabs>
        <w:tab w:val="num" w:pos="2552"/>
      </w:tabs>
      <w:ind w:left="2268" w:firstLine="0"/>
    </w:pPr>
  </w:style>
  <w:style w:type="paragraph" w:styleId="Index1">
    <w:name w:val="index 1"/>
    <w:basedOn w:val="Normal"/>
    <w:next w:val="Normal"/>
    <w:autoRedefine/>
    <w:semiHidden/>
    <w:rsid w:val="000F7C80"/>
    <w:pPr>
      <w:ind w:left="200" w:hanging="200"/>
    </w:pPr>
  </w:style>
  <w:style w:type="paragraph" w:styleId="BalloonText">
    <w:name w:val="Balloon Text"/>
    <w:basedOn w:val="Normal"/>
    <w:link w:val="BalloonTextChar"/>
    <w:rsid w:val="000F7C80"/>
    <w:pPr>
      <w:spacing w:before="0"/>
    </w:pPr>
    <w:rPr>
      <w:rFonts w:ascii="Tahoma" w:hAnsi="Tahoma" w:cs="Tahoma"/>
      <w:sz w:val="16"/>
      <w:szCs w:val="16"/>
    </w:rPr>
  </w:style>
  <w:style w:type="character" w:customStyle="1" w:styleId="BalloonTextChar">
    <w:name w:val="Balloon Text Char"/>
    <w:basedOn w:val="DefaultParagraphFont"/>
    <w:link w:val="BalloonText"/>
    <w:rsid w:val="000F7C80"/>
    <w:rPr>
      <w:rFonts w:ascii="Tahoma" w:hAnsi="Tahoma" w:cs="Tahoma"/>
      <w:sz w:val="16"/>
      <w:szCs w:val="16"/>
      <w:lang w:eastAsia="en-US"/>
    </w:rPr>
  </w:style>
  <w:style w:type="numbering" w:customStyle="1" w:styleId="NoList1">
    <w:name w:val="No List1"/>
    <w:next w:val="NoList"/>
    <w:uiPriority w:val="99"/>
    <w:semiHidden/>
    <w:unhideWhenUsed/>
    <w:rsid w:val="009F04CF"/>
  </w:style>
  <w:style w:type="paragraph" w:customStyle="1" w:styleId="Default">
    <w:name w:val="Default"/>
    <w:rsid w:val="009F04CF"/>
    <w:pPr>
      <w:autoSpaceDE w:val="0"/>
      <w:autoSpaceDN w:val="0"/>
      <w:adjustRightInd w:val="0"/>
    </w:pPr>
    <w:rPr>
      <w:rFonts w:ascii="Garamond" w:eastAsia="Calibri" w:hAnsi="Garamond" w:cs="Garamond"/>
      <w:color w:val="000000"/>
      <w:sz w:val="24"/>
      <w:szCs w:val="24"/>
      <w:lang w:eastAsia="en-US"/>
    </w:rPr>
  </w:style>
  <w:style w:type="table" w:styleId="TableGrid">
    <w:name w:val="Table Grid"/>
    <w:basedOn w:val="TableNormal"/>
    <w:uiPriority w:val="59"/>
    <w:rsid w:val="009F04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4CF"/>
    <w:pPr>
      <w:spacing w:after="240" w:line="360" w:lineRule="auto"/>
      <w:ind w:left="720" w:firstLine="720"/>
      <w:contextualSpacing/>
    </w:pPr>
    <w:rPr>
      <w:rFonts w:ascii="Times New Roman" w:eastAsia="Calibri" w:hAnsi="Times New Roman"/>
    </w:rPr>
  </w:style>
  <w:style w:type="paragraph" w:styleId="FootnoteText">
    <w:name w:val="footnote text"/>
    <w:basedOn w:val="Normal"/>
    <w:link w:val="FootnoteTextChar"/>
    <w:unhideWhenUsed/>
    <w:rsid w:val="009F04CF"/>
    <w:pPr>
      <w:ind w:firstLine="720"/>
    </w:pPr>
    <w:rPr>
      <w:rFonts w:ascii="Times New Roman" w:eastAsia="Calibri" w:hAnsi="Times New Roman"/>
    </w:rPr>
  </w:style>
  <w:style w:type="character" w:customStyle="1" w:styleId="FootnoteTextChar">
    <w:name w:val="Footnote Text Char"/>
    <w:basedOn w:val="DefaultParagraphFont"/>
    <w:link w:val="FootnoteText"/>
    <w:rsid w:val="009F04CF"/>
    <w:rPr>
      <w:rFonts w:eastAsia="Calibri"/>
      <w:lang w:eastAsia="en-US"/>
    </w:rPr>
  </w:style>
  <w:style w:type="character" w:styleId="FootnoteReference">
    <w:name w:val="footnote reference"/>
    <w:basedOn w:val="DefaultParagraphFont"/>
    <w:unhideWhenUsed/>
    <w:rsid w:val="009F04CF"/>
    <w:rPr>
      <w:vertAlign w:val="superscript"/>
    </w:rPr>
  </w:style>
  <w:style w:type="character" w:styleId="PlaceholderText">
    <w:name w:val="Placeholder Text"/>
    <w:basedOn w:val="DefaultParagraphFont"/>
    <w:uiPriority w:val="99"/>
    <w:semiHidden/>
    <w:rsid w:val="009F04CF"/>
    <w:rPr>
      <w:color w:val="808080"/>
    </w:rPr>
  </w:style>
  <w:style w:type="character" w:customStyle="1" w:styleId="HeaderChar">
    <w:name w:val="Header Char"/>
    <w:basedOn w:val="DefaultParagraphFont"/>
    <w:link w:val="Header"/>
    <w:rsid w:val="009F04CF"/>
    <w:rPr>
      <w:rFonts w:asciiTheme="minorHAnsi" w:hAnsiTheme="minorHAnsi" w:cstheme="minorHAnsi"/>
      <w:b/>
      <w:sz w:val="24"/>
      <w:szCs w:val="22"/>
      <w:lang w:eastAsia="en-US"/>
    </w:rPr>
  </w:style>
  <w:style w:type="character" w:customStyle="1" w:styleId="FooterChar">
    <w:name w:val="Footer Char"/>
    <w:basedOn w:val="DefaultParagraphFont"/>
    <w:link w:val="Footer"/>
    <w:uiPriority w:val="99"/>
    <w:rsid w:val="000F7C80"/>
    <w:rPr>
      <w:rFonts w:ascii="Arial" w:hAnsi="Arial"/>
      <w:noProof/>
      <w:sz w:val="16"/>
      <w:lang w:val="en-US" w:eastAsia="en-US"/>
    </w:rPr>
  </w:style>
  <w:style w:type="character" w:customStyle="1" w:styleId="PlainParagraphChar">
    <w:name w:val="Plain Paragraph Char"/>
    <w:basedOn w:val="DefaultParagraphFont"/>
    <w:link w:val="PlainParagraph"/>
    <w:locked/>
    <w:rsid w:val="009F04CF"/>
    <w:rPr>
      <w:rFonts w:ascii="Arial" w:hAnsi="Arial" w:cs="Arial"/>
    </w:rPr>
  </w:style>
  <w:style w:type="paragraph" w:customStyle="1" w:styleId="PlainParagraph">
    <w:name w:val="Plain Paragraph"/>
    <w:basedOn w:val="Normal"/>
    <w:link w:val="PlainParagraphChar"/>
    <w:rsid w:val="009F04CF"/>
    <w:pPr>
      <w:spacing w:before="140" w:after="140" w:line="280" w:lineRule="atLeast"/>
      <w:ind w:firstLine="720"/>
    </w:pPr>
    <w:rPr>
      <w:rFonts w:cs="Arial"/>
      <w:lang w:eastAsia="en-AU"/>
    </w:rPr>
  </w:style>
  <w:style w:type="character" w:customStyle="1" w:styleId="Heading1Char">
    <w:name w:val="Heading 1 Char"/>
    <w:basedOn w:val="DefaultParagraphFont"/>
    <w:link w:val="Heading1"/>
    <w:rsid w:val="009F04CF"/>
    <w:rPr>
      <w:rFonts w:asciiTheme="minorHAnsi" w:hAnsiTheme="minorHAnsi" w:cs="Arial"/>
      <w:b/>
      <w:kern w:val="28"/>
      <w:sz w:val="28"/>
      <w:szCs w:val="22"/>
      <w:lang w:eastAsia="en-US"/>
    </w:rPr>
  </w:style>
  <w:style w:type="character" w:customStyle="1" w:styleId="Heading2Char">
    <w:name w:val="Heading 2 Char"/>
    <w:basedOn w:val="DefaultParagraphFont"/>
    <w:link w:val="Heading2"/>
    <w:rsid w:val="009F04CF"/>
    <w:rPr>
      <w:rFonts w:asciiTheme="minorHAnsi" w:hAnsiTheme="minorHAnsi" w:cs="Arial"/>
      <w:b/>
      <w:kern w:val="28"/>
      <w:sz w:val="24"/>
      <w:szCs w:val="24"/>
      <w:lang w:eastAsia="en-US"/>
    </w:rPr>
  </w:style>
  <w:style w:type="character" w:customStyle="1" w:styleId="Heading3Char">
    <w:name w:val="Heading 3 Char"/>
    <w:basedOn w:val="DefaultParagraphFont"/>
    <w:link w:val="Heading3"/>
    <w:rsid w:val="009F04CF"/>
    <w:rPr>
      <w:rFonts w:asciiTheme="minorHAnsi" w:hAnsiTheme="minorHAnsi" w:cs="Arial"/>
      <w:i/>
      <w:kern w:val="28"/>
      <w:sz w:val="24"/>
      <w:szCs w:val="24"/>
      <w:lang w:eastAsia="en-US"/>
    </w:rPr>
  </w:style>
  <w:style w:type="character" w:styleId="CommentReference">
    <w:name w:val="annotation reference"/>
    <w:basedOn w:val="DefaultParagraphFont"/>
    <w:uiPriority w:val="99"/>
    <w:unhideWhenUsed/>
    <w:rsid w:val="009F04CF"/>
    <w:rPr>
      <w:sz w:val="16"/>
      <w:szCs w:val="16"/>
    </w:rPr>
  </w:style>
  <w:style w:type="paragraph" w:styleId="CommentText">
    <w:name w:val="annotation text"/>
    <w:basedOn w:val="Normal"/>
    <w:link w:val="CommentTextChar"/>
    <w:uiPriority w:val="99"/>
    <w:unhideWhenUsed/>
    <w:rsid w:val="009F04CF"/>
    <w:pPr>
      <w:spacing w:after="240"/>
      <w:ind w:firstLine="720"/>
    </w:pPr>
    <w:rPr>
      <w:rFonts w:ascii="Times New Roman" w:eastAsia="Calibri" w:hAnsi="Times New Roman"/>
    </w:rPr>
  </w:style>
  <w:style w:type="character" w:customStyle="1" w:styleId="CommentTextChar">
    <w:name w:val="Comment Text Char"/>
    <w:basedOn w:val="DefaultParagraphFont"/>
    <w:link w:val="CommentText"/>
    <w:uiPriority w:val="99"/>
    <w:rsid w:val="009F04CF"/>
    <w:rPr>
      <w:rFonts w:eastAsia="Calibri"/>
      <w:lang w:eastAsia="en-US"/>
    </w:rPr>
  </w:style>
  <w:style w:type="paragraph" w:styleId="CommentSubject">
    <w:name w:val="annotation subject"/>
    <w:basedOn w:val="CommentText"/>
    <w:next w:val="CommentText"/>
    <w:link w:val="CommentSubjectChar"/>
    <w:uiPriority w:val="99"/>
    <w:unhideWhenUsed/>
    <w:rsid w:val="009F04CF"/>
    <w:rPr>
      <w:b/>
      <w:bCs/>
    </w:rPr>
  </w:style>
  <w:style w:type="character" w:customStyle="1" w:styleId="CommentSubjectChar">
    <w:name w:val="Comment Subject Char"/>
    <w:basedOn w:val="CommentTextChar"/>
    <w:link w:val="CommentSubject"/>
    <w:uiPriority w:val="99"/>
    <w:rsid w:val="009F04CF"/>
    <w:rPr>
      <w:rFonts w:eastAsia="Calibri"/>
      <w:b/>
      <w:bCs/>
      <w:lang w:eastAsia="en-US"/>
    </w:rPr>
  </w:style>
  <w:style w:type="paragraph" w:customStyle="1" w:styleId="Text">
    <w:name w:val="Text"/>
    <w:basedOn w:val="Normal"/>
    <w:link w:val="TextChar"/>
    <w:qFormat/>
    <w:rsid w:val="005A7D2E"/>
    <w:pPr>
      <w:keepNext/>
      <w:spacing w:before="240" w:line="360" w:lineRule="auto"/>
    </w:pPr>
  </w:style>
  <w:style w:type="character" w:customStyle="1" w:styleId="TextChar">
    <w:name w:val="Text Char"/>
    <w:basedOn w:val="DefaultParagraphFont"/>
    <w:link w:val="Text"/>
    <w:rsid w:val="005A7D2E"/>
    <w:rPr>
      <w:rFonts w:asciiTheme="minorHAnsi" w:hAnsiTheme="minorHAnsi" w:cstheme="minorHAnsi"/>
      <w:sz w:val="22"/>
      <w:szCs w:val="22"/>
      <w:lang w:eastAsia="en-US"/>
    </w:rPr>
  </w:style>
  <w:style w:type="paragraph" w:styleId="Subtitle">
    <w:name w:val="Subtitle"/>
    <w:basedOn w:val="Normal"/>
    <w:next w:val="Normal"/>
    <w:link w:val="SubtitleChar"/>
    <w:qFormat/>
    <w:rsid w:val="000F7C80"/>
    <w:pPr>
      <w:jc w:val="left"/>
    </w:pPr>
    <w:rPr>
      <w:rFonts w:ascii="Open Sans" w:hAnsi="Open Sans"/>
      <w:sz w:val="24"/>
    </w:rPr>
  </w:style>
  <w:style w:type="character" w:customStyle="1" w:styleId="SubtitleChar">
    <w:name w:val="Subtitle Char"/>
    <w:basedOn w:val="DefaultParagraphFont"/>
    <w:link w:val="Subtitle"/>
    <w:rsid w:val="000F7C80"/>
    <w:rPr>
      <w:rFonts w:ascii="Open Sans" w:hAnsi="Open Sans" w:cstheme="minorHAnsi"/>
      <w:sz w:val="24"/>
      <w:szCs w:val="22"/>
      <w:lang w:eastAsia="en-US"/>
    </w:rPr>
  </w:style>
  <w:style w:type="paragraph" w:customStyle="1" w:styleId="Tablenumber">
    <w:name w:val="Table number"/>
    <w:basedOn w:val="Normal"/>
    <w:link w:val="TablenumberChar"/>
    <w:qFormat/>
    <w:rsid w:val="000F7C80"/>
    <w:pPr>
      <w:tabs>
        <w:tab w:val="left" w:pos="2018"/>
      </w:tabs>
      <w:spacing w:before="0"/>
      <w:ind w:left="567"/>
      <w:contextualSpacing/>
    </w:pPr>
    <w:rPr>
      <w:rFonts w:ascii="Arial Narrow" w:eastAsiaTheme="minorHAnsi" w:hAnsi="Arial Narrow"/>
      <w:snapToGrid w:val="0"/>
      <w:sz w:val="18"/>
      <w:szCs w:val="18"/>
    </w:rPr>
  </w:style>
  <w:style w:type="paragraph" w:styleId="Title">
    <w:name w:val="Title"/>
    <w:basedOn w:val="Normal"/>
    <w:next w:val="Normal"/>
    <w:link w:val="TitleChar"/>
    <w:qFormat/>
    <w:rsid w:val="000F7C80"/>
    <w:pPr>
      <w:jc w:val="left"/>
    </w:pPr>
    <w:rPr>
      <w:rFonts w:ascii="Open Sans" w:hAnsi="Open Sans" w:cs="Open Sans"/>
      <w:b/>
      <w:sz w:val="52"/>
      <w:szCs w:val="52"/>
    </w:rPr>
  </w:style>
  <w:style w:type="character" w:customStyle="1" w:styleId="TitleChar">
    <w:name w:val="Title Char"/>
    <w:basedOn w:val="DefaultParagraphFont"/>
    <w:link w:val="Title"/>
    <w:rsid w:val="000F7C80"/>
    <w:rPr>
      <w:rFonts w:ascii="Open Sans" w:hAnsi="Open Sans" w:cs="Open Sans"/>
      <w:b/>
      <w:sz w:val="52"/>
      <w:szCs w:val="52"/>
      <w:lang w:eastAsia="en-US"/>
    </w:rPr>
  </w:style>
  <w:style w:type="character" w:customStyle="1" w:styleId="TablenumberChar">
    <w:name w:val="Table number Char"/>
    <w:basedOn w:val="DefaultParagraphFont"/>
    <w:link w:val="Tablenumber"/>
    <w:rsid w:val="000F7C80"/>
    <w:rPr>
      <w:rFonts w:ascii="Arial Narrow" w:eastAsiaTheme="minorHAnsi" w:hAnsi="Arial Narrow" w:cstheme="minorHAnsi"/>
      <w:snapToGrid w:val="0"/>
      <w:sz w:val="18"/>
      <w:szCs w:val="18"/>
      <w:lang w:eastAsia="en-US"/>
    </w:rPr>
  </w:style>
  <w:style w:type="character" w:styleId="Strong">
    <w:name w:val="Strong"/>
    <w:basedOn w:val="DefaultParagraphFont"/>
    <w:qFormat/>
    <w:rsid w:val="000F7C80"/>
    <w:rPr>
      <w:b/>
      <w:bCs/>
    </w:rPr>
  </w:style>
  <w:style w:type="table" w:customStyle="1" w:styleId="Basic">
    <w:name w:val="Basic"/>
    <w:basedOn w:val="TableNormal"/>
    <w:uiPriority w:val="99"/>
    <w:rsid w:val="000F7C80"/>
    <w:pPr>
      <w:spacing w:before="240"/>
      <w:ind w:left="568" w:hanging="284"/>
      <w:jc w:val="both"/>
    </w:pPr>
    <w:rPr>
      <w:rFonts w:asciiTheme="minorHAnsi" w:eastAsiaTheme="minorHAnsi" w:hAnsiTheme="minorHAnsi" w:cstheme="minorBidi"/>
      <w:sz w:val="22"/>
      <w:szCs w:val="22"/>
      <w:lang w:eastAsia="en-US"/>
    </w:rPr>
    <w:tblPr>
      <w:tblBorders>
        <w:top w:val="single" w:sz="8" w:space="0" w:color="000000" w:themeColor="text1"/>
        <w:bottom w:val="single" w:sz="12" w:space="0" w:color="000000" w:themeColor="text1"/>
      </w:tblBorders>
    </w:tblPr>
    <w:tblStylePr w:type="firstRow">
      <w:rPr>
        <w:rFonts w:ascii="Arial" w:hAnsi="Arial"/>
        <w:b/>
        <w:sz w:val="18"/>
      </w:rPr>
      <w:tblPr/>
      <w:tcPr>
        <w:tcBorders>
          <w:top w:val="single" w:sz="12" w:space="0" w:color="000000" w:themeColor="text1"/>
          <w:left w:val="nil"/>
          <w:bottom w:val="single" w:sz="8" w:space="0" w:color="000000" w:themeColor="text1"/>
          <w:right w:val="nil"/>
          <w:insideH w:val="nil"/>
          <w:insideV w:val="nil"/>
          <w:tl2br w:val="nil"/>
          <w:tr2bl w:val="nil"/>
        </w:tcBorders>
      </w:tcPr>
    </w:tblStylePr>
    <w:tblStylePr w:type="firstCol">
      <w:rPr>
        <w:rFonts w:ascii="Times New Roman" w:hAnsi="Times New Roman"/>
        <w:sz w:val="18"/>
      </w:rPr>
    </w:tblStylePr>
  </w:style>
  <w:style w:type="paragraph" w:customStyle="1" w:styleId="Tablenote">
    <w:name w:val="Table note"/>
    <w:basedOn w:val="Normal"/>
    <w:link w:val="TablenoteChar"/>
    <w:qFormat/>
    <w:rsid w:val="000F7C80"/>
    <w:pPr>
      <w:tabs>
        <w:tab w:val="left" w:pos="2881"/>
        <w:tab w:val="left" w:pos="4276"/>
        <w:tab w:val="left" w:pos="5771"/>
        <w:tab w:val="left" w:pos="7166"/>
        <w:tab w:val="left" w:pos="9717"/>
      </w:tabs>
      <w:spacing w:before="0"/>
    </w:pPr>
    <w:rPr>
      <w:rFonts w:ascii="Arial" w:hAnsi="Arial" w:cs="Arial"/>
      <w:sz w:val="16"/>
      <w:szCs w:val="16"/>
      <w:lang w:eastAsia="en-AU"/>
    </w:rPr>
  </w:style>
  <w:style w:type="character" w:customStyle="1" w:styleId="TablenoteChar">
    <w:name w:val="Table note Char"/>
    <w:basedOn w:val="DefaultParagraphFont"/>
    <w:link w:val="Tablenote"/>
    <w:rsid w:val="000F7C80"/>
    <w:rPr>
      <w:rFonts w:ascii="Arial" w:hAnsi="Arial" w:cs="Arial"/>
      <w:sz w:val="16"/>
      <w:szCs w:val="16"/>
    </w:rPr>
  </w:style>
  <w:style w:type="paragraph" w:customStyle="1" w:styleId="Tablefirstcolumnheading">
    <w:name w:val="Table first column heading"/>
    <w:basedOn w:val="Normal"/>
    <w:qFormat/>
    <w:rsid w:val="000F7C80"/>
    <w:pPr>
      <w:spacing w:before="100" w:beforeAutospacing="1" w:after="100" w:afterAutospacing="1"/>
      <w:ind w:left="284" w:hanging="284"/>
      <w:jc w:val="left"/>
    </w:pPr>
    <w:rPr>
      <w:rFonts w:eastAsiaTheme="minorHAnsi"/>
      <w:b/>
      <w:sz w:val="18"/>
      <w:szCs w:val="18"/>
      <w:lang w:eastAsia="en-AU"/>
    </w:rPr>
  </w:style>
  <w:style w:type="paragraph" w:customStyle="1" w:styleId="Tablesecondcolumnheadings">
    <w:name w:val="Table second column headings"/>
    <w:basedOn w:val="Normal"/>
    <w:qFormat/>
    <w:rsid w:val="000F7C80"/>
    <w:pPr>
      <w:spacing w:before="100" w:beforeAutospacing="1" w:after="100" w:afterAutospacing="1"/>
      <w:ind w:left="284"/>
      <w:jc w:val="center"/>
    </w:pPr>
    <w:rPr>
      <w:rFonts w:eastAsiaTheme="minorHAnsi"/>
      <w:b/>
      <w:sz w:val="18"/>
      <w:szCs w:val="18"/>
      <w:lang w:eastAsia="en-AU"/>
    </w:rPr>
  </w:style>
  <w:style w:type="paragraph" w:customStyle="1" w:styleId="Tablerowheadings">
    <w:name w:val="Table row headings"/>
    <w:basedOn w:val="Normal"/>
    <w:qFormat/>
    <w:rsid w:val="000F7C80"/>
    <w:pPr>
      <w:spacing w:before="100" w:beforeAutospacing="1" w:after="100" w:afterAutospacing="1"/>
      <w:ind w:left="284" w:hanging="284"/>
      <w:jc w:val="left"/>
    </w:pPr>
    <w:rPr>
      <w:rFonts w:eastAsiaTheme="minorHAnsi" w:cs="Arial"/>
      <w:sz w:val="18"/>
      <w:szCs w:val="18"/>
    </w:rPr>
  </w:style>
  <w:style w:type="paragraph" w:styleId="EndnoteText">
    <w:name w:val="endnote text"/>
    <w:basedOn w:val="Normal"/>
    <w:link w:val="EndnoteTextChar"/>
    <w:rsid w:val="006077EC"/>
    <w:pPr>
      <w:spacing w:before="0"/>
      <w:jc w:val="left"/>
    </w:pPr>
    <w:rPr>
      <w:rFonts w:ascii="Times New Roman" w:hAnsi="Times New Roman" w:cs="Calibri"/>
      <w:sz w:val="20"/>
      <w:szCs w:val="20"/>
      <w:lang w:val="en-US"/>
    </w:rPr>
  </w:style>
  <w:style w:type="character" w:customStyle="1" w:styleId="EndnoteTextChar">
    <w:name w:val="Endnote Text Char"/>
    <w:basedOn w:val="DefaultParagraphFont"/>
    <w:link w:val="EndnoteText"/>
    <w:rsid w:val="006077EC"/>
    <w:rPr>
      <w:rFonts w:cs="Calibri"/>
      <w:lang w:val="en-US" w:eastAsia="en-US"/>
    </w:rPr>
  </w:style>
  <w:style w:type="paragraph" w:styleId="Revision">
    <w:name w:val="Revision"/>
    <w:hidden/>
    <w:uiPriority w:val="99"/>
    <w:semiHidden/>
    <w:rsid w:val="008D7CF1"/>
    <w:rPr>
      <w:rFonts w:asciiTheme="minorHAnsi" w:hAnsiTheme="minorHAnsi" w:cstheme="minorHAnsi"/>
      <w:sz w:val="22"/>
      <w:szCs w:val="22"/>
      <w:lang w:eastAsia="en-US"/>
    </w:rPr>
  </w:style>
  <w:style w:type="character" w:customStyle="1" w:styleId="apple-converted-space">
    <w:name w:val="apple-converted-space"/>
    <w:basedOn w:val="DefaultParagraphFont"/>
    <w:rsid w:val="00101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46278">
      <w:bodyDiv w:val="1"/>
      <w:marLeft w:val="0"/>
      <w:marRight w:val="0"/>
      <w:marTop w:val="0"/>
      <w:marBottom w:val="0"/>
      <w:divBdr>
        <w:top w:val="none" w:sz="0" w:space="0" w:color="auto"/>
        <w:left w:val="none" w:sz="0" w:space="0" w:color="auto"/>
        <w:bottom w:val="none" w:sz="0" w:space="0" w:color="auto"/>
        <w:right w:val="none" w:sz="0" w:space="0" w:color="auto"/>
      </w:divBdr>
    </w:div>
    <w:div w:id="504054064">
      <w:bodyDiv w:val="1"/>
      <w:marLeft w:val="0"/>
      <w:marRight w:val="0"/>
      <w:marTop w:val="0"/>
      <w:marBottom w:val="0"/>
      <w:divBdr>
        <w:top w:val="none" w:sz="0" w:space="0" w:color="auto"/>
        <w:left w:val="none" w:sz="0" w:space="0" w:color="auto"/>
        <w:bottom w:val="none" w:sz="0" w:space="0" w:color="auto"/>
        <w:right w:val="none" w:sz="0" w:space="0" w:color="auto"/>
      </w:divBdr>
    </w:div>
    <w:div w:id="548031069">
      <w:bodyDiv w:val="1"/>
      <w:marLeft w:val="0"/>
      <w:marRight w:val="0"/>
      <w:marTop w:val="0"/>
      <w:marBottom w:val="0"/>
      <w:divBdr>
        <w:top w:val="none" w:sz="0" w:space="0" w:color="auto"/>
        <w:left w:val="none" w:sz="0" w:space="0" w:color="auto"/>
        <w:bottom w:val="none" w:sz="0" w:space="0" w:color="auto"/>
        <w:right w:val="none" w:sz="0" w:space="0" w:color="auto"/>
      </w:divBdr>
    </w:div>
    <w:div w:id="717317953">
      <w:bodyDiv w:val="1"/>
      <w:marLeft w:val="0"/>
      <w:marRight w:val="0"/>
      <w:marTop w:val="0"/>
      <w:marBottom w:val="0"/>
      <w:divBdr>
        <w:top w:val="none" w:sz="0" w:space="0" w:color="auto"/>
        <w:left w:val="none" w:sz="0" w:space="0" w:color="auto"/>
        <w:bottom w:val="none" w:sz="0" w:space="0" w:color="auto"/>
        <w:right w:val="none" w:sz="0" w:space="0" w:color="auto"/>
      </w:divBdr>
    </w:div>
    <w:div w:id="734741716">
      <w:bodyDiv w:val="1"/>
      <w:marLeft w:val="0"/>
      <w:marRight w:val="0"/>
      <w:marTop w:val="0"/>
      <w:marBottom w:val="0"/>
      <w:divBdr>
        <w:top w:val="none" w:sz="0" w:space="0" w:color="auto"/>
        <w:left w:val="none" w:sz="0" w:space="0" w:color="auto"/>
        <w:bottom w:val="none" w:sz="0" w:space="0" w:color="auto"/>
        <w:right w:val="none" w:sz="0" w:space="0" w:color="auto"/>
      </w:divBdr>
    </w:div>
    <w:div w:id="1454710243">
      <w:bodyDiv w:val="1"/>
      <w:marLeft w:val="0"/>
      <w:marRight w:val="0"/>
      <w:marTop w:val="0"/>
      <w:marBottom w:val="0"/>
      <w:divBdr>
        <w:top w:val="none" w:sz="0" w:space="0" w:color="auto"/>
        <w:left w:val="none" w:sz="0" w:space="0" w:color="auto"/>
        <w:bottom w:val="none" w:sz="0" w:space="0" w:color="auto"/>
        <w:right w:val="none" w:sz="0" w:space="0" w:color="auto"/>
      </w:divBdr>
    </w:div>
    <w:div w:id="1512918038">
      <w:bodyDiv w:val="1"/>
      <w:marLeft w:val="0"/>
      <w:marRight w:val="0"/>
      <w:marTop w:val="0"/>
      <w:marBottom w:val="0"/>
      <w:divBdr>
        <w:top w:val="none" w:sz="0" w:space="0" w:color="auto"/>
        <w:left w:val="none" w:sz="0" w:space="0" w:color="auto"/>
        <w:bottom w:val="none" w:sz="0" w:space="0" w:color="auto"/>
        <w:right w:val="none" w:sz="0" w:space="0" w:color="auto"/>
      </w:divBdr>
    </w:div>
    <w:div w:id="19804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sellthomson\Dropbox\Admin\Templates%20Swinburne\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BD3F980188E31842A76A5574F993F77A" ma:contentTypeVersion="78" ma:contentTypeDescription="Core Publishing Document, inherited from OOTB document." ma:contentTypeScope="" ma:versionID="44952d08b418dc40725b5fabf11ad310">
  <xsd:schema xmlns:xsd="http://www.w3.org/2001/XMLSchema" xmlns:xs="http://www.w3.org/2001/XMLSchema" xmlns:p="http://schemas.microsoft.com/office/2006/metadata/properties" xmlns:ns1="http://schemas.microsoft.com/sharepoint/v3" xmlns:ns2="cde90b4e-26b2-4127-81f7-41dbe9cc3b40" xmlns:ns3="c0b4bd0a-f6ac-422c-a0b2-ddc3a705a698" targetNamespace="http://schemas.microsoft.com/office/2006/metadata/properties" ma:root="true" ma:fieldsID="53f37ec21eb86df512ba4b237e5d9b60" ns1:_="" ns2:_="" ns3:_="">
    <xsd:import namespace="http://schemas.microsoft.com/sharepoint/v3"/>
    <xsd:import namespace="cde90b4e-26b2-4127-81f7-41dbe9cc3b40"/>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90b4e-26b2-4127-81f7-41dbe9cc3b40"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KeywordsLookupField xmlns="c0b4bd0a-f6ac-422c-a0b2-ddc3a705a698"/>
    <IncludeInContentRollups xmlns="cde90b4e-26b2-4127-81f7-41dbe9cc3b40">false</IncludeInContentRollups>
    <CorePublishingFileReference xmlns="cde90b4e-26b2-4127-81f7-41dbe9cc3b40">n/a</CorePublishingFileReference>
    <SubjectLookupField xmlns="c0b4bd0a-f6ac-422c-a0b2-ddc3a705a698"/>
    <IncludeInRSSFeeds xmlns="cde90b4e-26b2-4127-81f7-41dbe9cc3b40">false</IncludeInRSSFeeds>
    <CorePublishingDocumentChangeDescription xmlns="cde90b4e-26b2-4127-81f7-41dbe9cc3b40" xsi:nil="true"/>
    <PublishingExpirationDate xmlns="http://schemas.microsoft.com/sharepoint/v3" xsi:nil="true"/>
    <CorePublishingDocumentContact xmlns="cde90b4e-26b2-4127-81f7-41dbe9cc3b40">
      <UserInfo>
        <DisplayName>online</DisplayName>
        <AccountId>189</AccountId>
        <AccountType/>
      </UserInfo>
    </CorePublishingDocumentContact>
    <PublishingStartDate xmlns="http://schemas.microsoft.com/sharepoint/v3" xsi:nil="true"/>
    <IPSCategory xmlns="cde90b4e-26b2-4127-81f7-41dbe9cc3b40">2. What we do</IPSCategory>
    <IncludeInNotificationsAndUpdates xmlns="cde90b4e-26b2-4127-81f7-41dbe9cc3b40">true</IncludeInNotificationsAndUpdates>
    <CorePublishingComments xmlns="cde90b4e-26b2-4127-81f7-41dbe9cc3b40">Earlier departmental program review activities were incorporated into the Review.</CorePublishingComments>
    <DocumentRollupCategory xmlns="c0b4bd0a-f6ac-422c-a0b2-ddc3a705a698"/>
  </documentManagement>
</p:properties>
</file>

<file path=customXml/itemProps1.xml><?xml version="1.0" encoding="utf-8"?>
<ds:datastoreItem xmlns:ds="http://schemas.openxmlformats.org/officeDocument/2006/customXml" ds:itemID="{E458A73D-9178-4F8C-A2A6-32CACCDD9E07}"/>
</file>

<file path=customXml/itemProps2.xml><?xml version="1.0" encoding="utf-8"?>
<ds:datastoreItem xmlns:ds="http://schemas.openxmlformats.org/officeDocument/2006/customXml" ds:itemID="{9E6DBFED-F4C4-465B-87A7-CD3165098497}"/>
</file>

<file path=customXml/itemProps3.xml><?xml version="1.0" encoding="utf-8"?>
<ds:datastoreItem xmlns:ds="http://schemas.openxmlformats.org/officeDocument/2006/customXml" ds:itemID="{C915C90A-9898-4042-84AC-B027B891E744}"/>
</file>

<file path=customXml/itemProps4.xml><?xml version="1.0" encoding="utf-8"?>
<ds:datastoreItem xmlns:ds="http://schemas.openxmlformats.org/officeDocument/2006/customXml" ds:itemID="{0D6875F1-2FDF-4BB6-B9C0-88A7E2CFE6D3}"/>
</file>

<file path=docProps/app.xml><?xml version="1.0" encoding="utf-8"?>
<Properties xmlns="http://schemas.openxmlformats.org/officeDocument/2006/extended-properties" xmlns:vt="http://schemas.openxmlformats.org/officeDocument/2006/docPropsVTypes">
  <Template>Report template.dotx</Template>
  <TotalTime>5</TotalTime>
  <Pages>35</Pages>
  <Words>11540</Words>
  <Characters>64104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The Additionality of R&amp;D Tax Policy in Australia</vt:lpstr>
    </vt:vector>
  </TitlesOfParts>
  <Company>Swinburne University</Company>
  <LinksUpToDate>false</LinksUpToDate>
  <CharactersWithSpaces>75494</CharactersWithSpaces>
  <SharedDoc>false</SharedDoc>
  <HLinks>
    <vt:vector size="72" baseType="variant">
      <vt:variant>
        <vt:i4>1703986</vt:i4>
      </vt:variant>
      <vt:variant>
        <vt:i4>68</vt:i4>
      </vt:variant>
      <vt:variant>
        <vt:i4>0</vt:i4>
      </vt:variant>
      <vt:variant>
        <vt:i4>5</vt:i4>
      </vt:variant>
      <vt:variant>
        <vt:lpwstr/>
      </vt:variant>
      <vt:variant>
        <vt:lpwstr>_Toc241475684</vt:lpwstr>
      </vt:variant>
      <vt:variant>
        <vt:i4>1703986</vt:i4>
      </vt:variant>
      <vt:variant>
        <vt:i4>62</vt:i4>
      </vt:variant>
      <vt:variant>
        <vt:i4>0</vt:i4>
      </vt:variant>
      <vt:variant>
        <vt:i4>5</vt:i4>
      </vt:variant>
      <vt:variant>
        <vt:lpwstr/>
      </vt:variant>
      <vt:variant>
        <vt:lpwstr>_Toc241475683</vt:lpwstr>
      </vt:variant>
      <vt:variant>
        <vt:i4>1703986</vt:i4>
      </vt:variant>
      <vt:variant>
        <vt:i4>56</vt:i4>
      </vt:variant>
      <vt:variant>
        <vt:i4>0</vt:i4>
      </vt:variant>
      <vt:variant>
        <vt:i4>5</vt:i4>
      </vt:variant>
      <vt:variant>
        <vt:lpwstr/>
      </vt:variant>
      <vt:variant>
        <vt:lpwstr>_Toc241475682</vt:lpwstr>
      </vt:variant>
      <vt:variant>
        <vt:i4>1703986</vt:i4>
      </vt:variant>
      <vt:variant>
        <vt:i4>50</vt:i4>
      </vt:variant>
      <vt:variant>
        <vt:i4>0</vt:i4>
      </vt:variant>
      <vt:variant>
        <vt:i4>5</vt:i4>
      </vt:variant>
      <vt:variant>
        <vt:lpwstr/>
      </vt:variant>
      <vt:variant>
        <vt:lpwstr>_Toc241475681</vt:lpwstr>
      </vt:variant>
      <vt:variant>
        <vt:i4>1703986</vt:i4>
      </vt:variant>
      <vt:variant>
        <vt:i4>44</vt:i4>
      </vt:variant>
      <vt:variant>
        <vt:i4>0</vt:i4>
      </vt:variant>
      <vt:variant>
        <vt:i4>5</vt:i4>
      </vt:variant>
      <vt:variant>
        <vt:lpwstr/>
      </vt:variant>
      <vt:variant>
        <vt:lpwstr>_Toc241475680</vt:lpwstr>
      </vt:variant>
      <vt:variant>
        <vt:i4>1376306</vt:i4>
      </vt:variant>
      <vt:variant>
        <vt:i4>38</vt:i4>
      </vt:variant>
      <vt:variant>
        <vt:i4>0</vt:i4>
      </vt:variant>
      <vt:variant>
        <vt:i4>5</vt:i4>
      </vt:variant>
      <vt:variant>
        <vt:lpwstr/>
      </vt:variant>
      <vt:variant>
        <vt:lpwstr>_Toc241475679</vt:lpwstr>
      </vt:variant>
      <vt:variant>
        <vt:i4>1376306</vt:i4>
      </vt:variant>
      <vt:variant>
        <vt:i4>32</vt:i4>
      </vt:variant>
      <vt:variant>
        <vt:i4>0</vt:i4>
      </vt:variant>
      <vt:variant>
        <vt:i4>5</vt:i4>
      </vt:variant>
      <vt:variant>
        <vt:lpwstr/>
      </vt:variant>
      <vt:variant>
        <vt:lpwstr>_Toc241475678</vt:lpwstr>
      </vt:variant>
      <vt:variant>
        <vt:i4>1376306</vt:i4>
      </vt:variant>
      <vt:variant>
        <vt:i4>26</vt:i4>
      </vt:variant>
      <vt:variant>
        <vt:i4>0</vt:i4>
      </vt:variant>
      <vt:variant>
        <vt:i4>5</vt:i4>
      </vt:variant>
      <vt:variant>
        <vt:lpwstr/>
      </vt:variant>
      <vt:variant>
        <vt:lpwstr>_Toc241475677</vt:lpwstr>
      </vt:variant>
      <vt:variant>
        <vt:i4>1376306</vt:i4>
      </vt:variant>
      <vt:variant>
        <vt:i4>20</vt:i4>
      </vt:variant>
      <vt:variant>
        <vt:i4>0</vt:i4>
      </vt:variant>
      <vt:variant>
        <vt:i4>5</vt:i4>
      </vt:variant>
      <vt:variant>
        <vt:lpwstr/>
      </vt:variant>
      <vt:variant>
        <vt:lpwstr>_Toc241475676</vt:lpwstr>
      </vt:variant>
      <vt:variant>
        <vt:i4>1376306</vt:i4>
      </vt:variant>
      <vt:variant>
        <vt:i4>14</vt:i4>
      </vt:variant>
      <vt:variant>
        <vt:i4>0</vt:i4>
      </vt:variant>
      <vt:variant>
        <vt:i4>5</vt:i4>
      </vt:variant>
      <vt:variant>
        <vt:lpwstr/>
      </vt:variant>
      <vt:variant>
        <vt:lpwstr>_Toc241475675</vt:lpwstr>
      </vt:variant>
      <vt:variant>
        <vt:i4>1376306</vt:i4>
      </vt:variant>
      <vt:variant>
        <vt:i4>8</vt:i4>
      </vt:variant>
      <vt:variant>
        <vt:i4>0</vt:i4>
      </vt:variant>
      <vt:variant>
        <vt:i4>5</vt:i4>
      </vt:variant>
      <vt:variant>
        <vt:lpwstr/>
      </vt:variant>
      <vt:variant>
        <vt:lpwstr>_Toc241475674</vt:lpwstr>
      </vt:variant>
      <vt:variant>
        <vt:i4>1376306</vt:i4>
      </vt:variant>
      <vt:variant>
        <vt:i4>2</vt:i4>
      </vt:variant>
      <vt:variant>
        <vt:i4>0</vt:i4>
      </vt:variant>
      <vt:variant>
        <vt:i4>5</vt:i4>
      </vt:variant>
      <vt:variant>
        <vt:lpwstr/>
      </vt:variant>
      <vt:variant>
        <vt:lpwstr>_Toc241475673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development tax incentive review report rate of additionality swinburne</dc:title>
  <dc:subject/>
  <dc:creator/>
  <cp:keywords/>
  <dc:description/>
  <cp:lastModifiedBy>User</cp:lastModifiedBy>
  <cp:revision>5</cp:revision>
  <cp:lastPrinted>2016-01-04T12:52:00Z</cp:lastPrinted>
  <dcterms:created xsi:type="dcterms:W3CDTF">2016-06-28T16:28:00Z</dcterms:created>
  <dcterms:modified xsi:type="dcterms:W3CDTF">2016-06-29T02:34:00Z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0x01010097F86F0C24D64525B252BB20BD9D45A700BD3F980188E31842A76A5574F993F77A</vt:lpwstr>
  </property>
</Properties>
</file>